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AA5468">
      <w:pPr>
        <w:spacing w:after="40" w:line="360" w:lineRule="auto"/>
        <w:jc w:val="center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TECHNICAL DOCUMENTATION</w:t>
      </w:r>
    </w:p>
    <w:p w14:paraId="07BF4524">
      <w:pPr>
        <w:spacing w:after="200" w:line="360" w:lineRule="auto"/>
        <w:jc w:val="center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Intelligent Document ID Processing System — Model Selection &amp; Limitations</w:t>
      </w:r>
    </w:p>
    <w:p w14:paraId="35A990A5">
      <w:pPr>
        <w:pStyle w:val="2"/>
        <w:pBdr>
          <w:bottom w:val="single" w:color="C2540A" w:sz="6" w:space="4"/>
        </w:pBdr>
        <w:spacing w:before="320" w:after="140"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1. Model Selection and Justification</w:t>
      </w:r>
    </w:p>
    <w:p w14:paraId="6B65651D">
      <w:pPr>
        <w:spacing w:after="120"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The system is composed of three independently-swappable models, each chosen to fit an offline, low-cost, single-machine deployment rather than a cloud API. The pipeline design isolates each model so that a failure or an upgrade in one does not require changes to the others.</w:t>
      </w:r>
    </w:p>
    <w:p w14:paraId="2474B653">
      <w:pPr>
        <w:pStyle w:val="3"/>
        <w:spacing w:before="220" w:after="90"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1.1 Vision-Language Model — Qwen2.5-VL:3B (via Ollama)</w:t>
      </w:r>
    </w:p>
    <w:p w14:paraId="4322BA1A">
      <w:pPr>
        <w:spacing w:after="120"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This is the primary extraction engine: a single call is made with all page images attached, and the model returns structured JSON containing the document classification and every target field (name, DOB, Aadhaar/PAN number, address, etc.).</w:t>
      </w:r>
    </w:p>
    <w:tbl>
      <w:tblPr>
        <w:tblStyle w:val="9"/>
        <w:tblW w:w="93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50"/>
      </w:tblGrid>
      <w:tr w14:paraId="7AED9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400" w:type="dxa"/>
            <w:shd w:val="clear" w:color="auto" w:fill="1F233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35AA44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Reason</w:t>
            </w:r>
          </w:p>
        </w:tc>
        <w:tc>
          <w:tcPr>
            <w:tcW w:w="6950" w:type="dxa"/>
            <w:shd w:val="clear" w:color="auto" w:fill="1F233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933479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Justification</w:t>
            </w:r>
          </w:p>
        </w:tc>
      </w:tr>
      <w:tr w14:paraId="59C550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21BCB7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Fully offline</w:t>
            </w:r>
          </w:p>
        </w:tc>
        <w:tc>
          <w:tcPr>
            <w:tcW w:w="69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85C63B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Runs entirely through a local Ollama daemon — no card images or PII ever leave the machine, which is a hard requirement for identity documents.</w:t>
            </w:r>
          </w:p>
        </w:tc>
      </w:tr>
      <w:tr w14:paraId="7B999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18B8A5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GPU footprint</w:t>
            </w:r>
          </w:p>
        </w:tc>
        <w:tc>
          <w:tcPr>
            <w:tcW w:w="69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97E05F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3B parameters is the largest Qwen2.5-VL variant that comfortably fits consumer-grade GPUs (6–8 GB VRAM) at usable latency; num_gpu=36 offloads all layers on such cards.</w:t>
            </w:r>
          </w:p>
        </w:tc>
      </w:tr>
      <w:tr w14:paraId="3BA5B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B12C0E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Structured output</w:t>
            </w:r>
          </w:p>
        </w:tc>
        <w:tc>
          <w:tcPr>
            <w:tcW w:w="69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BF2717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Reliably follows a JSON-only instruction prompt with an explicit schema, enabling deterministic downstream parsing (options.temperature=0).</w:t>
            </w:r>
          </w:p>
        </w:tc>
      </w:tr>
      <w:tr w14:paraId="52F02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67A657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Discriminative prompting</w:t>
            </w:r>
          </w:p>
        </w:tc>
        <w:tc>
          <w:tcPr>
            <w:tcW w:w="69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9FCC2D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The prompt encodes explicit visual markers (UIDAI logo, EPIC number format, DL number format) so the model classifies Aadhaar/PAN vs. look-alike IDs (Voter ID, driving licence, passport) rather than guessing from a generic "government ID" look.</w:t>
            </w:r>
          </w:p>
        </w:tc>
      </w:tr>
    </w:tbl>
    <w:p w14:paraId="5295AF5F">
      <w:pPr>
        <w:spacing w:before="200"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70971CE3">
      <w:pPr>
        <w:spacing w:before="200"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57DE07F1">
      <w:pPr>
        <w:spacing w:before="200"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177A518A">
      <w:pPr>
        <w:pStyle w:val="3"/>
        <w:spacing w:before="220" w:after="90"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1.2 OCR Engine — RapidOCR (ONNX Runtime)</w:t>
      </w:r>
    </w:p>
    <w:p w14:paraId="2CDA594E">
      <w:pPr>
        <w:spacing w:after="120"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Runs as a secondary, independent text extraction pass used only for cross-checking and regex-based confidence boosting (e.g. confirming a 12-digit Aadhaar number or a PAN pattern actually appears in the raw scanned text).</w:t>
      </w:r>
    </w:p>
    <w:p w14:paraId="5A73552B">
      <w:pPr>
        <w:pStyle w:val="16"/>
        <w:numPr>
          <w:ilvl w:val="0"/>
          <w:numId w:val="1"/>
        </w:numPr>
        <w:spacing w:after="60"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 xml:space="preserve">CPU-resident: 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Lightweight ONNX models with no PyTorch/CUDA dependency, so it runs on CPU while the VLM occupies the GPU 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-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the two engines do not compete for the same resource.</w:t>
      </w:r>
    </w:p>
    <w:p w14:paraId="1AAA414B">
      <w:pPr>
        <w:pStyle w:val="16"/>
        <w:numPr>
          <w:ilvl w:val="0"/>
          <w:numId w:val="1"/>
        </w:numPr>
        <w:spacing w:after="60"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 xml:space="preserve">Crash isolation: 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It is deliberately executed in a separate Python subprocess with a hard timeout (120 s). A native-library segfault or hang in the OCR stack cannot crash the main application; on any failure it degrades to an empty string and the pipeline proceeds using VLM output alone.</w:t>
      </w:r>
    </w:p>
    <w:p w14:paraId="7A61FA6B">
      <w:pPr>
        <w:pStyle w:val="16"/>
        <w:numPr>
          <w:ilvl w:val="0"/>
          <w:numId w:val="1"/>
        </w:numPr>
        <w:spacing w:after="60"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 xml:space="preserve">Complementary, not redundant to the VLM: 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the VLM (semantic understanding, layout reasoning) and OCR (raw character recognition) make different error classes, so agreement between the two is a much stronger confidence signal than either alone.</w:t>
      </w:r>
    </w:p>
    <w:p w14:paraId="7760D073">
      <w:pPr>
        <w:pStyle w:val="3"/>
        <w:spacing w:before="220" w:after="90"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 xml:space="preserve">1.3 Face Detection 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  <w:t xml:space="preserve">- 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OpenCV Haar Cascade</w:t>
      </w:r>
    </w:p>
    <w:p w14:paraId="1981A3EE">
      <w:pPr>
        <w:spacing w:after="120"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Used only to crop the portrait photo for display, not for any identity/liveness decision, which keeps the accuracy bar appropriate for the model class.</w:t>
      </w:r>
    </w:p>
    <w:p w14:paraId="052872AD">
      <w:pPr>
        <w:pStyle w:val="16"/>
        <w:numPr>
          <w:ilvl w:val="0"/>
          <w:numId w:val="1"/>
        </w:numPr>
        <w:spacing w:after="60"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 xml:space="preserve">Zero extra dependency: 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no download, no GPU, ships inside opencv-python, and is fast enough to run per-page synchronously.</w:t>
      </w:r>
    </w:p>
    <w:p w14:paraId="10CC42AD">
      <w:pPr>
        <w:pStyle w:val="16"/>
        <w:numPr>
          <w:ilvl w:val="0"/>
          <w:numId w:val="1"/>
        </w:numPr>
        <w:spacing w:after="60"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 xml:space="preserve">Adequate for a constrained task: 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scaleFactor=1.1 / minNeighbors=5 is a conservative setting tuned to avoid false positives on printed text/logos, which is more important here than raw recall since a bad crop is worse than a missed one (the loop simply tries the next page).</w:t>
      </w:r>
    </w:p>
    <w:p w14:paraId="41964629">
      <w:pPr>
        <w:pStyle w:val="3"/>
        <w:spacing w:before="220" w:after="90"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1.4 Why Not a Larger / Cloud Model</w:t>
      </w:r>
    </w:p>
    <w:p w14:paraId="77D4D05F">
      <w:pPr>
        <w:spacing w:after="120"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A cloud VLM (GPT-4V, Gemini, Claude, etc.) was ruled out because Aadhaar/PAN numbers are legally sensitive PII in India 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 xml:space="preserve">- 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sending card images to a third-party API is a compliance risk the offline design avoids entirely. A larger local model (7B/14B) was evaluated but rejected as the default because it does not fit comfortably on the target low/mid-range GPU alongside the OS and other services; see Section 2 for the upgrade path.</w:t>
      </w:r>
    </w:p>
    <w:p w14:paraId="0C662F28">
      <w:pPr>
        <w:spacing w:after="120"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22DED1F9">
      <w:pPr>
        <w:spacing w:after="120"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51F7B6B3">
      <w:pPr>
        <w:spacing w:after="120"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7B5297B9">
      <w:pPr>
        <w:pStyle w:val="2"/>
        <w:pBdr>
          <w:bottom w:val="single" w:color="C2540A" w:sz="6" w:space="4"/>
        </w:pBdr>
        <w:spacing w:before="320" w:after="140"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2. Limitations and Known Failure Cases</w:t>
      </w:r>
    </w:p>
    <w:p w14:paraId="4E0525ED">
      <w:pPr>
        <w:pStyle w:val="3"/>
        <w:spacing w:before="220" w:after="90"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2.1 Key Limitations</w:t>
      </w:r>
    </w:p>
    <w:p w14:paraId="13521B9E">
      <w:pPr>
        <w:pStyle w:val="16"/>
        <w:numPr>
          <w:ilvl w:val="0"/>
          <w:numId w:val="1"/>
        </w:numPr>
        <w:spacing w:after="60"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 xml:space="preserve">Hardware-bound latency: 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the 3B model is configured for GPU offload (num_gpu=36); on a CPU-only machine or a GPU with insufficient free VRAM, inference falls back to CPU and per-document latency rises from roughly 2-5 seconds to 30+ seconds, degrading the interactive Gradio experience.</w:t>
      </w:r>
    </w:p>
    <w:p w14:paraId="50558324">
      <w:pPr>
        <w:pStyle w:val="16"/>
        <w:numPr>
          <w:ilvl w:val="0"/>
          <w:numId w:val="1"/>
        </w:numPr>
        <w:spacing w:after="60"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 xml:space="preserve">Accuracy ceiling on small and free-text fields: 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small, low-contrast text (e.g. the Mobile-number label near the QR code) is a common miss for a 3B vision model, and the free-text address field is capped at 0.75-0.88 confidence even on valid extractions, since a 3B model is more prone to partial transcription or omitted lines than larger variants.</w:t>
      </w:r>
    </w:p>
    <w:p w14:paraId="3FFAE742">
      <w:pPr>
        <w:pStyle w:val="16"/>
        <w:numPr>
          <w:ilvl w:val="0"/>
          <w:numId w:val="1"/>
        </w:numPr>
        <w:spacing w:after="60"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 xml:space="preserve">No checksum equivalent for PAN: 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Verhoeff validation exists only for Aadhaar; PAN numbers are checked by regex format alone, so a PAN number that is superficially well-formed but incorrectly transcribed will not be caught.</w:t>
      </w:r>
    </w:p>
    <w:p w14:paraId="32DD085F">
      <w:pPr>
        <w:pStyle w:val="3"/>
        <w:spacing w:before="220" w:after="90"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2.3 Upgrade Path on Higher-End Hardware</w:t>
      </w:r>
    </w:p>
    <w:p w14:paraId="500C306C">
      <w:pPr>
        <w:spacing w:after="120"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The pipeline treats the VLM as a swappable component (MODEL constant in vlm_extraction.py), so moving to a larger offline Ollama model is a one-line change plus a VRAM budget check. Recommended tiers:</w:t>
      </w:r>
    </w:p>
    <w:tbl>
      <w:tblPr>
        <w:tblStyle w:val="9"/>
        <w:tblW w:w="981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800"/>
        <w:gridCol w:w="4610"/>
      </w:tblGrid>
      <w:tr w14:paraId="602B2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400" w:type="dxa"/>
            <w:shd w:val="clear" w:color="auto" w:fill="1F233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B12D8C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GPU VRAM</w:t>
            </w:r>
          </w:p>
        </w:tc>
        <w:tc>
          <w:tcPr>
            <w:tcW w:w="2800" w:type="dxa"/>
            <w:shd w:val="clear" w:color="auto" w:fill="1F233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DAD62A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Suggested Model</w:t>
            </w:r>
          </w:p>
        </w:tc>
        <w:tc>
          <w:tcPr>
            <w:tcW w:w="4610" w:type="dxa"/>
            <w:shd w:val="clear" w:color="auto" w:fill="1F233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C5B66E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Expected Gain</w:t>
            </w:r>
          </w:p>
        </w:tc>
      </w:tr>
      <w:tr w14:paraId="6ED8D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F760BE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6–8 GB (current default)</w:t>
            </w:r>
          </w:p>
        </w:tc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569203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qwen2.5vl:3b</w:t>
            </w:r>
          </w:p>
        </w:tc>
        <w:tc>
          <w:tcPr>
            <w:tcW w:w="461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89E7D0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Baseline: fast, low VRAM, weaker on small/dense text.</w:t>
            </w:r>
          </w:p>
        </w:tc>
      </w:tr>
      <w:tr w14:paraId="1D033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093052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12–16 GB</w:t>
            </w:r>
          </w:p>
        </w:tc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36B99B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qwen2.5vl:7b</w:t>
            </w:r>
          </w:p>
        </w:tc>
        <w:tc>
          <w:tcPr>
            <w:tcW w:w="461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47C699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Meaningfully better fine-print and address-field recall, ~2–3x slower per document.</w:t>
            </w:r>
          </w:p>
        </w:tc>
      </w:tr>
      <w:tr w14:paraId="433CF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B0F093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24 GB+</w:t>
            </w:r>
          </w:p>
        </w:tc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1E13FE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qwen2.5vl:14b (or larger)</w:t>
            </w:r>
          </w:p>
        </w:tc>
        <w:tc>
          <w:tcPr>
            <w:tcW w:w="461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6212D1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Best accuracy on damaged/occluded/regional-format cards; requires reviewing OPTIONS (num_ctx, num_gpu) and RESET_AFTER_RUNS for the larger footprint.</w:t>
            </w:r>
          </w:p>
        </w:tc>
      </w:tr>
    </w:tbl>
    <w:p w14:paraId="0DD658DE">
      <w:pPr>
        <w:spacing w:after="120"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bookmarkStart w:id="0" w:name="_GoBack"/>
      <w:bookmarkEnd w:id="0"/>
    </w:p>
    <w:sectPr>
      <w:pgSz w:w="12240" w:h="15840"/>
      <w:pgMar w:top="1000" w:right="1100" w:bottom="1000" w:left="11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A674BDF"/>
    <w:rsid w:val="1AA93912"/>
    <w:rsid w:val="24341072"/>
    <w:rsid w:val="275C3E4A"/>
    <w:rsid w:val="3528679F"/>
    <w:rsid w:val="37553D9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paragraph" w:styleId="16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776</Words>
  <Characters>4323</Characters>
  <TotalTime>6</TotalTime>
  <ScaleCrop>false</ScaleCrop>
  <LinksUpToDate>false</LinksUpToDate>
  <CharactersWithSpaces>5058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2026-07-11T05:49:00Z</dcterms:created>
  <dc:creator>Un-named</dc:creator>
  <cp:lastModifiedBy>ranjit</cp:lastModifiedBy>
  <dcterms:modified xsi:type="dcterms:W3CDTF">2026-07-11T07:57:23Z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eyJoZGlkIjoiNGI0ZjRhMTQ5OWIxNDMyYzlkOTNhYzNjMTQ1MzAwZTMiLCJ1c2VySWQiOiI1Njc1NDY3NzEyMzUifQ==</vt:lpwstr>
  </property>
  <property fmtid="{D5CDD505-2E9C-101B-9397-08002B2CF9AE}" pid="3" name="KSOProductBuildVer">
    <vt:lpwstr>1033-12.1.0.26880</vt:lpwstr>
  </property>
  <property fmtid="{D5CDD505-2E9C-101B-9397-08002B2CF9AE}" pid="4" name="ICV">
    <vt:lpwstr>564C46B651D448868249F339D7FCEBD7_12</vt:lpwstr>
  </property>
</Properties>
</file>