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Veritly Market Intelligence Report</w:t>
      </w:r>
    </w:p>
    <w:p>
      <w:pPr>
        <w:jc w:val="center"/>
      </w:pPr>
      <w:r>
        <w:t>Telecom Customer Churn Analysis</w:t>
      </w:r>
    </w:p>
    <w:p>
      <w:r>
        <w:t>Generated: 2026-01-28 05:27</w:t>
      </w:r>
    </w:p>
    <w:p/>
    <w:p>
      <w:pPr>
        <w:pStyle w:val="Heading1"/>
      </w:pPr>
      <w:r>
        <w:t>Executive Summary</w:t>
      </w:r>
    </w:p>
    <w:p>
      <w:r>
        <w:t xml:space="preserve">Analysis of 3,333 telecom customers reveals a churn rate of </w:t>
      </w:r>
      <w:r>
        <w:rPr>
          <w:b/>
        </w:rPr>
        <w:t>14.49%</w:t>
      </w:r>
      <w:r>
        <w:t>, representing 483 customers lost.</w:t>
      </w:r>
    </w:p>
    <w:p>
      <w:r>
        <w:t>Key findings indicate that international plan customers and those with high service call volumes are at elevated risk of churning.</w:t>
      </w:r>
    </w:p>
    <w:p>
      <w:pPr>
        <w:pStyle w:val="Heading1"/>
      </w:pPr>
      <w:r>
        <w:t>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Customers</w:t>
            </w:r>
          </w:p>
        </w:tc>
        <w:tc>
          <w:tcPr>
            <w:tcW w:type="dxa" w:w="4320"/>
          </w:tcPr>
          <w:p>
            <w:r>
              <w:t>3,333</w:t>
            </w:r>
          </w:p>
        </w:tc>
      </w:tr>
      <w:tr>
        <w:tc>
          <w:tcPr>
            <w:tcW w:type="dxa" w:w="4320"/>
          </w:tcPr>
          <w:p>
            <w:r>
              <w:t>Churned Customers</w:t>
            </w:r>
          </w:p>
        </w:tc>
        <w:tc>
          <w:tcPr>
            <w:tcW w:type="dxa" w:w="4320"/>
          </w:tcPr>
          <w:p>
            <w:r>
              <w:t>483</w:t>
            </w:r>
          </w:p>
        </w:tc>
      </w:tr>
      <w:tr>
        <w:tc>
          <w:tcPr>
            <w:tcW w:type="dxa" w:w="4320"/>
          </w:tcPr>
          <w:p>
            <w:r>
              <w:t>Churn Rate</w:t>
            </w:r>
          </w:p>
        </w:tc>
        <w:tc>
          <w:tcPr>
            <w:tcW w:type="dxa" w:w="4320"/>
          </w:tcPr>
          <w:p>
            <w:r>
              <w:t>14.49%</w:t>
            </w:r>
          </w:p>
        </w:tc>
      </w:tr>
      <w:tr>
        <w:tc>
          <w:tcPr>
            <w:tcW w:type="dxa" w:w="4320"/>
          </w:tcPr>
          <w:p>
            <w:r>
              <w:t>Model Accuracy</w:t>
            </w:r>
          </w:p>
        </w:tc>
        <w:tc>
          <w:tcPr>
            <w:tcW w:type="dxa" w:w="4320"/>
          </w:tcPr>
          <w:p>
            <w:r>
              <w:t>86.38%</w:t>
            </w:r>
          </w:p>
        </w:tc>
      </w:tr>
      <w:tr>
        <w:tc>
          <w:tcPr>
            <w:tcW w:type="dxa" w:w="4320"/>
          </w:tcPr>
          <w:p>
            <w:r>
              <w:t>High Risk Customers</w:t>
            </w:r>
          </w:p>
        </w:tc>
        <w:tc>
          <w:tcPr>
            <w:tcW w:type="dxa" w:w="4320"/>
          </w:tcPr>
          <w:p>
            <w:r>
              <w:t>181</w:t>
            </w:r>
          </w:p>
        </w:tc>
      </w:tr>
    </w:tbl>
    <w:p/>
    <w:p>
      <w:pPr>
        <w:pStyle w:val="Heading1"/>
      </w:pPr>
      <w:r>
        <w:t>Segment Analysis</w:t>
      </w:r>
    </w:p>
    <w:p>
      <w:pPr>
        <w:pStyle w:val="Heading2"/>
      </w:pPr>
      <w:r>
        <w:t>By International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</w:t>
            </w:r>
          </w:p>
        </w:tc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Churned</w:t>
            </w:r>
          </w:p>
        </w:tc>
        <w:tc>
          <w:tcPr>
            <w:tcW w:type="dxa" w:w="2160"/>
          </w:tcPr>
          <w:p>
            <w:r>
              <w:t>Churn Rate</w:t>
            </w:r>
          </w:p>
        </w:tc>
      </w:tr>
      <w:tr>
        <w:tc>
          <w:tcPr>
            <w:tcW w:type="dxa" w:w="2160"/>
          </w:tcPr>
          <w:p>
            <w:r>
              <w:t>Without International Plan</w:t>
            </w:r>
          </w:p>
        </w:tc>
        <w:tc>
          <w:tcPr>
            <w:tcW w:type="dxa" w:w="2160"/>
          </w:tcPr>
          <w:p>
            <w:r>
              <w:t>3,010</w:t>
            </w:r>
          </w:p>
        </w:tc>
        <w:tc>
          <w:tcPr>
            <w:tcW w:type="dxa" w:w="2160"/>
          </w:tcPr>
          <w:p>
            <w:r>
              <w:t>346</w:t>
            </w:r>
          </w:p>
        </w:tc>
        <w:tc>
          <w:tcPr>
            <w:tcW w:type="dxa" w:w="2160"/>
          </w:tcPr>
          <w:p>
            <w:r>
              <w:t>11.5%</w:t>
            </w:r>
          </w:p>
        </w:tc>
      </w:tr>
      <w:tr>
        <w:tc>
          <w:tcPr>
            <w:tcW w:type="dxa" w:w="2160"/>
          </w:tcPr>
          <w:p>
            <w:r>
              <w:t>With International Plan</w:t>
            </w:r>
          </w:p>
        </w:tc>
        <w:tc>
          <w:tcPr>
            <w:tcW w:type="dxa" w:w="2160"/>
          </w:tcPr>
          <w:p>
            <w:r>
              <w:t>323</w:t>
            </w:r>
          </w:p>
        </w:tc>
        <w:tc>
          <w:tcPr>
            <w:tcW w:type="dxa" w:w="2160"/>
          </w:tcPr>
          <w:p>
            <w:r>
              <w:t>137</w:t>
            </w:r>
          </w:p>
        </w:tc>
        <w:tc>
          <w:tcPr>
            <w:tcW w:type="dxa" w:w="2160"/>
          </w:tcPr>
          <w:p>
            <w:r>
              <w:t>42.41%</w:t>
            </w:r>
          </w:p>
        </w:tc>
      </w:tr>
    </w:tbl>
    <w:p/>
    <w:p>
      <w:pPr>
        <w:pStyle w:val="Heading1"/>
      </w:pPr>
      <w:r>
        <w:t>Analysis Visualisations</w:t>
      </w:r>
    </w:p>
    <w:p>
      <w:pPr>
        <w:pStyle w:val="Heading2"/>
      </w:pPr>
      <w:r>
        <w:t>Churn By Segment</w:t>
      </w:r>
    </w:p>
    <w:p>
      <w:r>
        <w:drawing>
          <wp:inline xmlns:a="http://schemas.openxmlformats.org/drawingml/2006/main" xmlns:pic="http://schemas.openxmlformats.org/drawingml/2006/picture">
            <wp:extent cx="5029200" cy="29938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by_segment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38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Service Calls Tipping Point</w:t>
      </w:r>
    </w:p>
    <w:p>
      <w:r>
        <w:drawing>
          <wp:inline xmlns:a="http://schemas.openxmlformats.org/drawingml/2006/main" xmlns:pic="http://schemas.openxmlformats.org/drawingml/2006/picture">
            <wp:extent cx="5029200" cy="29938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_calls_tipping_point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38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Risk Distribution</w:t>
      </w:r>
    </w:p>
    <w:p>
      <w:r>
        <w:drawing>
          <wp:inline xmlns:a="http://schemas.openxmlformats.org/drawingml/2006/main" xmlns:pic="http://schemas.openxmlformats.org/drawingml/2006/picture">
            <wp:extent cx="5029200" cy="43379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distribution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379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Top States Churn</w:t>
      </w:r>
    </w:p>
    <w:p>
      <w:r>
        <w:drawing>
          <wp:inline xmlns:a="http://schemas.openxmlformats.org/drawingml/2006/main" xmlns:pic="http://schemas.openxmlformats.org/drawingml/2006/picture">
            <wp:extent cx="5029200" cy="40098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states_churn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98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Feature Correlation</w:t>
      </w:r>
    </w:p>
    <w:p>
      <w:r>
        <w:drawing>
          <wp:inline xmlns:a="http://schemas.openxmlformats.org/drawingml/2006/main" xmlns:pic="http://schemas.openxmlformats.org/drawingml/2006/picture">
            <wp:extent cx="5029200" cy="40071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correlation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71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Risk Tier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 Tier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Probability Range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2,296</w:t>
            </w:r>
          </w:p>
        </w:tc>
        <w:tc>
          <w:tcPr>
            <w:tcW w:type="dxa" w:w="2880"/>
          </w:tcPr>
          <w:p>
            <w:r>
              <w:t>0% - 15%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570</w:t>
            </w:r>
          </w:p>
        </w:tc>
        <w:tc>
          <w:tcPr>
            <w:tcW w:type="dxa" w:w="2880"/>
          </w:tcPr>
          <w:p>
            <w:r>
              <w:t>15% - 30%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>30% - 50%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50% - 100%</w:t>
            </w:r>
          </w:p>
        </w:tc>
      </w:tr>
    </w:tbl>
    <w:p/>
    <w:p>
      <w:pPr>
        <w:jc w:val="center"/>
      </w:pPr>
      <w:r>
        <w:t>Generated by Veritly AI Market Intelligence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