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General Terms - BWS-RFQ-2026-041</w:t>
      </w:r>
    </w:p>
    <w:p>
      <w:r>
        <w:t>1. Valves (BOQ item 4): mill test certificates to EN 10204 3.1 are required.</w:t>
      </w:r>
    </w:p>
    <w:p>
      <w:r>
        <w:t>2. All wetted parts in contact with potable water must be WRAS approved.</w:t>
      </w:r>
    </w:p>
    <w:p>
      <w:r>
        <w:t>3. Pumps (BOQ items 1-2): factory performance test certificate required.</w:t>
      </w:r>
    </w:p>
    <w:p>
      <w:r>
        <w:t>4. Warranty: 12 months from commissioning or 18 months from delivery, whichever is earlier.</w:t>
      </w:r>
    </w:p>
    <w:p>
      <w:r>
        <w:t>5. Quote validity: 90 days. Prices in OMR, DDP Sohar.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