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ind w:left="-720" w:firstLine="0"/>
        <w:rPr>
          <w:rFonts w:ascii="Nunito" w:cs="Nunito" w:eastAsia="Nunito" w:hAnsi="Nunito"/>
          <w:b w:val="1"/>
          <w:sz w:val="44"/>
          <w:szCs w:val="44"/>
        </w:rPr>
      </w:pPr>
      <w:bookmarkStart w:colFirst="0" w:colLast="0" w:name="_k6jklcdlx88j" w:id="0"/>
      <w:bookmarkEnd w:id="0"/>
      <w:r w:rsidDel="00000000" w:rsidR="00000000" w:rsidRPr="00000000">
        <w:rPr>
          <w:rFonts w:ascii="Nunito" w:cs="Nunito" w:eastAsia="Nunito" w:hAnsi="Nunito"/>
          <w:b w:val="1"/>
          <w:color w:val="e06666"/>
          <w:sz w:val="44"/>
          <w:szCs w:val="44"/>
          <w:rtl w:val="0"/>
        </w:rPr>
        <w:t xml:space="preserve">WiselyMe</w:t>
      </w:r>
      <w:r w:rsidDel="00000000" w:rsidR="00000000" w:rsidRPr="00000000">
        <w:rPr>
          <w:rFonts w:ascii="Nunito" w:cs="Nunito" w:eastAsia="Nunito" w:hAnsi="Nunito"/>
          <w:b w:val="1"/>
          <w:sz w:val="44"/>
          <w:szCs w:val="44"/>
          <w:rtl w:val="0"/>
        </w:rPr>
        <w:t xml:space="preserve"> - Your Intelligent Personal Financial Wellness Companion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630" w:firstLine="0"/>
        <w:rPr>
          <w:rFonts w:ascii="Comfortaa" w:cs="Comfortaa" w:eastAsia="Comfortaa" w:hAnsi="Comfortaa"/>
          <w:b w:val="1"/>
          <w:color w:val="6d9eeb"/>
          <w:sz w:val="26"/>
          <w:szCs w:val="26"/>
        </w:rPr>
      </w:pPr>
      <w:r w:rsidDel="00000000" w:rsidR="00000000" w:rsidRPr="00000000">
        <w:rPr>
          <w:rFonts w:ascii="Comfortaa" w:cs="Comfortaa" w:eastAsia="Comfortaa" w:hAnsi="Comfortaa"/>
          <w:b w:val="1"/>
          <w:color w:val="6d9eeb"/>
          <w:sz w:val="26"/>
          <w:szCs w:val="26"/>
          <w:rtl w:val="0"/>
        </w:rPr>
        <w:t xml:space="preserve">January 2024, By Ranjithkumar S</w:t>
      </w:r>
    </w:p>
    <w:p w:rsidR="00000000" w:rsidDel="00000000" w:rsidP="00000000" w:rsidRDefault="00000000" w:rsidRPr="00000000" w14:paraId="00000004">
      <w:pPr>
        <w:ind w:left="-630" w:firstLine="0"/>
        <w:rPr>
          <w:rFonts w:ascii="Comfortaa" w:cs="Comfortaa" w:eastAsia="Comfortaa" w:hAnsi="Comfortaa"/>
          <w:b w:val="1"/>
          <w:color w:val="6d9eeb"/>
          <w:sz w:val="26"/>
          <w:szCs w:val="26"/>
        </w:rPr>
      </w:pPr>
      <w:r w:rsidDel="00000000" w:rsidR="00000000" w:rsidRPr="00000000">
        <w:rPr>
          <w:rtl w:val="0"/>
        </w:rPr>
      </w:r>
    </w:p>
    <w:p w:rsidR="00000000" w:rsidDel="00000000" w:rsidP="00000000" w:rsidRDefault="00000000" w:rsidRPr="00000000" w14:paraId="00000005">
      <w:pPr>
        <w:pStyle w:val="Title"/>
        <w:ind w:left="-630" w:firstLine="0"/>
        <w:rPr>
          <w:rFonts w:ascii="Trebuchet MS" w:cs="Trebuchet MS" w:eastAsia="Trebuchet MS" w:hAnsi="Trebuchet MS"/>
          <w:color w:val="3c78d8"/>
          <w:sz w:val="34"/>
          <w:szCs w:val="34"/>
        </w:rPr>
      </w:pPr>
      <w:bookmarkStart w:colFirst="0" w:colLast="0" w:name="_yzpbfey6qq91" w:id="1"/>
      <w:bookmarkEnd w:id="1"/>
      <w:r w:rsidDel="00000000" w:rsidR="00000000" w:rsidRPr="00000000">
        <w:rPr>
          <w:rFonts w:ascii="Trebuchet MS" w:cs="Trebuchet MS" w:eastAsia="Trebuchet MS" w:hAnsi="Trebuchet MS"/>
          <w:color w:val="3c78d8"/>
          <w:sz w:val="34"/>
          <w:szCs w:val="34"/>
          <w:rtl w:val="0"/>
        </w:rPr>
        <w:t xml:space="preserve">Abstract - Prototype Selection:</w:t>
      </w:r>
    </w:p>
    <w:p w:rsidR="00000000" w:rsidDel="00000000" w:rsidP="00000000" w:rsidRDefault="00000000" w:rsidRPr="00000000" w14:paraId="00000006">
      <w:pPr>
        <w:ind w:left="-630" w:firstLine="0"/>
        <w:rPr/>
      </w:pPr>
      <w:r w:rsidDel="00000000" w:rsidR="00000000" w:rsidRPr="00000000">
        <w:rPr>
          <w:rtl w:val="0"/>
        </w:rPr>
      </w:r>
    </w:p>
    <w:p w:rsidR="00000000" w:rsidDel="00000000" w:rsidP="00000000" w:rsidRDefault="00000000" w:rsidRPr="00000000" w14:paraId="00000007">
      <w:pPr>
        <w:ind w:left="-630" w:firstLine="63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Implementing an AI-based financial wellness project is crucial for its ability to deliver highly personalized advice, analyze real-time data for timely insights, and adapt continuously to users' financial journeys. The engaging nature of an AI chatbot fosters active user participation, while its comprehensive coverage of financial aspects addresses diverse user needs. Strategic partnerships with financial institutions and integration with banking apps enhance the ecosystem, and the scalability ensures accessibility to a broad audience. Robust security measures safeguard users' financial data, and behavioral economics principles contribute to improved financial literacy. Embracing AI keeps the project at the forefront of technological advancements, ensuring ongoing relevance in the dynamic financial industry.</w:t>
      </w:r>
    </w:p>
    <w:p w:rsidR="00000000" w:rsidDel="00000000" w:rsidP="00000000" w:rsidRDefault="00000000" w:rsidRPr="00000000" w14:paraId="00000008">
      <w:pPr>
        <w:ind w:left="-63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9">
      <w:pPr>
        <w:ind w:left="-63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A">
      <w:pPr>
        <w:ind w:left="-630" w:firstLine="0"/>
        <w:rPr>
          <w:rFonts w:ascii="Trebuchet MS" w:cs="Trebuchet MS" w:eastAsia="Trebuchet MS" w:hAnsi="Trebuchet MS"/>
          <w:color w:val="3c78d8"/>
          <w:sz w:val="34"/>
          <w:szCs w:val="34"/>
        </w:rPr>
      </w:pPr>
      <w:r w:rsidDel="00000000" w:rsidR="00000000" w:rsidRPr="00000000">
        <w:rPr>
          <w:rFonts w:ascii="Trebuchet MS" w:cs="Trebuchet MS" w:eastAsia="Trebuchet MS" w:hAnsi="Trebuchet MS"/>
          <w:color w:val="3c78d8"/>
          <w:sz w:val="34"/>
          <w:szCs w:val="34"/>
          <w:rtl w:val="0"/>
        </w:rPr>
        <w:t xml:space="preserve">Problem Statement:</w:t>
      </w:r>
    </w:p>
    <w:p w:rsidR="00000000" w:rsidDel="00000000" w:rsidP="00000000" w:rsidRDefault="00000000" w:rsidRPr="00000000" w14:paraId="0000000B">
      <w:pPr>
        <w:ind w:left="-63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C">
      <w:pPr>
        <w:ind w:left="-630" w:firstLine="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ab/>
        <w:t xml:space="preserve">Current financial tools fall short in providing personalized insights and timely advice, leaving individuals struggling to navigate complex financial landscapes. Limited user engagement, coupled with concerns about data security, creates obstacles in fostering trust in digital financial platforms. There is a critical need for an AI-driven financial wellness solution that offers personalized guidance, promotes active user participation, and ensures robust data security, empowering individuals to navigate their financial journeys confidently.</w:t>
      </w:r>
    </w:p>
    <w:p w:rsidR="00000000" w:rsidDel="00000000" w:rsidP="00000000" w:rsidRDefault="00000000" w:rsidRPr="00000000" w14:paraId="0000000D">
      <w:pPr>
        <w:ind w:left="-63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E">
      <w:pPr>
        <w:ind w:left="-630" w:firstLine="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0F">
      <w:pPr>
        <w:ind w:left="-630" w:firstLine="0"/>
        <w:rPr>
          <w:rFonts w:ascii="Trebuchet MS" w:cs="Trebuchet MS" w:eastAsia="Trebuchet MS" w:hAnsi="Trebuchet MS"/>
          <w:color w:val="3c78d8"/>
          <w:sz w:val="34"/>
          <w:szCs w:val="34"/>
        </w:rPr>
      </w:pPr>
      <w:r w:rsidDel="00000000" w:rsidR="00000000" w:rsidRPr="00000000">
        <w:rPr>
          <w:rtl w:val="0"/>
        </w:rPr>
      </w:r>
    </w:p>
    <w:p w:rsidR="00000000" w:rsidDel="00000000" w:rsidP="00000000" w:rsidRDefault="00000000" w:rsidRPr="00000000" w14:paraId="00000010">
      <w:pPr>
        <w:ind w:left="-630" w:firstLine="0"/>
        <w:rPr>
          <w:rFonts w:ascii="Trebuchet MS" w:cs="Trebuchet MS" w:eastAsia="Trebuchet MS" w:hAnsi="Trebuchet MS"/>
          <w:color w:val="3c78d8"/>
          <w:sz w:val="34"/>
          <w:szCs w:val="34"/>
        </w:rPr>
      </w:pPr>
      <w:r w:rsidDel="00000000" w:rsidR="00000000" w:rsidRPr="00000000">
        <w:rPr>
          <w:rtl w:val="0"/>
        </w:rPr>
      </w:r>
    </w:p>
    <w:p w:rsidR="00000000" w:rsidDel="00000000" w:rsidP="00000000" w:rsidRDefault="00000000" w:rsidRPr="00000000" w14:paraId="00000011">
      <w:pPr>
        <w:ind w:left="-630" w:firstLine="0"/>
        <w:rPr>
          <w:rFonts w:ascii="Trebuchet MS" w:cs="Trebuchet MS" w:eastAsia="Trebuchet MS" w:hAnsi="Trebuchet MS"/>
          <w:color w:val="3c78d8"/>
          <w:sz w:val="34"/>
          <w:szCs w:val="34"/>
        </w:rPr>
      </w:pPr>
      <w:r w:rsidDel="00000000" w:rsidR="00000000" w:rsidRPr="00000000">
        <w:rPr>
          <w:rFonts w:ascii="Trebuchet MS" w:cs="Trebuchet MS" w:eastAsia="Trebuchet MS" w:hAnsi="Trebuchet MS"/>
          <w:color w:val="3c78d8"/>
          <w:sz w:val="34"/>
          <w:szCs w:val="34"/>
          <w:rtl w:val="0"/>
        </w:rPr>
        <w:t xml:space="preserve">Market Dynamics Evaluation:</w:t>
      </w:r>
    </w:p>
    <w:p w:rsidR="00000000" w:rsidDel="00000000" w:rsidP="00000000" w:rsidRDefault="00000000" w:rsidRPr="00000000" w14:paraId="00000012">
      <w:pPr>
        <w:ind w:left="-630" w:firstLine="0"/>
        <w:rPr>
          <w:rFonts w:ascii="Trebuchet MS" w:cs="Trebuchet MS" w:eastAsia="Trebuchet MS" w:hAnsi="Trebuchet MS"/>
          <w:color w:val="3c78d8"/>
          <w:sz w:val="34"/>
          <w:szCs w:val="34"/>
        </w:rPr>
      </w:pPr>
      <w:r w:rsidDel="00000000" w:rsidR="00000000" w:rsidRPr="00000000">
        <w:rPr>
          <w:rtl w:val="0"/>
        </w:rPr>
      </w:r>
    </w:p>
    <w:p w:rsidR="00000000" w:rsidDel="00000000" w:rsidP="00000000" w:rsidRDefault="00000000" w:rsidRPr="00000000" w14:paraId="00000013">
      <w:pPr>
        <w:ind w:left="-630" w:firstLine="63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The market and customer need for an AI-driven financial wellness solution are evident in the growing demand for personalized and adaptive tools in the personal finance sector. Individuals today seek more than traditional financial platforms can offer, desiring tailored insights, timely advice, and engaging experiences to navigate their financial landscapes effectively. The rising complexity of financial decision-making further underscores the necessity for a comprehensive solution. Moreover, users prioritize platforms that prioritize data security and privacy, reflecting a critical business need. Addressing these market demands through an innovative AI-driven financial wellness platform not only satisfies consumer expectations but also positions the business to capture a significant market share in the evolving landscape of digital financial services.</w:t>
      </w:r>
    </w:p>
    <w:p w:rsidR="00000000" w:rsidDel="00000000" w:rsidP="00000000" w:rsidRDefault="00000000" w:rsidRPr="00000000" w14:paraId="00000014">
      <w:pPr>
        <w:ind w:left="-630" w:firstLine="630"/>
        <w:rPr>
          <w:rFonts w:ascii="Comfortaa" w:cs="Comfortaa" w:eastAsia="Comfortaa" w:hAnsi="Comfortaa"/>
          <w:sz w:val="26"/>
          <w:szCs w:val="26"/>
        </w:rPr>
      </w:pPr>
      <w:r w:rsidDel="00000000" w:rsidR="00000000" w:rsidRPr="00000000">
        <w:rPr>
          <w:rtl w:val="0"/>
        </w:rPr>
      </w:r>
    </w:p>
    <w:p w:rsidR="00000000" w:rsidDel="00000000" w:rsidP="00000000" w:rsidRDefault="00000000" w:rsidRPr="00000000" w14:paraId="00000015">
      <w:pPr>
        <w:ind w:left="-630" w:firstLine="0"/>
        <w:rPr>
          <w:rFonts w:ascii="Trebuchet MS" w:cs="Trebuchet MS" w:eastAsia="Trebuchet MS" w:hAnsi="Trebuchet MS"/>
          <w:color w:val="3c78d8"/>
          <w:sz w:val="34"/>
          <w:szCs w:val="34"/>
        </w:rPr>
      </w:pPr>
      <w:r w:rsidDel="00000000" w:rsidR="00000000" w:rsidRPr="00000000">
        <w:rPr>
          <w:rFonts w:ascii="Trebuchet MS" w:cs="Trebuchet MS" w:eastAsia="Trebuchet MS" w:hAnsi="Trebuchet MS"/>
          <w:color w:val="3c78d8"/>
          <w:sz w:val="34"/>
          <w:szCs w:val="34"/>
          <w:rtl w:val="0"/>
        </w:rPr>
        <w:t xml:space="preserve">Target Profiling:</w:t>
      </w:r>
    </w:p>
    <w:p w:rsidR="00000000" w:rsidDel="00000000" w:rsidP="00000000" w:rsidRDefault="00000000" w:rsidRPr="00000000" w14:paraId="00000016">
      <w:pPr>
        <w:ind w:left="-630" w:firstLine="0"/>
        <w:rPr>
          <w:rFonts w:ascii="Trebuchet MS" w:cs="Trebuchet MS" w:eastAsia="Trebuchet MS" w:hAnsi="Trebuchet MS"/>
          <w:color w:val="3c78d8"/>
          <w:sz w:val="34"/>
          <w:szCs w:val="34"/>
        </w:rPr>
      </w:pPr>
      <w:r w:rsidDel="00000000" w:rsidR="00000000" w:rsidRPr="00000000">
        <w:rPr>
          <w:rtl w:val="0"/>
        </w:rPr>
      </w:r>
    </w:p>
    <w:p w:rsidR="00000000" w:rsidDel="00000000" w:rsidP="00000000" w:rsidRDefault="00000000" w:rsidRPr="00000000" w14:paraId="00000017">
      <w:pPr>
        <w:ind w:left="-630" w:firstLine="0"/>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User Demographics, Geographic Focus, and Financial Behavior:</w:t>
      </w:r>
    </w:p>
    <w:p w:rsidR="00000000" w:rsidDel="00000000" w:rsidP="00000000" w:rsidRDefault="00000000" w:rsidRPr="00000000" w14:paraId="00000018">
      <w:pPr>
        <w:ind w:left="-630" w:firstLine="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19">
      <w:pPr>
        <w:ind w:left="-630" w:firstLine="630"/>
        <w:rPr>
          <w:rFonts w:ascii="Comfortaa" w:cs="Comfortaa" w:eastAsia="Comfortaa" w:hAnsi="Comfortaa"/>
          <w:sz w:val="26"/>
          <w:szCs w:val="26"/>
        </w:rPr>
      </w:pPr>
      <w:r w:rsidDel="00000000" w:rsidR="00000000" w:rsidRPr="00000000">
        <w:rPr>
          <w:rFonts w:ascii="Comfortaa" w:cs="Comfortaa" w:eastAsia="Comfortaa" w:hAnsi="Comfortaa"/>
          <w:sz w:val="26"/>
          <w:szCs w:val="26"/>
          <w:rtl w:val="0"/>
        </w:rPr>
        <w:t xml:space="preserve">Our target users, aged 25-45, predominantly encompass middle to upper-middle income individuals with a college education, representing diverse professional backgrounds including technology, finance, and entrepreneurship. This demographic seeks personalized financial advice, demonstrating an interest in optimizing budgeting, saving, and investing. Geographically, we initially concentrate on urban and suburban areas with a tech-savvy population. These users, comfortable with mobile apps and online tools, exhibit moderate to high digital literacy and prefer interactive, conversational interfaces. Importantly, our platform addresses data security concerns by implementing advanced encryption and authentication protocols, providing peace of mind to privacy-conscious users. Our monetization strategy focuses on a subscription-based model for premium features, potential partnerships with financial institutions, and integration with banking apps, ensuring a comprehensive and tailored financial experience for our target audience.</w:t>
      </w:r>
    </w:p>
    <w:p w:rsidR="00000000" w:rsidDel="00000000" w:rsidP="00000000" w:rsidRDefault="00000000" w:rsidRPr="00000000" w14:paraId="0000001A">
      <w:pPr>
        <w:ind w:left="-630" w:firstLine="0"/>
        <w:rPr>
          <w:rFonts w:ascii="Trebuchet MS" w:cs="Trebuchet MS" w:eastAsia="Trebuchet MS" w:hAnsi="Trebuchet MS"/>
          <w:color w:val="3c78d8"/>
          <w:sz w:val="34"/>
          <w:szCs w:val="34"/>
        </w:rPr>
      </w:pPr>
      <w:r w:rsidDel="00000000" w:rsidR="00000000" w:rsidRPr="00000000">
        <w:rPr>
          <w:rtl w:val="0"/>
        </w:rPr>
      </w:r>
    </w:p>
    <w:p w:rsidR="00000000" w:rsidDel="00000000" w:rsidP="00000000" w:rsidRDefault="00000000" w:rsidRPr="00000000" w14:paraId="0000001B">
      <w:pPr>
        <w:ind w:left="-630" w:firstLine="0"/>
        <w:rPr>
          <w:rFonts w:ascii="Trebuchet MS" w:cs="Trebuchet MS" w:eastAsia="Trebuchet MS" w:hAnsi="Trebuchet MS"/>
          <w:b w:val="1"/>
          <w:sz w:val="30"/>
          <w:szCs w:val="30"/>
        </w:rPr>
      </w:pPr>
      <w:r w:rsidDel="00000000" w:rsidR="00000000" w:rsidRPr="00000000">
        <w:rPr>
          <w:rFonts w:ascii="Trebuchet MS" w:cs="Trebuchet MS" w:eastAsia="Trebuchet MS" w:hAnsi="Trebuchet MS"/>
          <w:b w:val="1"/>
          <w:sz w:val="30"/>
          <w:szCs w:val="30"/>
          <w:rtl w:val="0"/>
        </w:rPr>
        <w:t xml:space="preserve">Technological Proficiency, Engagement Preferences, Data Security:</w:t>
      </w:r>
    </w:p>
    <w:p w:rsidR="00000000" w:rsidDel="00000000" w:rsidP="00000000" w:rsidRDefault="00000000" w:rsidRPr="00000000" w14:paraId="0000001C">
      <w:pPr>
        <w:ind w:left="-630" w:firstLine="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1D">
      <w:pPr>
        <w:ind w:left="-630" w:firstLine="63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Our target users demonstrate a strong technological proficiency, comprising individuals comfortable with mobile apps and online tools, showcasing a moderate to high level of digital literacy. Their engagement preferences lean towards interactive and conversational interfaces, reflecting a desire for user-friendly and engaging financial platforms. Furthermore, these users prioritize data security, expressing concerns about the privacy of their financial information. To address these apprehensions, our platform is committed to implementing advanced encryption and authentication protocols, ensuring a secure and trustworthy environment for users to manage their financial well-being.</w:t>
      </w:r>
    </w:p>
    <w:p w:rsidR="00000000" w:rsidDel="00000000" w:rsidP="00000000" w:rsidRDefault="00000000" w:rsidRPr="00000000" w14:paraId="0000001E">
      <w:pPr>
        <w:ind w:left="-630" w:firstLine="63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1F">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Dataset:</w:t>
      </w:r>
    </w:p>
    <w:p w:rsidR="00000000" w:rsidDel="00000000" w:rsidP="00000000" w:rsidRDefault="00000000" w:rsidRPr="00000000" w14:paraId="00000020">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1">
      <w:pPr>
        <w:ind w:left="-630" w:firstLine="0"/>
        <w:rPr>
          <w:rFonts w:ascii="Comfortaa" w:cs="Comfortaa" w:eastAsia="Comfortaa" w:hAnsi="Comfortaa"/>
          <w:sz w:val="28"/>
          <w:szCs w:val="28"/>
        </w:rPr>
      </w:pPr>
      <w:r w:rsidDel="00000000" w:rsidR="00000000" w:rsidRPr="00000000">
        <w:rPr>
          <w:rFonts w:ascii="Comfortaa" w:cs="Comfortaa" w:eastAsia="Comfortaa" w:hAnsi="Comfortaa"/>
          <w:sz w:val="28"/>
          <w:szCs w:val="28"/>
          <w:rtl w:val="0"/>
        </w:rPr>
        <w:t xml:space="preserve">The 2017 National Financial Well-Being in America Survey, conducted for the CFPB Offices of Financial Education and Financial Protection for Older Americans, was an online survey conducted to measure the financial well-being of adults in the United States. These data were created as a foundation for internal and external research into financial well-being and are relevant to work being done by researchers in the Office of Research who have access to the (deidentified) data.</w:t>
      </w:r>
    </w:p>
    <w:p w:rsidR="00000000" w:rsidDel="00000000" w:rsidP="00000000" w:rsidRDefault="00000000" w:rsidRPr="00000000" w14:paraId="00000022">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Comfortaa" w:cs="Comfortaa" w:eastAsia="Comfortaa" w:hAnsi="Comfortaa"/>
          <w:sz w:val="28"/>
          <w:szCs w:val="28"/>
          <w:u w:val="none"/>
        </w:rPr>
      </w:pPr>
      <w:hyperlink r:id="rId6">
        <w:r w:rsidDel="00000000" w:rsidR="00000000" w:rsidRPr="00000000">
          <w:rPr>
            <w:rFonts w:ascii="Comfortaa" w:cs="Comfortaa" w:eastAsia="Comfortaa" w:hAnsi="Comfortaa"/>
            <w:color w:val="1155cc"/>
            <w:sz w:val="28"/>
            <w:szCs w:val="28"/>
            <w:u w:val="single"/>
            <w:rtl w:val="0"/>
          </w:rPr>
          <w:t xml:space="preserve">Financial Well-Being in America (2017) - Catalog (data.gov)</w:t>
        </w:r>
      </w:hyperlink>
      <w:r w:rsidDel="00000000" w:rsidR="00000000" w:rsidRPr="00000000">
        <w:rPr>
          <w:rtl w:val="0"/>
        </w:rPr>
      </w:r>
    </w:p>
    <w:p w:rsidR="00000000" w:rsidDel="00000000" w:rsidP="00000000" w:rsidRDefault="00000000" w:rsidRPr="00000000" w14:paraId="00000024">
      <w:pPr>
        <w:ind w:left="-630" w:firstLine="0"/>
        <w:rPr>
          <w:rFonts w:ascii="Comfortaa" w:cs="Comfortaa" w:eastAsia="Comfortaa" w:hAnsi="Comfortaa"/>
          <w:sz w:val="28"/>
          <w:szCs w:val="28"/>
        </w:rPr>
      </w:pPr>
      <w:r w:rsidDel="00000000" w:rsidR="00000000" w:rsidRPr="00000000">
        <w:rPr>
          <w:rtl w:val="0"/>
        </w:rPr>
      </w:r>
    </w:p>
    <w:p w:rsidR="00000000" w:rsidDel="00000000" w:rsidP="00000000" w:rsidRDefault="00000000" w:rsidRPr="00000000" w14:paraId="00000025">
      <w:pPr>
        <w:ind w:left="-630" w:firstLine="0"/>
        <w:rPr>
          <w:rFonts w:ascii="Trebuchet MS" w:cs="Trebuchet MS" w:eastAsia="Trebuchet MS" w:hAnsi="Trebuchet MS"/>
          <w:color w:val="3c78d8"/>
          <w:sz w:val="34"/>
          <w:szCs w:val="34"/>
        </w:rPr>
      </w:pPr>
      <w:r w:rsidDel="00000000" w:rsidR="00000000" w:rsidRPr="00000000">
        <w:rPr>
          <w:rtl w:val="0"/>
        </w:rPr>
      </w:r>
    </w:p>
    <w:p w:rsidR="00000000" w:rsidDel="00000000" w:rsidP="00000000" w:rsidRDefault="00000000" w:rsidRPr="00000000" w14:paraId="00000026">
      <w:pPr>
        <w:ind w:left="-630" w:firstLine="0"/>
        <w:rPr>
          <w:rFonts w:ascii="Trebuchet MS" w:cs="Trebuchet MS" w:eastAsia="Trebuchet MS" w:hAnsi="Trebuchet MS"/>
          <w:color w:val="3c78d8"/>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financial-well-being-in-america-20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