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28A35041" w:rsidR="00AA7475" w:rsidRPr="003F6434" w:rsidRDefault="003F6434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3F6434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4482D" w14:textId="77777777" w:rsidR="008A73AB" w:rsidRDefault="008A73AB">
      <w:r>
        <w:separator/>
      </w:r>
    </w:p>
  </w:endnote>
  <w:endnote w:type="continuationSeparator" w:id="0">
    <w:p w14:paraId="686E5F8F" w14:textId="77777777" w:rsidR="008A73AB" w:rsidRDefault="008A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A04D" w14:textId="77777777" w:rsidR="008A73AB" w:rsidRDefault="008A73AB">
      <w:r>
        <w:separator/>
      </w:r>
    </w:p>
  </w:footnote>
  <w:footnote w:type="continuationSeparator" w:id="0">
    <w:p w14:paraId="4B65985F" w14:textId="77777777" w:rsidR="008A73AB" w:rsidRDefault="008A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3F6434"/>
    <w:rsid w:val="00536738"/>
    <w:rsid w:val="008306F4"/>
    <w:rsid w:val="008A73AB"/>
    <w:rsid w:val="00A11D82"/>
    <w:rsid w:val="00AA7475"/>
    <w:rsid w:val="00B364E9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2024-10-14T16:50:00Z</dcterms:modified>
</cp:coreProperties>
</file>