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4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6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exercises/ch04/apply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199-200: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exercises/ch04/extend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201-202: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exercises/ch04/analyze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202-204: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212-213: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Creating a Style Sheet for Strike a Chord p. 205-208: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Creating a Style Sheet for Strike a Chord p. 208-211: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