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False - a larger reduction factor means higher |output|/|input| ratio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False - in an equidepth histogram, if you have an entry with low frequency, then it's either going to get clumped together with a bunch of other low frequency entries or with 1 other high frequency entry.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((A join B) join C) join D - left deep joins only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Sort-Merge Join, Clustered Index Traversal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2, 6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For each two table join that is not a cross-product, we take the one with the minimum I/O cost.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We extend the two-table plans from question 1 to three-table plans, and take the one with the minimum I/O cost.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