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Documento técnico · Hospital Vida Salud</w:t>
      </w:r>
    </w:p>
    <w:p>
      <w:pPr>
        <w:spacing w:after="120"/>
      </w:pPr>
      <w:r>
        <w:rPr>
          <w:b/>
          <w:bCs/>
        </w:rPr>
        <w:t xml:space="preserve">Curso:</w:t>
      </w:r>
      <w:r>
        <w:t xml:space="preserve"> 4698 Desarrollo de Aplicaciones Web II · </w:t>
      </w:r>
      <w:r>
        <w:rPr>
          <w:b/>
          <w:bCs/>
        </w:rPr>
        <w:t xml:space="preserve">Evaluación:</w:t>
      </w:r>
      <w:r>
        <w:t xml:space="preserve"> Segunda Evaluación T2</w:t>
      </w:r>
    </w:p>
    <w:p>
      <w:pPr>
        <w:spacing w:after="120"/>
      </w:pPr>
      <w:r>
        <w:rPr>
          <w:b/>
          <w:bCs/>
        </w:rPr>
        <w:t xml:space="preserve">Profesor:</w:t>
      </w:r>
      <w:r>
        <w:t xml:space="preserve"> Zambrano Macedo, Yuri Renzo · </w:t>
      </w:r>
      <w:r>
        <w:rPr>
          <w:b/>
          <w:bCs/>
        </w:rPr>
        <w:t xml:space="preserve">Alumno:</w:t>
      </w:r>
      <w:r>
        <w:t xml:space="preserve"> Ortiz Quintana, Randy</w:t>
      </w:r>
    </w:p>
    <w:p>
      <w:pPr>
        <w:spacing w:after="120"/>
      </w:pPr>
      <w:r>
        <w:rPr>
          <w:b/>
          <w:bCs/>
        </w:rPr>
        <w:t xml:space="preserve">Repositorio:</w:t>
      </w:r>
      <w:r>
        <w:t xml:space="preserve"> </w:t>
      </w:r>
      <w:hyperlink w:history="1" r:id="rIdqqcj9_37gfic0k-loabnu">
        <w:r>
          <w:rPr>
            <w:rStyle w:val="Hyperlink"/>
          </w:rPr>
          <w:t xml:space="preserve">https://github.com/Ranort19/EL2_Ortiz_Quintana_Randy_DAWII</w:t>
        </w:r>
      </w:hyperlink>
    </w:p>
    <w:p>
      <w:pPr>
        <w:spacing w:after="120"/>
      </w:pPr>
      <w:r>
        <w:t xml:space="preserve">Sistema académico. No se usa para diagnosticar ni para tomar decisiones clínicas. Todos los datos de prueba son ficticios.</w:t>
      </w:r>
    </w:p>
    <w:p>
      <w:pPr>
        <w:pStyle w:val="Heading1"/>
        <w:keepNext/>
      </w:pPr>
      <w:r>
        <w:t xml:space="preserve">1. Descripción del problema y alcance</w:t>
      </w:r>
    </w:p>
    <w:p>
      <w:pPr>
        <w:spacing w:after="120"/>
      </w:pPr>
      <w:r>
        <w:t xml:space="preserve">El Hospital Vida Salud utiliza una aplicación monolítica que concentra pacientes, citas, atención, laboratorio, hospitalización, farmacia, facturación, notificaciones y reportes. Esto provoca alto acoplamiento, despliegues riesgosos, demoras en horas de alta afluencia, duplicación de información y fallos que afectan a todos los módulos a la vez.</w:t>
      </w:r>
    </w:p>
    <w:p>
      <w:pPr>
        <w:spacing w:after="120"/>
      </w:pPr>
      <w:r>
        <w:t xml:space="preserve">La solución divide el sistema en microservicios con responsabilidades de negocio propias, un punto de entrada único (Spring Cloud Gateway), descubrimiento dinámico (Eureka), comunicación síncrona con WebClient y asíncrona con RabbitMQ, persistencia reactiva con Spring Data R2DBC sobre MySQL, y un proceso de integración continua con GitHub Actions.</w:t>
      </w:r>
    </w:p>
    <w:p>
      <w:pPr>
        <w:pStyle w:val="Heading2"/>
        <w:keepNext/>
      </w:pPr>
      <w:r>
        <w:t xml:space="preserve">1.1 Alcance implementado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01"/>
        <w:gridCol w:w="2725"/>
        <w:gridCol w:w="2112"/>
      </w:tblGrid>
      <w:tr>
        <w:trPr>
          <w:tblHeader/>
        </w:trPr>
        <w:tc>
          <w:tcPr>
            <w:tcW w:type="dxa" w:w="480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Proceso del caso</w:t>
            </w:r>
          </w:p>
        </w:tc>
        <w:tc>
          <w:tcPr>
            <w:tcW w:type="dxa" w:w="272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Implementado</w:t>
            </w:r>
          </w:p>
        </w:tc>
        <w:tc>
          <w:tcPr>
            <w:tcW w:type="dxa" w:w="211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Microservicio</w:t>
            </w:r>
          </w:p>
        </w:tc>
      </w:tr>
      <w:tr>
        <w:trPr>
          <w:tblHeader w:val="off"/>
        </w:trPr>
        <w:tc>
          <w:tcPr>
            <w:tcW w:type="dxa" w:w="480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Registro, consulta, actualización y duplicados de pacientes</w:t>
            </w:r>
          </w:p>
        </w:tc>
        <w:tc>
          <w:tcPr>
            <w:tcW w:type="dxa" w:w="272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type="dxa" w:w="211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pacientes</w:t>
            </w:r>
          </w:p>
        </w:tc>
      </w:tr>
      <w:tr>
        <w:trPr>
          <w:tblHeader w:val="off"/>
        </w:trPr>
        <w:tc>
          <w:tcPr>
            <w:tcW w:type="dxa" w:w="480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Programación, reprogramación, cancelación y estados de citas</w:t>
            </w:r>
          </w:p>
        </w:tc>
        <w:tc>
          <w:tcPr>
            <w:tcW w:type="dxa" w:w="272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type="dxa" w:w="211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citas</w:t>
            </w:r>
          </w:p>
        </w:tc>
      </w:tr>
      <w:tr>
        <w:trPr>
          <w:tblHeader w:val="off"/>
        </w:trPr>
        <w:tc>
          <w:tcPr>
            <w:tcW w:type="dxa" w:w="480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Atención administrativa vinculada a una cita</w:t>
            </w:r>
          </w:p>
        </w:tc>
        <w:tc>
          <w:tcPr>
            <w:tcW w:type="dxa" w:w="272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type="dxa" w:w="211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atenciones</w:t>
            </w:r>
          </w:p>
        </w:tc>
      </w:tr>
      <w:tr>
        <w:trPr>
          <w:tblHeader w:val="off"/>
        </w:trPr>
        <w:tc>
          <w:tcPr>
            <w:tcW w:type="dxa" w:w="480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Notificaciones de cambios de cita</w:t>
            </w:r>
          </w:p>
        </w:tc>
        <w:tc>
          <w:tcPr>
            <w:tcW w:type="dxa" w:w="272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Sí (log y memoria)</w:t>
            </w:r>
          </w:p>
        </w:tc>
        <w:tc>
          <w:tcPr>
            <w:tcW w:type="dxa" w:w="211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notificaciones</w:t>
            </w:r>
          </w:p>
        </w:tc>
      </w:tr>
      <w:tr>
        <w:trPr>
          <w:tblHeader w:val="off"/>
        </w:trPr>
        <w:tc>
          <w:tcPr>
            <w:tcW w:type="dxa" w:w="480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Auditoría y trazabilidad de cambios de estado</w:t>
            </w:r>
          </w:p>
        </w:tc>
        <w:tc>
          <w:tcPr>
            <w:tcW w:type="dxa" w:w="272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type="dxa" w:w="211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auditoria</w:t>
            </w:r>
          </w:p>
        </w:tc>
      </w:tr>
      <w:tr>
        <w:trPr>
          <w:tblHeader w:val="off"/>
        </w:trPr>
        <w:tc>
          <w:tcPr>
            <w:tcW w:type="dxa" w:w="480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Pagos simulados (monto válido y operación única)</w:t>
            </w:r>
          </w:p>
        </w:tc>
        <w:tc>
          <w:tcPr>
            <w:tcW w:type="dxa" w:w="272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Sí, básico</w:t>
            </w:r>
          </w:p>
        </w:tc>
        <w:tc>
          <w:tcPr>
            <w:tcW w:type="dxa" w:w="211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pagos</w:t>
            </w:r>
          </w:p>
        </w:tc>
      </w:tr>
      <w:tr>
        <w:trPr>
          <w:tblHeader w:val="off"/>
        </w:trPr>
        <w:tc>
          <w:tcPr>
            <w:tcW w:type="dxa" w:w="480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Laboratorio</w:t>
            </w:r>
          </w:p>
        </w:tc>
        <w:tc>
          <w:tcPr>
            <w:tcW w:type="dxa" w:w="272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 (opcional según §27)</w:t>
            </w:r>
          </w:p>
        </w:tc>
        <w:tc>
          <w:tcPr>
            <w:tcW w:type="dxa" w:w="211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480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Hospitalización y farmacia</w:t>
            </w:r>
          </w:p>
        </w:tc>
        <w:tc>
          <w:tcPr>
            <w:tcW w:type="dxa" w:w="272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 (referenciales)</w:t>
            </w:r>
          </w:p>
        </w:tc>
        <w:tc>
          <w:tcPr>
            <w:tcW w:type="dxa" w:w="211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480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Facturación y cargos</w:t>
            </w:r>
          </w:p>
        </w:tc>
        <w:tc>
          <w:tcPr>
            <w:tcW w:type="dxa" w:w="272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 (fuera del alcance básico de pagos)</w:t>
            </w:r>
          </w:p>
        </w:tc>
        <w:tc>
          <w:tcPr>
            <w:tcW w:type="dxa" w:w="211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0"/>
      </w:pPr>
    </w:p>
    <w:p>
      <w:pPr>
        <w:spacing w:after="120"/>
      </w:pPr>
      <w:r>
        <w:rPr>
          <w:b/>
          <w:bCs/>
        </w:rPr>
        <w:t xml:space="preserve">Justificación de la selección.</w:t>
      </w:r>
      <w:r>
        <w:t xml:space="preserve"> El PDF indica que no es obligatorio implementar todos los módulos con la misma profundidad, pero sí entregar un flujo funcional de extremo a extremo (§16). Se implementó el flujo mínimo del §27 (paciente → cita → confirmación → evento → notificaciones y auditoría → atención → persistencia → pruebas → CI). Pagos se incluyó porque el §24 pide probar la validación de un monto de pago no permitido. Laboratorio está marcado como opcional en el §27, y hospitalización y farmacia no aparecen en las pruebas funcionales obligatorias (§28) ni en la rúbrica.</w:t>
      </w:r>
    </w:p>
    <w:p>
      <w:pPr>
        <w:pStyle w:val="Heading1"/>
        <w:keepNext/>
      </w:pPr>
      <w:r>
        <w:t xml:space="preserve">2. Análisis del negocio</w:t>
      </w:r>
    </w:p>
    <w:p>
      <w:pPr>
        <w:pStyle w:val="Heading2"/>
        <w:keepNext/>
      </w:pPr>
      <w:r>
        <w:t xml:space="preserve">2.1 Actores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71"/>
        <w:gridCol w:w="6667"/>
      </w:tblGrid>
      <w:tr>
        <w:trPr>
          <w:tblHeader/>
        </w:trPr>
        <w:tc>
          <w:tcPr>
            <w:tcW w:type="dxa" w:w="297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Actor</w:t>
            </w:r>
          </w:p>
        </w:tc>
        <w:tc>
          <w:tcPr>
            <w:tcW w:type="dxa" w:w="666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Interacción con el sistema</w:t>
            </w:r>
          </w:p>
        </w:tc>
      </w:tr>
      <w:tr>
        <w:trPr>
          <w:tblHeader w:val="off"/>
        </w:trPr>
        <w:tc>
          <w:tcPr>
            <w:tcW w:type="dxa" w:w="297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Paciente</w:t>
            </w:r>
          </w:p>
        </w:tc>
        <w:tc>
          <w:tcPr>
            <w:tcW w:type="dxa" w:w="666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Recibe avisos de registro, confirmación, reprogramación, cancelación y atención de sus citas</w:t>
            </w:r>
          </w:p>
        </w:tc>
      </w:tr>
      <w:tr>
        <w:trPr>
          <w:tblHeader w:val="off"/>
        </w:trPr>
        <w:tc>
          <w:tcPr>
            <w:tcW w:type="dxa" w:w="297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Personal de admisión</w:t>
            </w:r>
          </w:p>
        </w:tc>
        <w:tc>
          <w:tcPr>
            <w:tcW w:type="dxa" w:w="666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Registra y actualiza pacientes; programa, confirma, reprograma y cancela citas</w:t>
            </w:r>
          </w:p>
        </w:tc>
      </w:tr>
      <w:tr>
        <w:trPr>
          <w:tblHeader w:val="off"/>
        </w:trPr>
        <w:tc>
          <w:tcPr>
            <w:tcW w:type="dxa" w:w="297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Personal de salud</w:t>
            </w:r>
          </w:p>
        </w:tc>
        <w:tc>
          <w:tcPr>
            <w:tcW w:type="dxa" w:w="666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Registra la atención administrativa de una cita confirmada</w:t>
            </w:r>
          </w:p>
        </w:tc>
      </w:tr>
      <w:tr>
        <w:trPr>
          <w:tblHeader w:val="off"/>
        </w:trPr>
        <w:tc>
          <w:tcPr>
            <w:tcW w:type="dxa" w:w="297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Caja / administración</w:t>
            </w:r>
          </w:p>
        </w:tc>
        <w:tc>
          <w:tcPr>
            <w:tcW w:type="dxa" w:w="666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Registra pagos simulados</w:t>
            </w:r>
          </w:p>
        </w:tc>
      </w:tr>
      <w:tr>
        <w:trPr>
          <w:tblHeader w:val="off"/>
        </w:trPr>
        <w:tc>
          <w:tcPr>
            <w:tcW w:type="dxa" w:w="297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Administrador del sistema</w:t>
            </w:r>
          </w:p>
        </w:tc>
        <w:tc>
          <w:tcPr>
            <w:tcW w:type="dxa" w:w="666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Supervisa los servicios en Eureka, las colas en RabbitMQ y la auditoría</w:t>
            </w:r>
          </w:p>
        </w:tc>
      </w:tr>
      <w:tr>
        <w:trPr>
          <w:tblHeader w:val="off"/>
        </w:trPr>
        <w:tc>
          <w:tcPr>
            <w:tcW w:type="dxa" w:w="297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Equipo de desarrollo</w:t>
            </w:r>
          </w:p>
        </w:tc>
        <w:tc>
          <w:tcPr>
            <w:tcW w:type="dxa" w:w="666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Mantiene el código y el flujo de integración continua</w:t>
            </w:r>
          </w:p>
        </w:tc>
      </w:tr>
    </w:tbl>
    <w:p>
      <w:pPr>
        <w:spacing w:after="80" w:before="0"/>
      </w:pPr>
    </w:p>
    <w:p>
      <w:pPr>
        <w:pStyle w:val="Heading2"/>
        <w:keepNext/>
      </w:pPr>
      <w:r>
        <w:t xml:space="preserve">2.2 Reglas de negocio implementadas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79"/>
        <w:gridCol w:w="3060"/>
        <w:gridCol w:w="1299"/>
      </w:tblGrid>
      <w:tr>
        <w:trPr>
          <w:tblHeader/>
        </w:trPr>
        <w:tc>
          <w:tcPr>
            <w:tcW w:type="dxa" w:w="527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Regla</w:t>
            </w:r>
          </w:p>
        </w:tc>
        <w:tc>
          <w:tcPr>
            <w:tcW w:type="dxa" w:w="3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Dónde se valida</w:t>
            </w:r>
          </w:p>
        </w:tc>
        <w:tc>
          <w:tcPr>
            <w:tcW w:type="dxa" w:w="129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Respuesta</w:t>
            </w:r>
          </w:p>
        </w:tc>
      </w:tr>
      <w:tr>
        <w:trPr>
          <w:tblHeader w:val="off"/>
        </w:trPr>
        <w:tc>
          <w:tcPr>
            <w:tcW w:type="dxa" w:w="527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Un paciente no se repite por tipo y número de documento</w:t>
            </w:r>
          </w:p>
        </w:tc>
        <w:tc>
          <w:tcPr>
            <w:tcW w:type="dxa" w:w="3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PacienteModel + UNIQUE en SQL</w:t>
            </w:r>
          </w:p>
        </w:tc>
        <w:tc>
          <w:tcPr>
            <w:tcW w:type="dxa" w:w="129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409</w:t>
            </w:r>
          </w:p>
        </w:tc>
      </w:tr>
      <w:tr>
        <w:trPr>
          <w:tblHeader w:val="off"/>
        </w:trPr>
        <w:tc>
          <w:tcPr>
            <w:tcW w:type="dxa" w:w="527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Datos obligatorios del paciente, fecha de nacimiento no futura, estado ACTIVO o INACTIVO</w:t>
            </w:r>
          </w:p>
        </w:tc>
        <w:tc>
          <w:tcPr>
            <w:tcW w:type="dxa" w:w="3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PacienteModel</w:t>
            </w:r>
          </w:p>
        </w:tc>
        <w:tc>
          <w:tcPr>
            <w:tcW w:type="dxa" w:w="129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400</w:t>
            </w:r>
          </w:p>
        </w:tc>
      </w:tr>
      <w:tr>
        <w:trPr>
          <w:tblHeader w:val="off"/>
        </w:trPr>
        <w:tc>
          <w:tcPr>
            <w:tcW w:type="dxa" w:w="527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Una cita requiere paciente existente y ACTIVO</w:t>
            </w:r>
          </w:p>
        </w:tc>
        <w:tc>
          <w:tcPr>
            <w:tcW w:type="dxa" w:w="3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CitaModel + PacienteUseCase (WebClient)</w:t>
            </w:r>
          </w:p>
        </w:tc>
        <w:tc>
          <w:tcPr>
            <w:tcW w:type="dxa" w:w="129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400</w:t>
            </w:r>
          </w:p>
        </w:tc>
      </w:tr>
      <w:tr>
        <w:trPr>
          <w:tblHeader w:val="off"/>
        </w:trPr>
        <w:tc>
          <w:tcPr>
            <w:tcW w:type="dxa" w:w="527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 cita requiere especialidad válida, fecha futura, profesional y motivo breve (máximo 150 caracteres)</w:t>
            </w:r>
          </w:p>
        </w:tc>
        <w:tc>
          <w:tcPr>
            <w:tcW w:type="dxa" w:w="3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CitaModel</w:t>
            </w:r>
          </w:p>
        </w:tc>
        <w:tc>
          <w:tcPr>
            <w:tcW w:type="dxa" w:w="129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400</w:t>
            </w:r>
          </w:p>
        </w:tc>
      </w:tr>
      <w:tr>
        <w:trPr>
          <w:tblHeader w:val="off"/>
        </w:trPr>
        <w:tc>
          <w:tcPr>
            <w:tcW w:type="dxa" w:w="527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Un profesional no tiene dos citas activas a la misma hora; un paciente tampoco</w:t>
            </w:r>
          </w:p>
        </w:tc>
        <w:tc>
          <w:tcPr>
            <w:tcW w:type="dxa" w:w="3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CitaModel (ValidarAgenda)</w:t>
            </w:r>
          </w:p>
        </w:tc>
        <w:tc>
          <w:tcPr>
            <w:tcW w:type="dxa" w:w="129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409</w:t>
            </w:r>
          </w:p>
        </w:tc>
      </w:tr>
      <w:tr>
        <w:trPr>
          <w:tblHeader w:val="off"/>
        </w:trPr>
        <w:tc>
          <w:tcPr>
            <w:tcW w:type="dxa" w:w="527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Solo se permiten las transiciones de estado definidas; no se confirma una cita CANCELADA</w:t>
            </w:r>
          </w:p>
        </w:tc>
        <w:tc>
          <w:tcPr>
            <w:tcW w:type="dxa" w:w="3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CitaModel (TRANSICIONES)</w:t>
            </w:r>
          </w:p>
        </w:tc>
        <w:tc>
          <w:tcPr>
            <w:tcW w:type="dxa" w:w="129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409</w:t>
            </w:r>
          </w:p>
        </w:tc>
      </w:tr>
      <w:tr>
        <w:trPr>
          <w:tblHeader w:val="off"/>
        </w:trPr>
        <w:tc>
          <w:tcPr>
            <w:tcW w:type="dxa" w:w="527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Solo se reprograma una cita PENDIENTE o CONFIRMADA</w:t>
            </w:r>
          </w:p>
        </w:tc>
        <w:tc>
          <w:tcPr>
            <w:tcW w:type="dxa" w:w="3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CitaModel</w:t>
            </w:r>
          </w:p>
        </w:tc>
        <w:tc>
          <w:tcPr>
            <w:tcW w:type="dxa" w:w="129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409</w:t>
            </w:r>
          </w:p>
        </w:tc>
      </w:tr>
      <w:tr>
        <w:trPr>
          <w:tblHeader w:val="off"/>
        </w:trPr>
        <w:tc>
          <w:tcPr>
            <w:tcW w:type="dxa" w:w="527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Una atención requiere una cita CONFIRMADA y solo existe una atención por cita</w:t>
            </w:r>
          </w:p>
        </w:tc>
        <w:tc>
          <w:tcPr>
            <w:tcW w:type="dxa" w:w="3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AtencionModel + UNIQUE cita_id</w:t>
            </w:r>
          </w:p>
        </w:tc>
        <w:tc>
          <w:tcPr>
            <w:tcW w:type="dxa" w:w="129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409</w:t>
            </w:r>
          </w:p>
        </w:tc>
      </w:tr>
      <w:tr>
        <w:trPr>
          <w:tblHeader w:val="off"/>
        </w:trPr>
        <w:tc>
          <w:tcPr>
            <w:tcW w:type="dxa" w:w="527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Un pago debe tener monto mayor que cero</w:t>
            </w:r>
          </w:p>
        </w:tc>
        <w:tc>
          <w:tcPr>
            <w:tcW w:type="dxa" w:w="3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PagoModel + CHECK en SQL</w:t>
            </w:r>
          </w:p>
        </w:tc>
        <w:tc>
          <w:tcPr>
            <w:tcW w:type="dxa" w:w="129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400</w:t>
            </w:r>
          </w:p>
        </w:tc>
      </w:tr>
      <w:tr>
        <w:trPr>
          <w:tblHeader w:val="off"/>
        </w:trPr>
        <w:tc>
          <w:tcPr>
            <w:tcW w:type="dxa" w:w="527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número de operación de un pago no se repite</w:t>
            </w:r>
          </w:p>
        </w:tc>
        <w:tc>
          <w:tcPr>
            <w:tcW w:type="dxa" w:w="3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PagoModel + UNIQUE en SQL</w:t>
            </w:r>
          </w:p>
        </w:tc>
        <w:tc>
          <w:tcPr>
            <w:tcW w:type="dxa" w:w="129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409</w:t>
            </w:r>
          </w:p>
        </w:tc>
      </w:tr>
      <w:tr>
        <w:trPr>
          <w:tblHeader w:val="off"/>
        </w:trPr>
        <w:tc>
          <w:tcPr>
            <w:tcW w:type="dxa" w:w="527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Los cambios importantes de estado publican un evento y quedan auditados</w:t>
            </w:r>
          </w:p>
        </w:tc>
        <w:tc>
          <w:tcPr>
            <w:tcW w:type="dxa" w:w="30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CitaModel → RabbitMQ → auditoria</w:t>
            </w:r>
          </w:p>
        </w:tc>
        <w:tc>
          <w:tcPr>
            <w:tcW w:type="dxa" w:w="129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80" w:before="0"/>
      </w:pPr>
    </w:p>
    <w:p>
      <w:pPr>
        <w:pStyle w:val="Heading2"/>
        <w:keepNext/>
      </w:pPr>
      <w:r>
        <w:t xml:space="preserve">2.3 Entidades y eventos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88"/>
        <w:gridCol w:w="2105"/>
        <w:gridCol w:w="2760"/>
        <w:gridCol w:w="2985"/>
      </w:tblGrid>
      <w:tr>
        <w:trPr>
          <w:tblHeader/>
        </w:trPr>
        <w:tc>
          <w:tcPr>
            <w:tcW w:type="dxa" w:w="178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Entidad</w:t>
            </w:r>
          </w:p>
        </w:tc>
        <w:tc>
          <w:tcPr>
            <w:tcW w:type="dxa" w:w="210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Servicio dueño</w:t>
            </w:r>
          </w:p>
        </w:tc>
        <w:tc>
          <w:tcPr>
            <w:tcW w:type="dxa" w:w="2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298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Referencias a otros servicios</w:t>
            </w:r>
          </w:p>
        </w:tc>
      </w:tr>
      <w:tr>
        <w:trPr>
          <w:tblHeader w:val="off"/>
        </w:trPr>
        <w:tc>
          <w:tcPr>
            <w:tcW w:type="dxa" w:w="178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Paciente</w:t>
            </w:r>
          </w:p>
        </w:tc>
        <w:tc>
          <w:tcPr>
            <w:tcW w:type="dxa" w:w="210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pacientes</w:t>
            </w:r>
          </w:p>
        </w:tc>
        <w:tc>
          <w:tcPr>
            <w:tcW w:type="dxa" w:w="2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98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78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Cita</w:t>
            </w:r>
          </w:p>
        </w:tc>
        <w:tc>
          <w:tcPr>
            <w:tcW w:type="dxa" w:w="210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citas</w:t>
            </w:r>
          </w:p>
        </w:tc>
        <w:tc>
          <w:tcPr>
            <w:tcW w:type="dxa" w:w="2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id, codigo</w:t>
            </w:r>
          </w:p>
        </w:tc>
        <w:tc>
          <w:tcPr>
            <w:tcW w:type="dxa" w:w="298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paciente_id</w:t>
            </w:r>
          </w:p>
        </w:tc>
      </w:tr>
      <w:tr>
        <w:trPr>
          <w:tblHeader w:val="off"/>
        </w:trPr>
        <w:tc>
          <w:tcPr>
            <w:tcW w:type="dxa" w:w="178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Atencion</w:t>
            </w:r>
          </w:p>
        </w:tc>
        <w:tc>
          <w:tcPr>
            <w:tcW w:type="dxa" w:w="210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atenciones</w:t>
            </w:r>
          </w:p>
        </w:tc>
        <w:tc>
          <w:tcPr>
            <w:tcW w:type="dxa" w:w="2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id, codigo</w:t>
            </w:r>
          </w:p>
        </w:tc>
        <w:tc>
          <w:tcPr>
            <w:tcW w:type="dxa" w:w="298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paciente_id, cita_id</w:t>
            </w:r>
          </w:p>
        </w:tc>
      </w:tr>
      <w:tr>
        <w:trPr>
          <w:tblHeader w:val="off"/>
        </w:trPr>
        <w:tc>
          <w:tcPr>
            <w:tcW w:type="dxa" w:w="178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Pago</w:t>
            </w:r>
          </w:p>
        </w:tc>
        <w:tc>
          <w:tcPr>
            <w:tcW w:type="dxa" w:w="210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pagos</w:t>
            </w:r>
          </w:p>
        </w:tc>
        <w:tc>
          <w:tcPr>
            <w:tcW w:type="dxa" w:w="2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id, numero_operacion</w:t>
            </w:r>
          </w:p>
        </w:tc>
        <w:tc>
          <w:tcPr>
            <w:tcW w:type="dxa" w:w="298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paciente_id</w:t>
            </w:r>
          </w:p>
        </w:tc>
      </w:tr>
      <w:tr>
        <w:trPr>
          <w:tblHeader w:val="off"/>
        </w:trPr>
        <w:tc>
          <w:tcPr>
            <w:tcW w:type="dxa" w:w="178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Auditoria</w:t>
            </w:r>
          </w:p>
        </w:tc>
        <w:tc>
          <w:tcPr>
            <w:tcW w:type="dxa" w:w="210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auditoria</w:t>
            </w:r>
          </w:p>
        </w:tc>
        <w:tc>
          <w:tcPr>
            <w:tcW w:type="dxa" w:w="276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98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recurso_id (cita)</w:t>
            </w:r>
          </w:p>
        </w:tc>
      </w:tr>
    </w:tbl>
    <w:p>
      <w:pPr>
        <w:spacing w:after="80" w:before="0"/>
      </w:pPr>
    </w:p>
    <w:p>
      <w:pPr>
        <w:spacing w:after="120"/>
      </w:pPr>
      <w:r>
        <w:t xml:space="preserve">Eventos publicados por citas: </w:t>
      </w:r>
      <w:r>
        <w:rPr>
          <w:b/>
          <w:bCs/>
        </w:rPr>
        <w:t xml:space="preserve">CitaRegistrada, CitaConfirmada, CitaReprogramada, CitaCancelada, CitaAtendida y CitaAusente</w:t>
      </w:r>
      <w:r>
        <w:t xml:space="preserve">.</w:t>
      </w:r>
    </w:p>
    <w:p>
      <w:pPr>
        <w:pStyle w:val="Heading2"/>
        <w:keepNext/>
      </w:pPr>
      <w:r>
        <w:t xml:space="preserve">2.4 Supuestos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agenda es simplificada: se valida por profesional y por paciente en la misma fecha y hora, sin horarios laborales ni duración de cita.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Marcar una cita como ATENDIDA o AUSENTE no exige que la fecha ya haya pasado, para poder demostrar el flujo.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notificaciones se simulan con log y una lista en memoria (§13 lo permite).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Pagos solo registra pagos simulados; no genera cargos ni facturas.</w:t>
      </w:r>
    </w:p>
    <w:p>
      <w:pPr>
        <w:pStyle w:val="Heading1"/>
        <w:keepNext/>
      </w:pPr>
      <w:r>
        <w:t xml:space="preserve">3. Identificación de microservicios</w:t>
      </w:r>
    </w:p>
    <w:p>
      <w:pPr>
        <w:pStyle w:val="Heading2"/>
        <w:keepNext/>
      </w:pPr>
      <w:r>
        <w:t xml:space="preserve">3.1 Responsabilidades y datos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1"/>
        <w:gridCol w:w="1075"/>
        <w:gridCol w:w="4330"/>
        <w:gridCol w:w="2062"/>
      </w:tblGrid>
      <w:tr>
        <w:trPr>
          <w:tblHeader/>
        </w:trPr>
        <w:tc>
          <w:tcPr>
            <w:tcW w:type="dxa" w:w="217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Servicio</w:t>
            </w:r>
          </w:p>
        </w:tc>
        <w:tc>
          <w:tcPr>
            <w:tcW w:type="dxa" w:w="107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Puerto</w:t>
            </w:r>
          </w:p>
        </w:tc>
        <w:tc>
          <w:tcPr>
            <w:tcW w:type="dxa" w:w="433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Responsabilidad</w:t>
            </w:r>
          </w:p>
        </w:tc>
        <w:tc>
          <w:tcPr>
            <w:tcW w:type="dxa" w:w="206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Base de datos</w:t>
            </w:r>
          </w:p>
        </w:tc>
      </w:tr>
      <w:tr>
        <w:trPr>
          <w:tblHeader w:val="off"/>
        </w:trPr>
        <w:tc>
          <w:tcPr>
            <w:tcW w:type="dxa" w:w="217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eureka-server</w:t>
            </w:r>
          </w:p>
        </w:tc>
        <w:tc>
          <w:tcPr>
            <w:tcW w:type="dxa" w:w="107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8761</w:t>
            </w:r>
          </w:p>
        </w:tc>
        <w:tc>
          <w:tcPr>
            <w:tcW w:type="dxa" w:w="433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Registro y descubrimiento de servicios</w:t>
            </w:r>
          </w:p>
        </w:tc>
        <w:tc>
          <w:tcPr>
            <w:tcW w:type="dxa" w:w="206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217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gateway</w:t>
            </w:r>
          </w:p>
        </w:tc>
        <w:tc>
          <w:tcPr>
            <w:tcW w:type="dxa" w:w="107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8080</w:t>
            </w:r>
          </w:p>
        </w:tc>
        <w:tc>
          <w:tcPr>
            <w:tcW w:type="dxa" w:w="433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Punto de entrada único</w:t>
            </w:r>
          </w:p>
        </w:tc>
        <w:tc>
          <w:tcPr>
            <w:tcW w:type="dxa" w:w="206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217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pacientes</w:t>
            </w:r>
          </w:p>
        </w:tc>
        <w:tc>
          <w:tcPr>
            <w:tcW w:type="dxa" w:w="107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8081</w:t>
            </w:r>
          </w:p>
        </w:tc>
        <w:tc>
          <w:tcPr>
            <w:tcW w:type="dxa" w:w="433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Registro, consulta, actualización y validación de duplicados</w:t>
            </w:r>
          </w:p>
        </w:tc>
        <w:tc>
          <w:tcPr>
            <w:tcW w:type="dxa" w:w="206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bd_pacientes</w:t>
            </w:r>
          </w:p>
        </w:tc>
      </w:tr>
      <w:tr>
        <w:trPr>
          <w:tblHeader w:val="off"/>
        </w:trPr>
        <w:tc>
          <w:tcPr>
            <w:tcW w:type="dxa" w:w="217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citas</w:t>
            </w:r>
          </w:p>
        </w:tc>
        <w:tc>
          <w:tcPr>
            <w:tcW w:type="dxa" w:w="107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8082</w:t>
            </w:r>
          </w:p>
        </w:tc>
        <w:tc>
          <w:tcPr>
            <w:tcW w:type="dxa" w:w="433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Agenda, estados, reprogramación y publicación de eventos</w:t>
            </w:r>
          </w:p>
        </w:tc>
        <w:tc>
          <w:tcPr>
            <w:tcW w:type="dxa" w:w="206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bd_citas</w:t>
            </w:r>
          </w:p>
        </w:tc>
      </w:tr>
      <w:tr>
        <w:trPr>
          <w:tblHeader w:val="off"/>
        </w:trPr>
        <w:tc>
          <w:tcPr>
            <w:tcW w:type="dxa" w:w="217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atenciones</w:t>
            </w:r>
          </w:p>
        </w:tc>
        <w:tc>
          <w:tcPr>
            <w:tcW w:type="dxa" w:w="107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8083</w:t>
            </w:r>
          </w:p>
        </w:tc>
        <w:tc>
          <w:tcPr>
            <w:tcW w:type="dxa" w:w="433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Atención administrativa simulada vinculada a una cita</w:t>
            </w:r>
          </w:p>
        </w:tc>
        <w:tc>
          <w:tcPr>
            <w:tcW w:type="dxa" w:w="206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bd_atenciones</w:t>
            </w:r>
          </w:p>
        </w:tc>
      </w:tr>
      <w:tr>
        <w:trPr>
          <w:tblHeader w:val="off"/>
        </w:trPr>
        <w:tc>
          <w:tcPr>
            <w:tcW w:type="dxa" w:w="217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107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8084</w:t>
            </w:r>
          </w:p>
        </w:tc>
        <w:tc>
          <w:tcPr>
            <w:tcW w:type="dxa" w:w="433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Avisos al paciente a partir de eventos</w:t>
            </w:r>
          </w:p>
        </w:tc>
        <w:tc>
          <w:tcPr>
            <w:tcW w:type="dxa" w:w="206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En memoria</w:t>
            </w:r>
          </w:p>
        </w:tc>
      </w:tr>
      <w:tr>
        <w:trPr>
          <w:tblHeader w:val="off"/>
        </w:trPr>
        <w:tc>
          <w:tcPr>
            <w:tcW w:type="dxa" w:w="217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auditoria</w:t>
            </w:r>
          </w:p>
        </w:tc>
        <w:tc>
          <w:tcPr>
            <w:tcW w:type="dxa" w:w="107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8085</w:t>
            </w:r>
          </w:p>
        </w:tc>
        <w:tc>
          <w:tcPr>
            <w:tcW w:type="dxa" w:w="433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Trazabilidad de cambios de estado</w:t>
            </w:r>
          </w:p>
        </w:tc>
        <w:tc>
          <w:tcPr>
            <w:tcW w:type="dxa" w:w="206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bd_auditoria</w:t>
            </w:r>
          </w:p>
        </w:tc>
      </w:tr>
      <w:tr>
        <w:trPr>
          <w:tblHeader w:val="off"/>
        </w:trPr>
        <w:tc>
          <w:tcPr>
            <w:tcW w:type="dxa" w:w="217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pagos</w:t>
            </w:r>
          </w:p>
        </w:tc>
        <w:tc>
          <w:tcPr>
            <w:tcW w:type="dxa" w:w="1075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8086</w:t>
            </w:r>
          </w:p>
        </w:tc>
        <w:tc>
          <w:tcPr>
            <w:tcW w:type="dxa" w:w="433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Pagos simulados</w:t>
            </w:r>
          </w:p>
        </w:tc>
        <w:tc>
          <w:tcPr>
            <w:tcW w:type="dxa" w:w="206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bd_pagos</w:t>
            </w:r>
          </w:p>
        </w:tc>
      </w:tr>
    </w:tbl>
    <w:p>
      <w:pPr>
        <w:spacing w:after="80" w:before="0"/>
      </w:pPr>
    </w:p>
    <w:p>
      <w:pPr>
        <w:pStyle w:val="Heading2"/>
        <w:keepNext/>
      </w:pPr>
      <w:r>
        <w:t xml:space="preserve">3.2 Operaciones, eventos y dependencias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7"/>
        <w:gridCol w:w="4441"/>
        <w:gridCol w:w="2111"/>
        <w:gridCol w:w="1479"/>
      </w:tblGrid>
      <w:tr>
        <w:trPr>
          <w:tblHeader/>
        </w:trPr>
        <w:tc>
          <w:tcPr>
            <w:tcW w:type="dxa" w:w="160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Servicio</w:t>
            </w:r>
          </w:p>
        </w:tc>
        <w:tc>
          <w:tcPr>
            <w:tcW w:type="dxa" w:w="444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Endpoints principales</w:t>
            </w:r>
          </w:p>
        </w:tc>
        <w:tc>
          <w:tcPr>
            <w:tcW w:type="dxa" w:w="211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Eventos</w:t>
            </w:r>
          </w:p>
        </w:tc>
        <w:tc>
          <w:tcPr>
            <w:tcW w:type="dxa" w:w="147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Depende de</w:t>
            </w:r>
          </w:p>
        </w:tc>
      </w:tr>
      <w:tr>
        <w:trPr>
          <w:tblHeader w:val="off"/>
        </w:trPr>
        <w:tc>
          <w:tcPr>
            <w:tcW w:type="dxa" w:w="160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pacientes</w:t>
            </w:r>
          </w:p>
        </w:tc>
        <w:tc>
          <w:tcPr>
            <w:tcW w:type="dxa" w:w="444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POST /pacientes, GET /pacientes, GET /pacientes/{id}, GET /pacientes/documento/{tipo}/{numero}, PUT /pacientes/{id}</w:t>
            </w:r>
          </w:p>
        </w:tc>
        <w:tc>
          <w:tcPr>
            <w:tcW w:type="dxa" w:w="211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7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tblHeader w:val="off"/>
        </w:trPr>
        <w:tc>
          <w:tcPr>
            <w:tcW w:type="dxa" w:w="160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citas</w:t>
            </w:r>
          </w:p>
        </w:tc>
        <w:tc>
          <w:tcPr>
            <w:tcW w:type="dxa" w:w="444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POST /citas, GET /citas, GET /citas/{id}, GET /citas/paciente/{id}, PUT /citas/{id}/estado, PUT /citas/{id}/reprogramar</w:t>
            </w:r>
          </w:p>
        </w:tc>
        <w:tc>
          <w:tcPr>
            <w:tcW w:type="dxa" w:w="211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Publica eventos de cita</w:t>
            </w:r>
          </w:p>
        </w:tc>
        <w:tc>
          <w:tcPr>
            <w:tcW w:type="dxa" w:w="147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pacientes (WebClient), RabbitMQ</w:t>
            </w:r>
          </w:p>
        </w:tc>
      </w:tr>
      <w:tr>
        <w:trPr>
          <w:tblHeader w:val="off"/>
        </w:trPr>
        <w:tc>
          <w:tcPr>
            <w:tcW w:type="dxa" w:w="160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atenciones</w:t>
            </w:r>
          </w:p>
        </w:tc>
        <w:tc>
          <w:tcPr>
            <w:tcW w:type="dxa" w:w="444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POST /atenciones, GET /atenciones, GET /atenciones/{id}, GET /atenciones/cita/{citaId}, PUT /atenciones/{id}/estado</w:t>
            </w:r>
          </w:p>
        </w:tc>
        <w:tc>
          <w:tcPr>
            <w:tcW w:type="dxa" w:w="211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7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citas (WebClient)</w:t>
            </w:r>
          </w:p>
        </w:tc>
      </w:tr>
      <w:tr>
        <w:trPr>
          <w:tblHeader w:val="off"/>
        </w:trPr>
        <w:tc>
          <w:tcPr>
            <w:tcW w:type="dxa" w:w="160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444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GET /notificaciones</w:t>
            </w:r>
          </w:p>
        </w:tc>
        <w:tc>
          <w:tcPr>
            <w:tcW w:type="dxa" w:w="211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Consume NOTIFICACIONES_COLA</w:t>
            </w:r>
          </w:p>
        </w:tc>
        <w:tc>
          <w:tcPr>
            <w:tcW w:type="dxa" w:w="147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RabbitMQ</w:t>
            </w:r>
          </w:p>
        </w:tc>
      </w:tr>
      <w:tr>
        <w:trPr>
          <w:tblHeader w:val="off"/>
        </w:trPr>
        <w:tc>
          <w:tcPr>
            <w:tcW w:type="dxa" w:w="160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auditoria</w:t>
            </w:r>
          </w:p>
        </w:tc>
        <w:tc>
          <w:tcPr>
            <w:tcW w:type="dxa" w:w="444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GET /auditoria, GET /auditoria/recurso/{id}</w:t>
            </w:r>
          </w:p>
        </w:tc>
        <w:tc>
          <w:tcPr>
            <w:tcW w:type="dxa" w:w="211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Consume AUDITORIA_COLA</w:t>
            </w:r>
          </w:p>
        </w:tc>
        <w:tc>
          <w:tcPr>
            <w:tcW w:type="dxa" w:w="147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RabbitMQ</w:t>
            </w:r>
          </w:p>
        </w:tc>
      </w:tr>
      <w:tr>
        <w:trPr>
          <w:tblHeader w:val="off"/>
        </w:trPr>
        <w:tc>
          <w:tcPr>
            <w:tcW w:type="dxa" w:w="160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pagos</w:t>
            </w:r>
          </w:p>
        </w:tc>
        <w:tc>
          <w:tcPr>
            <w:tcW w:type="dxa" w:w="444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POST /pagos, GET /pagos, GET /pagos/paciente/{id}</w:t>
            </w:r>
          </w:p>
        </w:tc>
        <w:tc>
          <w:tcPr>
            <w:tcW w:type="dxa" w:w="211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7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pacientes (WebClient)</w:t>
            </w:r>
          </w:p>
        </w:tc>
      </w:tr>
    </w:tbl>
    <w:p>
      <w:pPr>
        <w:spacing w:after="80" w:before="0"/>
        <w:sectPr>
          <w:headerReference w:type="default" r:id="rId6"/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keepNext/>
      </w:pPr>
      <w:r>
        <w:t xml:space="preserve">4. Diagramas</w:t>
      </w:r>
    </w:p>
    <w:p>
      <w:pPr>
        <w:pStyle w:val="Heading2"/>
        <w:keepNext/>
      </w:pPr>
      <w:r>
        <w:t xml:space="preserve">4.1 Diagrama de arquitectura</w:t>
      </w:r>
    </w:p>
    <w:p>
      <w:pPr>
        <w:spacing w:after="40" w:before="120"/>
        <w:jc w:val="center"/>
      </w:pPr>
      <w:r>
        <w:drawing>
          <wp:inline distT="0" distB="0" distL="0" distR="0">
            <wp:extent cx="8877300" cy="4762500"/>
            <wp:effectExtent t="0" r="0" b="0" l="0"/>
            <wp:docPr id="1" name="Diagrama de arquitectura" descr="Diagrama de arquitectura" title="Diagrama de arquitec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73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sectPr>
          <w:headerReference w:type="default" r:id="rId8"/>
          <w:footerReference w:type="default" r:id="rId9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  <w:r>
        <w:rPr>
          <w:i/>
          <w:iCs/>
          <w:color w:val="607D8B"/>
          <w:sz w:val="18"/>
          <w:szCs w:val="18"/>
        </w:rPr>
        <w:t xml:space="preserve">Figura: Diagrama de arquitectura</w:t>
      </w:r>
    </w:p>
    <w:p>
      <w:pPr>
        <w:pStyle w:val="Heading2"/>
        <w:keepNext/>
      </w:pPr>
      <w:r>
        <w:t xml:space="preserve">4.2 Diagrama de comunicación del flujo funcional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5381625"/>
            <wp:effectExtent t="0" r="0" b="0" l="0"/>
            <wp:docPr id="2" name="Diagrama de comunicación" descr="Diagrama de comunicación" title="Diagrama de comun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sectPr>
          <w:headerReference w:type="default" r:id="rId10"/>
          <w:footerReference w:type="default" r:id="rId11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i/>
          <w:iCs/>
          <w:color w:val="607D8B"/>
          <w:sz w:val="18"/>
          <w:szCs w:val="18"/>
        </w:rPr>
        <w:t xml:space="preserve">Figura: Diagrama de comunicación</w:t>
      </w:r>
    </w:p>
    <w:p>
      <w:pPr>
        <w:pStyle w:val="Heading2"/>
        <w:keepNext/>
      </w:pPr>
      <w:r>
        <w:t xml:space="preserve">4.3 Estados y transiciones</w:t>
      </w:r>
    </w:p>
    <w:p>
      <w:pPr>
        <w:spacing w:after="40" w:before="120"/>
        <w:jc w:val="center"/>
      </w:pPr>
      <w:r>
        <w:drawing>
          <wp:inline distT="0" distB="0" distL="0" distR="0">
            <wp:extent cx="9144000" cy="3019425"/>
            <wp:effectExtent t="0" r="0" b="0" l="0"/>
            <wp:docPr id="3" name="Diagrama de estados" descr="Diagrama de estados" title="Diagrama de est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sectPr>
          <w:headerReference w:type="default" r:id="rId12"/>
          <w:footerReference w:type="default" r:id="rId13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  <w:r>
        <w:rPr>
          <w:i/>
          <w:iCs/>
          <w:color w:val="607D8B"/>
          <w:sz w:val="18"/>
          <w:szCs w:val="18"/>
        </w:rPr>
        <w:t xml:space="preserve">Figura: Diagrama de estados</w:t>
      </w:r>
    </w:p>
    <w:p>
      <w:pPr>
        <w:pStyle w:val="Heading1"/>
        <w:keepNext/>
      </w:pPr>
      <w:r>
        <w:t xml:space="preserve">5. Diseño de datos</w:t>
      </w:r>
    </w:p>
    <w:p>
      <w:pPr>
        <w:spacing w:after="120"/>
      </w:pPr>
      <w:r>
        <w:t xml:space="preserve">Un servidor MySQL contiene cinco bases independientes, una por servicio. El script completo está en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script/hospital.sql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69"/>
        <w:gridCol w:w="1111"/>
        <w:gridCol w:w="3354"/>
        <w:gridCol w:w="2804"/>
      </w:tblGrid>
      <w:tr>
        <w:trPr>
          <w:tblHeader/>
        </w:trPr>
        <w:tc>
          <w:tcPr>
            <w:tcW w:type="dxa" w:w="236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Tabla (base)</w:t>
            </w:r>
          </w:p>
        </w:tc>
        <w:tc>
          <w:tcPr>
            <w:tcW w:type="dxa" w:w="111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Clave primaria</w:t>
            </w:r>
          </w:p>
        </w:tc>
        <w:tc>
          <w:tcPr>
            <w:tcW w:type="dxa" w:w="335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80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Índices</w:t>
            </w:r>
          </w:p>
        </w:tc>
      </w:tr>
      <w:tr>
        <w:trPr>
          <w:tblHeader w:val="off"/>
        </w:trPr>
        <w:tc>
          <w:tcPr>
            <w:tcW w:type="dxa" w:w="236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paciente (bd_pacientes)</w:t>
            </w:r>
          </w:p>
        </w:tc>
        <w:tc>
          <w:tcPr>
            <w:tcW w:type="dxa" w:w="111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335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UNIQUE (tipo_documento, numero_documento); NOT NULL en datos obligatorios</w:t>
            </w:r>
          </w:p>
        </w:tc>
        <w:tc>
          <w:tcPr>
            <w:tcW w:type="dxa" w:w="280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El del UNIQUE</w:t>
            </w:r>
          </w:p>
        </w:tc>
      </w:tr>
      <w:tr>
        <w:trPr>
          <w:tblHeader w:val="off"/>
        </w:trPr>
        <w:tc>
          <w:tcPr>
            <w:tcW w:type="dxa" w:w="236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cita (bd_citas)</w:t>
            </w:r>
          </w:p>
        </w:tc>
        <w:tc>
          <w:tcPr>
            <w:tcW w:type="dxa" w:w="111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335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UNIQUE codigo</w:t>
            </w:r>
          </w:p>
        </w:tc>
        <w:tc>
          <w:tcPr>
            <w:tcW w:type="dxa" w:w="280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paciente_id; (profesional_codigo, fecha_hora)</w:t>
            </w:r>
          </w:p>
        </w:tc>
      </w:tr>
      <w:tr>
        <w:trPr>
          <w:tblHeader w:val="off"/>
        </w:trPr>
        <w:tc>
          <w:tcPr>
            <w:tcW w:type="dxa" w:w="236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atencion (bd_atenciones)</w:t>
            </w:r>
          </w:p>
        </w:tc>
        <w:tc>
          <w:tcPr>
            <w:tcW w:type="dxa" w:w="111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335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UNIQUE codigo; UNIQUE cita_id</w:t>
            </w:r>
          </w:p>
        </w:tc>
        <w:tc>
          <w:tcPr>
            <w:tcW w:type="dxa" w:w="280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paciente_id</w:t>
            </w:r>
          </w:p>
        </w:tc>
      </w:tr>
      <w:tr>
        <w:trPr>
          <w:tblHeader w:val="off"/>
        </w:trPr>
        <w:tc>
          <w:tcPr>
            <w:tcW w:type="dxa" w:w="236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auditoria (bd_auditoria)</w:t>
            </w:r>
          </w:p>
        </w:tc>
        <w:tc>
          <w:tcPr>
            <w:tcW w:type="dxa" w:w="111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335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estado_anterior admite nulos (evento de registro)</w:t>
            </w:r>
          </w:p>
        </w:tc>
        <w:tc>
          <w:tcPr>
            <w:tcW w:type="dxa" w:w="280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(recurso, recurso_id)</w:t>
            </w:r>
          </w:p>
        </w:tc>
      </w:tr>
      <w:tr>
        <w:trPr>
          <w:tblHeader w:val="off"/>
        </w:trPr>
        <w:tc>
          <w:tcPr>
            <w:tcW w:type="dxa" w:w="236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pago (bd_pagos)</w:t>
            </w:r>
          </w:p>
        </w:tc>
        <w:tc>
          <w:tcPr>
            <w:tcW w:type="dxa" w:w="111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335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UNIQUE numero_operacion; CHECK monto &gt; 0</w:t>
            </w:r>
          </w:p>
        </w:tc>
        <w:tc>
          <w:tcPr>
            <w:tcW w:type="dxa" w:w="280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paciente_id</w:t>
            </w:r>
          </w:p>
        </w:tc>
      </w:tr>
    </w:tbl>
    <w:p>
      <w:pPr>
        <w:spacing w:after="80" w:before="0"/>
      </w:pPr>
    </w:p>
    <w:p>
      <w:pPr>
        <w:spacing w:after="120"/>
      </w:pPr>
      <w:r>
        <w:rPr>
          <w:b/>
          <w:bCs/>
        </w:rPr>
        <w:t xml:space="preserve">Propiedad de los datos.</w:t>
      </w:r>
      <w:r>
        <w:t xml:space="preserve"> Cada servicio es el único que lee y escribe sus tablas. Cuando atenciones necesita marcar una cita como ATENDIDA, no modifica la tabla cita: llama a la API de citas, que aplica sus propias reglas de transición. Las referencias entre servicios (paciente_id, cita_id) se validan por API, no con claves foráneas.</w:t>
      </w:r>
    </w:p>
    <w:p>
      <w:pPr>
        <w:spacing w:after="120"/>
      </w:pPr>
      <w:r>
        <w:rPr>
          <w:b/>
          <w:bCs/>
        </w:rPr>
        <w:t xml:space="preserve">Limitación documentada.</w:t>
      </w:r>
      <w:r>
        <w:t xml:space="preserve"> Por motivos académicos se usa un único servidor MySQL. Las bases son independientes, no hay claves foráneas entre ellas y ningún servicio accede a las tablas de otro. En producción cada base podría estar en un servidor distinto sin cambiar el código, solo la URL de conexión.</w:t>
      </w:r>
    </w:p>
    <w:p>
      <w:pPr>
        <w:pStyle w:val="Heading1"/>
        <w:keepNext/>
      </w:pPr>
      <w:r>
        <w:t xml:space="preserve">6. Endpoints y contratos entre servicios</w:t>
      </w:r>
    </w:p>
    <w:p>
      <w:pPr>
        <w:spacing w:after="120"/>
      </w:pPr>
      <w:r>
        <w:t xml:space="preserve">Todas las rutas externas pasan por el gateway con el prefijo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/api</w:t>
      </w:r>
      <w:r>
        <w:t xml:space="preserve">, por ejemplo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POST http://localhost:8080/api/pacientes</w:t>
      </w:r>
      <w:r>
        <w:t xml:space="preserve">.</w:t>
      </w:r>
    </w:p>
    <w:p>
      <w:pPr>
        <w:pStyle w:val="Heading2"/>
        <w:keepNext/>
      </w:pPr>
      <w:r>
        <w:t xml:space="preserve">6.1 Contratos síncronos (WebClient)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88"/>
        <w:gridCol w:w="3916"/>
        <w:gridCol w:w="1400"/>
        <w:gridCol w:w="853"/>
        <w:gridCol w:w="2081"/>
      </w:tblGrid>
      <w:tr>
        <w:trPr>
          <w:tblHeader/>
        </w:trPr>
        <w:tc>
          <w:tcPr>
            <w:tcW w:type="dxa" w:w="138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Llamada</w:t>
            </w:r>
          </w:p>
        </w:tc>
        <w:tc>
          <w:tcPr>
            <w:tcW w:type="dxa" w:w="391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Contrato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Error del destino → respuesta</w:t>
            </w:r>
          </w:p>
        </w:tc>
        <w:tc>
          <w:tcPr>
            <w:tcW w:type="dxa" w:w="85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Tiempo de espera</w:t>
            </w:r>
          </w:p>
        </w:tc>
        <w:tc>
          <w:tcPr>
            <w:tcW w:type="dxa" w:w="208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Indisponibilidad</w:t>
            </w:r>
          </w:p>
        </w:tc>
      </w:tr>
      <w:tr>
        <w:trPr>
          <w:tblHeader w:val="off"/>
        </w:trPr>
        <w:tc>
          <w:tcPr>
            <w:tcW w:type="dxa" w:w="138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citas → pacientes</w:t>
            </w:r>
          </w:p>
        </w:tc>
        <w:tc>
          <w:tcPr>
            <w:tcW w:type="dxa" w:w="391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7474F"/>
                <w:sz w:val="16"/>
                <w:szCs w:val="16"/>
              </w:rPr>
              <w:t xml:space="preserve">GET http://pacientes/pacientes/{id}</w:t>
            </w:r>
            <w:r>
              <w:rPr>
                <w:sz w:val="18"/>
                <w:szCs w:val="18"/>
              </w:rPr>
              <w:t xml:space="preserve"> → PacienteDto (id, documento, nombres, estado)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4xx → 400 "El paciente no existe"</w:t>
            </w:r>
          </w:p>
        </w:tc>
        <w:tc>
          <w:tcPr>
            <w:tcW w:type="dxa" w:w="85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 s</w:t>
            </w:r>
          </w:p>
        </w:tc>
        <w:tc>
          <w:tcPr>
            <w:tcW w:type="dxa" w:w="208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503 "El servicio de pacientes no esta disponible"</w:t>
            </w:r>
          </w:p>
        </w:tc>
      </w:tr>
      <w:tr>
        <w:trPr>
          <w:tblHeader w:val="off"/>
        </w:trPr>
        <w:tc>
          <w:tcPr>
            <w:tcW w:type="dxa" w:w="138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pagos → pacientes</w:t>
            </w:r>
          </w:p>
        </w:tc>
        <w:tc>
          <w:tcPr>
            <w:tcW w:type="dxa" w:w="391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Igual al anterior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4xx → 400</w:t>
            </w:r>
          </w:p>
        </w:tc>
        <w:tc>
          <w:tcPr>
            <w:tcW w:type="dxa" w:w="85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 s</w:t>
            </w:r>
          </w:p>
        </w:tc>
        <w:tc>
          <w:tcPr>
            <w:tcW w:type="dxa" w:w="208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503</w:t>
            </w:r>
          </w:p>
        </w:tc>
      </w:tr>
      <w:tr>
        <w:trPr>
          <w:tblHeader w:val="off"/>
        </w:trPr>
        <w:tc>
          <w:tcPr>
            <w:tcW w:type="dxa" w:w="138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atenciones → citas</w:t>
            </w:r>
          </w:p>
        </w:tc>
        <w:tc>
          <w:tcPr>
            <w:tcW w:type="dxa" w:w="391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7474F"/>
                <w:sz w:val="16"/>
                <w:szCs w:val="16"/>
              </w:rPr>
              <w:t xml:space="preserve">GET http://citas/citas/{id}</w:t>
            </w:r>
            <w:r>
              <w:rPr>
                <w:sz w:val="18"/>
                <w:szCs w:val="18"/>
              </w:rPr>
              <w:t xml:space="preserve"> → CitaDto (id, codigo, pacienteId, fechaHora, estado)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4xx → 400 "La cita no existe"</w:t>
            </w:r>
          </w:p>
        </w:tc>
        <w:tc>
          <w:tcPr>
            <w:tcW w:type="dxa" w:w="85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 s</w:t>
            </w:r>
          </w:p>
        </w:tc>
        <w:tc>
          <w:tcPr>
            <w:tcW w:type="dxa" w:w="208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503 "El servicio de citas no esta disponible"</w:t>
            </w:r>
          </w:p>
        </w:tc>
      </w:tr>
      <w:tr>
        <w:trPr>
          <w:tblHeader w:val="off"/>
        </w:trPr>
        <w:tc>
          <w:tcPr>
            <w:tcW w:type="dxa" w:w="138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atenciones → citas</w:t>
            </w:r>
          </w:p>
        </w:tc>
        <w:tc>
          <w:tcPr>
            <w:tcW w:type="dxa" w:w="391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37474F"/>
                <w:sz w:val="16"/>
                <w:szCs w:val="16"/>
              </w:rPr>
              <w:t xml:space="preserve">PUT http://citas/citas/{id}/estado</w:t>
            </w:r>
            <w:r>
              <w:rPr>
                <w:sz w:val="18"/>
                <w:szCs w:val="18"/>
              </w:rPr>
              <w:t xml:space="preserve"> con </w:t>
            </w:r>
            <w:r>
              <w:rPr>
                <w:rFonts w:ascii="Consolas" w:cs="Consolas" w:eastAsia="Consolas" w:hAnsi="Consolas"/>
                <w:color w:val="37474F"/>
                <w:sz w:val="16"/>
                <w:szCs w:val="16"/>
              </w:rPr>
              <w:t xml:space="preserve">{"estado":"ATENDIDA"}</w:t>
            </w:r>
          </w:p>
        </w:tc>
        <w:tc>
          <w:tcPr>
            <w:tcW w:type="dxa" w:w="140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4xx → 409</w:t>
            </w:r>
          </w:p>
        </w:tc>
        <w:tc>
          <w:tcPr>
            <w:tcW w:type="dxa" w:w="85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3 s</w:t>
            </w:r>
          </w:p>
        </w:tc>
        <w:tc>
          <w:tcPr>
            <w:tcW w:type="dxa" w:w="208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503</w:t>
            </w:r>
          </w:p>
        </w:tc>
      </w:tr>
    </w:tbl>
    <w:p>
      <w:pPr>
        <w:spacing w:after="80" w:before="0"/>
      </w:pPr>
    </w:p>
    <w:p>
      <w:pPr>
        <w:spacing w:after="120"/>
      </w:pPr>
      <w:r>
        <w:t xml:space="preserve">"Indisponibilidad" cubre: sin instancias registradas en Eureka, tiempo de espera agotado o error 5xx del destino. En todos los casos el error se transforma en una respuesta HTTP clara, sin datos parciales.</w:t>
      </w:r>
    </w:p>
    <w:p>
      <w:pPr>
        <w:pStyle w:val="Heading2"/>
        <w:keepNext/>
      </w:pPr>
      <w:r>
        <w:t xml:space="preserve">6.2 Contrato del evento (RabbitMQ)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7"/>
        <w:gridCol w:w="7131"/>
      </w:tblGrid>
      <w:tr>
        <w:trPr>
          <w:tblHeader/>
        </w:trPr>
        <w:tc>
          <w:tcPr>
            <w:tcW w:type="dxa" w:w="250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Elemento</w:t>
            </w:r>
          </w:p>
        </w:tc>
        <w:tc>
          <w:tcPr>
            <w:tcW w:type="dxa" w:w="713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Valor</w:t>
            </w:r>
          </w:p>
        </w:tc>
      </w:tr>
      <w:tr>
        <w:trPr>
          <w:tblHeader w:val="off"/>
        </w:trPr>
        <w:tc>
          <w:tcPr>
            <w:tcW w:type="dxa" w:w="250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Exchange</w:t>
            </w:r>
          </w:p>
        </w:tc>
        <w:tc>
          <w:tcPr>
            <w:tcW w:type="dxa" w:w="713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HOSPITAL_INTERCAMBIO (direct, durable)</w:t>
            </w:r>
          </w:p>
        </w:tc>
      </w:tr>
      <w:tr>
        <w:trPr>
          <w:tblHeader w:val="off"/>
        </w:trPr>
        <w:tc>
          <w:tcPr>
            <w:tcW w:type="dxa" w:w="250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Routing key</w:t>
            </w:r>
          </w:p>
        </w:tc>
        <w:tc>
          <w:tcPr>
            <w:tcW w:type="dxa" w:w="713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CITA_KEY</w:t>
            </w:r>
          </w:p>
        </w:tc>
      </w:tr>
      <w:tr>
        <w:trPr>
          <w:tblHeader w:val="off"/>
        </w:trPr>
        <w:tc>
          <w:tcPr>
            <w:tcW w:type="dxa" w:w="250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Colas</w:t>
            </w:r>
          </w:p>
        </w:tc>
        <w:tc>
          <w:tcPr>
            <w:tcW w:type="dxa" w:w="713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NOTIFICACIONES_COLA y AUDITORIA_COLA (durables)</w:t>
            </w:r>
          </w:p>
        </w:tc>
      </w:tr>
      <w:tr>
        <w:trPr>
          <w:tblHeader w:val="off"/>
        </w:trPr>
        <w:tc>
          <w:tcPr>
            <w:tcW w:type="dxa" w:w="250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Productor</w:t>
            </w:r>
          </w:p>
        </w:tc>
        <w:tc>
          <w:tcPr>
            <w:tcW w:type="dxa" w:w="713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citas (RabbitMQModel)</w:t>
            </w:r>
          </w:p>
        </w:tc>
      </w:tr>
      <w:tr>
        <w:trPr>
          <w:tblHeader w:val="off"/>
        </w:trPr>
        <w:tc>
          <w:tcPr>
            <w:tcW w:type="dxa" w:w="250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Consumidores</w:t>
            </w:r>
          </w:p>
        </w:tc>
        <w:tc>
          <w:tcPr>
            <w:tcW w:type="dxa" w:w="713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notificaciones y auditoria (ConsumidorComponent con @RabbitListener)</w:t>
            </w:r>
          </w:p>
        </w:tc>
      </w:tr>
      <w:tr>
        <w:trPr>
          <w:tblHeader w:val="off"/>
        </w:trPr>
        <w:tc>
          <w:tcPr>
            <w:tcW w:type="dxa" w:w="2507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Formato</w:t>
            </w:r>
          </w:p>
        </w:tc>
        <w:tc>
          <w:tcPr>
            <w:tcW w:type="dxa" w:w="7131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JSON con JacksonJsonMessageConverter</w:t>
            </w:r>
          </w:p>
        </w:tc>
      </w:tr>
    </w:tbl>
    <w:p>
      <w:pPr>
        <w:spacing w:after="80" w:before="0"/>
      </w:pPr>
    </w:p>
    <w:p>
      <w:pPr>
        <w:pBdr>
          <w:left w:val="single" w:color="90A4AE" w:sz="12" w:space="6"/>
        </w:pBdr>
        <w:shd w:fill="F5F7F9" w:color="auto" w:val="clear"/>
        <w:spacing w:after="120" w:before="60"/>
      </w:pPr>
      <w:r>
        <w:rPr>
          <w:rFonts w:ascii="Consolas" w:cs="Consolas" w:eastAsia="Consolas" w:hAnsi="Consolas"/>
          <w:color w:val="263238"/>
          <w:sz w:val="17"/>
          <w:szCs w:val="17"/>
        </w:rPr>
        <w:t xml:space="preserve">{</w:t>
      </w:r>
      <w:r>
        <w:br/>
      </w:r>
      <w:r>
        <w:rPr>
          <w:rFonts w:ascii="Consolas" w:cs="Consolas" w:eastAsia="Consolas" w:hAnsi="Consolas"/>
          <w:color w:val="263238"/>
          <w:sz w:val="17"/>
          <w:szCs w:val="17"/>
        </w:rPr>
        <w:t xml:space="preserve">  "evento": "CitaConfirmada",</w:t>
      </w:r>
      <w:r>
        <w:br/>
      </w:r>
      <w:r>
        <w:rPr>
          <w:rFonts w:ascii="Consolas" w:cs="Consolas" w:eastAsia="Consolas" w:hAnsi="Consolas"/>
          <w:color w:val="263238"/>
          <w:sz w:val="17"/>
          <w:szCs w:val="17"/>
        </w:rPr>
        <w:t xml:space="preserve">  "citaId": 1,</w:t>
      </w:r>
      <w:r>
        <w:br/>
      </w:r>
      <w:r>
        <w:rPr>
          <w:rFonts w:ascii="Consolas" w:cs="Consolas" w:eastAsia="Consolas" w:hAnsi="Consolas"/>
          <w:color w:val="263238"/>
          <w:sz w:val="17"/>
          <w:szCs w:val="17"/>
        </w:rPr>
        <w:t xml:space="preserve">  "codigo": "CIT-1760140000000",</w:t>
      </w:r>
      <w:r>
        <w:br/>
      </w:r>
      <w:r>
        <w:rPr>
          <w:rFonts w:ascii="Consolas" w:cs="Consolas" w:eastAsia="Consolas" w:hAnsi="Consolas"/>
          <w:color w:val="263238"/>
          <w:sz w:val="17"/>
          <w:szCs w:val="17"/>
        </w:rPr>
        <w:t xml:space="preserve">  "pacienteId": 1,</w:t>
      </w:r>
      <w:r>
        <w:br/>
      </w:r>
      <w:r>
        <w:rPr>
          <w:rFonts w:ascii="Consolas" w:cs="Consolas" w:eastAsia="Consolas" w:hAnsi="Consolas"/>
          <w:color w:val="263238"/>
          <w:sz w:val="17"/>
          <w:szCs w:val="17"/>
        </w:rPr>
        <w:t xml:space="preserve">  "fechaHora": "2027-03-15T09:00:00",</w:t>
      </w:r>
      <w:r>
        <w:br/>
      </w:r>
      <w:r>
        <w:rPr>
          <w:rFonts w:ascii="Consolas" w:cs="Consolas" w:eastAsia="Consolas" w:hAnsi="Consolas"/>
          <w:color w:val="263238"/>
          <w:sz w:val="17"/>
          <w:szCs w:val="17"/>
        </w:rPr>
        <w:t xml:space="preserve">  "estadoAnterior": "PENDIENTE",</w:t>
      </w:r>
      <w:r>
        <w:br/>
      </w:r>
      <w:r>
        <w:rPr>
          <w:rFonts w:ascii="Consolas" w:cs="Consolas" w:eastAsia="Consolas" w:hAnsi="Consolas"/>
          <w:color w:val="263238"/>
          <w:sz w:val="17"/>
          <w:szCs w:val="17"/>
        </w:rPr>
        <w:t xml:space="preserve">  "estadoNuevo": "CONFIRMADA",</w:t>
      </w:r>
      <w:r>
        <w:br/>
      </w:r>
      <w:r>
        <w:rPr>
          <w:rFonts w:ascii="Consolas" w:cs="Consolas" w:eastAsia="Consolas" w:hAnsi="Consolas"/>
          <w:color w:val="263238"/>
          <w:sz w:val="17"/>
          <w:szCs w:val="17"/>
        </w:rPr>
        <w:t xml:space="preserve">  "fecha": "2026-10-10T19:36:28",</w:t>
      </w:r>
      <w:r>
        <w:br/>
      </w:r>
      <w:r>
        <w:rPr>
          <w:rFonts w:ascii="Consolas" w:cs="Consolas" w:eastAsia="Consolas" w:hAnsi="Consolas"/>
          <w:color w:val="263238"/>
          <w:sz w:val="17"/>
          <w:szCs w:val="17"/>
        </w:rPr>
        <w:t xml:space="preserve">  "origen": "citas"</w:t>
      </w:r>
      <w:r>
        <w:br/>
      </w:r>
      <w:r>
        <w:rPr>
          <w:rFonts w:ascii="Consolas" w:cs="Consolas" w:eastAsia="Consolas" w:hAnsi="Consolas"/>
          <w:color w:val="263238"/>
          <w:sz w:val="17"/>
          <w:szCs w:val="17"/>
        </w:rPr>
        <w:t xml:space="preserve">}</w:t>
      </w:r>
    </w:p>
    <w:p>
      <w:pPr>
        <w:spacing w:after="120"/>
      </w:pPr>
      <w:r>
        <w:t xml:space="preserve">Los dos consumidores tienen una copia de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CitaEventoDto</w:t>
      </w:r>
      <w:r>
        <w:t xml:space="preserve"> en su propio paquete. No comparten código con citas: solo comparten el contrato JSON.</w:t>
      </w:r>
    </w:p>
    <w:p>
      <w:pPr>
        <w:pStyle w:val="Heading1"/>
        <w:keepNext/>
      </w:pPr>
      <w:r>
        <w:t xml:space="preserve">7. Comunicación síncrona y asíncrona</w:t>
      </w:r>
    </w:p>
    <w:p>
      <w:pPr>
        <w:spacing w:after="120"/>
      </w:pPr>
      <w:r>
        <w:rPr>
          <w:b/>
          <w:bCs/>
        </w:rPr>
        <w:t xml:space="preserve">Síncrona (WebClient).</w:t>
      </w:r>
      <w:r>
        <w:t xml:space="preserve"> Se usa cuando la operación no puede continuar sin una respuesta inmediata: no se puede registrar una cita sin saber si el paciente existe y está ACTIVO, ni una atención sin saber si la cita está CONFIRMADA. El cliente recibe en la misma petición el resultado o un error claro.</w:t>
      </w:r>
    </w:p>
    <w:p>
      <w:pPr>
        <w:spacing w:after="120"/>
      </w:pPr>
      <w:r>
        <w:rPr>
          <w:b/>
          <w:bCs/>
        </w:rPr>
        <w:t xml:space="preserve">Asíncrona (RabbitMQ).</w:t>
      </w:r>
      <w:r>
        <w:t xml:space="preserve"> Se usa para procesos secundarios que no deben bloquear ni hacer fallar la operación principal: avisar al paciente y registrar la auditoría. Citas solo publica en el exchange y no conoce a sus consumidores, por lo que se pueden agregar consumidores nuevos sin modificar citas. Si notificaciones o auditoria están apagados, los eventos esperan en sus colas durables.</w:t>
      </w:r>
    </w:p>
    <w:p>
      <w:pPr>
        <w:spacing w:after="120"/>
      </w:pPr>
      <w:r>
        <w:rPr>
          <w:b/>
          <w:bCs/>
        </w:rPr>
        <w:t xml:space="preserve">Cómo se evita el acoplamiento.</w:t>
      </w:r>
      <w:r>
        <w:t xml:space="preserve"> El productor depende solo del exchange y la routing key. Cada consumidor declara su propia cola y su copia del contrato JSON. Si RabbitMQ no está disponible, citas guarda igualmente la cita y registra el error en el log; el evento se pierde (limitación aceptada para el alcance académico).</w:t>
      </w:r>
    </w:p>
    <w:p>
      <w:pPr>
        <w:pStyle w:val="Heading1"/>
        <w:keepNext/>
      </w:pPr>
      <w:r>
        <w:t xml:space="preserve">8. Tecnologías utilizadas</w:t>
      </w:r>
    </w:p>
    <w:p>
      <w:pPr>
        <w:pStyle w:val="Heading2"/>
        <w:keepNext/>
      </w:pPr>
      <w:r>
        <w:t xml:space="preserve">8.1 Spring Cloud Gateway</w:t>
      </w:r>
    </w:p>
    <w:p>
      <w:pPr>
        <w:spacing w:after="120"/>
      </w:pPr>
      <w:r>
        <w:t xml:space="preserve">Recibe todas las peticiones en el puerto 8080 y las enruta según la ruta: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/api/pacientes/**</w:t>
      </w:r>
      <w:r>
        <w:t xml:space="preserve"> →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lb://pacientes</w:t>
      </w:r>
      <w:r>
        <w:t xml:space="preserve">, y así para citas, atenciones, notificaciones, auditoria y pagos. El filtro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StripPrefix=1</w:t>
      </w:r>
      <w:r>
        <w:t xml:space="preserve"> quita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/api</w:t>
      </w:r>
      <w:r>
        <w:t xml:space="preserve"> antes de reenviar.</w:t>
      </w:r>
    </w:p>
    <w:p>
      <w:pPr>
        <w:spacing w:after="120"/>
      </w:pPr>
      <w:r>
        <w:t xml:space="preserve">Los clientes no deben depender de los puertos internos porque esos puertos y la cantidad de instancias pueden cambiar sin aviso. Con un único punto de entrada el cliente usa siempre la misma dirección,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lb://</w:t>
      </w:r>
      <w:r>
        <w:t xml:space="preserve"> reparte la carga entre instancias, y el gateway es el lugar natural para agregar autenticación más adelante.</w:t>
      </w:r>
    </w:p>
    <w:p>
      <w:pPr>
        <w:pStyle w:val="Heading2"/>
        <w:keepNext/>
      </w:pPr>
      <w:r>
        <w:t xml:space="preserve">8.2 Eureka Discovery Server</w:t>
      </w:r>
    </w:p>
    <w:p>
      <w:pPr>
        <w:spacing w:after="120"/>
      </w:pPr>
      <w:r>
        <w:t xml:space="preserve">Cada servicio se registra al arrancar con su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spring.application.name</w:t>
      </w:r>
      <w:r>
        <w:t xml:space="preserve">. El gateway y los WebClient anotados con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@LoadBalanced</w:t>
      </w:r>
      <w:r>
        <w:t xml:space="preserve"> consultan el registro de Eureka para traducir un nombre lógico (por ejemplo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http://pacientes</w:t>
      </w:r>
      <w:r>
        <w:t xml:space="preserve">) a la dirección real de una instancia disponible.</w:t>
      </w:r>
    </w:p>
    <w:p>
      <w:pPr>
        <w:pStyle w:val="Heading2"/>
        <w:keepNext/>
      </w:pPr>
      <w:r>
        <w:t xml:space="preserve">8.3 RabbitMQ</w:t>
      </w:r>
    </w:p>
    <w:p>
      <w:pPr>
        <w:spacing w:after="120"/>
      </w:pPr>
      <w:r>
        <w:t xml:space="preserve">Exchange directo con una routing key y dos colas enlazadas, una por consumidor. Cada evento llega a las dos colas, así cada consumidor recibe su propia copia y procesa a su ritmo.</w:t>
      </w:r>
    </w:p>
    <w:p>
      <w:pPr>
        <w:pStyle w:val="Heading2"/>
        <w:keepNext/>
      </w:pPr>
      <w:r>
        <w:t xml:space="preserve">8.4 Spring WebFlux, Mono y Flux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Mono</w:t>
      </w:r>
      <w:r>
        <w:t xml:space="preserve"> para operaciones de cero o un resultado: registrar, buscar por id, actualizar, cambiar de estado.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Flux</w:t>
      </w:r>
      <w:r>
        <w:t xml:space="preserve"> para colecciones: listar pacientes, citas por paciente, historial de auditoría.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errores se emiten con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Mono.error(new ResponseStatusException(...))</w:t>
      </w:r>
      <w:r>
        <w:t xml:space="preserve">, que WebFlux traduce al código HTTP.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flujo es reactivo desde el controlador hasta el repositorio. La publicación en RabbitMQ (que es bloqueante) se ejecuta en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Schedulers.boundedElastic()</w:t>
      </w:r>
      <w:r>
        <w:t xml:space="preserve"> para no bloquear los hilos de WebFlux.</w:t>
      </w:r>
    </w:p>
    <w:p>
      <w:pPr>
        <w:spacing w:after="120"/>
      </w:pPr>
      <w:r>
        <w:t xml:space="preserve">La programación reactiva aporta valor en este caso porque los servicios pasan buena parte del tiempo esperando entrada y salida (base de datos y llamadas a otros servicios). Con pocos hilos se atienden muchas peticiones simultáneas, lo que responde al problema de saturación en horarios de alta afluencia.</w:t>
      </w:r>
    </w:p>
    <w:p>
      <w:pPr>
        <w:pStyle w:val="Heading2"/>
        <w:keepNext/>
      </w:pPr>
      <w:r>
        <w:t xml:space="preserve">8.5 Spring Data R2DBC</w:t>
      </w:r>
    </w:p>
    <w:p>
      <w:pPr>
        <w:spacing w:after="120"/>
      </w:pPr>
      <w:r>
        <w:t xml:space="preserve">Todos los repositorios extienden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ReactiveCrudRepository</w:t>
      </w:r>
      <w:r>
        <w:t xml:space="preserve"> y usan el driver reactivo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io.asyncer:r2dbc-mysql</w:t>
      </w:r>
      <w:r>
        <w:t xml:space="preserve">. No hay JDBC en ningún servicio. Las consultas derivadas (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existsByNumeroOperacion</w:t>
      </w:r>
      <w:r>
        <w:t xml:space="preserve">,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findByTipoDocumentoAndNumeroDocumento</w:t>
      </w:r>
      <w:r>
        <w:t xml:space="preserve">, etc.) devuelven Mono o Flux.</w:t>
      </w:r>
    </w:p>
    <w:p>
      <w:pPr>
        <w:pStyle w:val="Heading1"/>
        <w:keepNext/>
      </w:pPr>
      <w:r>
        <w:t xml:space="preserve">9. Estados y trazabilidad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38"/>
        <w:gridCol w:w="3044"/>
        <w:gridCol w:w="5156"/>
      </w:tblGrid>
      <w:tr>
        <w:trPr>
          <w:tblHeader/>
        </w:trPr>
        <w:tc>
          <w:tcPr>
            <w:tcW w:type="dxa" w:w="1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Recurso</w:t>
            </w:r>
          </w:p>
        </w:tc>
        <w:tc>
          <w:tcPr>
            <w:tcW w:type="dxa" w:w="304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Estados</w:t>
            </w:r>
          </w:p>
        </w:tc>
        <w:tc>
          <w:tcPr>
            <w:tcW w:type="dxa" w:w="515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Transiciones permitidas</w:t>
            </w:r>
          </w:p>
        </w:tc>
      </w:tr>
      <w:tr>
        <w:trPr>
          <w:tblHeader w:val="off"/>
        </w:trPr>
        <w:tc>
          <w:tcPr>
            <w:tcW w:type="dxa" w:w="1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Cita</w:t>
            </w:r>
          </w:p>
        </w:tc>
        <w:tc>
          <w:tcPr>
            <w:tcW w:type="dxa" w:w="304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PENDIENTE, CONFIRMADA, ATENDIDA, CANCELADA, AUSENTE</w:t>
            </w:r>
          </w:p>
        </w:tc>
        <w:tc>
          <w:tcPr>
            <w:tcW w:type="dxa" w:w="515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PENDIENTE → CONFIRMADA o CANCELADA; CONFIRMADA → ATENDIDA, CANCELADA o AUSENTE; reprogramar solo en PENDIENTE o CONFIRMADA</w:t>
            </w:r>
          </w:p>
        </w:tc>
      </w:tr>
      <w:tr>
        <w:trPr>
          <w:tblHeader w:val="off"/>
        </w:trPr>
        <w:tc>
          <w:tcPr>
            <w:tcW w:type="dxa" w:w="1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Atención</w:t>
            </w:r>
          </w:p>
        </w:tc>
        <w:tc>
          <w:tcPr>
            <w:tcW w:type="dxa" w:w="304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REGISTRADA, FINALIZADA, ANULADA</w:t>
            </w:r>
          </w:p>
        </w:tc>
        <w:tc>
          <w:tcPr>
            <w:tcW w:type="dxa" w:w="515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REGISTRADA → FINALIZADA o ANULADA</w:t>
            </w:r>
          </w:p>
        </w:tc>
      </w:tr>
      <w:tr>
        <w:trPr>
          <w:tblHeader w:val="off"/>
        </w:trPr>
        <w:tc>
          <w:tcPr>
            <w:tcW w:type="dxa" w:w="1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Paciente</w:t>
            </w:r>
          </w:p>
        </w:tc>
        <w:tc>
          <w:tcPr>
            <w:tcW w:type="dxa" w:w="304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ACTIVO, INACTIVO</w:t>
            </w:r>
          </w:p>
        </w:tc>
        <w:tc>
          <w:tcPr>
            <w:tcW w:type="dxa" w:w="515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Cambio mediante PUT /pacientes/{id}</w:t>
            </w:r>
          </w:p>
        </w:tc>
      </w:tr>
      <w:tr>
        <w:trPr>
          <w:tblHeader w:val="off"/>
        </w:trPr>
        <w:tc>
          <w:tcPr>
            <w:tcW w:type="dxa" w:w="1438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Pago</w:t>
            </w:r>
          </w:p>
        </w:tc>
        <w:tc>
          <w:tcPr>
            <w:tcW w:type="dxa" w:w="3044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REGISTRADO</w:t>
            </w:r>
          </w:p>
        </w:tc>
        <w:tc>
          <w:tcPr>
            <w:tcW w:type="dxa" w:w="515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Estado único</w:t>
            </w:r>
          </w:p>
        </w:tc>
      </w:tr>
    </w:tbl>
    <w:p>
      <w:pPr>
        <w:spacing w:after="80" w:before="0"/>
      </w:pPr>
    </w:p>
    <w:p>
      <w:pPr>
        <w:spacing w:after="120"/>
      </w:pPr>
      <w:r>
        <w:t xml:space="preserve">Cada cambio de estado de una cita genera un registro en auditoría con fecha, recurso, identificador, estado anterior, estado nuevo, evento y origen, como pide el §14. Se consulta con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GET /api/auditoria/recurso/{id}</w:t>
      </w:r>
      <w:r>
        <w:t xml:space="preserve">.</w:t>
      </w:r>
    </w:p>
    <w:p>
      <w:pPr>
        <w:pStyle w:val="Heading1"/>
        <w:keepNext/>
      </w:pPr>
      <w:r>
        <w:t xml:space="preserve">10. Pruebas automatizadas</w:t>
      </w:r>
    </w:p>
    <w:p>
      <w:pPr>
        <w:spacing w:after="120"/>
      </w:pPr>
      <w:r>
        <w:t xml:space="preserve">Las pruebas se ejecutan con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./mvnw verify</w:t>
      </w:r>
      <w:r>
        <w:t xml:space="preserve"> y no necesitan MySQL, RabbitMQ ni Eureka: los repositorios y los servicios externos se reemplazan con Mockito.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99"/>
        <w:gridCol w:w="6113"/>
        <w:gridCol w:w="1826"/>
      </w:tblGrid>
      <w:tr>
        <w:trPr>
          <w:tblHeader/>
        </w:trPr>
        <w:tc>
          <w:tcPr>
            <w:tcW w:type="dxa" w:w="169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Requisito del §24</w:t>
            </w:r>
          </w:p>
        </w:tc>
        <w:tc>
          <w:tcPr>
            <w:tcW w:type="dxa" w:w="611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Prueba</w:t>
            </w:r>
          </w:p>
        </w:tc>
        <w:tc>
          <w:tcPr>
            <w:tcW w:type="dxa" w:w="182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Tipo</w:t>
            </w:r>
          </w:p>
        </w:tc>
      </w:tr>
      <w:tr>
        <w:trPr>
          <w:tblHeader w:val="off"/>
        </w:trPr>
        <w:tc>
          <w:tcPr>
            <w:tcW w:type="dxa" w:w="169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Registro de paciente válido</w:t>
            </w:r>
          </w:p>
        </w:tc>
        <w:tc>
          <w:tcPr>
            <w:tcW w:type="dxa" w:w="611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PacienteControllerTest.RegistrarPacienteCorrecto</w:t>
            </w:r>
          </w:p>
        </w:tc>
        <w:tc>
          <w:tcPr>
            <w:tcW w:type="dxa" w:w="182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Controlador (WebTestClient)</w:t>
            </w:r>
          </w:p>
        </w:tc>
      </w:tr>
      <w:tr>
        <w:trPr>
          <w:tblHeader w:val="off"/>
        </w:trPr>
        <w:tc>
          <w:tcPr>
            <w:tcW w:type="dxa" w:w="169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Rechazo de paciente duplicado</w:t>
            </w:r>
          </w:p>
        </w:tc>
        <w:tc>
          <w:tcPr>
            <w:tcW w:type="dxa" w:w="611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PacienteControllerTest.RechazarDocumentoDuplicado</w:t>
            </w:r>
          </w:p>
        </w:tc>
        <w:tc>
          <w:tcPr>
            <w:tcW w:type="dxa" w:w="182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Controlador</w:t>
            </w:r>
          </w:p>
        </w:tc>
      </w:tr>
      <w:tr>
        <w:trPr>
          <w:tblHeader w:val="off"/>
        </w:trPr>
        <w:tc>
          <w:tcPr>
            <w:tcW w:type="dxa" w:w="169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Recurso inexistente</w:t>
            </w:r>
          </w:p>
        </w:tc>
        <w:tc>
          <w:tcPr>
            <w:tcW w:type="dxa" w:w="611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PacienteControllerTest.ConsultarPacienteInexistente</w:t>
            </w:r>
          </w:p>
        </w:tc>
        <w:tc>
          <w:tcPr>
            <w:tcW w:type="dxa" w:w="182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Controlador</w:t>
            </w:r>
          </w:p>
        </w:tc>
      </w:tr>
      <w:tr>
        <w:trPr>
          <w:tblHeader w:val="off"/>
        </w:trPr>
        <w:tc>
          <w:tcPr>
            <w:tcW w:type="dxa" w:w="169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Registro y consulta de cita</w:t>
            </w:r>
          </w:p>
        </w:tc>
        <w:tc>
          <w:tcPr>
            <w:tcW w:type="dxa" w:w="611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CitaModelTest.RegistrarCitaCorrecta y ConsultarCitaPorId</w:t>
            </w:r>
          </w:p>
        </w:tc>
        <w:tc>
          <w:tcPr>
            <w:tcW w:type="dxa" w:w="182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Unitaria (StepVerifier)</w:t>
            </w:r>
          </w:p>
        </w:tc>
      </w:tr>
      <w:tr>
        <w:trPr>
          <w:tblHeader w:val="off"/>
        </w:trPr>
        <w:tc>
          <w:tcPr>
            <w:tcW w:type="dxa" w:w="169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Transición de estado no permitida</w:t>
            </w:r>
          </w:p>
        </w:tc>
        <w:tc>
          <w:tcPr>
            <w:tcW w:type="dxa" w:w="611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CitaModelTest.RechazarTransicionNoPermitida</w:t>
            </w:r>
          </w:p>
        </w:tc>
        <w:tc>
          <w:tcPr>
            <w:tcW w:type="dxa" w:w="182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Unitaria</w:t>
            </w:r>
          </w:p>
        </w:tc>
      </w:tr>
      <w:tr>
        <w:trPr>
          <w:tblHeader w:val="off"/>
        </w:trPr>
        <w:tc>
          <w:tcPr>
            <w:tcW w:type="dxa" w:w="169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Publicación y consumo de un evento</w:t>
            </w:r>
          </w:p>
        </w:tc>
        <w:tc>
          <w:tcPr>
            <w:tcW w:type="dxa" w:w="611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CitaModelTest.ConfirmarCitaPublicaEventoCitaConfirmada y ConsumidorComponentTest</w:t>
            </w:r>
          </w:p>
        </w:tc>
        <w:tc>
          <w:tcPr>
            <w:tcW w:type="dxa" w:w="182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Unitaria</w:t>
            </w:r>
          </w:p>
        </w:tc>
      </w:tr>
      <w:tr>
        <w:trPr>
          <w:tblHeader w:val="off"/>
        </w:trPr>
        <w:tc>
          <w:tcPr>
            <w:tcW w:type="dxa" w:w="1699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Monto de pago no permitido</w:t>
            </w:r>
          </w:p>
        </w:tc>
        <w:tc>
          <w:tcPr>
            <w:tcW w:type="dxa" w:w="6113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PagoModelTest.RechazarMontoCero y RechazarMontoNegativo</w:t>
            </w:r>
          </w:p>
        </w:tc>
        <w:tc>
          <w:tcPr>
            <w:tcW w:type="dxa" w:w="182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Unitaria</w:t>
            </w:r>
          </w:p>
        </w:tc>
      </w:tr>
    </w:tbl>
    <w:p>
      <w:pPr>
        <w:spacing w:after="80" w:before="0"/>
      </w:pPr>
    </w:p>
    <w:p>
      <w:pPr>
        <w:spacing w:after="120"/>
      </w:pPr>
      <w:r>
        <w:t xml:space="preserve">Además, PacienteControllerTest prueba datos inválidos, consulta por id y actualización (6 pruebas), y PagoModelTest prueba el número de operación duplicado y un pago válido. En total son 15 pruebas.</w:t>
      </w:r>
    </w:p>
    <w:p>
      <w:pPr>
        <w:spacing w:after="120"/>
        <w:sectPr>
          <w:headerReference w:type="default" r:id="rId14"/>
          <w:footerReference w:type="default" r:id="rId15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b/>
          <w:bCs/>
        </w:rPr>
        <w:t xml:space="preserve">Aclaración del profesor.</w:t>
      </w:r>
      <w:r>
        <w:t xml:space="preserve"> Se indicó que la integración continua se enfoque en un solo controlador. Se eligió </w:t>
      </w:r>
      <w:r>
        <w:rPr>
          <w:b/>
          <w:bCs/>
        </w:rPr>
        <w:t xml:space="preserve">PacienteController</w:t>
      </w:r>
      <w:r>
        <w:t xml:space="preserve">: es la única prueba de controlador y la que se usó para el fallo controlado. Las pruebas unitarias mínimas del §24 se mantienen porque el PDF las exige y la aclaración no las elimina.</w:t>
      </w:r>
    </w:p>
    <w:p>
      <w:pPr>
        <w:pStyle w:val="Heading1"/>
        <w:keepNext/>
      </w:pPr>
      <w:r>
        <w:t xml:space="preserve">11. Integración continua</w:t>
      </w:r>
    </w:p>
    <w:p>
      <w:pPr>
        <w:spacing w:after="40" w:before="120"/>
        <w:jc w:val="center"/>
      </w:pPr>
      <w:r>
        <w:drawing>
          <wp:inline distT="0" distB="0" distL="0" distR="0">
            <wp:extent cx="9144000" cy="3171825"/>
            <wp:effectExtent t="0" r="0" b="0" l="0"/>
            <wp:docPr id="4" name="Flujo de integración continua" descr="Flujo de integración continua" title="Flujo de integración continu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  <w:sectPr>
          <w:headerReference w:type="default" r:id="rId16"/>
          <w:footerReference w:type="default" r:id="rId17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  <w:r>
        <w:rPr>
          <w:i/>
          <w:iCs/>
          <w:color w:val="607D8B"/>
          <w:sz w:val="18"/>
          <w:szCs w:val="18"/>
        </w:rPr>
        <w:t xml:space="preserve">Figura: Flujo de integración continua</w:t>
      </w:r>
    </w:p>
    <w:p>
      <w:pPr>
        <w:spacing w:after="120"/>
      </w:pPr>
      <w:r>
        <w:t xml:space="preserve">El workflow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.github/workflows/ci.yml</w:t>
      </w:r>
      <w:r>
        <w:t xml:space="preserve"> se ejecuta en cada push a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main</w:t>
      </w:r>
      <w:r>
        <w:t xml:space="preserve"> y en cada pull request hacia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main</w:t>
      </w:r>
      <w:r>
        <w:t xml:space="preserve">. El repositorio tiene ocho proyectos Maven independientes, por eso se usa una </w:t>
      </w:r>
      <w:r>
        <w:rPr>
          <w:b/>
          <w:bCs/>
        </w:rPr>
        <w:t xml:space="preserve">matriz</w:t>
      </w:r>
      <w:r>
        <w:t xml:space="preserve"> con un job por proyecto. Cada job realiza los pasos del ejemplo del §25.4: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Descargar el código (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actions/checkout@v4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Configurar Java 21 temurin con caché de Maven (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actions/setup-java@v4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Dar permiso de ejecución a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mvnw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Ejecutar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./mvnw --batch-mode verify</w:t>
      </w:r>
      <w:r>
        <w:t xml:space="preserve">, que compila, ejecuta las pruebas y empaqueta.</w:t>
      </w:r>
    </w:p>
    <w:p>
      <w:pPr>
        <w:spacing w:after="120"/>
      </w:pPr>
      <w:r>
        <w:t xml:space="preserve">Con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fail-fast: false</w:t>
      </w:r>
      <w:r>
        <w:t xml:space="preserve">, si un proyecto falla los demás terminan igual y se ve exactamente cuál falló.</w:t>
      </w:r>
    </w:p>
    <w:p>
      <w:pPr>
        <w:spacing w:after="120"/>
      </w:pPr>
      <w:r>
        <w:rPr>
          <w:b/>
          <w:bCs/>
        </w:rPr>
        <w:t xml:space="preserve">Qué ocurre cuando algo falla.</w:t>
      </w:r>
      <w:r>
        <w:t xml:space="preserve"> Si la compilación o una prueba falla, Maven termina con un código de salida distinto de cero, el job queda en rojo y el pull request muestra el check fallido. Para impedir que se integre un cambio defectuoso se puede activar en GitHub una regla de protección de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main</w:t>
      </w:r>
      <w:r>
        <w:t xml:space="preserve"> que exija que los checks pasen antes del merge.</w:t>
      </w:r>
    </w:p>
    <w:p>
      <w:pPr>
        <w:spacing w:after="120"/>
      </w:pPr>
      <w:r>
        <w:rPr>
          <w:b/>
          <w:bCs/>
        </w:rPr>
        <w:t xml:space="preserve">Ejecuciones realizadas.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46"/>
        <w:gridCol w:w="3302"/>
        <w:gridCol w:w="4190"/>
      </w:tblGrid>
      <w:tr>
        <w:trPr>
          <w:tblHeader/>
        </w:trPr>
        <w:tc>
          <w:tcPr>
            <w:tcW w:type="dxa" w:w="214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Ejecución</w:t>
            </w:r>
          </w:p>
        </w:tc>
        <w:tc>
          <w:tcPr>
            <w:tcW w:type="dxa" w:w="330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Evento</w:t>
            </w:r>
          </w:p>
        </w:tc>
        <w:tc>
          <w:tcPr>
            <w:tcW w:type="dxa" w:w="419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shd w:fill="DB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Resultado</w:t>
            </w:r>
          </w:p>
        </w:tc>
      </w:tr>
      <w:tr>
        <w:trPr>
          <w:tblHeader w:val="off"/>
        </w:trPr>
        <w:tc>
          <w:tcPr>
            <w:tcW w:type="dxa" w:w="214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Run 38103043089</w:t>
            </w:r>
          </w:p>
        </w:tc>
        <w:tc>
          <w:tcPr>
            <w:tcW w:type="dxa" w:w="330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Push inicial a main</w:t>
            </w:r>
          </w:p>
        </w:tc>
        <w:tc>
          <w:tcPr>
            <w:tcW w:type="dxa" w:w="419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Verde, 8 jobs</w:t>
            </w:r>
          </w:p>
        </w:tc>
      </w:tr>
      <w:tr>
        <w:trPr>
          <w:tblHeader w:val="off"/>
        </w:trPr>
        <w:tc>
          <w:tcPr>
            <w:tcW w:type="dxa" w:w="214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Run 38103389478</w:t>
            </w:r>
          </w:p>
        </w:tc>
        <w:tc>
          <w:tcPr>
            <w:tcW w:type="dxa" w:w="330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 #1, commit 68bba09 (respuesta de duplicado cambiada a 400)</w:t>
            </w:r>
          </w:p>
        </w:tc>
        <w:tc>
          <w:tcPr>
            <w:tcW w:type="dxa" w:w="419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Rojo: falla build-test (pacientes), prueba RechazarDocumentoDuplicado</w:t>
            </w:r>
          </w:p>
        </w:tc>
      </w:tr>
      <w:tr>
        <w:trPr>
          <w:tblHeader w:val="off"/>
        </w:trPr>
        <w:tc>
          <w:tcPr>
            <w:tcW w:type="dxa" w:w="214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Run 38103506117</w:t>
            </w:r>
          </w:p>
        </w:tc>
        <w:tc>
          <w:tcPr>
            <w:tcW w:type="dxa" w:w="330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PR #1, commit a5e0fd2 (respuesta 409 restaurada)</w:t>
            </w:r>
          </w:p>
        </w:tc>
        <w:tc>
          <w:tcPr>
            <w:tcW w:type="dxa" w:w="419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Verde, 8 jobs</w:t>
            </w:r>
          </w:p>
        </w:tc>
      </w:tr>
      <w:tr>
        <w:trPr>
          <w:tblHeader w:val="off"/>
        </w:trPr>
        <w:tc>
          <w:tcPr>
            <w:tcW w:type="dxa" w:w="2146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Run 38103640315</w:t>
            </w:r>
          </w:p>
        </w:tc>
        <w:tc>
          <w:tcPr>
            <w:tcW w:type="dxa" w:w="3302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Merge del PR #1 a main</w:t>
            </w:r>
          </w:p>
        </w:tc>
        <w:tc>
          <w:tcPr>
            <w:tcW w:type="dxa" w:w="4190"/>
            <w:tcBorders>
              <w:top w:val="single" w:color="B0BEC5" w:sz="4"/>
              <w:left w:val="single" w:color="B0BEC5" w:sz="4"/>
              <w:bottom w:val="single" w:color="B0BEC5" w:sz="4"/>
              <w:right w:val="single" w:color="B0BEC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Verde, 8 jobs</w:t>
            </w:r>
          </w:p>
        </w:tc>
      </w:tr>
    </w:tbl>
    <w:p>
      <w:pPr>
        <w:spacing w:after="80" w:before="0"/>
      </w:pPr>
    </w:p>
    <w:p>
      <w:pPr>
        <w:pStyle w:val="Heading1"/>
        <w:keepNext/>
      </w:pPr>
      <w:r>
        <w:t xml:space="preserve">12. Seguridad y datos de prueba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Todos los datos son ficticios: documentos 9000000x, correos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@correo.test</w:t>
      </w:r>
      <w:r>
        <w:t xml:space="preserve">, motivos administrativos sin información clínica.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hay contraseñas en el repositorio: se usan las variables de entorno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DB_USERNAME</w:t>
      </w:r>
      <w:r>
        <w:t xml:space="preserve">,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DB_PASSWORD</w:t>
      </w:r>
      <w:r>
        <w:t xml:space="preserve">,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RABBITMQ_USERNAME</w:t>
      </w:r>
      <w:r>
        <w:t xml:space="preserve"> y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RABBITMQ_PASSWORD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mensajes de notificación y los logs solo contienen identificadores, no nombres ni documentos.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.gitignore</w:t>
      </w:r>
      <w:r>
        <w:t xml:space="preserve"> excluye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target/</w:t>
      </w:r>
      <w:r>
        <w:t xml:space="preserve">, logs y archivos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.env</w:t>
      </w:r>
      <w:r>
        <w:t xml:space="preserve">.</w:t>
      </w:r>
    </w:p>
    <w:p>
      <w:pPr>
        <w:pStyle w:val="Heading1"/>
        <w:keepNext/>
      </w:pPr>
      <w:r>
        <w:t xml:space="preserve">13. Instrucciones de ejecución y pruebas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Requisitos: Java 21, MySQL 8 y RabbitMQ con el plugin de administración.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Ejecutar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script/hospital.sql</w:t>
      </w:r>
      <w:r>
        <w:t xml:space="preserve"> en MySQL.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En cada terminal, definir la contraseña de MySQL: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$env:DB_PASSWORD = "tu_clave"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Arrancar en este orden con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mvnw.cmd spring-boot:run</w:t>
      </w:r>
      <w:r>
        <w:t xml:space="preserve">: eureka-server, gateway, y luego pacientes, citas, atenciones, notificaciones, auditoria y pagos.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Importar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postman/Hospital_Vida_Salud.json</w:t>
      </w:r>
      <w:r>
        <w:t xml:space="preserve"> en Postman y ejecutar la colección en orden.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Pruebas automatizadas: en la carpeta de un servicio, ejecutar </w:t>
      </w:r>
      <w:r>
        <w:rPr>
          <w:rFonts w:ascii="Consolas" w:cs="Consolas" w:eastAsia="Consolas" w:hAnsi="Consolas"/>
          <w:color w:val="37474F"/>
          <w:sz w:val="19"/>
          <w:szCs w:val="19"/>
        </w:rPr>
        <w:t xml:space="preserve">mvnw.cmd verify</w:t>
      </w:r>
      <w:r>
        <w:t xml:space="preserve">.</w:t>
      </w:r>
    </w:p>
    <w:p>
      <w:pPr>
        <w:pStyle w:val="Heading1"/>
        <w:keepNext/>
      </w:pPr>
      <w:r>
        <w:t xml:space="preserve">14. Limitaciones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hay transacciones distribuidas: si citas marca una cita como ATENDIDA y luego falla el guardado de la atención, quedarían inconsistentes. El riesgo es bajo porque el guardado es local.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RabbitMQ no está disponible, la cita se guarda y el evento se pierde (queda en el log).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auditoría no puede guardar un evento, el error queda en el log y ese registro se pierde.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notificaciones se guardan en memoria y se pierden al reiniciar el servicio.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se implementó autenticación en el gateway.</w:t>
      </w:r>
    </w:p>
    <w:sectPr>
      <w:headerReference w:type="default" r:id="rId18"/>
      <w:footerReference w:type="default" r:id="rId1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0A4AE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0A4AE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0A4AE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0A4AE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0A4AE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0A4AE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0A4AE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0A4AE"/>
        <w:sz w:val="16"/>
        <w:szCs w:val="16"/>
      </w:rPr>
      <w:t xml:space="preserve">Hospital Vida Salud · DAW II · T2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0A4AE"/>
        <w:sz w:val="16"/>
        <w:szCs w:val="16"/>
      </w:rPr>
      <w:t xml:space="preserve">Hospital Vida Salud · DAW II · T2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0A4AE"/>
        <w:sz w:val="16"/>
        <w:szCs w:val="16"/>
      </w:rPr>
      <w:t xml:space="preserve">Hospital Vida Salud · DAW II · T2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0A4AE"/>
        <w:sz w:val="16"/>
        <w:szCs w:val="16"/>
      </w:rPr>
      <w:t xml:space="preserve">Hospital Vida Salud · DAW II · T2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0A4AE"/>
        <w:sz w:val="16"/>
        <w:szCs w:val="16"/>
      </w:rPr>
      <w:t xml:space="preserve">Hospital Vida Salud · DAW II · T2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0A4AE"/>
        <w:sz w:val="16"/>
        <w:szCs w:val="16"/>
      </w:rPr>
      <w:t xml:space="preserve">Hospital Vida Salud · DAW II · T2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0A4AE"/>
        <w:sz w:val="16"/>
        <w:szCs w:val="16"/>
      </w:rPr>
      <w:t xml:space="preserve">Hospital Vida Salud · DAW II · T2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90A4AE" w:sz="6" w:space="4"/>
      </w:pBdr>
      <w:spacing w:after="140" w:before="32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b/>
      <w:bCs/>
      <w:color w:val="2E7D32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theme" Target="theme/theme1.xml"/><Relationship Id="rIdqqcj9_37gfic0k-loabnu" Type="http://schemas.openxmlformats.org/officeDocument/2006/relationships/hyperlink" Target="https://github.com/Ranort19/EL2_Ortiz_Quintana_Randy_DAWII" TargetMode="External"/><Relationship Id="rId22" Type="http://schemas.openxmlformats.org/officeDocument/2006/relationships/image" Target="media/55b3548f6294e4276821440510d237b544867e53.png"/><Relationship Id="rId23" Type="http://schemas.openxmlformats.org/officeDocument/2006/relationships/image" Target="media/7fa5bab6cf2238aa2e3cb822caf4310d2d60bbf5.png"/><Relationship Id="rId24" Type="http://schemas.openxmlformats.org/officeDocument/2006/relationships/image" Target="media/e1d8e0ab16aad815581397e19038412c2e421a3a.png"/><Relationship Id="rId25" Type="http://schemas.openxmlformats.org/officeDocument/2006/relationships/image" Target="media/8d59f438914d1de2d51dfd3a0bd75974c2dc9d89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técnico · Hospital Vida Salud</dc:title>
  <dc:creator>Ortiz Quintana, Randy</dc:creator>
  <cp:lastModifiedBy>Un-named</cp:lastModifiedBy>
  <cp:revision>1</cp:revision>
  <dcterms:created xsi:type="dcterms:W3CDTF">2026-10-11T02:23:22.947Z</dcterms:created>
  <dcterms:modified xsi:type="dcterms:W3CDTF">2026-10-11T02:23:22.948Z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