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Database Administrator (Senior)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7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Database Administrator memusatkan pekerjaan bulan keempat pada keberlanjutan penyimpanan data yang melayani aplikasi v2, penataan akses, serta dokumentasi operasi. Struktur lake house yang telah dibangun menjadi landasan bagi penambahan sumber dan tampilan statistik September.</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struktur basis data statistik pariwisata pada platform Database (logical &amp; physical data model);</w:t>
      </w:r>
    </w:p>
    <w:p>
      <w:pPr>
        <w:spacing w:after="60" w:line="269" w:lineRule="auto"/>
        <w:ind w:left="510"/>
      </w:pPr>
      <w:r>
        <w:rPr>
          <w:rFonts w:ascii="Arial" w:hAnsi="Arial"/>
          <w:b/>
          <w:sz w:val="22"/>
        </w:rPr>
        <w:t xml:space="preserve">b.  </w:t>
      </w:r>
      <w:r>
        <w:rPr>
          <w:rFonts w:ascii="Arial" w:hAnsi="Arial"/>
          <w:color w:val="1A1A1A"/>
          <w:sz w:val="22"/>
        </w:rPr>
        <w:t>Menyusun skema tabel, indeks, constraint, view, dan partisi sesuai kebutuhan analitik;</w:t>
      </w:r>
    </w:p>
    <w:p>
      <w:pPr>
        <w:spacing w:after="60" w:line="269" w:lineRule="auto"/>
        <w:ind w:left="510"/>
      </w:pPr>
      <w:r>
        <w:rPr>
          <w:rFonts w:ascii="Arial" w:hAnsi="Arial"/>
          <w:b/>
          <w:sz w:val="22"/>
        </w:rPr>
        <w:t xml:space="preserve">c.  </w:t>
      </w:r>
      <w:r>
        <w:rPr>
          <w:rFonts w:ascii="Arial" w:hAnsi="Arial"/>
          <w:color w:val="1A1A1A"/>
          <w:sz w:val="22"/>
        </w:rPr>
        <w:t>Melaksanakan loading data hasil pengumpulan, pembersihan, dan validasi ke dalam Database;</w:t>
      </w:r>
    </w:p>
    <w:p>
      <w:pPr>
        <w:spacing w:after="60" w:line="269" w:lineRule="auto"/>
        <w:ind w:left="510"/>
      </w:pPr>
      <w:r>
        <w:rPr>
          <w:rFonts w:ascii="Arial" w:hAnsi="Arial"/>
          <w:b/>
          <w:sz w:val="22"/>
        </w:rPr>
        <w:t xml:space="preserve">d.  </w:t>
      </w:r>
      <w:r>
        <w:rPr>
          <w:rFonts w:ascii="Arial" w:hAnsi="Arial"/>
          <w:color w:val="1A1A1A"/>
          <w:sz w:val="22"/>
        </w:rPr>
        <w:t>Melakukan optimasi kinerja basis data (query tuning, indexing, statistik, partitioning);</w:t>
      </w:r>
    </w:p>
    <w:p>
      <w:pPr>
        <w:spacing w:after="60" w:line="269" w:lineRule="auto"/>
        <w:ind w:left="510"/>
      </w:pPr>
      <w:r>
        <w:rPr>
          <w:rFonts w:ascii="Arial" w:hAnsi="Arial"/>
          <w:b/>
          <w:sz w:val="22"/>
        </w:rPr>
        <w:t xml:space="preserve">e.  </w:t>
      </w:r>
      <w:r>
        <w:rPr>
          <w:rFonts w:ascii="Arial" w:hAnsi="Arial"/>
          <w:color w:val="1A1A1A"/>
          <w:sz w:val="22"/>
        </w:rPr>
        <w:t>Menyusun tata kelola akses dan keamanan basis data (role, privilege, audit trail);</w:t>
      </w:r>
    </w:p>
    <w:p>
      <w:pPr>
        <w:spacing w:after="60" w:line="269" w:lineRule="auto"/>
        <w:ind w:left="510"/>
      </w:pPr>
      <w:r>
        <w:rPr>
          <w:rFonts w:ascii="Arial" w:hAnsi="Arial"/>
          <w:b/>
          <w:sz w:val="22"/>
        </w:rPr>
        <w:t xml:space="preserve">f.  </w:t>
      </w:r>
      <w:r>
        <w:rPr>
          <w:rFonts w:ascii="Arial" w:hAnsi="Arial"/>
          <w:color w:val="1A1A1A"/>
          <w:sz w:val="22"/>
        </w:rPr>
        <w:t>Menyusun pedoman backup, recovery, dan pemeliharaan basis data;</w:t>
      </w:r>
    </w:p>
    <w:p>
      <w:pPr>
        <w:spacing w:after="60" w:line="269" w:lineRule="auto"/>
        <w:ind w:left="510"/>
      </w:pPr>
      <w:r>
        <w:rPr>
          <w:rFonts w:ascii="Arial" w:hAnsi="Arial"/>
          <w:b/>
          <w:sz w:val="22"/>
        </w:rPr>
        <w:t xml:space="preserve">g.  </w:t>
      </w:r>
      <w:r>
        <w:rPr>
          <w:rFonts w:ascii="Arial" w:hAnsi="Arial"/>
          <w:color w:val="1A1A1A"/>
          <w:sz w:val="22"/>
        </w:rPr>
        <w:t>Mendokumentasikan basis data (ERD, kamus tabel, panduan operasional).</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Realisasi peran ini didukung dokumentasi pengoperasian dan pelepasan aplikasi yang diperbarui pada September, serta pemeriksaan inventaris dan isi mart. Keberhasilan pencadangan atau pemulihan tidak dinyatakan tanpa uji yang dapat diperiksa.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Struktur basis data statistik</w:t>
            </w:r>
          </w:p>
        </w:tc>
        <w:tc>
          <w:tcPr>
            <w:tcW w:type="dxa" w:w="5102"/>
          </w:tcPr>
          <w:p>
            <w:r/>
            <w:r>
              <w:rPr>
                <w:rFonts w:ascii="Arial" w:hAnsi="Arial"/>
                <w:b w:val="0"/>
                <w:color w:val="1A1A1A"/>
                <w:sz w:val="19"/>
              </w:rPr>
              <w:t>Menjaga pemisahan data mentah, tampilan data bersih, dan mart penyaji sebagai jalur pembacaan aplikasi. Inventaris saat verifikasi membedakan tabel data, metadata, dan tabel persiapan.</w:t>
            </w:r>
          </w:p>
        </w:tc>
      </w:tr>
      <w:tr>
        <w:trPr>
          <w:cantSplit/>
        </w:trPr>
        <w:tc>
          <w:tcPr>
            <w:tcW w:type="dxa" w:w="3742"/>
          </w:tcPr>
          <w:p>
            <w:r/>
            <w:r>
              <w:rPr>
                <w:rFonts w:ascii="Arial" w:hAnsi="Arial"/>
                <w:b w:val="0"/>
                <w:color w:val="1A1A1A"/>
                <w:sz w:val="19"/>
              </w:rPr>
              <w:t>Skema dan pemuatan data</w:t>
            </w:r>
          </w:p>
        </w:tc>
        <w:tc>
          <w:tcPr>
            <w:tcW w:type="dxa" w:w="5102"/>
          </w:tcPr>
          <w:p>
            <w:r/>
            <w:r>
              <w:rPr>
                <w:rFonts w:ascii="Arial" w:hAnsi="Arial"/>
                <w:b w:val="0"/>
                <w:color w:val="1A1A1A"/>
                <w:sz w:val="19"/>
              </w:rPr>
              <w:t>Menelusuri tersedianya tampilan data baru untuk statistik wisatawan nusantara dan tenaga kerja ekonomi kreatif, serta memastikan periode datanya terbaca pada rekap.</w:t>
            </w:r>
          </w:p>
        </w:tc>
      </w:tr>
      <w:tr>
        <w:trPr>
          <w:cantSplit/>
        </w:trPr>
        <w:tc>
          <w:tcPr>
            <w:tcW w:type="dxa" w:w="3742"/>
          </w:tcPr>
          <w:p>
            <w:r/>
            <w:r>
              <w:rPr>
                <w:rFonts w:ascii="Arial" w:hAnsi="Arial"/>
                <w:b w:val="0"/>
                <w:color w:val="1A1A1A"/>
                <w:sz w:val="19"/>
              </w:rPr>
              <w:t>Kinerja dan akses basis data</w:t>
            </w:r>
          </w:p>
        </w:tc>
        <w:tc>
          <w:tcPr>
            <w:tcW w:type="dxa" w:w="5102"/>
          </w:tcPr>
          <w:p>
            <w:r/>
            <w:r>
              <w:rPr>
                <w:rFonts w:ascii="Arial" w:hAnsi="Arial"/>
                <w:b w:val="0"/>
                <w:color w:val="1A1A1A"/>
                <w:sz w:val="19"/>
              </w:rPr>
              <w:t>Mempertahankan pemisahan akun aplikasi hanya-baca dari akses operator sebagaimana panduan operasional. Verifikasi laporan menggunakan pembacaan data tanpa perubahan pada server.</w:t>
            </w:r>
          </w:p>
        </w:tc>
      </w:tr>
      <w:tr>
        <w:trPr>
          <w:cantSplit/>
        </w:trPr>
        <w:tc>
          <w:tcPr>
            <w:tcW w:type="dxa" w:w="3742"/>
          </w:tcPr>
          <w:p>
            <w:r/>
            <w:r>
              <w:rPr>
                <w:rFonts w:ascii="Arial" w:hAnsi="Arial"/>
                <w:b w:val="0"/>
                <w:color w:val="1A1A1A"/>
                <w:sz w:val="19"/>
              </w:rPr>
              <w:t>Pedoman operasi dan pemulihan</w:t>
            </w:r>
          </w:p>
        </w:tc>
        <w:tc>
          <w:tcPr>
            <w:tcW w:type="dxa" w:w="5102"/>
          </w:tcPr>
          <w:p>
            <w:r/>
            <w:r>
              <w:rPr>
                <w:rFonts w:ascii="Arial" w:hAnsi="Arial"/>
                <w:b w:val="0"/>
                <w:color w:val="1A1A1A"/>
                <w:sz w:val="19"/>
              </w:rPr>
              <w:t>Memperbarui rujukan handover dan runbook deploy yang tercatat pada September. Kesiapan uji pemulihan dicatat sebagai pekerjaan lanjutan, tanpa mengklaim keberhasilan pemulihan bulan ini.</w:t>
            </w:r>
          </w:p>
        </w:tc>
      </w:tr>
      <w:tr>
        <w:trPr>
          <w:cantSplit/>
        </w:trPr>
        <w:tc>
          <w:tcPr>
            <w:tcW w:type="dxa" w:w="3742"/>
          </w:tcPr>
          <w:p>
            <w:r/>
            <w:r>
              <w:rPr>
                <w:rFonts w:ascii="Arial" w:hAnsi="Arial"/>
                <w:b w:val="0"/>
                <w:color w:val="1A1A1A"/>
                <w:sz w:val="19"/>
              </w:rPr>
              <w:t>Dokumentasi basis data</w:t>
            </w:r>
          </w:p>
        </w:tc>
        <w:tc>
          <w:tcPr>
            <w:tcW w:type="dxa" w:w="5102"/>
          </w:tcPr>
          <w:p>
            <w:r/>
            <w:r>
              <w:rPr>
                <w:rFonts w:ascii="Arial" w:hAnsi="Arial"/>
                <w:b w:val="0"/>
                <w:color w:val="1A1A1A"/>
                <w:sz w:val="19"/>
              </w:rPr>
              <w:t>Menyajikan inventaris lapisan dan daftar mart disertai sumber kueri; mart historis wisatawan mancanegara diberi keterangan tahun 2014 agar tidak disalahgunakan sebagai data terbaru.</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Tabel berikut berasal dari pembacaan inventaris dan isi mart pada 2 Oktober 2026. Jumlah objek saat pemeriksaan tidak diperlakukan sebagai inventaris per 30 September. Diagram model fisik, relasi mart, dan kamus tabel audit disusun dari definisi tabel pada gudang data saat pemeriksaan 9 Oktober 2026 dan hanya memuat struktur, bukan jumlah baris. Dokumentasi operasi ditampilkan pada versi yang tercatat 17 September 2026.</w:t>
      </w:r>
    </w:p>
    <w:p>
      <w:pPr>
        <w:spacing w:after="60" w:before="80" w:line="276" w:lineRule="auto"/>
        <w:jc w:val="left"/>
      </w:pPr>
      <w:r>
        <w:rPr>
          <w:rFonts w:ascii="Arial" w:hAnsi="Arial"/>
          <w:b/>
          <w:i w:val="0"/>
          <w:color w:val="1A1A1A"/>
          <w:sz w:val="21"/>
        </w:rPr>
        <w:t>Struktur penyimpanan data: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rPr>
          <w:cantSplit/>
          <w:tblHeader/>
        </w:trPr>
        <w:tc>
          <w:tcPr>
            <w:tcW w:type="dxa" w:w="1701"/>
            <w:shd w:val="clear" w:color="auto" w:fill="d9d9d9"/>
          </w:tcPr>
          <w:p>
            <w:r/>
            <w:r>
              <w:rPr>
                <w:rFonts w:ascii="Arial" w:hAnsi="Arial"/>
                <w:b/>
                <w:color w:val="1A1A1A"/>
                <w:sz w:val="17"/>
              </w:rPr>
              <w:t>Lapisan</w:t>
            </w:r>
          </w:p>
        </w:tc>
        <w:tc>
          <w:tcPr>
            <w:tcW w:type="dxa" w:w="1984"/>
            <w:shd w:val="clear" w:color="auto" w:fill="d9d9d9"/>
          </w:tcPr>
          <w:p>
            <w:r/>
            <w:r>
              <w:rPr>
                <w:rFonts w:ascii="Arial" w:hAnsi="Arial"/>
                <w:b/>
                <w:color w:val="1A1A1A"/>
                <w:sz w:val="17"/>
              </w:rPr>
              <w:t>Bentuk penyimpanan</w:t>
            </w:r>
          </w:p>
        </w:tc>
        <w:tc>
          <w:tcPr>
            <w:tcW w:type="dxa" w:w="3458"/>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1701"/>
          </w:tcPr>
          <w:p>
            <w:r/>
            <w:r>
              <w:rPr>
                <w:rFonts w:ascii="Arial" w:hAnsi="Arial"/>
                <w:b w:val="0"/>
                <w:color w:val="1A1A1A"/>
                <w:sz w:val="17"/>
              </w:rPr>
              <w:t>Data mentah</w:t>
            </w:r>
          </w:p>
        </w:tc>
        <w:tc>
          <w:tcPr>
            <w:tcW w:type="dxa" w:w="1984"/>
          </w:tcPr>
          <w:p>
            <w:r/>
            <w:r>
              <w:rPr>
                <w:rFonts w:ascii="Arial" w:hAnsi="Arial"/>
                <w:b w:val="0"/>
                <w:color w:val="1A1A1A"/>
                <w:sz w:val="17"/>
              </w:rPr>
              <w:t>Format terbuka Apache Iceberg</w:t>
            </w:r>
          </w:p>
        </w:tc>
        <w:tc>
          <w:tcPr>
            <w:tcW w:type="dxa" w:w="3458"/>
          </w:tcPr>
          <w:p>
            <w:r/>
            <w:r>
              <w:rPr>
                <w:rFonts w:ascii="Arial" w:hAnsi="Arial"/>
                <w:b w:val="0"/>
                <w:color w:val="1A1A1A"/>
                <w:sz w:val="17"/>
              </w:rPr>
              <w:t>Tabel data primer, berkas, dan sekunder; tidak termasuk metadata</w:t>
            </w:r>
          </w:p>
        </w:tc>
        <w:tc>
          <w:tcPr>
            <w:tcW w:type="dxa" w:w="1701"/>
          </w:tcPr>
          <w:p>
            <w:r/>
            <w:r>
              <w:rPr>
                <w:rFonts w:ascii="Arial" w:hAnsi="Arial"/>
                <w:b w:val="0"/>
                <w:color w:val="1A1A1A"/>
                <w:sz w:val="17"/>
              </w:rPr>
              <w:t>227 tabel data</w:t>
            </w:r>
          </w:p>
        </w:tc>
      </w:tr>
      <w:tr>
        <w:trPr>
          <w:cantSplit/>
        </w:trPr>
        <w:tc>
          <w:tcPr>
            <w:tcW w:type="dxa" w:w="1701"/>
          </w:tcPr>
          <w:p>
            <w:r/>
            <w:r>
              <w:rPr>
                <w:rFonts w:ascii="Arial" w:hAnsi="Arial"/>
                <w:b w:val="0"/>
                <w:color w:val="1A1A1A"/>
                <w:sz w:val="17"/>
              </w:rPr>
              <w:t>Metadata mentah</w:t>
            </w:r>
          </w:p>
        </w:tc>
        <w:tc>
          <w:tcPr>
            <w:tcW w:type="dxa" w:w="1984"/>
          </w:tcPr>
          <w:p>
            <w:r/>
            <w:r>
              <w:rPr>
                <w:rFonts w:ascii="Arial" w:hAnsi="Arial"/>
                <w:b w:val="0"/>
                <w:color w:val="1A1A1A"/>
                <w:sz w:val="17"/>
              </w:rPr>
              <w:t>Tabel pendukung</w:t>
            </w:r>
          </w:p>
        </w:tc>
        <w:tc>
          <w:tcPr>
            <w:tcW w:type="dxa" w:w="3458"/>
          </w:tcPr>
          <w:p>
            <w:r/>
            <w:r>
              <w:rPr>
                <w:rFonts w:ascii="Arial" w:hAnsi="Arial"/>
                <w:b w:val="0"/>
                <w:color w:val="1A1A1A"/>
                <w:sz w:val="17"/>
              </w:rPr>
              <w:t>Metadata sumber; dihitung terpisah dari tabel data</w:t>
            </w:r>
          </w:p>
        </w:tc>
        <w:tc>
          <w:tcPr>
            <w:tcW w:type="dxa" w:w="1701"/>
          </w:tcPr>
          <w:p>
            <w:r/>
            <w:r>
              <w:rPr>
                <w:rFonts w:ascii="Arial" w:hAnsi="Arial"/>
                <w:b w:val="0"/>
                <w:color w:val="1A1A1A"/>
                <w:sz w:val="17"/>
              </w:rPr>
              <w:t>6 tabel</w:t>
            </w:r>
          </w:p>
        </w:tc>
      </w:tr>
      <w:tr>
        <w:trPr>
          <w:cantSplit/>
        </w:trPr>
        <w:tc>
          <w:tcPr>
            <w:tcW w:type="dxa" w:w="1701"/>
          </w:tcPr>
          <w:p>
            <w:r/>
            <w:r>
              <w:rPr>
                <w:rFonts w:ascii="Arial" w:hAnsi="Arial"/>
                <w:b w:val="0"/>
                <w:color w:val="1A1A1A"/>
                <w:sz w:val="17"/>
              </w:rPr>
              <w:t>Data bersih</w:t>
            </w:r>
          </w:p>
        </w:tc>
        <w:tc>
          <w:tcPr>
            <w:tcW w:type="dxa" w:w="1984"/>
          </w:tcPr>
          <w:p>
            <w:r/>
            <w:r>
              <w:rPr>
                <w:rFonts w:ascii="Arial" w:hAnsi="Arial"/>
                <w:b w:val="0"/>
                <w:color w:val="1A1A1A"/>
                <w:sz w:val="17"/>
              </w:rPr>
              <w:t>Tampilan dan tabel bertipe</w:t>
            </w:r>
          </w:p>
        </w:tc>
        <w:tc>
          <w:tcPr>
            <w:tcW w:type="dxa" w:w="3458"/>
          </w:tcPr>
          <w:p>
            <w:r/>
            <w:r>
              <w:rPr>
                <w:rFonts w:ascii="Arial" w:hAnsi="Arial"/>
                <w:b w:val="0"/>
                <w:color w:val="1A1A1A"/>
                <w:sz w:val="17"/>
              </w:rPr>
              <w:t>Tampilan bersih serta tabel pendukung di silver</w:t>
            </w:r>
          </w:p>
        </w:tc>
        <w:tc>
          <w:tcPr>
            <w:tcW w:type="dxa" w:w="1701"/>
          </w:tcPr>
          <w:p>
            <w:r/>
            <w:r>
              <w:rPr>
                <w:rFonts w:ascii="Arial" w:hAnsi="Arial"/>
                <w:b w:val="0"/>
                <w:color w:val="1A1A1A"/>
                <w:sz w:val="17"/>
              </w:rPr>
              <w:t>232 tampilan + 4 tabel</w:t>
            </w:r>
          </w:p>
        </w:tc>
      </w:tr>
      <w:tr>
        <w:trPr>
          <w:cantSplit/>
        </w:trPr>
        <w:tc>
          <w:tcPr>
            <w:tcW w:type="dxa" w:w="1701"/>
          </w:tcPr>
          <w:p>
            <w:r/>
            <w:r>
              <w:rPr>
                <w:rFonts w:ascii="Arial" w:hAnsi="Arial"/>
                <w:b w:val="0"/>
                <w:color w:val="1A1A1A"/>
                <w:sz w:val="17"/>
              </w:rPr>
              <w:t>Mart penyaji</w:t>
            </w:r>
          </w:p>
        </w:tc>
        <w:tc>
          <w:tcPr>
            <w:tcW w:type="dxa" w:w="1984"/>
          </w:tcPr>
          <w:p>
            <w:r/>
            <w:r>
              <w:rPr>
                <w:rFonts w:ascii="Arial" w:hAnsi="Arial"/>
                <w:b w:val="0"/>
                <w:color w:val="1A1A1A"/>
                <w:sz w:val="17"/>
              </w:rPr>
              <w:t>Tabel agregat</w:t>
            </w:r>
          </w:p>
        </w:tc>
        <w:tc>
          <w:tcPr>
            <w:tcW w:type="dxa" w:w="3458"/>
          </w:tcPr>
          <w:p>
            <w:r/>
            <w:r>
              <w:rPr>
                <w:rFonts w:ascii="Arial" w:hAnsi="Arial"/>
                <w:b w:val="0"/>
                <w:color w:val="1A1A1A"/>
                <w:sz w:val="17"/>
              </w:rPr>
              <w:t>Mart operasional; tabel berakhiran _baru tidak dihitung</w:t>
            </w:r>
          </w:p>
        </w:tc>
        <w:tc>
          <w:tcPr>
            <w:tcW w:type="dxa" w:w="1701"/>
          </w:tcPr>
          <w:p>
            <w:r/>
            <w:r>
              <w:rPr>
                <w:rFonts w:ascii="Arial" w:hAnsi="Arial"/>
                <w:b w:val="0"/>
                <w:color w:val="1A1A1A"/>
                <w:sz w:val="17"/>
              </w:rPr>
              <w:t>7 mart</w:t>
            </w:r>
          </w:p>
        </w:tc>
      </w:tr>
      <w:tr>
        <w:trPr>
          <w:cantSplit/>
        </w:trPr>
        <w:tc>
          <w:tcPr>
            <w:tcW w:type="dxa" w:w="1701"/>
          </w:tcPr>
          <w:p>
            <w:r/>
            <w:r>
              <w:rPr>
                <w:rFonts w:ascii="Arial" w:hAnsi="Arial"/>
                <w:b w:val="0"/>
                <w:color w:val="1A1A1A"/>
                <w:sz w:val="17"/>
              </w:rPr>
              <w:t>Persiapan penyaji</w:t>
            </w:r>
          </w:p>
        </w:tc>
        <w:tc>
          <w:tcPr>
            <w:tcW w:type="dxa" w:w="1984"/>
          </w:tcPr>
          <w:p>
            <w:r/>
            <w:r>
              <w:rPr>
                <w:rFonts w:ascii="Arial" w:hAnsi="Arial"/>
                <w:b w:val="0"/>
                <w:color w:val="1A1A1A"/>
                <w:sz w:val="17"/>
              </w:rPr>
              <w:t>Tabel berakhiran _baru</w:t>
            </w:r>
          </w:p>
        </w:tc>
        <w:tc>
          <w:tcPr>
            <w:tcW w:type="dxa" w:w="3458"/>
          </w:tcPr>
          <w:p>
            <w:r/>
            <w:r>
              <w:rPr>
                <w:rFonts w:ascii="Arial" w:hAnsi="Arial"/>
                <w:b w:val="0"/>
                <w:color w:val="1A1A1A"/>
                <w:sz w:val="17"/>
              </w:rPr>
              <w:t>Objek persiapan; dipisahkan dari mart operasional</w:t>
            </w:r>
          </w:p>
        </w:tc>
        <w:tc>
          <w:tcPr>
            <w:tcW w:type="dxa" w:w="1701"/>
          </w:tcPr>
          <w:p>
            <w:r/>
            <w:r>
              <w:rPr>
                <w:rFonts w:ascii="Arial" w:hAnsi="Arial"/>
                <w:b w:val="0"/>
                <w:color w:val="1A1A1A"/>
                <w:sz w:val="17"/>
              </w:rPr>
              <w:t>6 tabel</w:t>
            </w:r>
          </w:p>
        </w:tc>
      </w:tr>
    </w:tbl>
    <w:p>
      <w:pPr>
        <w:spacing w:after="40"/>
      </w:pPr>
    </w:p>
    <w:p>
      <w:pPr>
        <w:spacing w:after="160" w:before="0" w:line="276" w:lineRule="auto"/>
        <w:jc w:val="left"/>
      </w:pPr>
      <w:r>
        <w:rPr>
          <w:rFonts w:ascii="Arial" w:hAnsi="Arial"/>
          <w:b w:val="0"/>
          <w:i/>
          <w:color w:val="555555"/>
          <w:sz w:val="17"/>
        </w:rPr>
        <w:t>Sumber Q1: SHOW TABLES pada lake, silver, serving; SHOW CREATE TABLE pada silver. Snapshot 2 Oktober 2026, bukan inventaris akhir September. Data mentah menghitung bronze_sdi, bronze_file, bronze_sec; metadata dipisah; mart operasional tidak mencakup _baru.</w:t>
      </w:r>
    </w:p>
    <w:p>
      <w:pPr>
        <w:spacing w:after="60" w:before="80" w:line="276" w:lineRule="auto"/>
        <w:jc w:val="left"/>
      </w:pPr>
      <w:r>
        <w:rPr>
          <w:rFonts w:ascii="Arial" w:hAnsi="Arial"/>
          <w:b/>
          <w:i w:val="0"/>
          <w:color w:val="1A1A1A"/>
          <w:sz w:val="21"/>
        </w:rPr>
        <w:t>Mart penyaji dan jumlah baris saat verifikasi: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665"/>
            <w:shd w:val="clear" w:color="auto" w:fill="d9d9d9"/>
          </w:tcPr>
          <w:p>
            <w:r/>
            <w:r>
              <w:rPr>
                <w:rFonts w:ascii="Arial" w:hAnsi="Arial"/>
                <w:b/>
                <w:color w:val="1A1A1A"/>
                <w:sz w:val="17"/>
              </w:rPr>
              <w:t>Mart penyaji</w:t>
            </w:r>
          </w:p>
        </w:tc>
        <w:tc>
          <w:tcPr>
            <w:tcW w:type="dxa" w:w="5046"/>
            <w:shd w:val="clear" w:color="auto" w:fill="d9d9d9"/>
          </w:tcPr>
          <w:p>
            <w:r/>
            <w:r>
              <w:rPr>
                <w:rFonts w:ascii="Arial" w:hAnsi="Arial"/>
                <w:b/>
                <w:color w:val="1A1A1A"/>
                <w:sz w:val="17"/>
              </w:rPr>
              <w:t>Isi / batas penggunaan</w:t>
            </w:r>
          </w:p>
        </w:tc>
        <w:tc>
          <w:tcPr>
            <w:tcW w:type="dxa" w:w="1134"/>
            <w:shd w:val="clear" w:color="auto" w:fill="d9d9d9"/>
          </w:tcPr>
          <w:p>
            <w:r/>
            <w:r>
              <w:rPr>
                <w:rFonts w:ascii="Arial" w:hAnsi="Arial"/>
                <w:b/>
                <w:color w:val="1A1A1A"/>
                <w:sz w:val="17"/>
              </w:rPr>
              <w:t>Baris</w:t>
            </w:r>
          </w:p>
        </w:tc>
      </w:tr>
      <w:tr>
        <w:trPr>
          <w:cantSplit/>
        </w:trPr>
        <w:tc>
          <w:tcPr>
            <w:tcW w:type="dxa" w:w="2665"/>
          </w:tcPr>
          <w:p>
            <w:r/>
            <w:r>
              <w:rPr>
                <w:rFonts w:ascii="Arial" w:hAnsi="Arial"/>
                <w:b w:val="0"/>
                <w:color w:val="1A1A1A"/>
                <w:sz w:val="17"/>
              </w:rPr>
              <w:t>mart_wisman</w:t>
            </w:r>
          </w:p>
        </w:tc>
        <w:tc>
          <w:tcPr>
            <w:tcW w:type="dxa" w:w="5046"/>
          </w:tcPr>
          <w:p>
            <w:r/>
            <w:r>
              <w:rPr>
                <w:rFonts w:ascii="Arial" w:hAnsi="Arial"/>
                <w:b w:val="0"/>
                <w:color w:val="1A1A1A"/>
                <w:sz w:val="17"/>
              </w:rPr>
              <w:t>Arsip kunjungan menurut kawasan; seluruh data tahun 2014</w:t>
            </w:r>
          </w:p>
        </w:tc>
        <w:tc>
          <w:tcPr>
            <w:tcW w:type="dxa" w:w="1134"/>
          </w:tcPr>
          <w:p>
            <w:r/>
            <w:r>
              <w:rPr>
                <w:rFonts w:ascii="Arial" w:hAnsi="Arial"/>
                <w:b w:val="0"/>
                <w:color w:val="1A1A1A"/>
                <w:sz w:val="17"/>
              </w:rPr>
              <w:t>276</w:t>
            </w:r>
          </w:p>
        </w:tc>
      </w:tr>
      <w:tr>
        <w:trPr>
          <w:cantSplit/>
        </w:trPr>
        <w:tc>
          <w:tcPr>
            <w:tcW w:type="dxa" w:w="2665"/>
          </w:tcPr>
          <w:p>
            <w:r/>
            <w:r>
              <w:rPr>
                <w:rFonts w:ascii="Arial" w:hAnsi="Arial"/>
                <w:b w:val="0"/>
                <w:color w:val="1A1A1A"/>
                <w:sz w:val="17"/>
              </w:rPr>
              <w:t>mart_kunjungan_dtw</w:t>
            </w:r>
          </w:p>
        </w:tc>
        <w:tc>
          <w:tcPr>
            <w:tcW w:type="dxa" w:w="5046"/>
          </w:tcPr>
          <w:p>
            <w:r/>
            <w:r>
              <w:rPr>
                <w:rFonts w:ascii="Arial" w:hAnsi="Arial"/>
                <w:b w:val="0"/>
                <w:color w:val="1A1A1A"/>
                <w:sz w:val="17"/>
              </w:rPr>
              <w:t>Kunjungan daya tarik wisata; angka terisi berperiode Juni/Juli 2026, bukan September</w:t>
            </w:r>
          </w:p>
        </w:tc>
        <w:tc>
          <w:tcPr>
            <w:tcW w:type="dxa" w:w="1134"/>
          </w:tcPr>
          <w:p>
            <w:r/>
            <w:r>
              <w:rPr>
                <w:rFonts w:ascii="Arial" w:hAnsi="Arial"/>
                <w:b w:val="0"/>
                <w:color w:val="1A1A1A"/>
                <w:sz w:val="17"/>
              </w:rPr>
              <w:t>35</w:t>
            </w:r>
          </w:p>
        </w:tc>
      </w:tr>
      <w:tr>
        <w:trPr>
          <w:cantSplit/>
        </w:trPr>
        <w:tc>
          <w:tcPr>
            <w:tcW w:type="dxa" w:w="2665"/>
          </w:tcPr>
          <w:p>
            <w:r/>
            <w:r>
              <w:rPr>
                <w:rFonts w:ascii="Arial" w:hAnsi="Arial"/>
                <w:b w:val="0"/>
                <w:color w:val="1A1A1A"/>
                <w:sz w:val="17"/>
              </w:rPr>
              <w:t>mart_gci_readiness</w:t>
            </w:r>
          </w:p>
        </w:tc>
        <w:tc>
          <w:tcPr>
            <w:tcW w:type="dxa" w:w="5046"/>
          </w:tcPr>
          <w:p>
            <w:r/>
            <w:r>
              <w:rPr>
                <w:rFonts w:ascii="Arial" w:hAnsi="Arial"/>
                <w:b w:val="0"/>
                <w:color w:val="1A1A1A"/>
                <w:sz w:val="17"/>
              </w:rPr>
              <w:t>Kesiapan data indikator GCI/GPCI</w:t>
            </w:r>
          </w:p>
        </w:tc>
        <w:tc>
          <w:tcPr>
            <w:tcW w:type="dxa" w:w="1134"/>
          </w:tcPr>
          <w:p>
            <w:r/>
            <w:r>
              <w:rPr>
                <w:rFonts w:ascii="Arial" w:hAnsi="Arial"/>
                <w:b w:val="0"/>
                <w:color w:val="1A1A1A"/>
                <w:sz w:val="17"/>
              </w:rPr>
              <w:t>28</w:t>
            </w:r>
          </w:p>
        </w:tc>
      </w:tr>
      <w:tr>
        <w:trPr>
          <w:cantSplit/>
        </w:trPr>
        <w:tc>
          <w:tcPr>
            <w:tcW w:type="dxa" w:w="2665"/>
          </w:tcPr>
          <w:p>
            <w:r/>
            <w:r>
              <w:rPr>
                <w:rFonts w:ascii="Arial" w:hAnsi="Arial"/>
                <w:b w:val="0"/>
                <w:color w:val="1A1A1A"/>
                <w:sz w:val="17"/>
              </w:rPr>
              <w:t>mart_event</w:t>
            </w:r>
          </w:p>
        </w:tc>
        <w:tc>
          <w:tcPr>
            <w:tcW w:type="dxa" w:w="5046"/>
          </w:tcPr>
          <w:p>
            <w:r/>
            <w:r>
              <w:rPr>
                <w:rFonts w:ascii="Arial" w:hAnsi="Arial"/>
                <w:b w:val="0"/>
                <w:color w:val="1A1A1A"/>
                <w:sz w:val="17"/>
              </w:rPr>
              <w:t>Ringkasan event</w:t>
            </w:r>
          </w:p>
        </w:tc>
        <w:tc>
          <w:tcPr>
            <w:tcW w:type="dxa" w:w="1134"/>
          </w:tcPr>
          <w:p>
            <w:r/>
            <w:r>
              <w:rPr>
                <w:rFonts w:ascii="Arial" w:hAnsi="Arial"/>
                <w:b w:val="0"/>
                <w:color w:val="1A1A1A"/>
                <w:sz w:val="17"/>
              </w:rPr>
              <w:t>9</w:t>
            </w:r>
          </w:p>
        </w:tc>
      </w:tr>
      <w:tr>
        <w:trPr>
          <w:cantSplit/>
        </w:trPr>
        <w:tc>
          <w:tcPr>
            <w:tcW w:type="dxa" w:w="2665"/>
          </w:tcPr>
          <w:p>
            <w:r/>
            <w:r>
              <w:rPr>
                <w:rFonts w:ascii="Arial" w:hAnsi="Arial"/>
                <w:b w:val="0"/>
                <w:color w:val="1A1A1A"/>
                <w:sz w:val="17"/>
              </w:rPr>
              <w:t>mart_kuliner</w:t>
            </w:r>
          </w:p>
        </w:tc>
        <w:tc>
          <w:tcPr>
            <w:tcW w:type="dxa" w:w="5046"/>
          </w:tcPr>
          <w:p>
            <w:r/>
            <w:r>
              <w:rPr>
                <w:rFonts w:ascii="Arial" w:hAnsi="Arial"/>
                <w:b w:val="0"/>
                <w:color w:val="1A1A1A"/>
                <w:sz w:val="17"/>
              </w:rPr>
              <w:t>Ringkasan kuliner</w:t>
            </w:r>
          </w:p>
        </w:tc>
        <w:tc>
          <w:tcPr>
            <w:tcW w:type="dxa" w:w="1134"/>
          </w:tcPr>
          <w:p>
            <w:r/>
            <w:r>
              <w:rPr>
                <w:rFonts w:ascii="Arial" w:hAnsi="Arial"/>
                <w:b w:val="0"/>
                <w:color w:val="1A1A1A"/>
                <w:sz w:val="17"/>
              </w:rPr>
              <w:t>5</w:t>
            </w:r>
          </w:p>
        </w:tc>
      </w:tr>
      <w:tr>
        <w:trPr>
          <w:cantSplit/>
        </w:trPr>
        <w:tc>
          <w:tcPr>
            <w:tcW w:type="dxa" w:w="2665"/>
          </w:tcPr>
          <w:p>
            <w:r/>
            <w:r>
              <w:rPr>
                <w:rFonts w:ascii="Arial" w:hAnsi="Arial"/>
                <w:b w:val="0"/>
                <w:color w:val="1A1A1A"/>
                <w:sz w:val="17"/>
              </w:rPr>
              <w:t>mart_atlas</w:t>
            </w:r>
          </w:p>
        </w:tc>
        <w:tc>
          <w:tcPr>
            <w:tcW w:type="dxa" w:w="5046"/>
          </w:tcPr>
          <w:p>
            <w:r/>
            <w:r>
              <w:rPr>
                <w:rFonts w:ascii="Arial" w:hAnsi="Arial"/>
                <w:b w:val="0"/>
                <w:color w:val="1A1A1A"/>
                <w:sz w:val="17"/>
              </w:rPr>
              <w:t>Ringkasan pendataan lapangan</w:t>
            </w:r>
          </w:p>
        </w:tc>
        <w:tc>
          <w:tcPr>
            <w:tcW w:type="dxa" w:w="1134"/>
          </w:tcPr>
          <w:p>
            <w:r/>
            <w:r>
              <w:rPr>
                <w:rFonts w:ascii="Arial" w:hAnsi="Arial"/>
                <w:b w:val="0"/>
                <w:color w:val="1A1A1A"/>
                <w:sz w:val="17"/>
              </w:rPr>
              <w:t>4</w:t>
            </w:r>
          </w:p>
        </w:tc>
      </w:tr>
      <w:tr>
        <w:trPr>
          <w:cantSplit/>
        </w:trPr>
        <w:tc>
          <w:tcPr>
            <w:tcW w:type="dxa" w:w="2665"/>
          </w:tcPr>
          <w:p>
            <w:r/>
            <w:r>
              <w:rPr>
                <w:rFonts w:ascii="Arial" w:hAnsi="Arial"/>
                <w:b w:val="0"/>
                <w:color w:val="1A1A1A"/>
                <w:sz w:val="17"/>
              </w:rPr>
              <w:t>mart_hotel_scraped_booking</w:t>
            </w:r>
          </w:p>
        </w:tc>
        <w:tc>
          <w:tcPr>
            <w:tcW w:type="dxa" w:w="5046"/>
          </w:tcPr>
          <w:p>
            <w:r/>
            <w:r>
              <w:rPr>
                <w:rFonts w:ascii="Arial" w:hAnsi="Arial"/>
                <w:b w:val="0"/>
                <w:color w:val="1A1A1A"/>
                <w:sz w:val="17"/>
              </w:rPr>
              <w:t>Hasil uji pengumpulan data hotel; bukan data statistik resmi</w:t>
            </w:r>
          </w:p>
        </w:tc>
        <w:tc>
          <w:tcPr>
            <w:tcW w:type="dxa" w:w="1134"/>
          </w:tcPr>
          <w:p>
            <w:r/>
            <w:r>
              <w:rPr>
                <w:rFonts w:ascii="Arial" w:hAnsi="Arial"/>
                <w:b w:val="0"/>
                <w:color w:val="1A1A1A"/>
                <w:sz w:val="17"/>
              </w:rPr>
              <w:t>72</w:t>
            </w:r>
          </w:p>
        </w:tc>
      </w:tr>
    </w:tbl>
    <w:p>
      <w:pPr>
        <w:spacing w:after="40"/>
      </w:pPr>
    </w:p>
    <w:p>
      <w:pPr>
        <w:spacing w:after="160" w:before="0" w:line="276" w:lineRule="auto"/>
        <w:jc w:val="left"/>
      </w:pPr>
      <w:r>
        <w:rPr>
          <w:rFonts w:ascii="Arial" w:hAnsi="Arial"/>
          <w:b w:val="0"/>
          <w:i/>
          <w:color w:val="555555"/>
          <w:sz w:val="17"/>
        </w:rPr>
        <w:t>Sumber Q2: SELECT count() pada tujuh mart serving, 2 Oktober 2026. Jumlah baris adalah isi tabel saat pemeriksaan; tahun dan cakupan data mengikuti keterangan tiap mart.</w:t>
      </w:r>
    </w:p>
    <w:p>
      <w:pPr>
        <w:keepNext/>
        <w:spacing w:before="120" w:after="40"/>
        <w:jc w:val="center"/>
      </w:pPr>
      <w:r>
        <w:drawing>
          <wp:inline xmlns:a="http://schemas.openxmlformats.org/drawingml/2006/main" xmlns:pic="http://schemas.openxmlformats.org/drawingml/2006/picture">
            <wp:extent cx="5580000" cy="6025886"/>
            <wp:docPr id="1" name="Picture 1"/>
            <wp:cNvGraphicFramePr>
              <a:graphicFrameLocks noChangeAspect="1"/>
            </wp:cNvGraphicFramePr>
            <a:graphic>
              <a:graphicData uri="http://schemas.openxmlformats.org/drawingml/2006/picture">
                <pic:pic>
                  <pic:nvPicPr>
                    <pic:cNvPr id="0" name="20-dba-model-fisik.jpg"/>
                    <pic:cNvPicPr/>
                  </pic:nvPicPr>
                  <pic:blipFill>
                    <a:blip r:embed="rId9"/>
                    <a:stretch>
                      <a:fillRect/>
                    </a:stretch>
                  </pic:blipFill>
                  <pic:spPr>
                    <a:xfrm>
                      <a:off x="0" y="0"/>
                      <a:ext cx="5580000" cy="6025886"/>
                    </a:xfrm>
                    <a:prstGeom prst="rect"/>
                  </pic:spPr>
                </pic:pic>
              </a:graphicData>
            </a:graphic>
          </wp:inline>
        </w:drawing>
      </w:r>
    </w:p>
    <w:p>
      <w:pPr>
        <w:spacing w:after="200"/>
        <w:jc w:val="center"/>
      </w:pPr>
      <w:r>
        <w:rPr>
          <w:rFonts w:ascii="Arial" w:hAnsi="Arial"/>
          <w:i/>
          <w:color w:val="555555"/>
          <w:sz w:val="18"/>
        </w:rPr>
        <w:t>Gambar 1. Model fisik tiga lapis: mesin penyimpanan tiap lapis, tabel persiapan mart yang ditukar secara atomik, serta pemisahan akun aplikasi hanya-baca dari akun operator. Sumber: SHOW CREATE DATABASE/TABLE dan SHOW GRANTS pada ClickHouse; diagram disusun 9 Oktober 2026.</w:t>
      </w:r>
    </w:p>
    <w:p>
      <w:pPr>
        <w:keepNext/>
        <w:spacing w:before="120" w:after="40"/>
        <w:jc w:val="center"/>
      </w:pPr>
      <w:r>
        <w:drawing>
          <wp:inline xmlns:a="http://schemas.openxmlformats.org/drawingml/2006/main" xmlns:pic="http://schemas.openxmlformats.org/drawingml/2006/picture">
            <wp:extent cx="5580000" cy="2308235"/>
            <wp:docPr id="2" name="Picture 2"/>
            <wp:cNvGraphicFramePr>
              <a:graphicFrameLocks noChangeAspect="1"/>
            </wp:cNvGraphicFramePr>
            <a:graphic>
              <a:graphicData uri="http://schemas.openxmlformats.org/drawingml/2006/picture">
                <pic:pic>
                  <pic:nvPicPr>
                    <pic:cNvPr id="0" name="21-dba-erd-mart.jpg"/>
                    <pic:cNvPicPr/>
                  </pic:nvPicPr>
                  <pic:blipFill>
                    <a:blip r:embed="rId10"/>
                    <a:stretch>
                      <a:fillRect/>
                    </a:stretch>
                  </pic:blipFill>
                  <pic:spPr>
                    <a:xfrm>
                      <a:off x="0" y="0"/>
                      <a:ext cx="5580000" cy="2308235"/>
                    </a:xfrm>
                    <a:prstGeom prst="rect"/>
                  </pic:spPr>
                </pic:pic>
              </a:graphicData>
            </a:graphic>
          </wp:inline>
        </w:drawing>
      </w:r>
    </w:p>
    <w:p>
      <w:pPr>
        <w:spacing w:after="200"/>
        <w:jc w:val="center"/>
      </w:pPr>
      <w:r>
        <w:rPr>
          <w:rFonts w:ascii="Arial" w:hAnsi="Arial"/>
          <w:i/>
          <w:color w:val="555555"/>
          <w:sz w:val="18"/>
        </w:rPr>
        <w:t>Gambar 2. Diagram relasi mart penyaji dan dimensi bersama, lengkap dengan tipe kolom dan kunci urut MergeTree yang berfungsi sebagai indeks utama. Sumber: DESCRIBE dan SHOW CREATE TABLE serving.mart_* serta silver.dim_*; diagram disusun 9 Oktober 2026.</w:t>
      </w:r>
    </w:p>
    <w:p>
      <w:pPr>
        <w:keepNext/>
        <w:spacing w:before="120" w:after="40"/>
        <w:jc w:val="center"/>
      </w:pPr>
      <w:r>
        <w:drawing>
          <wp:inline xmlns:a="http://schemas.openxmlformats.org/drawingml/2006/main" xmlns:pic="http://schemas.openxmlformats.org/drawingml/2006/picture">
            <wp:extent cx="5580000" cy="5270831"/>
            <wp:docPr id="3" name="Picture 3"/>
            <wp:cNvGraphicFramePr>
              <a:graphicFrameLocks noChangeAspect="1"/>
            </wp:cNvGraphicFramePr>
            <a:graphic>
              <a:graphicData uri="http://schemas.openxmlformats.org/drawingml/2006/picture">
                <pic:pic>
                  <pic:nvPicPr>
                    <pic:cNvPr id="0" name="22-dba-kamus-audit.jpg"/>
                    <pic:cNvPicPr/>
                  </pic:nvPicPr>
                  <pic:blipFill>
                    <a:blip r:embed="rId11"/>
                    <a:stretch>
                      <a:fillRect/>
                    </a:stretch>
                  </pic:blipFill>
                  <pic:spPr>
                    <a:xfrm>
                      <a:off x="0" y="0"/>
                      <a:ext cx="5580000" cy="5270831"/>
                    </a:xfrm>
                    <a:prstGeom prst="rect"/>
                  </pic:spPr>
                </pic:pic>
              </a:graphicData>
            </a:graphic>
          </wp:inline>
        </w:drawing>
      </w:r>
    </w:p>
    <w:p>
      <w:pPr>
        <w:spacing w:after="200"/>
        <w:jc w:val="center"/>
      </w:pPr>
      <w:r>
        <w:rPr>
          <w:rFonts w:ascii="Arial" w:hAnsi="Arial"/>
          <w:i/>
          <w:color w:val="555555"/>
          <w:sz w:val="18"/>
        </w:rPr>
        <w:t>Gambar 3. Kamus tabel catatan mutu dan jejak audit: keputusan tipe kolom, hasil gerbang mutu, karantina, dan riwayat jumlah baris per tabel data bersih. Sumber: SHOW CREATE TABLE _silver_meta.*; diagram disusun 9 Oktober 2026.</w:t>
      </w:r>
    </w:p>
    <w:p>
      <w:pPr>
        <w:keepNext/>
        <w:spacing w:before="120" w:after="40"/>
        <w:jc w:val="center"/>
      </w:pPr>
      <w:r>
        <w:drawing>
          <wp:inline xmlns:a="http://schemas.openxmlformats.org/drawingml/2006/main" xmlns:pic="http://schemas.openxmlformats.org/drawingml/2006/picture">
            <wp:extent cx="5580000" cy="3661875"/>
            <wp:docPr id="4" name="Picture 4"/>
            <wp:cNvGraphicFramePr>
              <a:graphicFrameLocks noChangeAspect="1"/>
            </wp:cNvGraphicFramePr>
            <a:graphic>
              <a:graphicData uri="http://schemas.openxmlformats.org/drawingml/2006/picture">
                <pic:pic>
                  <pic:nvPicPr>
                    <pic:cNvPr id="0" name="23-dba-runbook.jpg"/>
                    <pic:cNvPicPr/>
                  </pic:nvPicPr>
                  <pic:blipFill>
                    <a:blip r:embed="rId12"/>
                    <a:stretch>
                      <a:fillRect/>
                    </a:stretch>
                  </pic:blipFill>
                  <pic:spPr>
                    <a:xfrm>
                      <a:off x="0" y="0"/>
                      <a:ext cx="5580000" cy="3661875"/>
                    </a:xfrm>
                    <a:prstGeom prst="rect"/>
                  </pic:spPr>
                </pic:pic>
              </a:graphicData>
            </a:graphic>
          </wp:inline>
        </w:drawing>
      </w:r>
    </w:p>
    <w:p>
      <w:pPr>
        <w:spacing w:after="200"/>
        <w:jc w:val="center"/>
      </w:pPr>
      <w:r>
        <w:rPr>
          <w:rFonts w:ascii="Arial" w:hAnsi="Arial"/>
          <w:i/>
          <w:color w:val="555555"/>
          <w:sz w:val="18"/>
        </w:rPr>
        <w:t>Gambar 4. Runbook deploy aplikasi ke produksi, termasuk pengaturan akses dan rujukan sandi yang disimpan di luar repositori. Sumber: https://github.com/RantAI-dev/DisparDataPlatform/blob/1f8c8ca/docs/DEPLOY-RUNBOOK.md (commit 17 September 2026); tangkapan layar 9 Oktober 2026.</w:t>
      </w:r>
    </w:p>
    <w:p>
      <w:pPr>
        <w:keepNext/>
        <w:spacing w:before="120" w:after="40"/>
        <w:jc w:val="center"/>
      </w:pPr>
      <w:r>
        <w:drawing>
          <wp:inline xmlns:a="http://schemas.openxmlformats.org/drawingml/2006/main" xmlns:pic="http://schemas.openxmlformats.org/drawingml/2006/picture">
            <wp:extent cx="5580000" cy="3875000"/>
            <wp:docPr id="5" name="Picture 5"/>
            <wp:cNvGraphicFramePr>
              <a:graphicFrameLocks noChangeAspect="1"/>
            </wp:cNvGraphicFramePr>
            <a:graphic>
              <a:graphicData uri="http://schemas.openxmlformats.org/drawingml/2006/picture">
                <pic:pic>
                  <pic:nvPicPr>
                    <pic:cNvPr id="0" name="24-dba-handover.jpg"/>
                    <pic:cNvPicPr/>
                  </pic:nvPicPr>
                  <pic:blipFill>
                    <a:blip r:embed="rId13"/>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5. Panduan serah terima platform data yang menjelaskan alur lapisan penyimpanan untuk engineer baru. Sumber: https://github.com/RantAI-dev/DisparDataPlatform/blob/71fa514/docs/HANDOVER.md (commit 17 September 2026); tangkapan layar 9 Oktober 2026.</w:t>
      </w:r>
    </w:p>
    <w:p>
      <w:pPr>
        <w:keepNext/>
        <w:spacing w:before="120" w:after="40"/>
        <w:jc w:val="center"/>
      </w:pPr>
      <w:r>
        <w:drawing>
          <wp:inline xmlns:a="http://schemas.openxmlformats.org/drawingml/2006/main" xmlns:pic="http://schemas.openxmlformats.org/drawingml/2006/picture">
            <wp:extent cx="5580000" cy="3875000"/>
            <wp:docPr id="6" name="Picture 6"/>
            <wp:cNvGraphicFramePr>
              <a:graphicFrameLocks noChangeAspect="1"/>
            </wp:cNvGraphicFramePr>
            <a:graphic>
              <a:graphicData uri="http://schemas.openxmlformats.org/drawingml/2006/picture">
                <pic:pic>
                  <pic:nvPicPr>
                    <pic:cNvPr id="0" name="10-api-docs.jpg"/>
                    <pic:cNvPicPr/>
                  </pic:nvPicPr>
                  <pic:blipFill>
                    <a:blip r:embed="rId14"/>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6. Dokumentasi antarmuka data publik sebagai rujukan akses dataset. Sumber: https://dispar.rantai.dev/docs;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DBA perlu memeriksa konsistensi mart historis dengan sumber dashboard terbaru, menyiapkan uji pemulihan yang terdokumentasi, dan menyelaraskan inventaris operasional dengan tabel persiapan sebelum perubahan berikutnya diterapkan.</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Struktur penyimpanan dan mart telah ditelusuri tanpa mengubah keadaan produksi. Penataan dokumentasi September mendukung operasi bersama; kemampuan pemulihan tetap menjadi agenda pengujian yang harus dibuktikan.</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Database Administrator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