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rPr>
          <w:cantSplit/>
        </w:trP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rPr>
          <w:cantSplit/>
        </w:trP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Database Administrator (Senior)</w:t>
            </w:r>
          </w:p>
        </w:tc>
      </w:tr>
      <w:tr>
        <w:trPr>
          <w:cantSplit/>
        </w:trP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7 tahun</w:t>
            </w:r>
          </w:p>
        </w:tc>
      </w:tr>
      <w:tr>
        <w:trPr>
          <w:cantSplit/>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(Laporan Bulanan Kelima) — Oktober 2026</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Database Administrator memusatkan bulan kelima pada keandalan operasi basis data: pencadangan harian yang benar-benar berjalan, penulisan data mentah yang stabil, serta jalur akses data hanya-baca untuk portal baru. Fokusnya adalah bukti operasi yang tercatat, bukan sekadar konfigurasi.</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struktur basis data statistik pariwisata pada platform Database (logical &amp; physical data model);</w:t>
      </w:r>
    </w:p>
    <w:p>
      <w:pPr>
        <w:spacing w:after="60" w:line="269" w:lineRule="auto"/>
        <w:ind w:left="510"/>
      </w:pPr>
      <w:r>
        <w:rPr>
          <w:rFonts w:ascii="Arial" w:hAnsi="Arial"/>
          <w:b/>
          <w:sz w:val="22"/>
        </w:rPr>
        <w:t xml:space="preserve">b.  </w:t>
      </w:r>
      <w:r>
        <w:rPr>
          <w:rFonts w:ascii="Arial" w:hAnsi="Arial"/>
          <w:color w:val="1A1A1A"/>
          <w:sz w:val="22"/>
        </w:rPr>
        <w:t>Menyusun skema tabel, indeks, constraint, view, dan partisi sesuai kebutuhan analitik;</w:t>
      </w:r>
    </w:p>
    <w:p>
      <w:pPr>
        <w:spacing w:after="60" w:line="269" w:lineRule="auto"/>
        <w:ind w:left="510"/>
      </w:pPr>
      <w:r>
        <w:rPr>
          <w:rFonts w:ascii="Arial" w:hAnsi="Arial"/>
          <w:b/>
          <w:sz w:val="22"/>
        </w:rPr>
        <w:t xml:space="preserve">c.  </w:t>
      </w:r>
      <w:r>
        <w:rPr>
          <w:rFonts w:ascii="Arial" w:hAnsi="Arial"/>
          <w:color w:val="1A1A1A"/>
          <w:sz w:val="22"/>
        </w:rPr>
        <w:t>Melaksanakan loading data hasil pengumpulan, pembersihan, dan validasi ke dalam Database;</w:t>
      </w:r>
    </w:p>
    <w:p>
      <w:pPr>
        <w:spacing w:after="60" w:line="269" w:lineRule="auto"/>
        <w:ind w:left="510"/>
      </w:pPr>
      <w:r>
        <w:rPr>
          <w:rFonts w:ascii="Arial" w:hAnsi="Arial"/>
          <w:b/>
          <w:sz w:val="22"/>
        </w:rPr>
        <w:t xml:space="preserve">d.  </w:t>
      </w:r>
      <w:r>
        <w:rPr>
          <w:rFonts w:ascii="Arial" w:hAnsi="Arial"/>
          <w:color w:val="1A1A1A"/>
          <w:sz w:val="22"/>
        </w:rPr>
        <w:t>Melakukan optimasi kinerja basis data (query tuning, indexing, statistik, partitioning);</w:t>
      </w:r>
    </w:p>
    <w:p>
      <w:pPr>
        <w:spacing w:after="60" w:line="269" w:lineRule="auto"/>
        <w:ind w:left="510"/>
      </w:pPr>
      <w:r>
        <w:rPr>
          <w:rFonts w:ascii="Arial" w:hAnsi="Arial"/>
          <w:b/>
          <w:sz w:val="22"/>
        </w:rPr>
        <w:t xml:space="preserve">e.  </w:t>
      </w:r>
      <w:r>
        <w:rPr>
          <w:rFonts w:ascii="Arial" w:hAnsi="Arial"/>
          <w:color w:val="1A1A1A"/>
          <w:sz w:val="22"/>
        </w:rPr>
        <w:t>Menyusun tata kelola akses dan keamanan basis data (role, privilege, audit trail);</w:t>
      </w:r>
    </w:p>
    <w:p>
      <w:pPr>
        <w:spacing w:after="60" w:line="269" w:lineRule="auto"/>
        <w:ind w:left="510"/>
      </w:pPr>
      <w:r>
        <w:rPr>
          <w:rFonts w:ascii="Arial" w:hAnsi="Arial"/>
          <w:b/>
          <w:sz w:val="22"/>
        </w:rPr>
        <w:t xml:space="preserve">f.  </w:t>
      </w:r>
      <w:r>
        <w:rPr>
          <w:rFonts w:ascii="Arial" w:hAnsi="Arial"/>
          <w:color w:val="1A1A1A"/>
          <w:sz w:val="22"/>
        </w:rPr>
        <w:t>Menyusun pedoman backup, recovery, dan pemeliharaan basis data;</w:t>
      </w:r>
    </w:p>
    <w:p>
      <w:pPr>
        <w:spacing w:after="60" w:line="269" w:lineRule="auto"/>
        <w:ind w:left="510"/>
      </w:pPr>
      <w:r>
        <w:rPr>
          <w:rFonts w:ascii="Arial" w:hAnsi="Arial"/>
          <w:b/>
          <w:sz w:val="22"/>
        </w:rPr>
        <w:t xml:space="preserve">g.  </w:t>
      </w:r>
      <w:r>
        <w:rPr>
          <w:rFonts w:ascii="Arial" w:hAnsi="Arial"/>
          <w:color w:val="1A1A1A"/>
          <w:sz w:val="22"/>
        </w:rPr>
        <w:t>Mendokumentasikan basis data (ERD, kamus tabel, panduan operasional).</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Realisasi ditelusuri dari riwayat perubahan konfigurasi lake house, catatan run penjadwal Dagster, dan definisi tabel pada gudang data yang dibaca 30 Oktober 2026. Riwayat run sebelum 4 Oktober tidak tersimpan pada penjadwal yang berjalan saat ini sehingga tidak diklaim.</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rPr>
          <w:cantSplit/>
          <w:tblHeader/>
        </w:trP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rPr>
          <w:cantSplit/>
        </w:trPr>
        <w:tc>
          <w:tcPr>
            <w:tcW w:type="dxa" w:w="3742"/>
          </w:tcPr>
          <w:p>
            <w:r/>
            <w:r>
              <w:rPr>
                <w:rFonts w:ascii="Arial" w:hAnsi="Arial"/>
                <w:b w:val="0"/>
                <w:color w:val="1A1A1A"/>
                <w:sz w:val="19"/>
              </w:rPr>
              <w:t>Struktur basis data statistik</w:t>
            </w:r>
          </w:p>
        </w:tc>
        <w:tc>
          <w:tcPr>
            <w:tcW w:type="dxa" w:w="5102"/>
          </w:tcPr>
          <w:p>
            <w:r/>
            <w:r>
              <w:rPr>
                <w:rFonts w:ascii="Arial" w:hAnsi="Arial"/>
                <w:b w:val="0"/>
                <w:color w:val="1A1A1A"/>
                <w:sz w:val="19"/>
              </w:rPr>
              <w:t>Menyiapkan basis data konform terpisah berisi dimensi induk dan fakta kunjungan, dengan kontrak skema tertulis untuk setiap tabel; kolom referensi dibuat tidak boleh kosong agar pencocokan kode konsisten.</w:t>
            </w:r>
          </w:p>
        </w:tc>
      </w:tr>
      <w:tr>
        <w:trPr>
          <w:cantSplit/>
        </w:trPr>
        <w:tc>
          <w:tcPr>
            <w:tcW w:type="dxa" w:w="3742"/>
          </w:tcPr>
          <w:p>
            <w:r/>
            <w:r>
              <w:rPr>
                <w:rFonts w:ascii="Arial" w:hAnsi="Arial"/>
                <w:b w:val="0"/>
                <w:color w:val="1A1A1A"/>
                <w:sz w:val="19"/>
              </w:rPr>
              <w:t>Skema dan pemuatan data</w:t>
            </w:r>
          </w:p>
        </w:tc>
        <w:tc>
          <w:tcPr>
            <w:tcW w:type="dxa" w:w="5102"/>
          </w:tcPr>
          <w:p>
            <w:r/>
            <w:r>
              <w:rPr>
                <w:rFonts w:ascii="Arial" w:hAnsi="Arial"/>
                <w:b w:val="0"/>
                <w:color w:val="1A1A1A"/>
                <w:sz w:val="19"/>
              </w:rPr>
              <w:t>Menstabilkan penulisan data mentah format Iceberg dengan kredensial statis dan pemuatan berurutan, serta mencegah metadata Satu Data Jakarta menyusut atau menjadi nol saat sumber mengalami gangguan.</w:t>
            </w:r>
          </w:p>
        </w:tc>
      </w:tr>
      <w:tr>
        <w:trPr>
          <w:cantSplit/>
        </w:trPr>
        <w:tc>
          <w:tcPr>
            <w:tcW w:type="dxa" w:w="3742"/>
          </w:tcPr>
          <w:p>
            <w:r/>
            <w:r>
              <w:rPr>
                <w:rFonts w:ascii="Arial" w:hAnsi="Arial"/>
                <w:b w:val="0"/>
                <w:color w:val="1A1A1A"/>
                <w:sz w:val="19"/>
              </w:rPr>
              <w:t>Kinerja dan akses basis data</w:t>
            </w:r>
          </w:p>
        </w:tc>
        <w:tc>
          <w:tcPr>
            <w:tcW w:type="dxa" w:w="5102"/>
          </w:tcPr>
          <w:p>
            <w:r/>
            <w:r>
              <w:rPr>
                <w:rFonts w:ascii="Arial" w:hAnsi="Arial"/>
                <w:b w:val="0"/>
                <w:color w:val="1A1A1A"/>
                <w:sz w:val="19"/>
              </w:rPr>
              <w:t>Membangun layanan data hanya-baca (FastAPI) di atas gudang data tanpa mengubah pengaturan sesi; ekspor CSV/XLSX menetralkan sel yang dapat dibaca sebagai formula. Layanan selesai dibangun 26 Oktober dan belum dideploy.</w:t>
            </w:r>
          </w:p>
        </w:tc>
      </w:tr>
      <w:tr>
        <w:trPr>
          <w:cantSplit/>
        </w:trPr>
        <w:tc>
          <w:tcPr>
            <w:tcW w:type="dxa" w:w="3742"/>
          </w:tcPr>
          <w:p>
            <w:r/>
            <w:r>
              <w:rPr>
                <w:rFonts w:ascii="Arial" w:hAnsi="Arial"/>
                <w:b w:val="0"/>
                <w:color w:val="1A1A1A"/>
                <w:sz w:val="19"/>
              </w:rPr>
              <w:t>Pedoman operasi dan pemulihan</w:t>
            </w:r>
          </w:p>
        </w:tc>
        <w:tc>
          <w:tcPr>
            <w:tcW w:type="dxa" w:w="5102"/>
          </w:tcPr>
          <w:p>
            <w:r/>
            <w:r>
              <w:rPr>
                <w:rFonts w:ascii="Arial" w:hAnsi="Arial"/>
                <w:b w:val="0"/>
                <w:color w:val="1A1A1A"/>
                <w:sz w:val="19"/>
              </w:rPr>
              <w:t>Memperbaiki pencadangan inkremental (target stabil dan percobaan ulang ke penyimpanan objek) pada 8 Oktober; sejak 9 Oktober pencadangan harian tercatat berhasil 22 hari. Runbook dan skrip deploy aplikasi dengan pertukaran container dan pembalikan otomatis diperbarui 22 Oktober.</w:t>
            </w:r>
          </w:p>
        </w:tc>
      </w:tr>
      <w:tr>
        <w:trPr>
          <w:cantSplit/>
        </w:trPr>
        <w:tc>
          <w:tcPr>
            <w:tcW w:type="dxa" w:w="3742"/>
          </w:tcPr>
          <w:p>
            <w:r/>
            <w:r>
              <w:rPr>
                <w:rFonts w:ascii="Arial" w:hAnsi="Arial"/>
                <w:b w:val="0"/>
                <w:color w:val="1A1A1A"/>
                <w:sz w:val="19"/>
              </w:rPr>
              <w:t>Dokumentasi basis data</w:t>
            </w:r>
          </w:p>
        </w:tc>
        <w:tc>
          <w:tcPr>
            <w:tcW w:type="dxa" w:w="5102"/>
          </w:tcPr>
          <w:p>
            <w:r/>
            <w:r>
              <w:rPr>
                <w:rFonts w:ascii="Arial" w:hAnsi="Arial"/>
                <w:b w:val="0"/>
                <w:color w:val="1A1A1A"/>
                <w:sz w:val="19"/>
              </w:rPr>
              <w:t>Menyajikan inventaris lapisan, isi mart penyaji, dan catatan run beserta kueri sumbernya. Uji pemulihan dari cadangan belum dilakukan dan tetap menjadi agenda.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Tabel berikut berasal dari pembacaan mart penyaji dan riwayat penjadwal pada 30 Oktober 2026. Tangkapan dokumentasi menampilkan versi dokumen pada commit yang disebut di keterangan.</w:t>
      </w:r>
    </w:p>
    <w:p>
      <w:pPr>
        <w:spacing w:after="60" w:before="80" w:line="276" w:lineRule="auto"/>
        <w:jc w:val="left"/>
      </w:pPr>
      <w:r>
        <w:rPr>
          <w:rFonts w:ascii="Arial" w:hAnsi="Arial"/>
          <w:b/>
          <w:i w:val="0"/>
          <w:color w:val="1A1A1A"/>
          <w:sz w:val="21"/>
        </w:rPr>
        <w:t>Mart penyaji dan jumlah baris saat verifikasi: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665"/>
            <w:shd w:val="clear" w:color="auto" w:fill="d9d9d9"/>
          </w:tcPr>
          <w:p>
            <w:r/>
            <w:r>
              <w:rPr>
                <w:rFonts w:ascii="Arial" w:hAnsi="Arial"/>
                <w:b/>
                <w:color w:val="1A1A1A"/>
                <w:sz w:val="17"/>
              </w:rPr>
              <w:t>Mart penyaji</w:t>
            </w:r>
          </w:p>
        </w:tc>
        <w:tc>
          <w:tcPr>
            <w:tcW w:type="dxa" w:w="5046"/>
            <w:shd w:val="clear" w:color="auto" w:fill="d9d9d9"/>
          </w:tcPr>
          <w:p>
            <w:r/>
            <w:r>
              <w:rPr>
                <w:rFonts w:ascii="Arial" w:hAnsi="Arial"/>
                <w:b/>
                <w:color w:val="1A1A1A"/>
                <w:sz w:val="17"/>
              </w:rPr>
              <w:t>Isi / batas penggunaan</w:t>
            </w:r>
          </w:p>
        </w:tc>
        <w:tc>
          <w:tcPr>
            <w:tcW w:type="dxa" w:w="1134"/>
            <w:shd w:val="clear" w:color="auto" w:fill="d9d9d9"/>
          </w:tcPr>
          <w:p>
            <w:r/>
            <w:r>
              <w:rPr>
                <w:rFonts w:ascii="Arial" w:hAnsi="Arial"/>
                <w:b/>
                <w:color w:val="1A1A1A"/>
                <w:sz w:val="17"/>
              </w:rPr>
              <w:t>Baris</w:t>
            </w:r>
          </w:p>
        </w:tc>
      </w:tr>
      <w:tr>
        <w:trPr>
          <w:cantSplit/>
        </w:trPr>
        <w:tc>
          <w:tcPr>
            <w:tcW w:type="dxa" w:w="2665"/>
          </w:tcPr>
          <w:p>
            <w:r/>
            <w:r>
              <w:rPr>
                <w:rFonts w:ascii="Arial" w:hAnsi="Arial"/>
                <w:b w:val="0"/>
                <w:color w:val="1A1A1A"/>
                <w:sz w:val="17"/>
              </w:rPr>
              <w:t>mart_wisman</w:t>
            </w:r>
          </w:p>
        </w:tc>
        <w:tc>
          <w:tcPr>
            <w:tcW w:type="dxa" w:w="5046"/>
          </w:tcPr>
          <w:p>
            <w:r/>
            <w:r>
              <w:rPr>
                <w:rFonts w:ascii="Arial" w:hAnsi="Arial"/>
                <w:b w:val="0"/>
                <w:color w:val="1A1A1A"/>
                <w:sz w:val="17"/>
              </w:rPr>
              <w:t>Kunjungan wisman per negara 2014–Juli 2026; sumber dashboard wisman</w:t>
            </w:r>
          </w:p>
        </w:tc>
        <w:tc>
          <w:tcPr>
            <w:tcW w:type="dxa" w:w="1134"/>
          </w:tcPr>
          <w:p>
            <w:r/>
            <w:r>
              <w:rPr>
                <w:rFonts w:ascii="Arial" w:hAnsi="Arial"/>
                <w:b w:val="0"/>
                <w:color w:val="1A1A1A"/>
                <w:sz w:val="17"/>
              </w:rPr>
              <w:t>940</w:t>
            </w:r>
          </w:p>
        </w:tc>
      </w:tr>
      <w:tr>
        <w:trPr>
          <w:cantSplit/>
        </w:trPr>
        <w:tc>
          <w:tcPr>
            <w:tcW w:type="dxa" w:w="2665"/>
          </w:tcPr>
          <w:p>
            <w:r/>
            <w:r>
              <w:rPr>
                <w:rFonts w:ascii="Arial" w:hAnsi="Arial"/>
                <w:b w:val="0"/>
                <w:color w:val="1A1A1A"/>
                <w:sz w:val="17"/>
              </w:rPr>
              <w:t>mart_kunjungan_dtw</w:t>
            </w:r>
          </w:p>
        </w:tc>
        <w:tc>
          <w:tcPr>
            <w:tcW w:type="dxa" w:w="5046"/>
          </w:tcPr>
          <w:p>
            <w:r/>
            <w:r>
              <w:rPr>
                <w:rFonts w:ascii="Arial" w:hAnsi="Arial"/>
                <w:b w:val="0"/>
                <w:color w:val="1A1A1A"/>
                <w:sz w:val="17"/>
              </w:rPr>
              <w:t>Kunjungan daya tarik wisata; angka terisi berperiode Juni/Juli 2026, bukan Oktober</w:t>
            </w:r>
          </w:p>
        </w:tc>
        <w:tc>
          <w:tcPr>
            <w:tcW w:type="dxa" w:w="1134"/>
          </w:tcPr>
          <w:p>
            <w:r/>
            <w:r>
              <w:rPr>
                <w:rFonts w:ascii="Arial" w:hAnsi="Arial"/>
                <w:b w:val="0"/>
                <w:color w:val="1A1A1A"/>
                <w:sz w:val="17"/>
              </w:rPr>
              <w:t>35</w:t>
            </w:r>
          </w:p>
        </w:tc>
      </w:tr>
      <w:tr>
        <w:trPr>
          <w:cantSplit/>
        </w:trPr>
        <w:tc>
          <w:tcPr>
            <w:tcW w:type="dxa" w:w="2665"/>
          </w:tcPr>
          <w:p>
            <w:r/>
            <w:r>
              <w:rPr>
                <w:rFonts w:ascii="Arial" w:hAnsi="Arial"/>
                <w:b w:val="0"/>
                <w:color w:val="1A1A1A"/>
                <w:sz w:val="17"/>
              </w:rPr>
              <w:t>mart_gci_readiness</w:t>
            </w:r>
          </w:p>
        </w:tc>
        <w:tc>
          <w:tcPr>
            <w:tcW w:type="dxa" w:w="5046"/>
          </w:tcPr>
          <w:p>
            <w:r/>
            <w:r>
              <w:rPr>
                <w:rFonts w:ascii="Arial" w:hAnsi="Arial"/>
                <w:b w:val="0"/>
                <w:color w:val="1A1A1A"/>
                <w:sz w:val="17"/>
              </w:rPr>
              <w:t>Kesiapan data indikator GCI/GPCI</w:t>
            </w:r>
          </w:p>
        </w:tc>
        <w:tc>
          <w:tcPr>
            <w:tcW w:type="dxa" w:w="1134"/>
          </w:tcPr>
          <w:p>
            <w:r/>
            <w:r>
              <w:rPr>
                <w:rFonts w:ascii="Arial" w:hAnsi="Arial"/>
                <w:b w:val="0"/>
                <w:color w:val="1A1A1A"/>
                <w:sz w:val="17"/>
              </w:rPr>
              <w:t>28</w:t>
            </w:r>
          </w:p>
        </w:tc>
      </w:tr>
      <w:tr>
        <w:trPr>
          <w:cantSplit/>
        </w:trPr>
        <w:tc>
          <w:tcPr>
            <w:tcW w:type="dxa" w:w="2665"/>
          </w:tcPr>
          <w:p>
            <w:r/>
            <w:r>
              <w:rPr>
                <w:rFonts w:ascii="Arial" w:hAnsi="Arial"/>
                <w:b w:val="0"/>
                <w:color w:val="1A1A1A"/>
                <w:sz w:val="17"/>
              </w:rPr>
              <w:t>mart_event</w:t>
            </w:r>
          </w:p>
        </w:tc>
        <w:tc>
          <w:tcPr>
            <w:tcW w:type="dxa" w:w="5046"/>
          </w:tcPr>
          <w:p>
            <w:r/>
            <w:r>
              <w:rPr>
                <w:rFonts w:ascii="Arial" w:hAnsi="Arial"/>
                <w:b w:val="0"/>
                <w:color w:val="1A1A1A"/>
                <w:sz w:val="17"/>
              </w:rPr>
              <w:t>Ringkasan event</w:t>
            </w:r>
          </w:p>
        </w:tc>
        <w:tc>
          <w:tcPr>
            <w:tcW w:type="dxa" w:w="1134"/>
          </w:tcPr>
          <w:p>
            <w:r/>
            <w:r>
              <w:rPr>
                <w:rFonts w:ascii="Arial" w:hAnsi="Arial"/>
                <w:b w:val="0"/>
                <w:color w:val="1A1A1A"/>
                <w:sz w:val="17"/>
              </w:rPr>
              <w:t>9</w:t>
            </w:r>
          </w:p>
        </w:tc>
      </w:tr>
      <w:tr>
        <w:trPr>
          <w:cantSplit/>
        </w:trPr>
        <w:tc>
          <w:tcPr>
            <w:tcW w:type="dxa" w:w="2665"/>
          </w:tcPr>
          <w:p>
            <w:r/>
            <w:r>
              <w:rPr>
                <w:rFonts w:ascii="Arial" w:hAnsi="Arial"/>
                <w:b w:val="0"/>
                <w:color w:val="1A1A1A"/>
                <w:sz w:val="17"/>
              </w:rPr>
              <w:t>mart_kuliner</w:t>
            </w:r>
          </w:p>
        </w:tc>
        <w:tc>
          <w:tcPr>
            <w:tcW w:type="dxa" w:w="5046"/>
          </w:tcPr>
          <w:p>
            <w:r/>
            <w:r>
              <w:rPr>
                <w:rFonts w:ascii="Arial" w:hAnsi="Arial"/>
                <w:b w:val="0"/>
                <w:color w:val="1A1A1A"/>
                <w:sz w:val="17"/>
              </w:rPr>
              <w:t>Ringkasan kuliner</w:t>
            </w:r>
          </w:p>
        </w:tc>
        <w:tc>
          <w:tcPr>
            <w:tcW w:type="dxa" w:w="1134"/>
          </w:tcPr>
          <w:p>
            <w:r/>
            <w:r>
              <w:rPr>
                <w:rFonts w:ascii="Arial" w:hAnsi="Arial"/>
                <w:b w:val="0"/>
                <w:color w:val="1A1A1A"/>
                <w:sz w:val="17"/>
              </w:rPr>
              <w:t>5</w:t>
            </w:r>
          </w:p>
        </w:tc>
      </w:tr>
      <w:tr>
        <w:trPr>
          <w:cantSplit/>
        </w:trPr>
        <w:tc>
          <w:tcPr>
            <w:tcW w:type="dxa" w:w="2665"/>
          </w:tcPr>
          <w:p>
            <w:r/>
            <w:r>
              <w:rPr>
                <w:rFonts w:ascii="Arial" w:hAnsi="Arial"/>
                <w:b w:val="0"/>
                <w:color w:val="1A1A1A"/>
                <w:sz w:val="17"/>
              </w:rPr>
              <w:t>mart_atlas</w:t>
            </w:r>
          </w:p>
        </w:tc>
        <w:tc>
          <w:tcPr>
            <w:tcW w:type="dxa" w:w="5046"/>
          </w:tcPr>
          <w:p>
            <w:r/>
            <w:r>
              <w:rPr>
                <w:rFonts w:ascii="Arial" w:hAnsi="Arial"/>
                <w:b w:val="0"/>
                <w:color w:val="1A1A1A"/>
                <w:sz w:val="17"/>
              </w:rPr>
              <w:t>Ringkasan pendataan lapangan</w:t>
            </w:r>
          </w:p>
        </w:tc>
        <w:tc>
          <w:tcPr>
            <w:tcW w:type="dxa" w:w="1134"/>
          </w:tcPr>
          <w:p>
            <w:r/>
            <w:r>
              <w:rPr>
                <w:rFonts w:ascii="Arial" w:hAnsi="Arial"/>
                <w:b w:val="0"/>
                <w:color w:val="1A1A1A"/>
                <w:sz w:val="17"/>
              </w:rPr>
              <w:t>4</w:t>
            </w:r>
          </w:p>
        </w:tc>
      </w:tr>
      <w:tr>
        <w:trPr>
          <w:cantSplit/>
        </w:trPr>
        <w:tc>
          <w:tcPr>
            <w:tcW w:type="dxa" w:w="2665"/>
          </w:tcPr>
          <w:p>
            <w:r/>
            <w:r>
              <w:rPr>
                <w:rFonts w:ascii="Arial" w:hAnsi="Arial"/>
                <w:b w:val="0"/>
                <w:color w:val="1A1A1A"/>
                <w:sz w:val="17"/>
              </w:rPr>
              <w:t>mart_hotel_scraped_booking</w:t>
            </w:r>
          </w:p>
        </w:tc>
        <w:tc>
          <w:tcPr>
            <w:tcW w:type="dxa" w:w="5046"/>
          </w:tcPr>
          <w:p>
            <w:r/>
            <w:r>
              <w:rPr>
                <w:rFonts w:ascii="Arial" w:hAnsi="Arial"/>
                <w:b w:val="0"/>
                <w:color w:val="1A1A1A"/>
                <w:sz w:val="17"/>
              </w:rPr>
              <w:t>Uji pengumpulan data hotel; kosong karena batas simpan 30 hari</w:t>
            </w:r>
          </w:p>
        </w:tc>
        <w:tc>
          <w:tcPr>
            <w:tcW w:type="dxa" w:w="1134"/>
          </w:tcPr>
          <w:p>
            <w:r/>
            <w:r>
              <w:rPr>
                <w:rFonts w:ascii="Arial" w:hAnsi="Arial"/>
                <w:b w:val="0"/>
                <w:color w:val="1A1A1A"/>
                <w:sz w:val="17"/>
              </w:rPr>
              <w:t>0</w:t>
            </w:r>
          </w:p>
        </w:tc>
      </w:tr>
    </w:tbl>
    <w:p>
      <w:pPr>
        <w:spacing w:after="40"/>
      </w:pPr>
    </w:p>
    <w:p>
      <w:pPr>
        <w:spacing w:after="160" w:before="0" w:line="276" w:lineRule="auto"/>
        <w:jc w:val="left"/>
      </w:pPr>
      <w:r>
        <w:rPr>
          <w:rFonts w:ascii="Arial" w:hAnsi="Arial"/>
          <w:b w:val="0"/>
          <w:i/>
          <w:color w:val="555555"/>
          <w:sz w:val="17"/>
        </w:rPr>
        <w:t>Sumber Q2: SELECT count() pada tujuh mart serving, 30 Oktober 2026. Jumlah baris adalah isi tabel saat pemeriksaan; tahun dan cakupan data mengikuti keterangan tiap mart.</w:t>
      </w:r>
    </w:p>
    <w:p>
      <w:pPr>
        <w:spacing w:after="60" w:before="80" w:line="276" w:lineRule="auto"/>
        <w:jc w:val="left"/>
      </w:pPr>
      <w:r>
        <w:rPr>
          <w:rFonts w:ascii="Arial" w:hAnsi="Arial"/>
          <w:b/>
          <w:i w:val="0"/>
          <w:color w:val="1A1A1A"/>
          <w:sz w:val="21"/>
        </w:rPr>
        <w:t>Catatan run penjadwal selama Oktober: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175"/>
            <w:shd w:val="clear" w:color="auto" w:fill="d9d9d9"/>
          </w:tcPr>
          <w:p>
            <w:r/>
            <w:r>
              <w:rPr>
                <w:rFonts w:ascii="Arial" w:hAnsi="Arial"/>
                <w:b/>
                <w:color w:val="1A1A1A"/>
                <w:sz w:val="17"/>
              </w:rPr>
              <w:t>Job penjadwal</w:t>
            </w:r>
          </w:p>
        </w:tc>
        <w:tc>
          <w:tcPr>
            <w:tcW w:type="dxa" w:w="3969"/>
            <w:shd w:val="clear" w:color="auto" w:fill="d9d9d9"/>
          </w:tcPr>
          <w:p>
            <w:r/>
            <w:r>
              <w:rPr>
                <w:rFonts w:ascii="Arial" w:hAnsi="Arial"/>
                <w:b/>
                <w:color w:val="1A1A1A"/>
                <w:sz w:val="17"/>
              </w:rPr>
              <w:t>Hasil run 4–30 Oktober</w:t>
            </w:r>
          </w:p>
        </w:tc>
        <w:tc>
          <w:tcPr>
            <w:tcW w:type="dxa" w:w="1701"/>
            <w:shd w:val="clear" w:color="auto" w:fill="d9d9d9"/>
          </w:tcPr>
          <w:p>
            <w:r/>
            <w:r>
              <w:rPr>
                <w:rFonts w:ascii="Arial" w:hAnsi="Arial"/>
                <w:b/>
                <w:color w:val="1A1A1A"/>
                <w:sz w:val="17"/>
              </w:rPr>
              <w:t>Hari berhasil</w:t>
            </w:r>
          </w:p>
        </w:tc>
      </w:tr>
      <w:tr>
        <w:trPr>
          <w:cantSplit/>
        </w:trPr>
        <w:tc>
          <w:tcPr>
            <w:tcW w:type="dxa" w:w="3175"/>
          </w:tcPr>
          <w:p>
            <w:r/>
            <w:r>
              <w:rPr>
                <w:rFonts w:ascii="Arial" w:hAnsi="Arial"/>
                <w:b w:val="0"/>
                <w:color w:val="1A1A1A"/>
                <w:sz w:val="17"/>
              </w:rPr>
              <w:t>Pembaruan lake house (refresh_lakehouse)</w:t>
            </w:r>
          </w:p>
        </w:tc>
        <w:tc>
          <w:tcPr>
            <w:tcW w:type="dxa" w:w="3969"/>
          </w:tcPr>
          <w:p>
            <w:r/>
            <w:r>
              <w:rPr>
                <w:rFonts w:ascii="Arial" w:hAnsi="Arial"/>
                <w:b w:val="0"/>
                <w:color w:val="1A1A1A"/>
                <w:sz w:val="17"/>
              </w:rPr>
              <w:t>35 berhasil, 6 gagal; termasuk run ulang manual</w:t>
            </w:r>
          </w:p>
        </w:tc>
        <w:tc>
          <w:tcPr>
            <w:tcW w:type="dxa" w:w="1701"/>
          </w:tcPr>
          <w:p>
            <w:r/>
            <w:r>
              <w:rPr>
                <w:rFonts w:ascii="Arial" w:hAnsi="Arial"/>
                <w:b w:val="0"/>
                <w:color w:val="1A1A1A"/>
                <w:sz w:val="17"/>
              </w:rPr>
              <w:t>27 hari</w:t>
            </w:r>
          </w:p>
        </w:tc>
      </w:tr>
      <w:tr>
        <w:trPr>
          <w:cantSplit/>
        </w:trPr>
        <w:tc>
          <w:tcPr>
            <w:tcW w:type="dxa" w:w="3175"/>
          </w:tcPr>
          <w:p>
            <w:r/>
            <w:r>
              <w:rPr>
                <w:rFonts w:ascii="Arial" w:hAnsi="Arial"/>
                <w:b w:val="0"/>
                <w:color w:val="1A1A1A"/>
                <w:sz w:val="17"/>
              </w:rPr>
              <w:t>Pencadangan dan pemeliharaan (ops_backup_maintenance)</w:t>
            </w:r>
          </w:p>
        </w:tc>
        <w:tc>
          <w:tcPr>
            <w:tcW w:type="dxa" w:w="3969"/>
          </w:tcPr>
          <w:p>
            <w:r/>
            <w:r>
              <w:rPr>
                <w:rFonts w:ascii="Arial" w:hAnsi="Arial"/>
                <w:b w:val="0"/>
                <w:color w:val="1A1A1A"/>
                <w:sz w:val="17"/>
              </w:rPr>
              <w:t>22 berhasil, 5 gagal (4–9 Oktober), 1 dibatalkan, 1 sedang berjalan saat dibaca</w:t>
            </w:r>
          </w:p>
        </w:tc>
        <w:tc>
          <w:tcPr>
            <w:tcW w:type="dxa" w:w="1701"/>
          </w:tcPr>
          <w:p>
            <w:r/>
            <w:r>
              <w:rPr>
                <w:rFonts w:ascii="Arial" w:hAnsi="Arial"/>
                <w:b w:val="0"/>
                <w:color w:val="1A1A1A"/>
                <w:sz w:val="17"/>
              </w:rPr>
              <w:t>22 hari; harian sejak 9 Oktober</w:t>
            </w:r>
          </w:p>
        </w:tc>
      </w:tr>
    </w:tbl>
    <w:p>
      <w:pPr>
        <w:spacing w:after="40"/>
      </w:pPr>
    </w:p>
    <w:p>
      <w:pPr>
        <w:spacing w:after="160" w:before="0" w:line="276" w:lineRule="auto"/>
        <w:jc w:val="left"/>
      </w:pPr>
      <w:r>
        <w:rPr>
          <w:rFonts w:ascii="Arial" w:hAnsi="Arial"/>
          <w:b w:val="0"/>
          <w:i/>
          <w:color w:val="555555"/>
          <w:sz w:val="17"/>
        </w:rPr>
        <w:t>Sumber Q12: GraphQL Dagster :13030, runsOrError sejak 1 Oktober 2026 WIB, dibaca 30 Oktober 2026. Riwayat run pada penjadwal saat ini baru dimulai 4 Oktober; 1–3 Oktober tidak diklaim berhasil maupun gagal.</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4-data-api.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Dokumentasi layanan data hanya-baca untuk portal baru: struktur, pembatasan akses, dan pemisahan kueri per fitur. Sumber: https://github.com/RantAI-dev/DisparDataPlatform/blob/d93c71f/lakehouse/data-api/README.md; tangkapan layar 30 Oktober 2026.</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05-runbook.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Runbook deploy dengan skrip pertukaran container, verifikasi, dan pembalikan otomatis bila gagal. Sumber: https://github.com/RantAI-dev/DisparDataPlatform/blob/427a616/docs/DEPLOY-RUNBOOK.md (commit 22 Oktober 2026); tangkapan layar 30 Oktober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p>
      <w:pPr>
        <w:spacing w:after="120" w:before="0" w:line="276" w:lineRule="auto"/>
        <w:jc w:val="both"/>
      </w:pPr>
      <w:r>
        <w:rPr>
          <w:rFonts w:ascii="Arial" w:hAnsi="Arial"/>
          <w:b w:val="0"/>
          <w:i w:val="0"/>
          <w:color w:val="1A1A1A"/>
          <w:sz w:val="22"/>
        </w:rPr>
        <w:t>DBA perlu melaksanakan uji pemulihan dari cadangan dan mencatat hasilnya, menyempitkan hak akun aplikasi agar sifat hanya-baca tidak bergantung pada satu pengaturan profil, serta menyiapkan container layanan data begitu deploy disetujui.</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Operasi basis data Oktober lebih dapat dipertanggungjawabkan: pencadangan dan pembaruan harian kini meninggalkan catatan run yang dapat diperiksa. Kemampuan pemulihan baru akan dinyatakan setelah uji pemulihan dilakukan.</w:t>
      </w: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Tenaga Ahli yang bersangkutan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Tenaga Ahli]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Database Administrator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