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Master Data Management (MDM) Specialist (Senior)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7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MDM Specialist memusatkan bulan kelima pada pembentukan data induk yang menjadi rujukan bersama: wilayah, negara, periode, dan pintu masuk. Tujuannya agar data dari sumber berbeda yang menulis nama dengan cara berbeda tetap terbaca sebagai entitas yang sama.</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Mengidentifikasi entitas master data pariwisata Jakarta dan menyusun struktur data master;</w:t>
      </w:r>
    </w:p>
    <w:p>
      <w:pPr>
        <w:spacing w:after="60" w:line="269" w:lineRule="auto"/>
        <w:ind w:left="510"/>
      </w:pPr>
      <w:r>
        <w:rPr>
          <w:rFonts w:ascii="Arial" w:hAnsi="Arial"/>
          <w:b/>
          <w:sz w:val="22"/>
        </w:rPr>
        <w:t xml:space="preserve">b.  </w:t>
      </w:r>
      <w:r>
        <w:rPr>
          <w:rFonts w:ascii="Arial" w:hAnsi="Arial"/>
          <w:color w:val="1A1A1A"/>
          <w:sz w:val="22"/>
        </w:rPr>
        <w:t>Menyusun kebijakan dan prosedur MDM (data ownership, data stewardship, alur perubahan, persetujuan, dan audit);</w:t>
      </w:r>
    </w:p>
    <w:p>
      <w:pPr>
        <w:spacing w:after="60" w:line="269" w:lineRule="auto"/>
        <w:ind w:left="510"/>
      </w:pPr>
      <w:r>
        <w:rPr>
          <w:rFonts w:ascii="Arial" w:hAnsi="Arial"/>
          <w:b/>
          <w:sz w:val="22"/>
        </w:rPr>
        <w:t xml:space="preserve">c.  </w:t>
      </w:r>
      <w:r>
        <w:rPr>
          <w:rFonts w:ascii="Arial" w:hAnsi="Arial"/>
          <w:color w:val="1A1A1A"/>
          <w:sz w:val="22"/>
        </w:rPr>
        <w:t>Melaksanakan pembentukan master data melalui konsolidasi, deduplikasi, verifikasi, dan validasi data dari berbagai sumber;</w:t>
      </w:r>
    </w:p>
    <w:p>
      <w:pPr>
        <w:spacing w:after="60" w:line="269" w:lineRule="auto"/>
        <w:ind w:left="510"/>
      </w:pPr>
      <w:r>
        <w:rPr>
          <w:rFonts w:ascii="Arial" w:hAnsi="Arial"/>
          <w:b/>
          <w:sz w:val="22"/>
        </w:rPr>
        <w:t xml:space="preserve">d.  </w:t>
      </w:r>
      <w:r>
        <w:rPr>
          <w:rFonts w:ascii="Arial" w:hAnsi="Arial"/>
          <w:color w:val="1A1A1A"/>
          <w:sz w:val="22"/>
        </w:rPr>
        <w:t>Menyusun mekanisme pemeliharaan dan pemutakhiran master data secara berkala;</w:t>
      </w:r>
    </w:p>
    <w:p>
      <w:pPr>
        <w:spacing w:after="60" w:line="269" w:lineRule="auto"/>
        <w:ind w:left="510"/>
      </w:pPr>
      <w:r>
        <w:rPr>
          <w:rFonts w:ascii="Arial" w:hAnsi="Arial"/>
          <w:b/>
          <w:sz w:val="22"/>
        </w:rPr>
        <w:t xml:space="preserve">e.  </w:t>
      </w:r>
      <w:r>
        <w:rPr>
          <w:rFonts w:ascii="Arial" w:hAnsi="Arial"/>
          <w:color w:val="1A1A1A"/>
          <w:sz w:val="22"/>
        </w:rPr>
        <w:t>Memastikan integrasi master data ke dalam database dan ketersediaannya bagi Dashboard melalui metadata.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Pelaksanaan ditelusuri dari kontrak dimensi pada repositori dan pemeriksaan isi lapisan konform pada 30 Oktober 2026. Setiap angka pada tabel berasal dari kueri hitung langsung.</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Kebijakan dan standar master data</w:t>
            </w:r>
          </w:p>
        </w:tc>
        <w:tc>
          <w:tcPr>
            <w:tcW w:type="dxa" w:w="5102"/>
          </w:tcPr>
          <w:p>
            <w:r/>
            <w:r>
              <w:rPr>
                <w:rFonts w:ascii="Arial" w:hAnsi="Arial"/>
                <w:b w:val="0"/>
                <w:color w:val="1A1A1A"/>
                <w:sz w:val="19"/>
              </w:rPr>
              <w:t>Menetapkan kode baku: wilayah mengikuti kode Kemendagri, negara mengikuti ISO 3166 ditambah kelompok agregat BPS, dan periode dibentuk pada lima tingkat (hari, bulan, triwulan, semester, tahun).</w:t>
            </w:r>
          </w:p>
        </w:tc>
      </w:tr>
      <w:tr>
        <w:trPr>
          <w:cantSplit/>
        </w:trPr>
        <w:tc>
          <w:tcPr>
            <w:tcW w:type="dxa" w:w="3742"/>
          </w:tcPr>
          <w:p>
            <w:r/>
            <w:r>
              <w:rPr>
                <w:rFonts w:ascii="Arial" w:hAnsi="Arial"/>
                <w:b w:val="0"/>
                <w:color w:val="1A1A1A"/>
                <w:sz w:val="19"/>
              </w:rPr>
              <w:t>Pengelolaan data induk</w:t>
            </w:r>
          </w:p>
        </w:tc>
        <w:tc>
          <w:tcPr>
            <w:tcW w:type="dxa" w:w="5102"/>
          </w:tcPr>
          <w:p>
            <w:r/>
            <w:r>
              <w:rPr>
                <w:rFonts w:ascii="Arial" w:hAnsi="Arial"/>
                <w:b w:val="0"/>
                <w:color w:val="1A1A1A"/>
                <w:sz w:val="19"/>
              </w:rPr>
              <w:t>Membentuk dimensi wilayah 863 entri (38 provinsi, 514 kabupaten/kota, 44 kecamatan dan 267 kelurahan di DKI), dimensi negara 255 entri, dimensi periode 17.675 entri untuk 1990–2035, dan 22 pintu masuk.</w:t>
            </w:r>
          </w:p>
        </w:tc>
      </w:tr>
      <w:tr>
        <w:trPr>
          <w:cantSplit/>
        </w:trPr>
        <w:tc>
          <w:tcPr>
            <w:tcW w:type="dxa" w:w="3742"/>
          </w:tcPr>
          <w:p>
            <w:r/>
            <w:r>
              <w:rPr>
                <w:rFonts w:ascii="Arial" w:hAnsi="Arial"/>
                <w:b w:val="0"/>
                <w:color w:val="1A1A1A"/>
                <w:sz w:val="19"/>
              </w:rPr>
              <w:t>Pencocokan dan deduplikasi</w:t>
            </w:r>
          </w:p>
        </w:tc>
        <w:tc>
          <w:tcPr>
            <w:tcW w:type="dxa" w:w="5102"/>
          </w:tcPr>
          <w:p>
            <w:r/>
            <w:r>
              <w:rPr>
                <w:rFonts w:ascii="Arial" w:hAnsi="Arial"/>
                <w:b w:val="0"/>
                <w:color w:val="1A1A1A"/>
                <w:sz w:val="19"/>
              </w:rPr>
              <w:t>Menyusun tabel kunci yang memetakan ejaan sumber ke kode baku (721 kunci negara, 1.621 kunci wilayah) serta tabel kunci ambigu. Fakta wisman per negara, per pintu masuk, dan wisnus per kota seluruhnya mendapat kode; tabel tak cocok berisi 0 baris.</w:t>
            </w:r>
          </w:p>
        </w:tc>
      </w:tr>
      <w:tr>
        <w:trPr>
          <w:cantSplit/>
        </w:trPr>
        <w:tc>
          <w:tcPr>
            <w:tcW w:type="dxa" w:w="3742"/>
          </w:tcPr>
          <w:p>
            <w:r/>
            <w:r>
              <w:rPr>
                <w:rFonts w:ascii="Arial" w:hAnsi="Arial"/>
                <w:b w:val="0"/>
                <w:color w:val="1A1A1A"/>
                <w:sz w:val="19"/>
              </w:rPr>
              <w:t>Metadata dan katalog</w:t>
            </w:r>
          </w:p>
        </w:tc>
        <w:tc>
          <w:tcPr>
            <w:tcW w:type="dxa" w:w="5102"/>
          </w:tcPr>
          <w:p>
            <w:r/>
            <w:r>
              <w:rPr>
                <w:rFonts w:ascii="Arial" w:hAnsi="Arial"/>
                <w:b w:val="0"/>
                <w:color w:val="1A1A1A"/>
                <w:sz w:val="19"/>
              </w:rPr>
              <w:t>Menetralkan deskripsi dan catatan dataset untuk publik tanpa mengubah angka, menambahkan kategori sumber (SDI, data internal Dispar, instansi lain, crawling) dan filter tag pada Katalog Data.</w:t>
            </w:r>
          </w:p>
        </w:tc>
      </w:tr>
      <w:tr>
        <w:trPr>
          <w:cantSplit/>
        </w:trPr>
        <w:tc>
          <w:tcPr>
            <w:tcW w:type="dxa" w:w="3742"/>
          </w:tcPr>
          <w:p>
            <w:r/>
            <w:r>
              <w:rPr>
                <w:rFonts w:ascii="Arial" w:hAnsi="Arial"/>
                <w:b w:val="0"/>
                <w:color w:val="1A1A1A"/>
                <w:sz w:val="19"/>
              </w:rPr>
              <w:t>Kualitas dan tata kelola</w:t>
            </w:r>
          </w:p>
        </w:tc>
        <w:tc>
          <w:tcPr>
            <w:tcW w:type="dxa" w:w="5102"/>
          </w:tcPr>
          <w:p>
            <w:r/>
            <w:r>
              <w:rPr>
                <w:rFonts w:ascii="Arial" w:hAnsi="Arial"/>
                <w:b w:val="0"/>
                <w:color w:val="1A1A1A"/>
                <w:sz w:val="19"/>
              </w:rPr>
              <w:t>Memantau temuan karantina konversi tipe; pada pembacaan 30 Oktober tercatat 175 kelompok temuan setelah catatan ganda dari run ulang dihitung sekali.</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berikut berasal dari lapisan konform dan tabel karantina yang dibaca pada 30 Oktober 2026. Diagram disusun dari definisi tabel, bukan dari rancangan di luar sistem.</w:t>
      </w:r>
    </w:p>
    <w:p>
      <w:pPr>
        <w:spacing w:after="60" w:before="80" w:line="276" w:lineRule="auto"/>
        <w:jc w:val="left"/>
      </w:pPr>
      <w:r>
        <w:rPr>
          <w:rFonts w:ascii="Arial" w:hAnsi="Arial"/>
          <w:b/>
          <w:i w:val="0"/>
          <w:color w:val="1A1A1A"/>
          <w:sz w:val="21"/>
        </w:rPr>
        <w:t>Isi dimensi induk dan hasil pencocokan: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381"/>
            <w:shd w:val="clear" w:color="auto" w:fill="d9d9d9"/>
          </w:tcPr>
          <w:p>
            <w:r/>
            <w:r>
              <w:rPr>
                <w:rFonts w:ascii="Arial" w:hAnsi="Arial"/>
                <w:b/>
                <w:color w:val="1A1A1A"/>
                <w:sz w:val="17"/>
              </w:rPr>
              <w:t>Data induk / fakta</w:t>
            </w:r>
          </w:p>
        </w:tc>
        <w:tc>
          <w:tcPr>
            <w:tcW w:type="dxa" w:w="4762"/>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2381"/>
          </w:tcPr>
          <w:p>
            <w:r/>
            <w:r>
              <w:rPr>
                <w:rFonts w:ascii="Arial" w:hAnsi="Arial"/>
                <w:b w:val="0"/>
                <w:color w:val="1A1A1A"/>
                <w:sz w:val="17"/>
              </w:rPr>
              <w:t>Dimensi wilayah</w:t>
            </w:r>
          </w:p>
        </w:tc>
        <w:tc>
          <w:tcPr>
            <w:tcW w:type="dxa" w:w="4762"/>
          </w:tcPr>
          <w:p>
            <w:r/>
            <w:r>
              <w:rPr>
                <w:rFonts w:ascii="Arial" w:hAnsi="Arial"/>
                <w:b w:val="0"/>
                <w:color w:val="1A1A1A"/>
                <w:sz w:val="17"/>
              </w:rPr>
              <w:t>Kode Kemendagri: 38 provinsi, 514 kab/kota, 44 kecamatan dan 267 kelurahan DKI</w:t>
            </w:r>
          </w:p>
        </w:tc>
        <w:tc>
          <w:tcPr>
            <w:tcW w:type="dxa" w:w="1701"/>
          </w:tcPr>
          <w:p>
            <w:r/>
            <w:r>
              <w:rPr>
                <w:rFonts w:ascii="Arial" w:hAnsi="Arial"/>
                <w:b w:val="0"/>
                <w:color w:val="1A1A1A"/>
                <w:sz w:val="17"/>
              </w:rPr>
              <w:t>863 entri</w:t>
            </w:r>
          </w:p>
        </w:tc>
      </w:tr>
      <w:tr>
        <w:trPr>
          <w:cantSplit/>
        </w:trPr>
        <w:tc>
          <w:tcPr>
            <w:tcW w:type="dxa" w:w="2381"/>
          </w:tcPr>
          <w:p>
            <w:r/>
            <w:r>
              <w:rPr>
                <w:rFonts w:ascii="Arial" w:hAnsi="Arial"/>
                <w:b w:val="0"/>
                <w:color w:val="1A1A1A"/>
                <w:sz w:val="17"/>
              </w:rPr>
              <w:t>Kunci wilayah</w:t>
            </w:r>
          </w:p>
        </w:tc>
        <w:tc>
          <w:tcPr>
            <w:tcW w:type="dxa" w:w="4762"/>
          </w:tcPr>
          <w:p>
            <w:r/>
            <w:r>
              <w:rPr>
                <w:rFonts w:ascii="Arial" w:hAnsi="Arial"/>
                <w:b w:val="0"/>
                <w:color w:val="1A1A1A"/>
                <w:sz w:val="17"/>
              </w:rPr>
              <w:t>Ejaan sumber yang dipetakan ke kode wilayah</w:t>
            </w:r>
          </w:p>
        </w:tc>
        <w:tc>
          <w:tcPr>
            <w:tcW w:type="dxa" w:w="1701"/>
          </w:tcPr>
          <w:p>
            <w:r/>
            <w:r>
              <w:rPr>
                <w:rFonts w:ascii="Arial" w:hAnsi="Arial"/>
                <w:b w:val="0"/>
                <w:color w:val="1A1A1A"/>
                <w:sz w:val="17"/>
              </w:rPr>
              <w:t>1.621 kunci</w:t>
            </w:r>
          </w:p>
        </w:tc>
      </w:tr>
      <w:tr>
        <w:trPr>
          <w:cantSplit/>
        </w:trPr>
        <w:tc>
          <w:tcPr>
            <w:tcW w:type="dxa" w:w="2381"/>
          </w:tcPr>
          <w:p>
            <w:r/>
            <w:r>
              <w:rPr>
                <w:rFonts w:ascii="Arial" w:hAnsi="Arial"/>
                <w:b w:val="0"/>
                <w:color w:val="1A1A1A"/>
                <w:sz w:val="17"/>
              </w:rPr>
              <w:t>Dimensi negara</w:t>
            </w:r>
          </w:p>
        </w:tc>
        <w:tc>
          <w:tcPr>
            <w:tcW w:type="dxa" w:w="4762"/>
          </w:tcPr>
          <w:p>
            <w:r/>
            <w:r>
              <w:rPr>
                <w:rFonts w:ascii="Arial" w:hAnsi="Arial"/>
                <w:b w:val="0"/>
                <w:color w:val="1A1A1A"/>
                <w:sz w:val="17"/>
              </w:rPr>
              <w:t>ISO 3166: 249 negara + 6 kelompok agregat BPS</w:t>
            </w:r>
          </w:p>
        </w:tc>
        <w:tc>
          <w:tcPr>
            <w:tcW w:type="dxa" w:w="1701"/>
          </w:tcPr>
          <w:p>
            <w:r/>
            <w:r>
              <w:rPr>
                <w:rFonts w:ascii="Arial" w:hAnsi="Arial"/>
                <w:b w:val="0"/>
                <w:color w:val="1A1A1A"/>
                <w:sz w:val="17"/>
              </w:rPr>
              <w:t>255 entri</w:t>
            </w:r>
          </w:p>
        </w:tc>
      </w:tr>
      <w:tr>
        <w:trPr>
          <w:cantSplit/>
        </w:trPr>
        <w:tc>
          <w:tcPr>
            <w:tcW w:type="dxa" w:w="2381"/>
          </w:tcPr>
          <w:p>
            <w:r/>
            <w:r>
              <w:rPr>
                <w:rFonts w:ascii="Arial" w:hAnsi="Arial"/>
                <w:b w:val="0"/>
                <w:color w:val="1A1A1A"/>
                <w:sz w:val="17"/>
              </w:rPr>
              <w:t>Kunci negara</w:t>
            </w:r>
          </w:p>
        </w:tc>
        <w:tc>
          <w:tcPr>
            <w:tcW w:type="dxa" w:w="4762"/>
          </w:tcPr>
          <w:p>
            <w:r/>
            <w:r>
              <w:rPr>
                <w:rFonts w:ascii="Arial" w:hAnsi="Arial"/>
                <w:b w:val="0"/>
                <w:color w:val="1A1A1A"/>
                <w:sz w:val="17"/>
              </w:rPr>
              <w:t>Ejaan sumber yang dipetakan ke kode negara</w:t>
            </w:r>
          </w:p>
        </w:tc>
        <w:tc>
          <w:tcPr>
            <w:tcW w:type="dxa" w:w="1701"/>
          </w:tcPr>
          <w:p>
            <w:r/>
            <w:r>
              <w:rPr>
                <w:rFonts w:ascii="Arial" w:hAnsi="Arial"/>
                <w:b w:val="0"/>
                <w:color w:val="1A1A1A"/>
                <w:sz w:val="17"/>
              </w:rPr>
              <w:t>721 kunci</w:t>
            </w:r>
          </w:p>
        </w:tc>
      </w:tr>
      <w:tr>
        <w:trPr>
          <w:cantSplit/>
        </w:trPr>
        <w:tc>
          <w:tcPr>
            <w:tcW w:type="dxa" w:w="2381"/>
          </w:tcPr>
          <w:p>
            <w:r/>
            <w:r>
              <w:rPr>
                <w:rFonts w:ascii="Arial" w:hAnsi="Arial"/>
                <w:b w:val="0"/>
                <w:color w:val="1A1A1A"/>
                <w:sz w:val="17"/>
              </w:rPr>
              <w:t>Dimensi periode</w:t>
            </w:r>
          </w:p>
        </w:tc>
        <w:tc>
          <w:tcPr>
            <w:tcW w:type="dxa" w:w="4762"/>
          </w:tcPr>
          <w:p>
            <w:r/>
            <w:r>
              <w:rPr>
                <w:rFonts w:ascii="Arial" w:hAnsi="Arial"/>
                <w:b w:val="0"/>
                <w:color w:val="1A1A1A"/>
                <w:sz w:val="17"/>
              </w:rPr>
              <w:t>Hari, bulan, triwulan, semester, tahun; 1990–2035</w:t>
            </w:r>
          </w:p>
        </w:tc>
        <w:tc>
          <w:tcPr>
            <w:tcW w:type="dxa" w:w="1701"/>
          </w:tcPr>
          <w:p>
            <w:r/>
            <w:r>
              <w:rPr>
                <w:rFonts w:ascii="Arial" w:hAnsi="Arial"/>
                <w:b w:val="0"/>
                <w:color w:val="1A1A1A"/>
                <w:sz w:val="17"/>
              </w:rPr>
              <w:t>17.675 entri</w:t>
            </w:r>
          </w:p>
        </w:tc>
      </w:tr>
      <w:tr>
        <w:trPr>
          <w:cantSplit/>
        </w:trPr>
        <w:tc>
          <w:tcPr>
            <w:tcW w:type="dxa" w:w="2381"/>
          </w:tcPr>
          <w:p>
            <w:r/>
            <w:r>
              <w:rPr>
                <w:rFonts w:ascii="Arial" w:hAnsi="Arial"/>
                <w:b w:val="0"/>
                <w:color w:val="1A1A1A"/>
                <w:sz w:val="17"/>
              </w:rPr>
              <w:t>Dimensi pintu masuk</w:t>
            </w:r>
          </w:p>
        </w:tc>
        <w:tc>
          <w:tcPr>
            <w:tcW w:type="dxa" w:w="4762"/>
          </w:tcPr>
          <w:p>
            <w:r/>
            <w:r>
              <w:rPr>
                <w:rFonts w:ascii="Arial" w:hAnsi="Arial"/>
                <w:b w:val="0"/>
                <w:color w:val="1A1A1A"/>
                <w:sz w:val="17"/>
              </w:rPr>
              <w:t>16 bandara, 4 pelabuhan, 1 pos darat, 1 lainnya</w:t>
            </w:r>
          </w:p>
        </w:tc>
        <w:tc>
          <w:tcPr>
            <w:tcW w:type="dxa" w:w="1701"/>
          </w:tcPr>
          <w:p>
            <w:r/>
            <w:r>
              <w:rPr>
                <w:rFonts w:ascii="Arial" w:hAnsi="Arial"/>
                <w:b w:val="0"/>
                <w:color w:val="1A1A1A"/>
                <w:sz w:val="17"/>
              </w:rPr>
              <w:t>22 entri</w:t>
            </w:r>
          </w:p>
        </w:tc>
      </w:tr>
      <w:tr>
        <w:trPr>
          <w:cantSplit/>
        </w:trPr>
        <w:tc>
          <w:tcPr>
            <w:tcW w:type="dxa" w:w="2381"/>
          </w:tcPr>
          <w:p>
            <w:r/>
            <w:r>
              <w:rPr>
                <w:rFonts w:ascii="Arial" w:hAnsi="Arial"/>
                <w:b w:val="0"/>
                <w:color w:val="1A1A1A"/>
                <w:sz w:val="17"/>
              </w:rPr>
              <w:t>Fakta wisman per negara</w:t>
            </w:r>
          </w:p>
        </w:tc>
        <w:tc>
          <w:tcPr>
            <w:tcW w:type="dxa" w:w="4762"/>
          </w:tcPr>
          <w:p>
            <w:r/>
            <w:r>
              <w:rPr>
                <w:rFonts w:ascii="Arial" w:hAnsi="Arial"/>
                <w:b w:val="0"/>
                <w:color w:val="1A1A1A"/>
                <w:sz w:val="17"/>
              </w:rPr>
              <w:t>Seluruh baris mendapat kode negara</w:t>
            </w:r>
          </w:p>
        </w:tc>
        <w:tc>
          <w:tcPr>
            <w:tcW w:type="dxa" w:w="1701"/>
          </w:tcPr>
          <w:p>
            <w:r/>
            <w:r>
              <w:rPr>
                <w:rFonts w:ascii="Arial" w:hAnsi="Arial"/>
                <w:b w:val="0"/>
                <w:color w:val="1A1A1A"/>
                <w:sz w:val="17"/>
              </w:rPr>
              <w:t>1.268 baris</w:t>
            </w:r>
          </w:p>
        </w:tc>
      </w:tr>
      <w:tr>
        <w:trPr>
          <w:cantSplit/>
        </w:trPr>
        <w:tc>
          <w:tcPr>
            <w:tcW w:type="dxa" w:w="2381"/>
          </w:tcPr>
          <w:p>
            <w:r/>
            <w:r>
              <w:rPr>
                <w:rFonts w:ascii="Arial" w:hAnsi="Arial"/>
                <w:b w:val="0"/>
                <w:color w:val="1A1A1A"/>
                <w:sz w:val="17"/>
              </w:rPr>
              <w:t>Fakta wisman per pintu masuk</w:t>
            </w:r>
          </w:p>
        </w:tc>
        <w:tc>
          <w:tcPr>
            <w:tcW w:type="dxa" w:w="4762"/>
          </w:tcPr>
          <w:p>
            <w:r/>
            <w:r>
              <w:rPr>
                <w:rFonts w:ascii="Arial" w:hAnsi="Arial"/>
                <w:b w:val="0"/>
                <w:color w:val="1A1A1A"/>
                <w:sz w:val="17"/>
              </w:rPr>
              <w:t>Seluruh baris mendapat kode pintu masuk</w:t>
            </w:r>
          </w:p>
        </w:tc>
        <w:tc>
          <w:tcPr>
            <w:tcW w:type="dxa" w:w="1701"/>
          </w:tcPr>
          <w:p>
            <w:r/>
            <w:r>
              <w:rPr>
                <w:rFonts w:ascii="Arial" w:hAnsi="Arial"/>
                <w:b w:val="0"/>
                <w:color w:val="1A1A1A"/>
                <w:sz w:val="17"/>
              </w:rPr>
              <w:t>516 baris</w:t>
            </w:r>
          </w:p>
        </w:tc>
      </w:tr>
      <w:tr>
        <w:trPr>
          <w:cantSplit/>
        </w:trPr>
        <w:tc>
          <w:tcPr>
            <w:tcW w:type="dxa" w:w="2381"/>
          </w:tcPr>
          <w:p>
            <w:r/>
            <w:r>
              <w:rPr>
                <w:rFonts w:ascii="Arial" w:hAnsi="Arial"/>
                <w:b w:val="0"/>
                <w:color w:val="1A1A1A"/>
                <w:sz w:val="17"/>
              </w:rPr>
              <w:t>Fakta wisnus per kota</w:t>
            </w:r>
          </w:p>
        </w:tc>
        <w:tc>
          <w:tcPr>
            <w:tcW w:type="dxa" w:w="4762"/>
          </w:tcPr>
          <w:p>
            <w:r/>
            <w:r>
              <w:rPr>
                <w:rFonts w:ascii="Arial" w:hAnsi="Arial"/>
                <w:b w:val="0"/>
                <w:color w:val="1A1A1A"/>
                <w:sz w:val="17"/>
              </w:rPr>
              <w:t>Seluruh baris mendapat kode wilayah</w:t>
            </w:r>
          </w:p>
        </w:tc>
        <w:tc>
          <w:tcPr>
            <w:tcW w:type="dxa" w:w="1701"/>
          </w:tcPr>
          <w:p>
            <w:r/>
            <w:r>
              <w:rPr>
                <w:rFonts w:ascii="Arial" w:hAnsi="Arial"/>
                <w:b w:val="0"/>
                <w:color w:val="1A1A1A"/>
                <w:sz w:val="17"/>
              </w:rPr>
              <w:t>534 baris</w:t>
            </w:r>
          </w:p>
        </w:tc>
      </w:tr>
      <w:tr>
        <w:trPr>
          <w:cantSplit/>
        </w:trPr>
        <w:tc>
          <w:tcPr>
            <w:tcW w:type="dxa" w:w="2381"/>
          </w:tcPr>
          <w:p>
            <w:r/>
            <w:r>
              <w:rPr>
                <w:rFonts w:ascii="Arial" w:hAnsi="Arial"/>
                <w:b w:val="0"/>
                <w:color w:val="1A1A1A"/>
                <w:sz w:val="17"/>
              </w:rPr>
              <w:t>Nilai tak cocok</w:t>
            </w:r>
          </w:p>
        </w:tc>
        <w:tc>
          <w:tcPr>
            <w:tcW w:type="dxa" w:w="4762"/>
          </w:tcPr>
          <w:p>
            <w:r/>
            <w:r>
              <w:rPr>
                <w:rFonts w:ascii="Arial" w:hAnsi="Arial"/>
                <w:b w:val="0"/>
                <w:color w:val="1A1A1A"/>
                <w:sz w:val="17"/>
              </w:rPr>
              <w:t>Nilai sumber yang tidak menemukan kode baku</w:t>
            </w:r>
          </w:p>
        </w:tc>
        <w:tc>
          <w:tcPr>
            <w:tcW w:type="dxa" w:w="1701"/>
          </w:tcPr>
          <w:p>
            <w:r/>
            <w:r>
              <w:rPr>
                <w:rFonts w:ascii="Arial" w:hAnsi="Arial"/>
                <w:b w:val="0"/>
                <w:color w:val="1A1A1A"/>
                <w:sz w:val="17"/>
              </w:rPr>
              <w:t>0 baris</w:t>
            </w:r>
          </w:p>
        </w:tc>
      </w:tr>
    </w:tbl>
    <w:p>
      <w:pPr>
        <w:spacing w:after="40"/>
      </w:pPr>
    </w:p>
    <w:p>
      <w:pPr>
        <w:spacing w:after="160" w:before="0" w:line="276" w:lineRule="auto"/>
        <w:jc w:val="left"/>
      </w:pPr>
      <w:r>
        <w:rPr>
          <w:rFonts w:ascii="Arial" w:hAnsi="Arial"/>
          <w:b w:val="0"/>
          <w:i/>
          <w:color w:val="555555"/>
          <w:sz w:val="17"/>
        </w:rPr>
        <w:t>Sumber Q10: SELECT count() pada konform.*; SELECT tingkat, count() FROM konform.dim_wilayah; countIf(kode_* IS NULL) pada tiap fakta. Dibaca 30 Oktober 2026.</w:t>
      </w:r>
    </w:p>
    <w:p>
      <w:pPr>
        <w:keepNext/>
        <w:spacing w:before="120" w:after="40"/>
        <w:jc w:val="center"/>
      </w:pPr>
      <w:r>
        <w:drawing>
          <wp:inline xmlns:a="http://schemas.openxmlformats.org/drawingml/2006/main" xmlns:pic="http://schemas.openxmlformats.org/drawingml/2006/picture">
            <wp:extent cx="5580000" cy="1709087"/>
            <wp:docPr id="1" name="Picture 1"/>
            <wp:cNvGraphicFramePr>
              <a:graphicFrameLocks noChangeAspect="1"/>
            </wp:cNvGraphicFramePr>
            <a:graphic>
              <a:graphicData uri="http://schemas.openxmlformats.org/drawingml/2006/picture">
                <pic:pic>
                  <pic:nvPicPr>
                    <pic:cNvPr id="0" name="06-konform-erd.jpg"/>
                    <pic:cNvPicPr/>
                  </pic:nvPicPr>
                  <pic:blipFill>
                    <a:blip r:embed="rId9"/>
                    <a:stretch>
                      <a:fillRect/>
                    </a:stretch>
                  </pic:blipFill>
                  <pic:spPr>
                    <a:xfrm>
                      <a:off x="0" y="0"/>
                      <a:ext cx="5580000" cy="1709087"/>
                    </a:xfrm>
                    <a:prstGeom prst="rect"/>
                  </pic:spPr>
                </pic:pic>
              </a:graphicData>
            </a:graphic>
          </wp:inline>
        </w:drawing>
      </w:r>
    </w:p>
    <w:p>
      <w:pPr>
        <w:spacing w:after="200"/>
        <w:jc w:val="center"/>
      </w:pPr>
      <w:r>
        <w:rPr>
          <w:rFonts w:ascii="Arial" w:hAnsi="Arial"/>
          <w:i/>
          <w:color w:val="555555"/>
          <w:sz w:val="18"/>
        </w:rPr>
        <w:t>Gambar 1. Diagram relasi lapisan konform: dimensi induk, tabel kunci pencocokan, dan fakta kunjungan yang merujuk kode baku. Sumber: DESCRIBE dan SHOW CREATE TABLE konform.*; diagram disusun 30 Oktober 2026.</w:t>
      </w:r>
    </w:p>
    <w:p>
      <w:pPr>
        <w:spacing w:after="60" w:before="80" w:line="276" w:lineRule="auto"/>
        <w:jc w:val="left"/>
      </w:pPr>
      <w:r>
        <w:rPr>
          <w:rFonts w:ascii="Arial" w:hAnsi="Arial"/>
          <w:b/>
          <w:i w:val="0"/>
          <w:color w:val="1A1A1A"/>
          <w:sz w:val="21"/>
        </w:rPr>
        <w:t>Temuan konversi tipe yang dikarantina: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4535"/>
            <w:shd w:val="clear" w:color="auto" w:fill="d9d9d9"/>
          </w:tcPr>
          <w:p>
            <w:r/>
            <w:r>
              <w:rPr>
                <w:rFonts w:ascii="Arial" w:hAnsi="Arial"/>
                <w:b/>
                <w:color w:val="1A1A1A"/>
                <w:sz w:val="17"/>
              </w:rPr>
              <w:t>Alasan / keterangan</w:t>
            </w:r>
          </w:p>
        </w:tc>
        <w:tc>
          <w:tcPr>
            <w:tcW w:type="dxa" w:w="2041"/>
            <w:shd w:val="clear" w:color="auto" w:fill="d9d9d9"/>
          </w:tcPr>
          <w:p>
            <w:r/>
            <w:r>
              <w:rPr>
                <w:rFonts w:ascii="Arial" w:hAnsi="Arial"/>
                <w:b/>
                <w:color w:val="1A1A1A"/>
                <w:sz w:val="17"/>
              </w:rPr>
              <w:t>Tabel terdampak</w:t>
            </w:r>
          </w:p>
        </w:tc>
        <w:tc>
          <w:tcPr>
            <w:tcW w:type="dxa" w:w="2268"/>
            <w:shd w:val="clear" w:color="auto" w:fill="d9d9d9"/>
          </w:tcPr>
          <w:p>
            <w:r/>
            <w:r>
              <w:rPr>
                <w:rFonts w:ascii="Arial" w:hAnsi="Arial"/>
                <w:b/>
                <w:color w:val="1A1A1A"/>
                <w:sz w:val="17"/>
              </w:rPr>
              <w:t>Temuan</w:t>
            </w:r>
          </w:p>
        </w:tc>
      </w:tr>
      <w:tr>
        <w:trPr>
          <w:cantSplit/>
        </w:trPr>
        <w:tc>
          <w:tcPr>
            <w:tcW w:type="dxa" w:w="4535"/>
          </w:tcPr>
          <w:p>
            <w:r/>
            <w:r>
              <w:rPr>
                <w:rFonts w:ascii="Arial" w:hAnsi="Arial"/>
                <w:b w:val="0"/>
                <w:color w:val="1A1A1A"/>
                <w:sz w:val="17"/>
              </w:rPr>
              <w:t>jumlah (angka) gagal konversi</w:t>
            </w:r>
          </w:p>
        </w:tc>
        <w:tc>
          <w:tcPr>
            <w:tcW w:type="dxa" w:w="2041"/>
          </w:tcPr>
          <w:p>
            <w:r/>
            <w:r>
              <w:rPr>
                <w:rFonts w:ascii="Arial" w:hAnsi="Arial"/>
                <w:b w:val="0"/>
                <w:color w:val="1A1A1A"/>
                <w:sz w:val="17"/>
              </w:rPr>
              <w:t>9 tabel</w:t>
            </w:r>
          </w:p>
        </w:tc>
        <w:tc>
          <w:tcPr>
            <w:tcW w:type="dxa" w:w="2268"/>
          </w:tcPr>
          <w:p>
            <w:r/>
            <w:r>
              <w:rPr>
                <w:rFonts w:ascii="Arial" w:hAnsi="Arial"/>
                <w:b w:val="0"/>
                <w:color w:val="1A1A1A"/>
                <w:sz w:val="17"/>
              </w:rPr>
              <w:t>52.755 nilai</w:t>
            </w:r>
          </w:p>
        </w:tc>
      </w:tr>
      <w:tr>
        <w:trPr>
          <w:cantSplit/>
        </w:trPr>
        <w:tc>
          <w:tcPr>
            <w:tcW w:type="dxa" w:w="4535"/>
          </w:tcPr>
          <w:p>
            <w:r/>
            <w:r>
              <w:rPr>
                <w:rFonts w:ascii="Arial" w:hAnsi="Arial"/>
                <w:b w:val="0"/>
                <w:color w:val="1A1A1A"/>
                <w:sz w:val="17"/>
              </w:rPr>
              <w:t>jumlah_tki (angka) gagal konversi</w:t>
            </w:r>
          </w:p>
        </w:tc>
        <w:tc>
          <w:tcPr>
            <w:tcW w:type="dxa" w:w="2041"/>
          </w:tcPr>
          <w:p>
            <w:r/>
            <w:r>
              <w:rPr>
                <w:rFonts w:ascii="Arial" w:hAnsi="Arial"/>
                <w:b w:val="0"/>
                <w:color w:val="1A1A1A"/>
                <w:sz w:val="17"/>
              </w:rPr>
              <w:t>1 tabel</w:t>
            </w:r>
          </w:p>
        </w:tc>
        <w:tc>
          <w:tcPr>
            <w:tcW w:type="dxa" w:w="2268"/>
          </w:tcPr>
          <w:p>
            <w:r/>
            <w:r>
              <w:rPr>
                <w:rFonts w:ascii="Arial" w:hAnsi="Arial"/>
                <w:b w:val="0"/>
                <w:color w:val="1A1A1A"/>
                <w:sz w:val="17"/>
              </w:rPr>
              <w:t>24.888 nilai</w:t>
            </w:r>
          </w:p>
        </w:tc>
      </w:tr>
      <w:tr>
        <w:trPr>
          <w:cantSplit/>
        </w:trPr>
        <w:tc>
          <w:tcPr>
            <w:tcW w:type="dxa" w:w="4535"/>
          </w:tcPr>
          <w:p>
            <w:r/>
            <w:r>
              <w:rPr>
                <w:rFonts w:ascii="Arial" w:hAnsi="Arial"/>
                <w:b w:val="0"/>
                <w:color w:val="1A1A1A"/>
                <w:sz w:val="17"/>
              </w:rPr>
              <w:t>lat (angka) gagal konversi</w:t>
            </w:r>
          </w:p>
        </w:tc>
        <w:tc>
          <w:tcPr>
            <w:tcW w:type="dxa" w:w="2041"/>
          </w:tcPr>
          <w:p>
            <w:r/>
            <w:r>
              <w:rPr>
                <w:rFonts w:ascii="Arial" w:hAnsi="Arial"/>
                <w:b w:val="0"/>
                <w:color w:val="1A1A1A"/>
                <w:sz w:val="17"/>
              </w:rPr>
              <w:t>12 tabel</w:t>
            </w:r>
          </w:p>
        </w:tc>
        <w:tc>
          <w:tcPr>
            <w:tcW w:type="dxa" w:w="2268"/>
          </w:tcPr>
          <w:p>
            <w:r/>
            <w:r>
              <w:rPr>
                <w:rFonts w:ascii="Arial" w:hAnsi="Arial"/>
                <w:b w:val="0"/>
                <w:color w:val="1A1A1A"/>
                <w:sz w:val="17"/>
              </w:rPr>
              <w:t>8.110 nilai</w:t>
            </w:r>
          </w:p>
        </w:tc>
      </w:tr>
      <w:tr>
        <w:trPr>
          <w:cantSplit/>
        </w:trPr>
        <w:tc>
          <w:tcPr>
            <w:tcW w:type="dxa" w:w="4535"/>
          </w:tcPr>
          <w:p>
            <w:r/>
            <w:r>
              <w:rPr>
                <w:rFonts w:ascii="Arial" w:hAnsi="Arial"/>
                <w:b w:val="0"/>
                <w:color w:val="1A1A1A"/>
                <w:sz w:val="17"/>
              </w:rPr>
              <w:t>lon (angka) gagal konversi</w:t>
            </w:r>
          </w:p>
        </w:tc>
        <w:tc>
          <w:tcPr>
            <w:tcW w:type="dxa" w:w="2041"/>
          </w:tcPr>
          <w:p>
            <w:r/>
            <w:r>
              <w:rPr>
                <w:rFonts w:ascii="Arial" w:hAnsi="Arial"/>
                <w:b w:val="0"/>
                <w:color w:val="1A1A1A"/>
                <w:sz w:val="17"/>
              </w:rPr>
              <w:t>10 tabel</w:t>
            </w:r>
          </w:p>
        </w:tc>
        <w:tc>
          <w:tcPr>
            <w:tcW w:type="dxa" w:w="2268"/>
          </w:tcPr>
          <w:p>
            <w:r/>
            <w:r>
              <w:rPr>
                <w:rFonts w:ascii="Arial" w:hAnsi="Arial"/>
                <w:b w:val="0"/>
                <w:color w:val="1A1A1A"/>
                <w:sz w:val="17"/>
              </w:rPr>
              <w:t>7.931 nilai</w:t>
            </w:r>
          </w:p>
        </w:tc>
      </w:tr>
      <w:tr>
        <w:trPr>
          <w:cantSplit/>
        </w:trPr>
        <w:tc>
          <w:tcPr>
            <w:tcW w:type="dxa" w:w="4535"/>
          </w:tcPr>
          <w:p>
            <w:r/>
            <w:r>
              <w:rPr>
                <w:rFonts w:ascii="Arial" w:hAnsi="Arial"/>
                <w:b w:val="0"/>
                <w:color w:val="1A1A1A"/>
                <w:sz w:val="17"/>
              </w:rPr>
              <w:t>periode_data (tanggal) gagal konversi</w:t>
            </w:r>
          </w:p>
        </w:tc>
        <w:tc>
          <w:tcPr>
            <w:tcW w:type="dxa" w:w="2041"/>
          </w:tcPr>
          <w:p>
            <w:r/>
            <w:r>
              <w:rPr>
                <w:rFonts w:ascii="Arial" w:hAnsi="Arial"/>
                <w:b w:val="0"/>
                <w:color w:val="1A1A1A"/>
                <w:sz w:val="17"/>
              </w:rPr>
              <w:t>2 tabel</w:t>
            </w:r>
          </w:p>
        </w:tc>
        <w:tc>
          <w:tcPr>
            <w:tcW w:type="dxa" w:w="2268"/>
          </w:tcPr>
          <w:p>
            <w:r/>
            <w:r>
              <w:rPr>
                <w:rFonts w:ascii="Arial" w:hAnsi="Arial"/>
                <w:b w:val="0"/>
                <w:color w:val="1A1A1A"/>
                <w:sz w:val="17"/>
              </w:rPr>
              <w:t>2.235 nilai</w:t>
            </w:r>
          </w:p>
        </w:tc>
      </w:tr>
      <w:tr>
        <w:trPr>
          <w:cantSplit/>
        </w:trPr>
        <w:tc>
          <w:tcPr>
            <w:tcW w:type="dxa" w:w="4535"/>
          </w:tcPr>
          <w:p>
            <w:r/>
            <w:r>
              <w:rPr>
                <w:rFonts w:ascii="Arial" w:hAnsi="Arial"/>
                <w:b w:val="0"/>
                <w:color w:val="1A1A1A"/>
                <w:sz w:val="17"/>
              </w:rPr>
              <w:t>Total kelompok temuan 30 Oktober</w:t>
            </w:r>
          </w:p>
        </w:tc>
        <w:tc>
          <w:tcPr>
            <w:tcW w:type="dxa" w:w="2041"/>
          </w:tcPr>
          <w:p>
            <w:r/>
            <w:r>
              <w:rPr>
                <w:rFonts w:ascii="Arial" w:hAnsi="Arial"/>
                <w:b w:val="0"/>
                <w:color w:val="1A1A1A"/>
                <w:sz w:val="17"/>
              </w:rPr>
              <w:t>Bukan baris/orang unik</w:t>
            </w:r>
          </w:p>
        </w:tc>
        <w:tc>
          <w:tcPr>
            <w:tcW w:type="dxa" w:w="2268"/>
          </w:tcPr>
          <w:p>
            <w:r/>
            <w:r>
              <w:rPr>
                <w:rFonts w:ascii="Arial" w:hAnsi="Arial"/>
                <w:b w:val="0"/>
                <w:color w:val="1A1A1A"/>
                <w:sz w:val="17"/>
              </w:rPr>
              <w:t>175 kelompok</w:t>
            </w:r>
          </w:p>
        </w:tc>
      </w:tr>
    </w:tbl>
    <w:p>
      <w:pPr>
        <w:spacing w:after="40"/>
      </w:pPr>
    </w:p>
    <w:p>
      <w:pPr>
        <w:spacing w:after="160" w:before="0" w:line="276" w:lineRule="auto"/>
        <w:jc w:val="left"/>
      </w:pPr>
      <w:r>
        <w:rPr>
          <w:rFonts w:ascii="Arial" w:hAnsi="Arial"/>
          <w:b w:val="0"/>
          <w:i/>
          <w:color w:val="555555"/>
          <w:sz w:val="17"/>
        </w:rPr>
        <w:t>Sumber Q5: _silver_meta.karantina, isi run 30 Oktober 2026. Tiap pasangan tabel dan alasan tercatat empat kali akibat run ulang dan dihitung sekali (672 baris mentah menjadi 175 kelompok). Riwayat per tanggal sebelumnya tidak tersimpan. Nilai gagal konversi bukan jumlah baris sumber atau orang unik.</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MDM Specialist perlu menyambungkan dimensi induk ke dataset lain di luar wisman dan wisnus, menyimpan riwayat karantina per tanggal, serta menetapkan aturan agar run ulang tidak menggandakan catatan temuan.</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Data induk Oktober memberi rujukan kode yang sama bagi wilayah, negara, dan periode. Pencocokan fakta kunjungan sudah lengkap; perluasan ke dataset lain dan riwayat mutu menjadi pekerjaan berikutnya.</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Master Data Management (MDM) Specialist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