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Engineer 2 (Junior)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Data Engineer menitikberatkan bulan kelima pada jalur pemuatan yang berulang secara otomatis dan penambahan dua belas dataset baru. Seluruh sumber kini didaftarkan dalam satu registri dan dimuat oleh job harian, sehingga data tidak lagi bergantung pada pemuatan manual.</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dan melaksanakan pipeline pengumpulan dan integrasi data (ETL/ELT) dari berbagai sumber ke dalam Database;</w:t>
      </w:r>
    </w:p>
    <w:p>
      <w:pPr>
        <w:spacing w:after="60" w:line="269" w:lineRule="auto"/>
        <w:ind w:left="510"/>
      </w:pPr>
      <w:r>
        <w:rPr>
          <w:rFonts w:ascii="Arial" w:hAnsi="Arial"/>
          <w:b/>
          <w:sz w:val="22"/>
        </w:rPr>
        <w:t xml:space="preserve">b.  </w:t>
      </w:r>
      <w:r>
        <w:rPr>
          <w:rFonts w:ascii="Arial" w:hAnsi="Arial"/>
          <w:color w:val="1A1A1A"/>
          <w:sz w:val="22"/>
        </w:rPr>
        <w:t>Membersihkan, mentransformasi, dan menstandarisasi raw data agar siap digunakan untuk analisis dan visualisasi;</w:t>
      </w:r>
    </w:p>
    <w:p>
      <w:pPr>
        <w:spacing w:after="60" w:line="269" w:lineRule="auto"/>
        <w:ind w:left="510"/>
      </w:pPr>
      <w:r>
        <w:rPr>
          <w:rFonts w:ascii="Arial" w:hAnsi="Arial"/>
          <w:b/>
          <w:sz w:val="22"/>
        </w:rPr>
        <w:t xml:space="preserve">c.  </w:t>
      </w:r>
      <w:r>
        <w:rPr>
          <w:rFonts w:ascii="Arial" w:hAnsi="Arial"/>
          <w:color w:val="1A1A1A"/>
          <w:sz w:val="22"/>
        </w:rPr>
        <w:t>Memastikan integrasi data multi-sumber dilakukan dengan menjaga kualitas dan keterlacakan data;</w:t>
      </w:r>
    </w:p>
    <w:p>
      <w:pPr>
        <w:spacing w:after="60" w:line="269" w:lineRule="auto"/>
        <w:ind w:left="510"/>
      </w:pPr>
      <w:r>
        <w:rPr>
          <w:rFonts w:ascii="Arial" w:hAnsi="Arial"/>
          <w:b/>
          <w:sz w:val="22"/>
        </w:rPr>
        <w:t xml:space="preserve">d.  </w:t>
      </w:r>
      <w:r>
        <w:rPr>
          <w:rFonts w:ascii="Arial" w:hAnsi="Arial"/>
          <w:color w:val="1A1A1A"/>
          <w:sz w:val="22"/>
        </w:rPr>
        <w:t>Menerapkan standar metadata dan master data dalam proses integrasi data;</w:t>
      </w:r>
    </w:p>
    <w:p>
      <w:pPr>
        <w:spacing w:after="60" w:line="269" w:lineRule="auto"/>
        <w:ind w:left="510"/>
      </w:pPr>
      <w:r>
        <w:rPr>
          <w:rFonts w:ascii="Arial" w:hAnsi="Arial"/>
          <w:b/>
          <w:sz w:val="22"/>
        </w:rPr>
        <w:t xml:space="preserve">e.  </w:t>
      </w:r>
      <w:r>
        <w:rPr>
          <w:rFonts w:ascii="Arial" w:hAnsi="Arial"/>
          <w:color w:val="1A1A1A"/>
          <w:sz w:val="22"/>
        </w:rPr>
        <w:t>Menjamin keamanan data dan kepatuhan terhadap tata kelola data pada proses integrasi.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Pelaksanaan ditelusuri dari riwayat perubahan pipeline dan dataset 1–30 Oktober, catatan run penjadwal Dagster, serta jumlah baris tabel bersih yang dibaca 30 Oktober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Pipeline pengumpulan dan integrasi</w:t>
            </w:r>
          </w:p>
        </w:tc>
        <w:tc>
          <w:tcPr>
            <w:tcW w:type="dxa" w:w="5102"/>
          </w:tcPr>
          <w:p>
            <w:r/>
            <w:r>
              <w:rPr>
                <w:rFonts w:ascii="Arial" w:hAnsi="Arial"/>
                <w:b w:val="0"/>
                <w:color w:val="1A1A1A"/>
                <w:sz w:val="19"/>
              </w:rPr>
              <w:t>Menyusun registri sumber data mentah (110 sumber terdaftar dan 23 berkas yang sengaja tidak dimuat) dan memuat berkas serta data sekunder dari registri itu secara bertahap menurut sidik isi berkas; job pembaruan harian berhasil pada 27 hari antara 4 dan 30 Oktober.</w:t>
            </w:r>
          </w:p>
        </w:tc>
      </w:tr>
      <w:tr>
        <w:trPr>
          <w:cantSplit/>
        </w:trPr>
        <w:tc>
          <w:tcPr>
            <w:tcW w:type="dxa" w:w="3742"/>
          </w:tcPr>
          <w:p>
            <w:r/>
            <w:r>
              <w:rPr>
                <w:rFonts w:ascii="Arial" w:hAnsi="Arial"/>
                <w:b w:val="0"/>
                <w:color w:val="1A1A1A"/>
                <w:sz w:val="19"/>
              </w:rPr>
              <w:t>Pembersihan dan standardisasi</w:t>
            </w:r>
          </w:p>
        </w:tc>
        <w:tc>
          <w:tcPr>
            <w:tcW w:type="dxa" w:w="5102"/>
          </w:tcPr>
          <w:p>
            <w:r/>
            <w:r>
              <w:rPr>
                <w:rFonts w:ascii="Arial" w:hAnsi="Arial"/>
                <w:b w:val="0"/>
                <w:color w:val="1A1A1A"/>
                <w:sz w:val="19"/>
              </w:rPr>
              <w:t>Memperbaiki pembacaan titik desimal pada kolom koordinat, mengoreksi 19 titik peta di Kepulauan Seribu, menjaga kolom NIB dan KBLI tetap teks, serta menghapus hitungan ganda pada dataset venue dan kegiatan MICE.</w:t>
            </w:r>
          </w:p>
        </w:tc>
      </w:tr>
      <w:tr>
        <w:trPr>
          <w:cantSplit/>
        </w:trPr>
        <w:tc>
          <w:tcPr>
            <w:tcW w:type="dxa" w:w="3742"/>
          </w:tcPr>
          <w:p>
            <w:r/>
            <w:r>
              <w:rPr>
                <w:rFonts w:ascii="Arial" w:hAnsi="Arial"/>
                <w:b w:val="0"/>
                <w:color w:val="1A1A1A"/>
                <w:sz w:val="19"/>
              </w:rPr>
              <w:t>Integrasi multi-sumber</w:t>
            </w:r>
          </w:p>
        </w:tc>
        <w:tc>
          <w:tcPr>
            <w:tcW w:type="dxa" w:w="5102"/>
          </w:tcPr>
          <w:p>
            <w:r/>
            <w:r>
              <w:rPr>
                <w:rFonts w:ascii="Arial" w:hAnsi="Arial"/>
                <w:b w:val="0"/>
                <w:color w:val="1A1A1A"/>
                <w:sz w:val="19"/>
              </w:rPr>
              <w:t>Menambahkan dua belas dataset: penerbangan langsung internasional dan domestik, venue dan kegiatan MICE 2026, Hotel MICHELIN Key 2026, lokasi syuting film, museum, jalur hijau, hutan kota, taman, serta hotel dan usaha hiburan per kota.</w:t>
            </w:r>
          </w:p>
        </w:tc>
      </w:tr>
      <w:tr>
        <w:trPr>
          <w:cantSplit/>
        </w:trPr>
        <w:tc>
          <w:tcPr>
            <w:tcW w:type="dxa" w:w="3742"/>
          </w:tcPr>
          <w:p>
            <w:r/>
            <w:r>
              <w:rPr>
                <w:rFonts w:ascii="Arial" w:hAnsi="Arial"/>
                <w:b w:val="0"/>
                <w:color w:val="1A1A1A"/>
                <w:sz w:val="19"/>
              </w:rPr>
              <w:t>Metadata dan ketertelusuran</w:t>
            </w:r>
          </w:p>
        </w:tc>
        <w:tc>
          <w:tcPr>
            <w:tcW w:type="dxa" w:w="5102"/>
          </w:tcPr>
          <w:p>
            <w:r/>
            <w:r>
              <w:rPr>
                <w:rFonts w:ascii="Arial" w:hAnsi="Arial"/>
                <w:b w:val="0"/>
                <w:color w:val="1A1A1A"/>
                <w:sz w:val="19"/>
              </w:rPr>
              <w:t>Setiap baris data sekunder membawa tautan sumber; data hotel dan hiburan per kota diverifikasi sel demi sel terhadap berkas asli (12.255 sel identik) sebelum dimuat.</w:t>
            </w:r>
          </w:p>
        </w:tc>
      </w:tr>
      <w:tr>
        <w:trPr>
          <w:cantSplit/>
        </w:trPr>
        <w:tc>
          <w:tcPr>
            <w:tcW w:type="dxa" w:w="3742"/>
          </w:tcPr>
          <w:p>
            <w:r/>
            <w:r>
              <w:rPr>
                <w:rFonts w:ascii="Arial" w:hAnsi="Arial"/>
                <w:b w:val="0"/>
                <w:color w:val="1A1A1A"/>
                <w:sz w:val="19"/>
              </w:rPr>
              <w:t>Keamanan dan tata kelola</w:t>
            </w:r>
          </w:p>
        </w:tc>
        <w:tc>
          <w:tcPr>
            <w:tcW w:type="dxa" w:w="5102"/>
          </w:tcPr>
          <w:p>
            <w:r/>
            <w:r>
              <w:rPr>
                <w:rFonts w:ascii="Arial" w:hAnsi="Arial"/>
                <w:b w:val="0"/>
                <w:color w:val="1A1A1A"/>
                <w:sz w:val="19"/>
              </w:rPr>
              <w:t>Data dibangun ke dalam image penjadwal dari commit tertentu sehingga isi yang dimuat dapat ditelusuri ke versi repositori; kontak usaha pada data hotel dan hiburan ditampilkan atas permintaan Dinas.</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Tabel jumlah baris dan catatan run diambil pada 30 Oktober 2026. Tangkapan layar menunjukkan dataset baru pada aplikasi; grafik bawaan halaman disembunyikan agar judul, keterangan sumber, dan tabel terbaca utuh.</w:t>
      </w:r>
    </w:p>
    <w:p>
      <w:pPr>
        <w:spacing w:after="60" w:before="80" w:line="276" w:lineRule="auto"/>
        <w:jc w:val="left"/>
      </w:pPr>
      <w:r>
        <w:rPr>
          <w:rFonts w:ascii="Arial" w:hAnsi="Arial"/>
          <w:b/>
          <w:i w:val="0"/>
          <w:color w:val="1A1A1A"/>
          <w:sz w:val="21"/>
        </w:rPr>
        <w:t>Dataset baru Oktober dan jumlah baris tabel bersih:</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515"/>
            <w:shd w:val="clear" w:color="auto" w:fill="d9d9d9"/>
          </w:tcPr>
          <w:p>
            <w:r/>
            <w:r>
              <w:rPr>
                <w:rFonts w:ascii="Arial" w:hAnsi="Arial"/>
                <w:b/>
                <w:color w:val="1A1A1A"/>
                <w:sz w:val="17"/>
              </w:rPr>
              <w:t>Dataset</w:t>
            </w:r>
          </w:p>
        </w:tc>
        <w:tc>
          <w:tcPr>
            <w:tcW w:type="dxa" w:w="4195"/>
            <w:shd w:val="clear" w:color="auto" w:fill="d9d9d9"/>
          </w:tcPr>
          <w:p>
            <w:r/>
            <w:r>
              <w:rPr>
                <w:rFonts w:ascii="Arial" w:hAnsi="Arial"/>
                <w:b/>
                <w:color w:val="1A1A1A"/>
                <w:sz w:val="17"/>
              </w:rPr>
              <w:t>Tabel bersih</w:t>
            </w:r>
          </w:p>
        </w:tc>
        <w:tc>
          <w:tcPr>
            <w:tcW w:type="dxa" w:w="1134"/>
            <w:shd w:val="clear" w:color="auto" w:fill="d9d9d9"/>
          </w:tcPr>
          <w:p>
            <w:r/>
            <w:r>
              <w:rPr>
                <w:rFonts w:ascii="Arial" w:hAnsi="Arial"/>
                <w:b/>
                <w:color w:val="1A1A1A"/>
                <w:sz w:val="17"/>
              </w:rPr>
              <w:t>Baris</w:t>
            </w:r>
          </w:p>
        </w:tc>
      </w:tr>
      <w:tr>
        <w:trPr>
          <w:cantSplit/>
        </w:trPr>
        <w:tc>
          <w:tcPr>
            <w:tcW w:type="dxa" w:w="3515"/>
          </w:tcPr>
          <w:p>
            <w:r/>
            <w:r>
              <w:rPr>
                <w:rFonts w:ascii="Arial" w:hAnsi="Arial"/>
                <w:b w:val="0"/>
                <w:color w:val="1A1A1A"/>
                <w:sz w:val="17"/>
              </w:rPr>
              <w:t>Penerbangan langsung internasional ke Jakarta</w:t>
            </w:r>
          </w:p>
        </w:tc>
        <w:tc>
          <w:tcPr>
            <w:tcW w:type="dxa" w:w="4195"/>
          </w:tcPr>
          <w:p>
            <w:r/>
            <w:r>
              <w:rPr>
                <w:rFonts w:ascii="Arial" w:hAnsi="Arial"/>
                <w:b w:val="0"/>
                <w:color w:val="1A1A1A"/>
                <w:sz w:val="17"/>
              </w:rPr>
              <w:t>silver.penerbangan_langsung_internasional_jakarta</w:t>
            </w:r>
          </w:p>
        </w:tc>
        <w:tc>
          <w:tcPr>
            <w:tcW w:type="dxa" w:w="1134"/>
          </w:tcPr>
          <w:p>
            <w:r/>
            <w:r>
              <w:rPr>
                <w:rFonts w:ascii="Arial" w:hAnsi="Arial"/>
                <w:b w:val="0"/>
                <w:color w:val="1A1A1A"/>
                <w:sz w:val="17"/>
              </w:rPr>
              <w:t>125</w:t>
            </w:r>
          </w:p>
        </w:tc>
      </w:tr>
      <w:tr>
        <w:trPr>
          <w:cantSplit/>
        </w:trPr>
        <w:tc>
          <w:tcPr>
            <w:tcW w:type="dxa" w:w="3515"/>
          </w:tcPr>
          <w:p>
            <w:r/>
            <w:r>
              <w:rPr>
                <w:rFonts w:ascii="Arial" w:hAnsi="Arial"/>
                <w:b w:val="0"/>
                <w:color w:val="1A1A1A"/>
                <w:sz w:val="17"/>
              </w:rPr>
              <w:t>Penerbangan langsung domestik ke Jakarta</w:t>
            </w:r>
          </w:p>
        </w:tc>
        <w:tc>
          <w:tcPr>
            <w:tcW w:type="dxa" w:w="4195"/>
          </w:tcPr>
          <w:p>
            <w:r/>
            <w:r>
              <w:rPr>
                <w:rFonts w:ascii="Arial" w:hAnsi="Arial"/>
                <w:b w:val="0"/>
                <w:color w:val="1A1A1A"/>
                <w:sz w:val="17"/>
              </w:rPr>
              <w:t>silver.penerbangan_langsung_domestik_jakarta</w:t>
            </w:r>
          </w:p>
        </w:tc>
        <w:tc>
          <w:tcPr>
            <w:tcW w:type="dxa" w:w="1134"/>
          </w:tcPr>
          <w:p>
            <w:r/>
            <w:r>
              <w:rPr>
                <w:rFonts w:ascii="Arial" w:hAnsi="Arial"/>
                <w:b w:val="0"/>
                <w:color w:val="1A1A1A"/>
                <w:sz w:val="17"/>
              </w:rPr>
              <w:t>209</w:t>
            </w:r>
          </w:p>
        </w:tc>
      </w:tr>
      <w:tr>
        <w:trPr>
          <w:cantSplit/>
        </w:trPr>
        <w:tc>
          <w:tcPr>
            <w:tcW w:type="dxa" w:w="3515"/>
          </w:tcPr>
          <w:p>
            <w:r/>
            <w:r>
              <w:rPr>
                <w:rFonts w:ascii="Arial" w:hAnsi="Arial"/>
                <w:b w:val="0"/>
                <w:color w:val="1A1A1A"/>
                <w:sz w:val="17"/>
              </w:rPr>
              <w:t>Kegiatan di venue MICE 2026</w:t>
            </w:r>
          </w:p>
        </w:tc>
        <w:tc>
          <w:tcPr>
            <w:tcW w:type="dxa" w:w="4195"/>
          </w:tcPr>
          <w:p>
            <w:r/>
            <w:r>
              <w:rPr>
                <w:rFonts w:ascii="Arial" w:hAnsi="Arial"/>
                <w:b w:val="0"/>
                <w:color w:val="1A1A1A"/>
                <w:sz w:val="17"/>
              </w:rPr>
              <w:t>silver.kegiatan_mice_jakarta_2026</w:t>
            </w:r>
          </w:p>
        </w:tc>
        <w:tc>
          <w:tcPr>
            <w:tcW w:type="dxa" w:w="1134"/>
          </w:tcPr>
          <w:p>
            <w:r/>
            <w:r>
              <w:rPr>
                <w:rFonts w:ascii="Arial" w:hAnsi="Arial"/>
                <w:b w:val="0"/>
                <w:color w:val="1A1A1A"/>
                <w:sz w:val="17"/>
              </w:rPr>
              <w:t>374</w:t>
            </w:r>
          </w:p>
        </w:tc>
      </w:tr>
      <w:tr>
        <w:trPr>
          <w:cantSplit/>
        </w:trPr>
        <w:tc>
          <w:tcPr>
            <w:tcW w:type="dxa" w:w="3515"/>
          </w:tcPr>
          <w:p>
            <w:r/>
            <w:r>
              <w:rPr>
                <w:rFonts w:ascii="Arial" w:hAnsi="Arial"/>
                <w:b w:val="0"/>
                <w:color w:val="1A1A1A"/>
                <w:sz w:val="17"/>
              </w:rPr>
              <w:t>Venue MICE</w:t>
            </w:r>
          </w:p>
        </w:tc>
        <w:tc>
          <w:tcPr>
            <w:tcW w:type="dxa" w:w="4195"/>
          </w:tcPr>
          <w:p>
            <w:r/>
            <w:r>
              <w:rPr>
                <w:rFonts w:ascii="Arial" w:hAnsi="Arial"/>
                <w:b w:val="0"/>
                <w:color w:val="1A1A1A"/>
                <w:sz w:val="17"/>
              </w:rPr>
              <w:t>silver.venue_mice_jakarta</w:t>
            </w:r>
          </w:p>
        </w:tc>
        <w:tc>
          <w:tcPr>
            <w:tcW w:type="dxa" w:w="1134"/>
          </w:tcPr>
          <w:p>
            <w:r/>
            <w:r>
              <w:rPr>
                <w:rFonts w:ascii="Arial" w:hAnsi="Arial"/>
                <w:b w:val="0"/>
                <w:color w:val="1A1A1A"/>
                <w:sz w:val="17"/>
              </w:rPr>
              <w:t>114</w:t>
            </w:r>
          </w:p>
        </w:tc>
      </w:tr>
      <w:tr>
        <w:trPr>
          <w:cantSplit/>
        </w:trPr>
        <w:tc>
          <w:tcPr>
            <w:tcW w:type="dxa" w:w="3515"/>
          </w:tcPr>
          <w:p>
            <w:r/>
            <w:r>
              <w:rPr>
                <w:rFonts w:ascii="Arial" w:hAnsi="Arial"/>
                <w:b w:val="0"/>
                <w:color w:val="1A1A1A"/>
                <w:sz w:val="17"/>
              </w:rPr>
              <w:t>Hotel MICHELIN Key Indonesia 2026</w:t>
            </w:r>
          </w:p>
        </w:tc>
        <w:tc>
          <w:tcPr>
            <w:tcW w:type="dxa" w:w="4195"/>
          </w:tcPr>
          <w:p>
            <w:r/>
            <w:r>
              <w:rPr>
                <w:rFonts w:ascii="Arial" w:hAnsi="Arial"/>
                <w:b w:val="0"/>
                <w:color w:val="1A1A1A"/>
                <w:sz w:val="17"/>
              </w:rPr>
              <w:t>silver.michelin_keys_indonesia</w:t>
            </w:r>
          </w:p>
        </w:tc>
        <w:tc>
          <w:tcPr>
            <w:tcW w:type="dxa" w:w="1134"/>
          </w:tcPr>
          <w:p>
            <w:r/>
            <w:r>
              <w:rPr>
                <w:rFonts w:ascii="Arial" w:hAnsi="Arial"/>
                <w:b w:val="0"/>
                <w:color w:val="1A1A1A"/>
                <w:sz w:val="17"/>
              </w:rPr>
              <w:t>47</w:t>
            </w:r>
          </w:p>
        </w:tc>
      </w:tr>
      <w:tr>
        <w:trPr>
          <w:cantSplit/>
        </w:trPr>
        <w:tc>
          <w:tcPr>
            <w:tcW w:type="dxa" w:w="3515"/>
          </w:tcPr>
          <w:p>
            <w:r/>
            <w:r>
              <w:rPr>
                <w:rFonts w:ascii="Arial" w:hAnsi="Arial"/>
                <w:b w:val="0"/>
                <w:color w:val="1A1A1A"/>
                <w:sz w:val="17"/>
              </w:rPr>
              <w:t>Lokasi syuting film di DKI Jakarta</w:t>
            </w:r>
          </w:p>
        </w:tc>
        <w:tc>
          <w:tcPr>
            <w:tcW w:type="dxa" w:w="4195"/>
          </w:tcPr>
          <w:p>
            <w:r/>
            <w:r>
              <w:rPr>
                <w:rFonts w:ascii="Arial" w:hAnsi="Arial"/>
                <w:b w:val="0"/>
                <w:color w:val="1A1A1A"/>
                <w:sz w:val="17"/>
              </w:rPr>
              <w:t>silver.lokasi_syuting_film_jakarta</w:t>
            </w:r>
          </w:p>
        </w:tc>
        <w:tc>
          <w:tcPr>
            <w:tcW w:type="dxa" w:w="1134"/>
          </w:tcPr>
          <w:p>
            <w:r/>
            <w:r>
              <w:rPr>
                <w:rFonts w:ascii="Arial" w:hAnsi="Arial"/>
                <w:b w:val="0"/>
                <w:color w:val="1A1A1A"/>
                <w:sz w:val="17"/>
              </w:rPr>
              <w:t>116</w:t>
            </w:r>
          </w:p>
        </w:tc>
      </w:tr>
      <w:tr>
        <w:trPr>
          <w:cantSplit/>
        </w:trPr>
        <w:tc>
          <w:tcPr>
            <w:tcW w:type="dxa" w:w="3515"/>
          </w:tcPr>
          <w:p>
            <w:r/>
            <w:r>
              <w:rPr>
                <w:rFonts w:ascii="Arial" w:hAnsi="Arial"/>
                <w:b w:val="0"/>
                <w:color w:val="1A1A1A"/>
                <w:sz w:val="17"/>
              </w:rPr>
              <w:t>Museum di DKI Jakarta (SDI Dinas Kebudayaan)</w:t>
            </w:r>
          </w:p>
        </w:tc>
        <w:tc>
          <w:tcPr>
            <w:tcW w:type="dxa" w:w="4195"/>
          </w:tcPr>
          <w:p>
            <w:r/>
            <w:r>
              <w:rPr>
                <w:rFonts w:ascii="Arial" w:hAnsi="Arial"/>
                <w:b w:val="0"/>
                <w:color w:val="1A1A1A"/>
                <w:sz w:val="17"/>
              </w:rPr>
              <w:t>silver.museum_jakarta</w:t>
            </w:r>
          </w:p>
        </w:tc>
        <w:tc>
          <w:tcPr>
            <w:tcW w:type="dxa" w:w="1134"/>
          </w:tcPr>
          <w:p>
            <w:r/>
            <w:r>
              <w:rPr>
                <w:rFonts w:ascii="Arial" w:hAnsi="Arial"/>
                <w:b w:val="0"/>
                <w:color w:val="1A1A1A"/>
                <w:sz w:val="17"/>
              </w:rPr>
              <w:t>78</w:t>
            </w:r>
          </w:p>
        </w:tc>
      </w:tr>
      <w:tr>
        <w:trPr>
          <w:cantSplit/>
        </w:trPr>
        <w:tc>
          <w:tcPr>
            <w:tcW w:type="dxa" w:w="3515"/>
          </w:tcPr>
          <w:p>
            <w:r/>
            <w:r>
              <w:rPr>
                <w:rFonts w:ascii="Arial" w:hAnsi="Arial"/>
                <w:b w:val="0"/>
                <w:color w:val="1A1A1A"/>
                <w:sz w:val="17"/>
              </w:rPr>
              <w:t>Jalur hijau (SDI lintas OPD)</w:t>
            </w:r>
          </w:p>
        </w:tc>
        <w:tc>
          <w:tcPr>
            <w:tcW w:type="dxa" w:w="4195"/>
          </w:tcPr>
          <w:p>
            <w:r/>
            <w:r>
              <w:rPr>
                <w:rFonts w:ascii="Arial" w:hAnsi="Arial"/>
                <w:b w:val="0"/>
                <w:color w:val="1A1A1A"/>
                <w:sz w:val="17"/>
              </w:rPr>
              <w:t>silver.jalur_hijau_jakarta</w:t>
            </w:r>
          </w:p>
        </w:tc>
        <w:tc>
          <w:tcPr>
            <w:tcW w:type="dxa" w:w="1134"/>
          </w:tcPr>
          <w:p>
            <w:r/>
            <w:r>
              <w:rPr>
                <w:rFonts w:ascii="Arial" w:hAnsi="Arial"/>
                <w:b w:val="0"/>
                <w:color w:val="1A1A1A"/>
                <w:sz w:val="17"/>
              </w:rPr>
              <w:t>1.898</w:t>
            </w:r>
          </w:p>
        </w:tc>
      </w:tr>
      <w:tr>
        <w:trPr>
          <w:cantSplit/>
        </w:trPr>
        <w:tc>
          <w:tcPr>
            <w:tcW w:type="dxa" w:w="3515"/>
          </w:tcPr>
          <w:p>
            <w:r/>
            <w:r>
              <w:rPr>
                <w:rFonts w:ascii="Arial" w:hAnsi="Arial"/>
                <w:b w:val="0"/>
                <w:color w:val="1A1A1A"/>
                <w:sz w:val="17"/>
              </w:rPr>
              <w:t>Hutan kota (SDI lintas OPD)</w:t>
            </w:r>
          </w:p>
        </w:tc>
        <w:tc>
          <w:tcPr>
            <w:tcW w:type="dxa" w:w="4195"/>
          </w:tcPr>
          <w:p>
            <w:r/>
            <w:r>
              <w:rPr>
                <w:rFonts w:ascii="Arial" w:hAnsi="Arial"/>
                <w:b w:val="0"/>
                <w:color w:val="1A1A1A"/>
                <w:sz w:val="17"/>
              </w:rPr>
              <w:t>silver.hutan_kota_jakarta</w:t>
            </w:r>
          </w:p>
        </w:tc>
        <w:tc>
          <w:tcPr>
            <w:tcW w:type="dxa" w:w="1134"/>
          </w:tcPr>
          <w:p>
            <w:r/>
            <w:r>
              <w:rPr>
                <w:rFonts w:ascii="Arial" w:hAnsi="Arial"/>
                <w:b w:val="0"/>
                <w:color w:val="1A1A1A"/>
                <w:sz w:val="17"/>
              </w:rPr>
              <w:t>36</w:t>
            </w:r>
          </w:p>
        </w:tc>
      </w:tr>
      <w:tr>
        <w:trPr>
          <w:cantSplit/>
        </w:trPr>
        <w:tc>
          <w:tcPr>
            <w:tcW w:type="dxa" w:w="3515"/>
          </w:tcPr>
          <w:p>
            <w:r/>
            <w:r>
              <w:rPr>
                <w:rFonts w:ascii="Arial" w:hAnsi="Arial"/>
                <w:b w:val="0"/>
                <w:color w:val="1A1A1A"/>
                <w:sz w:val="17"/>
              </w:rPr>
              <w:t>Taman (SDI lintas OPD)</w:t>
            </w:r>
          </w:p>
        </w:tc>
        <w:tc>
          <w:tcPr>
            <w:tcW w:type="dxa" w:w="4195"/>
          </w:tcPr>
          <w:p>
            <w:r/>
            <w:r>
              <w:rPr>
                <w:rFonts w:ascii="Arial" w:hAnsi="Arial"/>
                <w:b w:val="0"/>
                <w:color w:val="1A1A1A"/>
                <w:sz w:val="17"/>
              </w:rPr>
              <w:t>silver.taman_jakarta</w:t>
            </w:r>
          </w:p>
        </w:tc>
        <w:tc>
          <w:tcPr>
            <w:tcW w:type="dxa" w:w="1134"/>
          </w:tcPr>
          <w:p>
            <w:r/>
            <w:r>
              <w:rPr>
                <w:rFonts w:ascii="Arial" w:hAnsi="Arial"/>
                <w:b w:val="0"/>
                <w:color w:val="1A1A1A"/>
                <w:sz w:val="17"/>
              </w:rPr>
              <w:t>48</w:t>
            </w:r>
          </w:p>
        </w:tc>
      </w:tr>
      <w:tr>
        <w:trPr>
          <w:cantSplit/>
        </w:trPr>
        <w:tc>
          <w:tcPr>
            <w:tcW w:type="dxa" w:w="3515"/>
          </w:tcPr>
          <w:p>
            <w:r/>
            <w:r>
              <w:rPr>
                <w:rFonts w:ascii="Arial" w:hAnsi="Arial"/>
                <w:b w:val="0"/>
                <w:color w:val="1A1A1A"/>
                <w:sz w:val="17"/>
              </w:rPr>
              <w:t>Hotel per kota DKI Jakarta</w:t>
            </w:r>
          </w:p>
        </w:tc>
        <w:tc>
          <w:tcPr>
            <w:tcW w:type="dxa" w:w="4195"/>
          </w:tcPr>
          <w:p>
            <w:r/>
            <w:r>
              <w:rPr>
                <w:rFonts w:ascii="Arial" w:hAnsi="Arial"/>
                <w:b w:val="0"/>
                <w:color w:val="1A1A1A"/>
                <w:sz w:val="17"/>
              </w:rPr>
              <w:t>silver.hotel_per_kota_jakarta</w:t>
            </w:r>
          </w:p>
        </w:tc>
        <w:tc>
          <w:tcPr>
            <w:tcW w:type="dxa" w:w="1134"/>
          </w:tcPr>
          <w:p>
            <w:r/>
            <w:r>
              <w:rPr>
                <w:rFonts w:ascii="Arial" w:hAnsi="Arial"/>
                <w:b w:val="0"/>
                <w:color w:val="1A1A1A"/>
                <w:sz w:val="17"/>
              </w:rPr>
              <w:t>236</w:t>
            </w:r>
          </w:p>
        </w:tc>
      </w:tr>
      <w:tr>
        <w:trPr>
          <w:cantSplit/>
        </w:trPr>
        <w:tc>
          <w:tcPr>
            <w:tcW w:type="dxa" w:w="3515"/>
          </w:tcPr>
          <w:p>
            <w:r/>
            <w:r>
              <w:rPr>
                <w:rFonts w:ascii="Arial" w:hAnsi="Arial"/>
                <w:b w:val="0"/>
                <w:color w:val="1A1A1A"/>
                <w:sz w:val="17"/>
              </w:rPr>
              <w:t>Usaha hiburan per kota DKI Jakarta</w:t>
            </w:r>
          </w:p>
        </w:tc>
        <w:tc>
          <w:tcPr>
            <w:tcW w:type="dxa" w:w="4195"/>
          </w:tcPr>
          <w:p>
            <w:r/>
            <w:r>
              <w:rPr>
                <w:rFonts w:ascii="Arial" w:hAnsi="Arial"/>
                <w:b w:val="0"/>
                <w:color w:val="1A1A1A"/>
                <w:sz w:val="17"/>
              </w:rPr>
              <w:t>silver.hiburan_per_kota_jakarta</w:t>
            </w:r>
          </w:p>
        </w:tc>
        <w:tc>
          <w:tcPr>
            <w:tcW w:type="dxa" w:w="1134"/>
          </w:tcPr>
          <w:p>
            <w:r/>
            <w:r>
              <w:rPr>
                <w:rFonts w:ascii="Arial" w:hAnsi="Arial"/>
                <w:b w:val="0"/>
                <w:color w:val="1A1A1A"/>
                <w:sz w:val="17"/>
              </w:rPr>
              <w:t>581</w:t>
            </w:r>
          </w:p>
        </w:tc>
      </w:tr>
    </w:tbl>
    <w:p>
      <w:pPr>
        <w:spacing w:after="40"/>
      </w:pPr>
    </w:p>
    <w:p>
      <w:pPr>
        <w:spacing w:after="160" w:before="0" w:line="276" w:lineRule="auto"/>
        <w:jc w:val="left"/>
      </w:pPr>
      <w:r>
        <w:rPr>
          <w:rFonts w:ascii="Arial" w:hAnsi="Arial"/>
          <w:b w:val="0"/>
          <w:i/>
          <w:color w:val="555555"/>
          <w:sz w:val="17"/>
        </w:rPr>
        <w:t>Sumber Q11: SELECT count() FROM silver.&lt;tabel&gt;, 30 Oktober 2026. Daftar dataset dari berkas data/sekunder yang ditambahkan pada riwayat Git 1–30 Oktober 2026.</w:t>
      </w:r>
    </w:p>
    <w:p>
      <w:pPr>
        <w:spacing w:after="60" w:before="80" w:line="276" w:lineRule="auto"/>
        <w:jc w:val="left"/>
      </w:pPr>
      <w:r>
        <w:rPr>
          <w:rFonts w:ascii="Arial" w:hAnsi="Arial"/>
          <w:b/>
          <w:i w:val="0"/>
          <w:color w:val="1A1A1A"/>
          <w:sz w:val="21"/>
        </w:rPr>
        <w:t>Catatan pengolahan data selama Oktober: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535"/>
            <w:shd w:val="clear" w:color="auto" w:fill="d9d9d9"/>
          </w:tcPr>
          <w:p>
            <w:r/>
            <w:r>
              <w:rPr>
                <w:rFonts w:ascii="Arial" w:hAnsi="Arial"/>
                <w:b/>
                <w:color w:val="1A1A1A"/>
                <w:sz w:val="17"/>
              </w:rPr>
              <w:t>Pemeriksaan / riwayat</w:t>
            </w:r>
          </w:p>
        </w:tc>
        <w:tc>
          <w:tcPr>
            <w:tcW w:type="dxa" w:w="4309"/>
            <w:shd w:val="clear" w:color="auto" w:fill="d9d9d9"/>
          </w:tcPr>
          <w:p>
            <w:r/>
            <w:r>
              <w:rPr>
                <w:rFonts w:ascii="Arial" w:hAnsi="Arial"/>
                <w:b/>
                <w:color w:val="1A1A1A"/>
                <w:sz w:val="17"/>
              </w:rPr>
              <w:t>Hasil dan periode</w:t>
            </w:r>
          </w:p>
        </w:tc>
      </w:tr>
      <w:tr>
        <w:trPr>
          <w:cantSplit/>
        </w:trPr>
        <w:tc>
          <w:tcPr>
            <w:tcW w:type="dxa" w:w="4535"/>
          </w:tcPr>
          <w:p>
            <w:r/>
            <w:r>
              <w:rPr>
                <w:rFonts w:ascii="Arial" w:hAnsi="Arial"/>
                <w:b w:val="0"/>
                <w:color w:val="1A1A1A"/>
                <w:sz w:val="17"/>
              </w:rPr>
              <w:t>Lolos</w:t>
            </w:r>
          </w:p>
        </w:tc>
        <w:tc>
          <w:tcPr>
            <w:tcW w:type="dxa" w:w="4309"/>
          </w:tcPr>
          <w:p>
            <w:r/>
            <w:r>
              <w:rPr>
                <w:rFonts w:ascii="Arial" w:hAnsi="Arial"/>
                <w:b w:val="0"/>
                <w:color w:val="1A1A1A"/>
                <w:sz w:val="17"/>
              </w:rPr>
              <w:t>408 pemeriksaan; 29 Oktober 2026</w:t>
            </w:r>
          </w:p>
        </w:tc>
      </w:tr>
      <w:tr>
        <w:trPr>
          <w:cantSplit/>
        </w:trPr>
        <w:tc>
          <w:tcPr>
            <w:tcW w:type="dxa" w:w="4535"/>
          </w:tcPr>
          <w:p>
            <w:r/>
            <w:r>
              <w:rPr>
                <w:rFonts w:ascii="Arial" w:hAnsi="Arial"/>
                <w:b w:val="0"/>
                <w:color w:val="1A1A1A"/>
                <w:sz w:val="17"/>
              </w:rPr>
              <w:t>Peringatan</w:t>
            </w:r>
          </w:p>
        </w:tc>
        <w:tc>
          <w:tcPr>
            <w:tcW w:type="dxa" w:w="4309"/>
          </w:tcPr>
          <w:p>
            <w:r/>
            <w:r>
              <w:rPr>
                <w:rFonts w:ascii="Arial" w:hAnsi="Arial"/>
                <w:b w:val="0"/>
                <w:color w:val="1A1A1A"/>
                <w:sz w:val="17"/>
              </w:rPr>
              <w:t>77 pemeriksaan; 29 Oktober 2026</w:t>
            </w:r>
          </w:p>
        </w:tc>
      </w:tr>
      <w:tr>
        <w:trPr>
          <w:cantSplit/>
        </w:trPr>
        <w:tc>
          <w:tcPr>
            <w:tcW w:type="dxa" w:w="4535"/>
          </w:tcPr>
          <w:p>
            <w:r/>
            <w:r>
              <w:rPr>
                <w:rFonts w:ascii="Arial" w:hAnsi="Arial"/>
                <w:b w:val="0"/>
                <w:color w:val="1A1A1A"/>
                <w:sz w:val="17"/>
              </w:rPr>
              <w:t>Gagal</w:t>
            </w:r>
          </w:p>
        </w:tc>
        <w:tc>
          <w:tcPr>
            <w:tcW w:type="dxa" w:w="4309"/>
          </w:tcPr>
          <w:p>
            <w:r/>
            <w:r>
              <w:rPr>
                <w:rFonts w:ascii="Arial" w:hAnsi="Arial"/>
                <w:b w:val="0"/>
                <w:color w:val="1A1A1A"/>
                <w:sz w:val="17"/>
              </w:rPr>
              <w:t>95 pemeriksaan; 29 Oktober 2026</w:t>
            </w:r>
          </w:p>
        </w:tc>
      </w:tr>
      <w:tr>
        <w:trPr>
          <w:cantSplit/>
        </w:trPr>
        <w:tc>
          <w:tcPr>
            <w:tcW w:type="dxa" w:w="4535"/>
          </w:tcPr>
          <w:p>
            <w:r/>
            <w:r>
              <w:rPr>
                <w:rFonts w:ascii="Arial" w:hAnsi="Arial"/>
                <w:b w:val="0"/>
                <w:color w:val="1A1A1A"/>
                <w:sz w:val="17"/>
              </w:rPr>
              <w:t>Akumulasi 1–30 Oktober</w:t>
            </w:r>
          </w:p>
        </w:tc>
        <w:tc>
          <w:tcPr>
            <w:tcW w:type="dxa" w:w="4309"/>
          </w:tcPr>
          <w:p>
            <w:r/>
            <w:r>
              <w:rPr>
                <w:rFonts w:ascii="Arial" w:hAnsi="Arial"/>
                <w:b w:val="0"/>
                <w:color w:val="1A1A1A"/>
                <w:sz w:val="17"/>
              </w:rPr>
              <w:t>12.039 lolos, 2.697 peringatan, 3.786 gagal</w:t>
            </w:r>
          </w:p>
        </w:tc>
      </w:tr>
      <w:tr>
        <w:trPr>
          <w:cantSplit/>
        </w:trPr>
        <w:tc>
          <w:tcPr>
            <w:tcW w:type="dxa" w:w="4535"/>
          </w:tcPr>
          <w:p>
            <w:r/>
            <w:r>
              <w:rPr>
                <w:rFonts w:ascii="Arial" w:hAnsi="Arial"/>
                <w:b w:val="0"/>
                <w:color w:val="1A1A1A"/>
                <w:sz w:val="17"/>
              </w:rPr>
              <w:t>Catatan jumlah baris selama Oktober</w:t>
            </w:r>
          </w:p>
        </w:tc>
        <w:tc>
          <w:tcPr>
            <w:tcW w:type="dxa" w:w="4309"/>
          </w:tcPr>
          <w:p>
            <w:r/>
            <w:r>
              <w:rPr>
                <w:rFonts w:ascii="Arial" w:hAnsi="Arial"/>
                <w:b w:val="0"/>
                <w:color w:val="1A1A1A"/>
                <w:sz w:val="17"/>
              </w:rPr>
              <w:t>10.389 catatan pada 302 tabel, 29 hari</w:t>
            </w:r>
          </w:p>
        </w:tc>
      </w:tr>
    </w:tbl>
    <w:p>
      <w:pPr>
        <w:spacing w:after="40"/>
      </w:pPr>
    </w:p>
    <w:p>
      <w:pPr>
        <w:spacing w:after="160" w:before="0" w:line="276" w:lineRule="auto"/>
        <w:jc w:val="left"/>
      </w:pPr>
      <w:r>
        <w:rPr>
          <w:rFonts w:ascii="Arial" w:hAnsi="Arial"/>
          <w:b w:val="0"/>
          <w:i/>
          <w:color w:val="555555"/>
          <w:sz w:val="17"/>
        </w:rPr>
        <w:t>Sumber Q3: _silver_meta.quality, hari penuh terakhir 29 Oktober WIB (30 Oktober memuat run ulang manual) dan akumulasi 1–30 Oktober; Q4: _silver_meta.rowcount_history 1–30 Oktober WIB. Dibaca 30 Oktober 2026. Catatan tidak membuktikan semua temuan otomatis dikeluarkan dari mart.</w:t>
      </w:r>
    </w:p>
    <w:p>
      <w:pPr>
        <w:keepNext/>
        <w:spacing w:before="120" w:after="40"/>
        <w:jc w:val="center"/>
      </w:pPr>
      <w:r>
        <w:drawing>
          <wp:inline xmlns:a="http://schemas.openxmlformats.org/drawingml/2006/main" xmlns:pic="http://schemas.openxmlformats.org/drawingml/2006/picture">
            <wp:extent cx="5580000" cy="4068750"/>
            <wp:docPr id="1" name="Picture 1"/>
            <wp:cNvGraphicFramePr>
              <a:graphicFrameLocks noChangeAspect="1"/>
            </wp:cNvGraphicFramePr>
            <a:graphic>
              <a:graphicData uri="http://schemas.openxmlformats.org/drawingml/2006/picture">
                <pic:pic>
                  <pic:nvPicPr>
                    <pic:cNvPr id="0" name="09-penerbangan.jpg"/>
                    <pic:cNvPicPr/>
                  </pic:nvPicPr>
                  <pic:blipFill>
                    <a:blip r:embed="rId9"/>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1. Dataset penerbangan langsung internasional ke Jakarta dengan kode maskapai dan bandara. Sumber: https://dispar.rantai.dev/sdi/penerbangan-langsung-internasional-jakarta; tangkapan layar 30 Oktober 2026.</w:t>
      </w:r>
    </w:p>
    <w:p>
      <w:pPr>
        <w:keepNext/>
        <w:spacing w:before="120" w:after="40"/>
        <w:jc w:val="center"/>
      </w:pPr>
      <w:r>
        <w:drawing>
          <wp:inline xmlns:a="http://schemas.openxmlformats.org/drawingml/2006/main" xmlns:pic="http://schemas.openxmlformats.org/drawingml/2006/picture">
            <wp:extent cx="5580000" cy="4068750"/>
            <wp:docPr id="2" name="Picture 2"/>
            <wp:cNvGraphicFramePr>
              <a:graphicFrameLocks noChangeAspect="1"/>
            </wp:cNvGraphicFramePr>
            <a:graphic>
              <a:graphicData uri="http://schemas.openxmlformats.org/drawingml/2006/picture">
                <pic:pic>
                  <pic:nvPicPr>
                    <pic:cNvPr id="0" name="10-kegiatan-mice.jpg"/>
                    <pic:cNvPicPr/>
                  </pic:nvPicPr>
                  <pic:blipFill>
                    <a:blip r:embed="rId10"/>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2. Dataset kegiatan di venue MICE 2026 dengan tautan sumber per acara. Sumber: https://dispar.rantai.dev/sdi/kegiatan-mice-jakarta-2026; tangkapan layar 30 Oktober 2026.</w:t>
      </w:r>
    </w:p>
    <w:p>
      <w:pPr>
        <w:keepNext/>
        <w:spacing w:before="120" w:after="40"/>
        <w:jc w:val="center"/>
      </w:pPr>
      <w:r>
        <w:drawing>
          <wp:inline xmlns:a="http://schemas.openxmlformats.org/drawingml/2006/main" xmlns:pic="http://schemas.openxmlformats.org/drawingml/2006/picture">
            <wp:extent cx="5580000" cy="4068750"/>
            <wp:docPr id="3" name="Picture 3"/>
            <wp:cNvGraphicFramePr>
              <a:graphicFrameLocks noChangeAspect="1"/>
            </wp:cNvGraphicFramePr>
            <a:graphic>
              <a:graphicData uri="http://schemas.openxmlformats.org/drawingml/2006/picture">
                <pic:pic>
                  <pic:nvPicPr>
                    <pic:cNvPr id="0" name="11-hotel-per-kota.jpg"/>
                    <pic:cNvPicPr/>
                  </pic:nvPicPr>
                  <pic:blipFill>
                    <a:blip r:embed="rId11"/>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3. Dataset hotel per kota DKI Jakarta setelah dipisah dari berkas Excel multi-sheet. Sumber: https://dispar.rantai.dev/sdi/hotel-per-kota-jakarta; tangkapan layar 30 Oktober 2026.</w:t>
      </w:r>
    </w:p>
    <w:p>
      <w:pPr>
        <w:keepNext/>
        <w:spacing w:before="120" w:after="40"/>
        <w:jc w:val="center"/>
      </w:pPr>
      <w:r>
        <w:drawing>
          <wp:inline xmlns:a="http://schemas.openxmlformats.org/drawingml/2006/main" xmlns:pic="http://schemas.openxmlformats.org/drawingml/2006/picture">
            <wp:extent cx="5580000" cy="4262500"/>
            <wp:docPr id="4" name="Picture 4"/>
            <wp:cNvGraphicFramePr>
              <a:graphicFrameLocks noChangeAspect="1"/>
            </wp:cNvGraphicFramePr>
            <a:graphic>
              <a:graphicData uri="http://schemas.openxmlformats.org/drawingml/2006/picture">
                <pic:pic>
                  <pic:nvPicPr>
                    <pic:cNvPr id="0" name="03-dagster-runs.jpg"/>
                    <pic:cNvPicPr/>
                  </pic:nvPicPr>
                  <pic:blipFill>
                    <a:blip r:embed="rId12"/>
                    <a:stretch>
                      <a:fillRect/>
                    </a:stretch>
                  </pic:blipFill>
                  <pic:spPr>
                    <a:xfrm>
                      <a:off x="0" y="0"/>
                      <a:ext cx="5580000" cy="4262500"/>
                    </a:xfrm>
                    <a:prstGeom prst="rect"/>
                  </pic:spPr>
                </pic:pic>
              </a:graphicData>
            </a:graphic>
          </wp:inline>
        </w:drawing>
      </w:r>
    </w:p>
    <w:p>
      <w:pPr>
        <w:spacing w:after="200"/>
        <w:jc w:val="center"/>
      </w:pPr>
      <w:r>
        <w:rPr>
          <w:rFonts w:ascii="Arial" w:hAnsi="Arial"/>
          <w:i/>
          <w:color w:val="555555"/>
          <w:sz w:val="18"/>
        </w:rPr>
        <w:t>Gambar 4. Riwayat run penjadwal: pembaruan lake house dan pencadangan harian. Sumber: http://192.168.18.148:13030/runs (jaringan internal);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Data Engineer perlu menyelaraskan tampilan data bersih wisman per bulan dengan sumber mart yang sudah berisi data sampai Juli 2026, mencegah run ulang menggandakan catatan mutu, dan menambahkan dataset hiburan per kota ke halaman indikator terkait.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Pemuatan data Oktober bergeser dari langkah manual ke registri dan job harian yang tercatat. Dua belas dataset baru tersedia di katalog; selisih periode sumber wisman dan duplikasi catatan mutu menjadi tindak lanjut.</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Engineer 2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