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BULANAN KEGIATAN</w:t>
      </w:r>
    </w:p>
    <w:p>
      <w:pPr>
        <w:spacing w:after="200" w:before="0" w:line="276" w:lineRule="auto"/>
        <w:jc w:val="center"/>
      </w:pPr>
      <w:r>
        <w:rPr>
          <w:rFonts w:ascii="Arial" w:hAnsi="Arial"/>
          <w:b w:val="0"/>
          <w:i w:val="0"/>
          <w:color w:val="555555"/>
          <w:sz w:val="21"/>
        </w:rPr>
        <w:t>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rPr>
          <w:cantSplit/>
          <w:tblHeader/>
        </w:trP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ke-4 (September 2026)</w:t>
            </w:r>
          </w:p>
        </w:tc>
      </w:tr>
      <w:tr>
        <w:trPr>
          <w:cantSplit/>
        </w:trPr>
        <w:tc>
          <w:tcPr>
            <w:tcW w:type="dxa" w:w="2721"/>
            <w:shd w:val="clear" w:color="auto" w:fill="eeeeee"/>
          </w:tcPr>
          <w:p>
            <w:r/>
            <w:r>
              <w:rPr>
                <w:rFonts w:ascii="Arial" w:hAnsi="Arial"/>
                <w:b/>
                <w:color w:val="1A1A1A"/>
                <w:sz w:val="20"/>
              </w:rPr>
              <w:t>Kegiatan</w:t>
            </w:r>
          </w:p>
        </w:tc>
        <w:tc>
          <w:tcPr>
            <w:tcW w:type="dxa" w:w="6123"/>
          </w:tcPr>
          <w:p>
            <w:r/>
            <w:r>
              <w:rPr>
                <w:rFonts w:ascii="Arial" w:hAnsi="Arial"/>
                <w:b w:val="0"/>
                <w:color w:val="1A1A1A"/>
                <w:sz w:val="20"/>
              </w:rPr>
              <w:t>Analisis Data dan Pembangunan Dashboard Pariwisata</w:t>
            </w:r>
          </w:p>
        </w:tc>
      </w:tr>
      <w:tr>
        <w:trPr>
          <w:cantSplit/>
        </w:trP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rPr>
          <w:cantSplit/>
        </w:trP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r>
        <w:trPr>
          <w:cantSplit/>
        </w:trPr>
        <w:tc>
          <w:tcPr>
            <w:tcW w:type="dxa" w:w="2721"/>
            <w:shd w:val="clear" w:color="auto" w:fill="eeeeee"/>
          </w:tcPr>
          <w:p>
            <w:r/>
            <w:r>
              <w:rPr>
                <w:rFonts w:ascii="Arial" w:hAnsi="Arial"/>
                <w:b/>
                <w:color w:val="1A1A1A"/>
                <w:sz w:val="20"/>
              </w:rPr>
              <w:t>Jumlah Tenaga Ahli</w:t>
            </w:r>
          </w:p>
        </w:tc>
        <w:tc>
          <w:tcPr>
            <w:tcW w:type="dxa" w:w="6123"/>
          </w:tcPr>
          <w:p>
            <w:r/>
            <w:r>
              <w:rPr>
                <w:rFonts w:ascii="Arial" w:hAnsi="Arial"/>
                <w:b w:val="0"/>
                <w:color w:val="1A1A1A"/>
                <w:sz w:val="20"/>
              </w:rPr>
              <w:t>7 (tujuh) orang — laporan per orang terlampir</w:t>
            </w:r>
          </w:p>
        </w:tc>
      </w:tr>
      <w:tr>
        <w:trPr>
          <w:cantSplit/>
        </w:trPr>
        <w:tc>
          <w:tcPr>
            <w:tcW w:type="dxa" w:w="2721"/>
            <w:shd w:val="clear" w:color="auto" w:fill="eeeeee"/>
          </w:tcPr>
          <w:p>
            <w:r/>
            <w:r>
              <w:rPr>
                <w:rFonts w:ascii="Arial" w:hAnsi="Arial"/>
                <w:b/>
                <w:color w:val="1A1A1A"/>
                <w:sz w:val="20"/>
              </w:rPr>
              <w:t>Tanggal Verifikasi Angka</w:t>
            </w:r>
          </w:p>
        </w:tc>
        <w:tc>
          <w:tcPr>
            <w:tcW w:type="dxa" w:w="6123"/>
          </w:tcPr>
          <w:p>
            <w:r/>
            <w:r>
              <w:rPr>
                <w:rFonts w:ascii="Arial" w:hAnsi="Arial"/>
                <w:b w:val="0"/>
                <w:color w:val="1A1A1A"/>
                <w:sz w:val="20"/>
              </w:rPr>
              <w:t>2 Oktober 2026; riwayat mutu dibatasi sampai 30 September</w:t>
            </w:r>
          </w:p>
        </w:tc>
      </w:tr>
    </w:tbl>
    <w:p>
      <w:pPr>
        <w:spacing w:after="80"/>
      </w:pPr>
    </w:p>
    <w:p>
      <w:pPr>
        <w:keepNext/>
        <w:spacing w:before="240" w:after="80"/>
      </w:pPr>
      <w:r>
        <w:rPr>
          <w:rFonts w:ascii="Arial" w:hAnsi="Arial"/>
          <w:b/>
          <w:color w:val="1A1A1A"/>
          <w:sz w:val="24"/>
        </w:rPr>
        <w:t>I.  RINGKASAN EKSEKUTIF</w:t>
      </w:r>
    </w:p>
    <w:p>
      <w:pPr>
        <w:spacing w:after="120" w:before="0" w:line="276" w:lineRule="auto"/>
        <w:jc w:val="both"/>
      </w:pPr>
      <w:r>
        <w:rPr>
          <w:rFonts w:ascii="Arial" w:hAnsi="Arial"/>
          <w:b w:val="0"/>
          <w:i w:val="0"/>
          <w:color w:val="1A1A1A"/>
          <w:sz w:val="22"/>
        </w:rPr>
        <w:t>Laporan bulanan keempat ini memuat pelaksanaan kegiatan Penyediaan dan Pengelolaan Data Statistik Pariwisata Jakarta Tahun Anggaran 2026 untuk periode 1–30 September. Fokus pekerjaan adalah pengembangan dashboard statistik pariwisata dan ekonomi kreatif, integrasi sumber resmi, perluasan inventori sekunder, serta dokumentasi operasional. Capaian ditelusuri dari perubahan yang tercatat pada September dan bukti sistem yang diperiksa pada 2 Oktober 2026. Tahun data indikator dibedakan dari periode pekerjaan; snapshot inventaris setelah akhir bulan diberi tanggal sebenarnya.</w:t>
      </w:r>
    </w:p>
    <w:p>
      <w:pPr>
        <w:spacing w:after="120" w:before="0" w:line="276" w:lineRule="auto"/>
        <w:jc w:val="both"/>
      </w:pPr>
      <w:r>
        <w:rPr>
          <w:rFonts w:ascii="Arial" w:hAnsi="Arial"/>
          <w:b w:val="0"/>
          <w:i w:val="0"/>
          <w:color w:val="1A1A1A"/>
          <w:sz w:val="22"/>
        </w:rPr>
        <w:t>Inti capaian September adalah perluasan pemanfaatan data menjadi dashboard statistik yang menghubungkan wisatawan, ekonomi kreatif, dan sumber pendukung. Keterangan periode dan kekosongan data menjadi bagian dari keluaran, sehingga angka tidak ditafsirkan melebihi cakupannya.</w:t>
      </w:r>
    </w:p>
    <w:p>
      <w:pPr>
        <w:keepNext/>
        <w:spacing w:before="240" w:after="80"/>
      </w:pPr>
      <w:r>
        <w:rPr>
          <w:rFonts w:ascii="Arial" w:hAnsi="Arial"/>
          <w:b/>
          <w:color w:val="1A1A1A"/>
          <w:sz w:val="24"/>
        </w:rPr>
        <w:t>II.  CAPAIAN BULAN INI</w:t>
      </w:r>
    </w:p>
    <w:p>
      <w:pPr>
        <w:spacing w:after="120" w:before="0" w:line="276" w:lineRule="auto"/>
        <w:jc w:val="both"/>
      </w:pPr>
      <w:r>
        <w:rPr>
          <w:rFonts w:ascii="Arial" w:hAnsi="Arial"/>
          <w:b w:val="0"/>
          <w:i w:val="0"/>
          <w:color w:val="1A1A1A"/>
          <w:sz w:val="22"/>
        </w:rPr>
        <w:t>Capaian berikut ditelusuri dari perubahan repositori selama September. Ketersediaan tampilan diperiksa pada 2 Oktober; perubahan Oktober dinyatakan terpisah.</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2381"/>
            <w:shd w:val="clear" w:color="auto" w:fill="d9d9d9"/>
          </w:tcPr>
          <w:p>
            <w:r/>
            <w:r>
              <w:rPr>
                <w:rFonts w:ascii="Arial" w:hAnsi="Arial"/>
                <w:b/>
                <w:color w:val="1A1A1A"/>
                <w:sz w:val="17"/>
              </w:rPr>
              <w:t>Keluaran September</w:t>
            </w:r>
          </w:p>
        </w:tc>
        <w:tc>
          <w:tcPr>
            <w:tcW w:type="dxa" w:w="4535"/>
            <w:shd w:val="clear" w:color="auto" w:fill="d9d9d9"/>
          </w:tcPr>
          <w:p>
            <w:r/>
            <w:r>
              <w:rPr>
                <w:rFonts w:ascii="Arial" w:hAnsi="Arial"/>
                <w:b/>
                <w:color w:val="1A1A1A"/>
                <w:sz w:val="17"/>
              </w:rPr>
              <w:t>Wujud dan bukti</w:t>
            </w:r>
          </w:p>
        </w:tc>
        <w:tc>
          <w:tcPr>
            <w:tcW w:type="dxa" w:w="1928"/>
            <w:shd w:val="clear" w:color="auto" w:fill="d9d9d9"/>
          </w:tcPr>
          <w:p>
            <w:r/>
            <w:r>
              <w:rPr>
                <w:rFonts w:ascii="Arial" w:hAnsi="Arial"/>
                <w:b/>
                <w:color w:val="1A1A1A"/>
                <w:sz w:val="17"/>
              </w:rPr>
              <w:t>Status</w:t>
            </w:r>
          </w:p>
        </w:tc>
      </w:tr>
      <w:tr>
        <w:trPr>
          <w:cantSplit/>
        </w:trPr>
        <w:tc>
          <w:tcPr>
            <w:tcW w:type="dxa" w:w="2381"/>
          </w:tcPr>
          <w:p>
            <w:r/>
            <w:r>
              <w:rPr>
                <w:rFonts w:ascii="Arial" w:hAnsi="Arial"/>
                <w:b w:val="0"/>
                <w:color w:val="1A1A1A"/>
                <w:sz w:val="17"/>
              </w:rPr>
              <w:t>Dashboard statistik pariwisata dan ekonomi kreatif</w:t>
            </w:r>
          </w:p>
        </w:tc>
        <w:tc>
          <w:tcPr>
            <w:tcW w:type="dxa" w:w="4535"/>
          </w:tcPr>
          <w:p>
            <w:r/>
            <w:r>
              <w:rPr>
                <w:rFonts w:ascii="Arial" w:hAnsi="Arial"/>
                <w:b w:val="0"/>
                <w:color w:val="1A1A1A"/>
                <w:sz w:val="17"/>
              </w:rPr>
              <w:t>Ringkasan serta halaman wisman, wisnus, PDRB, dan tenaga kerja; pengembangan tercatat 28–30 September</w:t>
            </w:r>
          </w:p>
        </w:tc>
        <w:tc>
          <w:tcPr>
            <w:tcW w:type="dxa" w:w="1928"/>
          </w:tcPr>
          <w:p>
            <w:r/>
            <w:r>
              <w:rPr>
                <w:rFonts w:ascii="Arial" w:hAnsi="Arial"/>
                <w:b w:val="0"/>
                <w:color w:val="1A1A1A"/>
                <w:sz w:val="17"/>
              </w:rPr>
              <w:t>Tersedia pada sistem publik</w:t>
            </w:r>
          </w:p>
        </w:tc>
      </w:tr>
      <w:tr>
        <w:trPr>
          <w:cantSplit/>
        </w:trPr>
        <w:tc>
          <w:tcPr>
            <w:tcW w:type="dxa" w:w="2381"/>
          </w:tcPr>
          <w:p>
            <w:r/>
            <w:r>
              <w:rPr>
                <w:rFonts w:ascii="Arial" w:hAnsi="Arial"/>
                <w:b w:val="0"/>
                <w:color w:val="1A1A1A"/>
                <w:sz w:val="17"/>
              </w:rPr>
              <w:t>Integrasi statistik resmi</w:t>
            </w:r>
          </w:p>
        </w:tc>
        <w:tc>
          <w:tcPr>
            <w:tcW w:type="dxa" w:w="4535"/>
          </w:tcPr>
          <w:p>
            <w:r/>
            <w:r>
              <w:rPr>
                <w:rFonts w:ascii="Arial" w:hAnsi="Arial"/>
                <w:b w:val="0"/>
                <w:color w:val="1A1A1A"/>
                <w:sz w:val="17"/>
              </w:rPr>
              <w:t>Perjalanan wisnus menurut kota tujuan dan statistik tenaga kerja Kemenekraf; tahun data dan cakupan dinyatakan</w:t>
            </w:r>
          </w:p>
        </w:tc>
        <w:tc>
          <w:tcPr>
            <w:tcW w:type="dxa" w:w="1928"/>
          </w:tcPr>
          <w:p>
            <w:r/>
            <w:r>
              <w:rPr>
                <w:rFonts w:ascii="Arial" w:hAnsi="Arial"/>
                <w:b w:val="0"/>
                <w:color w:val="1A1A1A"/>
                <w:sz w:val="17"/>
              </w:rPr>
              <w:t>Data terverifikasi Q6–Q8</w:t>
            </w:r>
          </w:p>
        </w:tc>
      </w:tr>
      <w:tr>
        <w:trPr>
          <w:cantSplit/>
        </w:trPr>
        <w:tc>
          <w:tcPr>
            <w:tcW w:type="dxa" w:w="2381"/>
          </w:tcPr>
          <w:p>
            <w:r/>
            <w:r>
              <w:rPr>
                <w:rFonts w:ascii="Arial" w:hAnsi="Arial"/>
                <w:b w:val="0"/>
                <w:color w:val="1A1A1A"/>
                <w:sz w:val="17"/>
              </w:rPr>
              <w:t>Pengayaan dataset sekunder</w:t>
            </w:r>
          </w:p>
        </w:tc>
        <w:tc>
          <w:tcPr>
            <w:tcW w:type="dxa" w:w="4535"/>
          </w:tcPr>
          <w:p>
            <w:r/>
            <w:r>
              <w:rPr>
                <w:rFonts w:ascii="Arial" w:hAnsi="Arial"/>
                <w:b w:val="0"/>
                <w:color w:val="1A1A1A"/>
                <w:sz w:val="17"/>
              </w:rPr>
              <w:t>Venue wellness, wisata air, asosiasi/organisasi, desa wisata, hotel transit; perubahan tercatat September</w:t>
            </w:r>
          </w:p>
        </w:tc>
        <w:tc>
          <w:tcPr>
            <w:tcW w:type="dxa" w:w="1928"/>
          </w:tcPr>
          <w:p>
            <w:r/>
            <w:r>
              <w:rPr>
                <w:rFonts w:ascii="Arial" w:hAnsi="Arial"/>
                <w:b w:val="0"/>
                <w:color w:val="1A1A1A"/>
                <w:sz w:val="17"/>
              </w:rPr>
              <w:t>Katalog diperiksa; inventaris snapshot</w:t>
            </w:r>
          </w:p>
        </w:tc>
      </w:tr>
      <w:tr>
        <w:trPr>
          <w:cantSplit/>
        </w:trPr>
        <w:tc>
          <w:tcPr>
            <w:tcW w:type="dxa" w:w="2381"/>
          </w:tcPr>
          <w:p>
            <w:r/>
            <w:r>
              <w:rPr>
                <w:rFonts w:ascii="Arial" w:hAnsi="Arial"/>
                <w:b w:val="0"/>
                <w:color w:val="1A1A1A"/>
                <w:sz w:val="17"/>
              </w:rPr>
              <w:t>Pengayaan indikator kuliner</w:t>
            </w:r>
          </w:p>
        </w:tc>
        <w:tc>
          <w:tcPr>
            <w:tcW w:type="dxa" w:w="4535"/>
          </w:tcPr>
          <w:p>
            <w:r/>
            <w:r>
              <w:rPr>
                <w:rFonts w:ascii="Arial" w:hAnsi="Arial"/>
                <w:b w:val="0"/>
                <w:color w:val="1A1A1A"/>
                <w:sz w:val="17"/>
              </w:rPr>
              <w:t>Data mentah TripAdvisor ditambahkan pada halaman indikator kuliner tanggal 21 September</w:t>
            </w:r>
          </w:p>
        </w:tc>
        <w:tc>
          <w:tcPr>
            <w:tcW w:type="dxa" w:w="1928"/>
          </w:tcPr>
          <w:p>
            <w:r/>
            <w:r>
              <w:rPr>
                <w:rFonts w:ascii="Arial" w:hAnsi="Arial"/>
                <w:b w:val="0"/>
                <w:color w:val="1A1A1A"/>
                <w:sz w:val="17"/>
              </w:rPr>
              <w:t>Tampilan diperiksa</w:t>
            </w:r>
          </w:p>
        </w:tc>
      </w:tr>
      <w:tr>
        <w:trPr>
          <w:cantSplit/>
        </w:trPr>
        <w:tc>
          <w:tcPr>
            <w:tcW w:type="dxa" w:w="2381"/>
          </w:tcPr>
          <w:p>
            <w:r/>
            <w:r>
              <w:rPr>
                <w:rFonts w:ascii="Arial" w:hAnsi="Arial"/>
                <w:b w:val="0"/>
                <w:color w:val="1A1A1A"/>
                <w:sz w:val="17"/>
              </w:rPr>
              <w:t>Asisten AI data</w:t>
            </w:r>
          </w:p>
        </w:tc>
        <w:tc>
          <w:tcPr>
            <w:tcW w:type="dxa" w:w="4535"/>
          </w:tcPr>
          <w:p>
            <w:r/>
            <w:r>
              <w:rPr>
                <w:rFonts w:ascii="Arial" w:hAnsi="Arial"/>
                <w:b w:val="0"/>
                <w:color w:val="1A1A1A"/>
                <w:sz w:val="17"/>
              </w:rPr>
              <w:t>Antarmuka asisten tersedia; pengembangan tercatat 17 September</w:t>
            </w:r>
          </w:p>
        </w:tc>
        <w:tc>
          <w:tcPr>
            <w:tcW w:type="dxa" w:w="1928"/>
          </w:tcPr>
          <w:p>
            <w:r/>
            <w:r>
              <w:rPr>
                <w:rFonts w:ascii="Arial" w:hAnsi="Arial"/>
                <w:b w:val="0"/>
                <w:color w:val="1A1A1A"/>
                <w:sz w:val="17"/>
              </w:rPr>
              <w:t>Antarmuka tersedia; jawaban belum diuji</w:t>
            </w:r>
          </w:p>
        </w:tc>
      </w:tr>
      <w:tr>
        <w:trPr>
          <w:cantSplit/>
        </w:trPr>
        <w:tc>
          <w:tcPr>
            <w:tcW w:type="dxa" w:w="2381"/>
          </w:tcPr>
          <w:p>
            <w:r/>
            <w:r>
              <w:rPr>
                <w:rFonts w:ascii="Arial" w:hAnsi="Arial"/>
                <w:b w:val="0"/>
                <w:color w:val="1A1A1A"/>
                <w:sz w:val="17"/>
              </w:rPr>
              <w:t>Dokumentasi dan operasi bersama</w:t>
            </w:r>
          </w:p>
        </w:tc>
        <w:tc>
          <w:tcPr>
            <w:tcW w:type="dxa" w:w="4535"/>
          </w:tcPr>
          <w:p>
            <w:r/>
            <w:r>
              <w:rPr>
                <w:rFonts w:ascii="Arial" w:hAnsi="Arial"/>
                <w:b w:val="0"/>
                <w:color w:val="1A1A1A"/>
                <w:sz w:val="17"/>
              </w:rPr>
              <w:t>Handover dan runbook deploy diperbarui September; API dan buku metodologi tetap dapat diakses</w:t>
            </w:r>
          </w:p>
        </w:tc>
        <w:tc>
          <w:tcPr>
            <w:tcW w:type="dxa" w:w="1928"/>
          </w:tcPr>
          <w:p>
            <w:r/>
            <w:r>
              <w:rPr>
                <w:rFonts w:ascii="Arial" w:hAnsi="Arial"/>
                <w:b w:val="0"/>
                <w:color w:val="1A1A1A"/>
                <w:sz w:val="17"/>
              </w:rPr>
              <w:t>Dokumentasi tersedia</w:t>
            </w:r>
          </w:p>
        </w:tc>
      </w:tr>
      <w:tr>
        <w:trPr>
          <w:cantSplit/>
        </w:trPr>
        <w:tc>
          <w:tcPr>
            <w:tcW w:type="dxa" w:w="2381"/>
          </w:tcPr>
          <w:p>
            <w:r/>
            <w:r>
              <w:rPr>
                <w:rFonts w:ascii="Arial" w:hAnsi="Arial"/>
                <w:b w:val="0"/>
                <w:color w:val="1A1A1A"/>
                <w:sz w:val="17"/>
              </w:rPr>
              <w:t>Penyiapan data jumlah kamar hotel</w:t>
            </w:r>
          </w:p>
        </w:tc>
        <w:tc>
          <w:tcPr>
            <w:tcW w:type="dxa" w:w="4535"/>
          </w:tcPr>
          <w:p>
            <w:r/>
            <w:r>
              <w:rPr>
                <w:rFonts w:ascii="Arial" w:hAnsi="Arial"/>
                <w:b w:val="0"/>
                <w:color w:val="1A1A1A"/>
                <w:sz w:val="17"/>
              </w:rPr>
              <w:t>Pipeline tercatat 30 September; riset lanjutan dan pendaftaran katalog bertanggal Oktober</w:t>
            </w:r>
          </w:p>
        </w:tc>
        <w:tc>
          <w:tcPr>
            <w:tcW w:type="dxa" w:w="1928"/>
          </w:tcPr>
          <w:p>
            <w:r/>
            <w:r>
              <w:rPr>
                <w:rFonts w:ascii="Arial" w:hAnsi="Arial"/>
                <w:b w:val="0"/>
                <w:color w:val="1A1A1A"/>
                <w:sz w:val="17"/>
              </w:rPr>
              <w:t>Penyiapan September; lanjutan di luar periode</w:t>
            </w:r>
          </w:p>
        </w:tc>
      </w:tr>
      <w:tr>
        <w:trPr>
          <w:cantSplit/>
        </w:trPr>
        <w:tc>
          <w:tcPr>
            <w:tcW w:type="dxa" w:w="2381"/>
          </w:tcPr>
          <w:p>
            <w:r/>
            <w:r>
              <w:rPr>
                <w:rFonts w:ascii="Arial" w:hAnsi="Arial"/>
                <w:b w:val="0"/>
                <w:color w:val="1A1A1A"/>
                <w:sz w:val="17"/>
              </w:rPr>
              <w:t>Pemantauan mutu selama September</w:t>
            </w:r>
          </w:p>
        </w:tc>
        <w:tc>
          <w:tcPr>
            <w:tcW w:type="dxa" w:w="4535"/>
          </w:tcPr>
          <w:p>
            <w:r/>
            <w:r>
              <w:rPr>
                <w:rFonts w:ascii="Arial" w:hAnsi="Arial"/>
                <w:b w:val="0"/>
                <w:color w:val="1A1A1A"/>
                <w:sz w:val="17"/>
              </w:rPr>
              <w:t>Riwayat jumlah baris dan hasil gerbang mutu akhir bulan dapat ditelusuri melalui Q3–Q4</w:t>
            </w:r>
          </w:p>
        </w:tc>
        <w:tc>
          <w:tcPr>
            <w:tcW w:type="dxa" w:w="1928"/>
          </w:tcPr>
          <w:p>
            <w:r/>
            <w:r>
              <w:rPr>
                <w:rFonts w:ascii="Arial" w:hAnsi="Arial"/>
                <w:b w:val="0"/>
                <w:color w:val="1A1A1A"/>
                <w:sz w:val="17"/>
              </w:rPr>
              <w:t>Catatan tersedia; bukan bukti seluruh jadwal berhasil</w:t>
            </w:r>
          </w:p>
        </w:tc>
      </w:tr>
    </w:tbl>
    <w:p>
      <w:pPr>
        <w:spacing w:after="40"/>
      </w:pPr>
    </w:p>
    <w:p>
      <w:pPr>
        <w:spacing w:after="120" w:before="0" w:line="276" w:lineRule="auto"/>
        <w:jc w:val="left"/>
      </w:pPr>
      <w:r>
        <w:rPr>
          <w:rFonts w:ascii="Arial" w:hAnsi="Arial"/>
          <w:b w:val="0"/>
          <w:i/>
          <w:color w:val="555555"/>
          <w:sz w:val="17"/>
        </w:rPr>
        <w:t>Sumber pekerjaan: riwayat Git 1–30 September 2026 WIB; dokumentasi CLAUDE.md, docs/HANDOVER.md dan docs/DEPLOY-RUNBOOK.md. Bukti layar merujuk URL pada setiap caption.</w:t>
      </w:r>
    </w:p>
    <w:p>
      <w:pPr>
        <w:keepNext/>
        <w:spacing w:before="240" w:after="80"/>
      </w:pPr>
      <w:r>
        <w:rPr>
          <w:rFonts w:ascii="Arial" w:hAnsi="Arial"/>
          <w:b/>
          <w:color w:val="1A1A1A"/>
          <w:sz w:val="24"/>
        </w:rPr>
        <w:t>III.  STRUKTUR DATA YANG DIBANGUN</w:t>
      </w:r>
    </w:p>
    <w:p>
      <w:pPr>
        <w:spacing w:after="120" w:before="0" w:line="276" w:lineRule="auto"/>
        <w:jc w:val="both"/>
      </w:pPr>
      <w:r>
        <w:rPr>
          <w:rFonts w:ascii="Arial" w:hAnsi="Arial"/>
          <w:b w:val="0"/>
          <w:i w:val="0"/>
          <w:color w:val="1A1A1A"/>
          <w:sz w:val="22"/>
        </w:rPr>
        <w:t>Lake house tiga lapis memisahkan data mentah, data bersih, dan mart penyaji. Inventaris berikut merupakan keadaan saat verifikasi 2 Oktober; jumlah objek pada akhir September tidak direkonstruksi dari snapshot ini.</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94"/>
        <w:gridCol w:w="2394"/>
        <w:gridCol w:w="2394"/>
        <w:gridCol w:w="2394"/>
      </w:tblGrid>
      <w:tr>
        <w:trPr>
          <w:cantSplit/>
          <w:tblHeader/>
        </w:trPr>
        <w:tc>
          <w:tcPr>
            <w:tcW w:type="dxa" w:w="1701"/>
            <w:shd w:val="clear" w:color="auto" w:fill="d9d9d9"/>
          </w:tcPr>
          <w:p>
            <w:r/>
            <w:r>
              <w:rPr>
                <w:rFonts w:ascii="Arial" w:hAnsi="Arial"/>
                <w:b/>
                <w:color w:val="1A1A1A"/>
                <w:sz w:val="17"/>
              </w:rPr>
              <w:t>Lapisan</w:t>
            </w:r>
          </w:p>
        </w:tc>
        <w:tc>
          <w:tcPr>
            <w:tcW w:type="dxa" w:w="1984"/>
            <w:shd w:val="clear" w:color="auto" w:fill="d9d9d9"/>
          </w:tcPr>
          <w:p>
            <w:r/>
            <w:r>
              <w:rPr>
                <w:rFonts w:ascii="Arial" w:hAnsi="Arial"/>
                <w:b/>
                <w:color w:val="1A1A1A"/>
                <w:sz w:val="17"/>
              </w:rPr>
              <w:t>Bentuk penyimpanan</w:t>
            </w:r>
          </w:p>
        </w:tc>
        <w:tc>
          <w:tcPr>
            <w:tcW w:type="dxa" w:w="3458"/>
            <w:shd w:val="clear" w:color="auto" w:fill="d9d9d9"/>
          </w:tcPr>
          <w:p>
            <w:r/>
            <w:r>
              <w:rPr>
                <w:rFonts w:ascii="Arial" w:hAnsi="Arial"/>
                <w:b/>
                <w:color w:val="1A1A1A"/>
                <w:sz w:val="17"/>
              </w:rPr>
              <w:t>Isi</w:t>
            </w:r>
          </w:p>
        </w:tc>
        <w:tc>
          <w:tcPr>
            <w:tcW w:type="dxa" w:w="1701"/>
            <w:shd w:val="clear" w:color="auto" w:fill="d9d9d9"/>
          </w:tcPr>
          <w:p>
            <w:r/>
            <w:r>
              <w:rPr>
                <w:rFonts w:ascii="Arial" w:hAnsi="Arial"/>
                <w:b/>
                <w:color w:val="1A1A1A"/>
                <w:sz w:val="17"/>
              </w:rPr>
              <w:t>Jumlah</w:t>
            </w:r>
          </w:p>
        </w:tc>
      </w:tr>
      <w:tr>
        <w:trPr>
          <w:cantSplit/>
        </w:trPr>
        <w:tc>
          <w:tcPr>
            <w:tcW w:type="dxa" w:w="1701"/>
          </w:tcPr>
          <w:p>
            <w:r/>
            <w:r>
              <w:rPr>
                <w:rFonts w:ascii="Arial" w:hAnsi="Arial"/>
                <w:b w:val="0"/>
                <w:color w:val="1A1A1A"/>
                <w:sz w:val="17"/>
              </w:rPr>
              <w:t>Data mentah</w:t>
            </w:r>
          </w:p>
        </w:tc>
        <w:tc>
          <w:tcPr>
            <w:tcW w:type="dxa" w:w="1984"/>
          </w:tcPr>
          <w:p>
            <w:r/>
            <w:r>
              <w:rPr>
                <w:rFonts w:ascii="Arial" w:hAnsi="Arial"/>
                <w:b w:val="0"/>
                <w:color w:val="1A1A1A"/>
                <w:sz w:val="17"/>
              </w:rPr>
              <w:t>Format terbuka Apache Iceberg</w:t>
            </w:r>
          </w:p>
        </w:tc>
        <w:tc>
          <w:tcPr>
            <w:tcW w:type="dxa" w:w="3458"/>
          </w:tcPr>
          <w:p>
            <w:r/>
            <w:r>
              <w:rPr>
                <w:rFonts w:ascii="Arial" w:hAnsi="Arial"/>
                <w:b w:val="0"/>
                <w:color w:val="1A1A1A"/>
                <w:sz w:val="17"/>
              </w:rPr>
              <w:t>Tabel data primer, berkas, dan sekunder; tidak termasuk metadata</w:t>
            </w:r>
          </w:p>
        </w:tc>
        <w:tc>
          <w:tcPr>
            <w:tcW w:type="dxa" w:w="1701"/>
          </w:tcPr>
          <w:p>
            <w:r/>
            <w:r>
              <w:rPr>
                <w:rFonts w:ascii="Arial" w:hAnsi="Arial"/>
                <w:b w:val="0"/>
                <w:color w:val="1A1A1A"/>
                <w:sz w:val="17"/>
              </w:rPr>
              <w:t>227 tabel data</w:t>
            </w:r>
          </w:p>
        </w:tc>
      </w:tr>
      <w:tr>
        <w:trPr>
          <w:cantSplit/>
        </w:trPr>
        <w:tc>
          <w:tcPr>
            <w:tcW w:type="dxa" w:w="1701"/>
          </w:tcPr>
          <w:p>
            <w:r/>
            <w:r>
              <w:rPr>
                <w:rFonts w:ascii="Arial" w:hAnsi="Arial"/>
                <w:b w:val="0"/>
                <w:color w:val="1A1A1A"/>
                <w:sz w:val="17"/>
              </w:rPr>
              <w:t>Metadata mentah</w:t>
            </w:r>
          </w:p>
        </w:tc>
        <w:tc>
          <w:tcPr>
            <w:tcW w:type="dxa" w:w="1984"/>
          </w:tcPr>
          <w:p>
            <w:r/>
            <w:r>
              <w:rPr>
                <w:rFonts w:ascii="Arial" w:hAnsi="Arial"/>
                <w:b w:val="0"/>
                <w:color w:val="1A1A1A"/>
                <w:sz w:val="17"/>
              </w:rPr>
              <w:t>Tabel pendukung</w:t>
            </w:r>
          </w:p>
        </w:tc>
        <w:tc>
          <w:tcPr>
            <w:tcW w:type="dxa" w:w="3458"/>
          </w:tcPr>
          <w:p>
            <w:r/>
            <w:r>
              <w:rPr>
                <w:rFonts w:ascii="Arial" w:hAnsi="Arial"/>
                <w:b w:val="0"/>
                <w:color w:val="1A1A1A"/>
                <w:sz w:val="17"/>
              </w:rPr>
              <w:t>Metadata sumber; dihitung terpisah dari tabel data</w:t>
            </w:r>
          </w:p>
        </w:tc>
        <w:tc>
          <w:tcPr>
            <w:tcW w:type="dxa" w:w="1701"/>
          </w:tcPr>
          <w:p>
            <w:r/>
            <w:r>
              <w:rPr>
                <w:rFonts w:ascii="Arial" w:hAnsi="Arial"/>
                <w:b w:val="0"/>
                <w:color w:val="1A1A1A"/>
                <w:sz w:val="17"/>
              </w:rPr>
              <w:t>6 tabel</w:t>
            </w:r>
          </w:p>
        </w:tc>
      </w:tr>
      <w:tr>
        <w:trPr>
          <w:cantSplit/>
        </w:trPr>
        <w:tc>
          <w:tcPr>
            <w:tcW w:type="dxa" w:w="1701"/>
          </w:tcPr>
          <w:p>
            <w:r/>
            <w:r>
              <w:rPr>
                <w:rFonts w:ascii="Arial" w:hAnsi="Arial"/>
                <w:b w:val="0"/>
                <w:color w:val="1A1A1A"/>
                <w:sz w:val="17"/>
              </w:rPr>
              <w:t>Data bersih</w:t>
            </w:r>
          </w:p>
        </w:tc>
        <w:tc>
          <w:tcPr>
            <w:tcW w:type="dxa" w:w="1984"/>
          </w:tcPr>
          <w:p>
            <w:r/>
            <w:r>
              <w:rPr>
                <w:rFonts w:ascii="Arial" w:hAnsi="Arial"/>
                <w:b w:val="0"/>
                <w:color w:val="1A1A1A"/>
                <w:sz w:val="17"/>
              </w:rPr>
              <w:t>Tampilan dan tabel bertipe</w:t>
            </w:r>
          </w:p>
        </w:tc>
        <w:tc>
          <w:tcPr>
            <w:tcW w:type="dxa" w:w="3458"/>
          </w:tcPr>
          <w:p>
            <w:r/>
            <w:r>
              <w:rPr>
                <w:rFonts w:ascii="Arial" w:hAnsi="Arial"/>
                <w:b w:val="0"/>
                <w:color w:val="1A1A1A"/>
                <w:sz w:val="17"/>
              </w:rPr>
              <w:t>Tampilan bersih serta tabel pendukung di silver</w:t>
            </w:r>
          </w:p>
        </w:tc>
        <w:tc>
          <w:tcPr>
            <w:tcW w:type="dxa" w:w="1701"/>
          </w:tcPr>
          <w:p>
            <w:r/>
            <w:r>
              <w:rPr>
                <w:rFonts w:ascii="Arial" w:hAnsi="Arial"/>
                <w:b w:val="0"/>
                <w:color w:val="1A1A1A"/>
                <w:sz w:val="17"/>
              </w:rPr>
              <w:t>232 tampilan + 4 tabel</w:t>
            </w:r>
          </w:p>
        </w:tc>
      </w:tr>
      <w:tr>
        <w:trPr>
          <w:cantSplit/>
        </w:trPr>
        <w:tc>
          <w:tcPr>
            <w:tcW w:type="dxa" w:w="1701"/>
          </w:tcPr>
          <w:p>
            <w:r/>
            <w:r>
              <w:rPr>
                <w:rFonts w:ascii="Arial" w:hAnsi="Arial"/>
                <w:b w:val="0"/>
                <w:color w:val="1A1A1A"/>
                <w:sz w:val="17"/>
              </w:rPr>
              <w:t>Mart penyaji</w:t>
            </w:r>
          </w:p>
        </w:tc>
        <w:tc>
          <w:tcPr>
            <w:tcW w:type="dxa" w:w="1984"/>
          </w:tcPr>
          <w:p>
            <w:r/>
            <w:r>
              <w:rPr>
                <w:rFonts w:ascii="Arial" w:hAnsi="Arial"/>
                <w:b w:val="0"/>
                <w:color w:val="1A1A1A"/>
                <w:sz w:val="17"/>
              </w:rPr>
              <w:t>Tabel agregat</w:t>
            </w:r>
          </w:p>
        </w:tc>
        <w:tc>
          <w:tcPr>
            <w:tcW w:type="dxa" w:w="3458"/>
          </w:tcPr>
          <w:p>
            <w:r/>
            <w:r>
              <w:rPr>
                <w:rFonts w:ascii="Arial" w:hAnsi="Arial"/>
                <w:b w:val="0"/>
                <w:color w:val="1A1A1A"/>
                <w:sz w:val="17"/>
              </w:rPr>
              <w:t>Mart operasional; tabel berakhiran _baru tidak dihitung</w:t>
            </w:r>
          </w:p>
        </w:tc>
        <w:tc>
          <w:tcPr>
            <w:tcW w:type="dxa" w:w="1701"/>
          </w:tcPr>
          <w:p>
            <w:r/>
            <w:r>
              <w:rPr>
                <w:rFonts w:ascii="Arial" w:hAnsi="Arial"/>
                <w:b w:val="0"/>
                <w:color w:val="1A1A1A"/>
                <w:sz w:val="17"/>
              </w:rPr>
              <w:t>7 mart</w:t>
            </w:r>
          </w:p>
        </w:tc>
      </w:tr>
      <w:tr>
        <w:trPr>
          <w:cantSplit/>
        </w:trPr>
        <w:tc>
          <w:tcPr>
            <w:tcW w:type="dxa" w:w="1701"/>
          </w:tcPr>
          <w:p>
            <w:r/>
            <w:r>
              <w:rPr>
                <w:rFonts w:ascii="Arial" w:hAnsi="Arial"/>
                <w:b w:val="0"/>
                <w:color w:val="1A1A1A"/>
                <w:sz w:val="17"/>
              </w:rPr>
              <w:t>Persiapan penyaji</w:t>
            </w:r>
          </w:p>
        </w:tc>
        <w:tc>
          <w:tcPr>
            <w:tcW w:type="dxa" w:w="1984"/>
          </w:tcPr>
          <w:p>
            <w:r/>
            <w:r>
              <w:rPr>
                <w:rFonts w:ascii="Arial" w:hAnsi="Arial"/>
                <w:b w:val="0"/>
                <w:color w:val="1A1A1A"/>
                <w:sz w:val="17"/>
              </w:rPr>
              <w:t>Tabel berakhiran _baru</w:t>
            </w:r>
          </w:p>
        </w:tc>
        <w:tc>
          <w:tcPr>
            <w:tcW w:type="dxa" w:w="3458"/>
          </w:tcPr>
          <w:p>
            <w:r/>
            <w:r>
              <w:rPr>
                <w:rFonts w:ascii="Arial" w:hAnsi="Arial"/>
                <w:b w:val="0"/>
                <w:color w:val="1A1A1A"/>
                <w:sz w:val="17"/>
              </w:rPr>
              <w:t>Objek persiapan; dipisahkan dari mart operasional</w:t>
            </w:r>
          </w:p>
        </w:tc>
        <w:tc>
          <w:tcPr>
            <w:tcW w:type="dxa" w:w="1701"/>
          </w:tcPr>
          <w:p>
            <w:r/>
            <w:r>
              <w:rPr>
                <w:rFonts w:ascii="Arial" w:hAnsi="Arial"/>
                <w:b w:val="0"/>
                <w:color w:val="1A1A1A"/>
                <w:sz w:val="17"/>
              </w:rPr>
              <w:t>6 tabel</w:t>
            </w:r>
          </w:p>
        </w:tc>
      </w:tr>
    </w:tbl>
    <w:p>
      <w:pPr>
        <w:spacing w:after="40"/>
      </w:pPr>
    </w:p>
    <w:p>
      <w:pPr>
        <w:spacing w:after="120" w:before="0" w:line="276" w:lineRule="auto"/>
        <w:jc w:val="left"/>
      </w:pPr>
      <w:r>
        <w:rPr>
          <w:rFonts w:ascii="Arial" w:hAnsi="Arial"/>
          <w:b w:val="0"/>
          <w:i/>
          <w:color w:val="555555"/>
          <w:sz w:val="17"/>
        </w:rPr>
        <w:t>Sumber Q1: SHOW TABLES pada lake, silver, serving; SHOW CREATE TABLE pada silver. Snapshot 2 Oktober 2026, bukan inventaris akhir September. Data mentah menghitung bronze_sdi, bronze_file, bronze_sec; metadata dipisah; mart operasional tidak mencakup _baru.</w:t>
      </w:r>
    </w:p>
    <w:p>
      <w:pPr>
        <w:spacing w:after="120" w:before="0" w:line="276" w:lineRule="auto"/>
        <w:jc w:val="left"/>
      </w:pPr>
      <w:r>
        <w:rPr>
          <w:rFonts w:ascii="Arial" w:hAnsi="Arial"/>
          <w:b/>
          <w:i w:val="0"/>
          <w:color w:val="1A1A1A"/>
          <w:sz w:val="21"/>
        </w:rPr>
        <w:t>Mart penyaji yang tersedia: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2665"/>
            <w:shd w:val="clear" w:color="auto" w:fill="d9d9d9"/>
          </w:tcPr>
          <w:p>
            <w:r/>
            <w:r>
              <w:rPr>
                <w:rFonts w:ascii="Arial" w:hAnsi="Arial"/>
                <w:b/>
                <w:color w:val="1A1A1A"/>
                <w:sz w:val="17"/>
              </w:rPr>
              <w:t>Mart penyaji</w:t>
            </w:r>
          </w:p>
        </w:tc>
        <w:tc>
          <w:tcPr>
            <w:tcW w:type="dxa" w:w="5046"/>
            <w:shd w:val="clear" w:color="auto" w:fill="d9d9d9"/>
          </w:tcPr>
          <w:p>
            <w:r/>
            <w:r>
              <w:rPr>
                <w:rFonts w:ascii="Arial" w:hAnsi="Arial"/>
                <w:b/>
                <w:color w:val="1A1A1A"/>
                <w:sz w:val="17"/>
              </w:rPr>
              <w:t>Isi / batas penggunaan</w:t>
            </w:r>
          </w:p>
        </w:tc>
        <w:tc>
          <w:tcPr>
            <w:tcW w:type="dxa" w:w="1134"/>
            <w:shd w:val="clear" w:color="auto" w:fill="d9d9d9"/>
          </w:tcPr>
          <w:p>
            <w:r/>
            <w:r>
              <w:rPr>
                <w:rFonts w:ascii="Arial" w:hAnsi="Arial"/>
                <w:b/>
                <w:color w:val="1A1A1A"/>
                <w:sz w:val="17"/>
              </w:rPr>
              <w:t>Baris</w:t>
            </w:r>
          </w:p>
        </w:tc>
      </w:tr>
      <w:tr>
        <w:trPr>
          <w:cantSplit/>
        </w:trPr>
        <w:tc>
          <w:tcPr>
            <w:tcW w:type="dxa" w:w="2665"/>
          </w:tcPr>
          <w:p>
            <w:r/>
            <w:r>
              <w:rPr>
                <w:rFonts w:ascii="Arial" w:hAnsi="Arial"/>
                <w:b w:val="0"/>
                <w:color w:val="1A1A1A"/>
                <w:sz w:val="17"/>
              </w:rPr>
              <w:t>mart_wisman</w:t>
            </w:r>
          </w:p>
        </w:tc>
        <w:tc>
          <w:tcPr>
            <w:tcW w:type="dxa" w:w="5046"/>
          </w:tcPr>
          <w:p>
            <w:r/>
            <w:r>
              <w:rPr>
                <w:rFonts w:ascii="Arial" w:hAnsi="Arial"/>
                <w:b w:val="0"/>
                <w:color w:val="1A1A1A"/>
                <w:sz w:val="17"/>
              </w:rPr>
              <w:t>Arsip kunjungan menurut kawasan; seluruh data tahun 2014</w:t>
            </w:r>
          </w:p>
        </w:tc>
        <w:tc>
          <w:tcPr>
            <w:tcW w:type="dxa" w:w="1134"/>
          </w:tcPr>
          <w:p>
            <w:r/>
            <w:r>
              <w:rPr>
                <w:rFonts w:ascii="Arial" w:hAnsi="Arial"/>
                <w:b w:val="0"/>
                <w:color w:val="1A1A1A"/>
                <w:sz w:val="17"/>
              </w:rPr>
              <w:t>276</w:t>
            </w:r>
          </w:p>
        </w:tc>
      </w:tr>
      <w:tr>
        <w:trPr>
          <w:cantSplit/>
        </w:trPr>
        <w:tc>
          <w:tcPr>
            <w:tcW w:type="dxa" w:w="2665"/>
          </w:tcPr>
          <w:p>
            <w:r/>
            <w:r>
              <w:rPr>
                <w:rFonts w:ascii="Arial" w:hAnsi="Arial"/>
                <w:b w:val="0"/>
                <w:color w:val="1A1A1A"/>
                <w:sz w:val="17"/>
              </w:rPr>
              <w:t>mart_kunjungan_dtw</w:t>
            </w:r>
          </w:p>
        </w:tc>
        <w:tc>
          <w:tcPr>
            <w:tcW w:type="dxa" w:w="5046"/>
          </w:tcPr>
          <w:p>
            <w:r/>
            <w:r>
              <w:rPr>
                <w:rFonts w:ascii="Arial" w:hAnsi="Arial"/>
                <w:b w:val="0"/>
                <w:color w:val="1A1A1A"/>
                <w:sz w:val="17"/>
              </w:rPr>
              <w:t>Kunjungan daya tarik wisata; angka terisi berperiode Juni/Juli 2026, bukan September</w:t>
            </w:r>
          </w:p>
        </w:tc>
        <w:tc>
          <w:tcPr>
            <w:tcW w:type="dxa" w:w="1134"/>
          </w:tcPr>
          <w:p>
            <w:r/>
            <w:r>
              <w:rPr>
                <w:rFonts w:ascii="Arial" w:hAnsi="Arial"/>
                <w:b w:val="0"/>
                <w:color w:val="1A1A1A"/>
                <w:sz w:val="17"/>
              </w:rPr>
              <w:t>35</w:t>
            </w:r>
          </w:p>
        </w:tc>
      </w:tr>
      <w:tr>
        <w:trPr>
          <w:cantSplit/>
        </w:trPr>
        <w:tc>
          <w:tcPr>
            <w:tcW w:type="dxa" w:w="2665"/>
          </w:tcPr>
          <w:p>
            <w:r/>
            <w:r>
              <w:rPr>
                <w:rFonts w:ascii="Arial" w:hAnsi="Arial"/>
                <w:b w:val="0"/>
                <w:color w:val="1A1A1A"/>
                <w:sz w:val="17"/>
              </w:rPr>
              <w:t>mart_gci_readiness</w:t>
            </w:r>
          </w:p>
        </w:tc>
        <w:tc>
          <w:tcPr>
            <w:tcW w:type="dxa" w:w="5046"/>
          </w:tcPr>
          <w:p>
            <w:r/>
            <w:r>
              <w:rPr>
                <w:rFonts w:ascii="Arial" w:hAnsi="Arial"/>
                <w:b w:val="0"/>
                <w:color w:val="1A1A1A"/>
                <w:sz w:val="17"/>
              </w:rPr>
              <w:t>Kesiapan data indikator GCI/GPCI</w:t>
            </w:r>
          </w:p>
        </w:tc>
        <w:tc>
          <w:tcPr>
            <w:tcW w:type="dxa" w:w="1134"/>
          </w:tcPr>
          <w:p>
            <w:r/>
            <w:r>
              <w:rPr>
                <w:rFonts w:ascii="Arial" w:hAnsi="Arial"/>
                <w:b w:val="0"/>
                <w:color w:val="1A1A1A"/>
                <w:sz w:val="17"/>
              </w:rPr>
              <w:t>28</w:t>
            </w:r>
          </w:p>
        </w:tc>
      </w:tr>
      <w:tr>
        <w:trPr>
          <w:cantSplit/>
        </w:trPr>
        <w:tc>
          <w:tcPr>
            <w:tcW w:type="dxa" w:w="2665"/>
          </w:tcPr>
          <w:p>
            <w:r/>
            <w:r>
              <w:rPr>
                <w:rFonts w:ascii="Arial" w:hAnsi="Arial"/>
                <w:b w:val="0"/>
                <w:color w:val="1A1A1A"/>
                <w:sz w:val="17"/>
              </w:rPr>
              <w:t>mart_event</w:t>
            </w:r>
          </w:p>
        </w:tc>
        <w:tc>
          <w:tcPr>
            <w:tcW w:type="dxa" w:w="5046"/>
          </w:tcPr>
          <w:p>
            <w:r/>
            <w:r>
              <w:rPr>
                <w:rFonts w:ascii="Arial" w:hAnsi="Arial"/>
                <w:b w:val="0"/>
                <w:color w:val="1A1A1A"/>
                <w:sz w:val="17"/>
              </w:rPr>
              <w:t>Ringkasan event</w:t>
            </w:r>
          </w:p>
        </w:tc>
        <w:tc>
          <w:tcPr>
            <w:tcW w:type="dxa" w:w="1134"/>
          </w:tcPr>
          <w:p>
            <w:r/>
            <w:r>
              <w:rPr>
                <w:rFonts w:ascii="Arial" w:hAnsi="Arial"/>
                <w:b w:val="0"/>
                <w:color w:val="1A1A1A"/>
                <w:sz w:val="17"/>
              </w:rPr>
              <w:t>9</w:t>
            </w:r>
          </w:p>
        </w:tc>
      </w:tr>
      <w:tr>
        <w:trPr>
          <w:cantSplit/>
        </w:trPr>
        <w:tc>
          <w:tcPr>
            <w:tcW w:type="dxa" w:w="2665"/>
          </w:tcPr>
          <w:p>
            <w:r/>
            <w:r>
              <w:rPr>
                <w:rFonts w:ascii="Arial" w:hAnsi="Arial"/>
                <w:b w:val="0"/>
                <w:color w:val="1A1A1A"/>
                <w:sz w:val="17"/>
              </w:rPr>
              <w:t>mart_kuliner</w:t>
            </w:r>
          </w:p>
        </w:tc>
        <w:tc>
          <w:tcPr>
            <w:tcW w:type="dxa" w:w="5046"/>
          </w:tcPr>
          <w:p>
            <w:r/>
            <w:r>
              <w:rPr>
                <w:rFonts w:ascii="Arial" w:hAnsi="Arial"/>
                <w:b w:val="0"/>
                <w:color w:val="1A1A1A"/>
                <w:sz w:val="17"/>
              </w:rPr>
              <w:t>Ringkasan kuliner</w:t>
            </w:r>
          </w:p>
        </w:tc>
        <w:tc>
          <w:tcPr>
            <w:tcW w:type="dxa" w:w="1134"/>
          </w:tcPr>
          <w:p>
            <w:r/>
            <w:r>
              <w:rPr>
                <w:rFonts w:ascii="Arial" w:hAnsi="Arial"/>
                <w:b w:val="0"/>
                <w:color w:val="1A1A1A"/>
                <w:sz w:val="17"/>
              </w:rPr>
              <w:t>5</w:t>
            </w:r>
          </w:p>
        </w:tc>
      </w:tr>
      <w:tr>
        <w:trPr>
          <w:cantSplit/>
        </w:trPr>
        <w:tc>
          <w:tcPr>
            <w:tcW w:type="dxa" w:w="2665"/>
          </w:tcPr>
          <w:p>
            <w:r/>
            <w:r>
              <w:rPr>
                <w:rFonts w:ascii="Arial" w:hAnsi="Arial"/>
                <w:b w:val="0"/>
                <w:color w:val="1A1A1A"/>
                <w:sz w:val="17"/>
              </w:rPr>
              <w:t>mart_atlas</w:t>
            </w:r>
          </w:p>
        </w:tc>
        <w:tc>
          <w:tcPr>
            <w:tcW w:type="dxa" w:w="5046"/>
          </w:tcPr>
          <w:p>
            <w:r/>
            <w:r>
              <w:rPr>
                <w:rFonts w:ascii="Arial" w:hAnsi="Arial"/>
                <w:b w:val="0"/>
                <w:color w:val="1A1A1A"/>
                <w:sz w:val="17"/>
              </w:rPr>
              <w:t>Ringkasan pendataan lapangan</w:t>
            </w:r>
          </w:p>
        </w:tc>
        <w:tc>
          <w:tcPr>
            <w:tcW w:type="dxa" w:w="1134"/>
          </w:tcPr>
          <w:p>
            <w:r/>
            <w:r>
              <w:rPr>
                <w:rFonts w:ascii="Arial" w:hAnsi="Arial"/>
                <w:b w:val="0"/>
                <w:color w:val="1A1A1A"/>
                <w:sz w:val="17"/>
              </w:rPr>
              <w:t>4</w:t>
            </w:r>
          </w:p>
        </w:tc>
      </w:tr>
      <w:tr>
        <w:trPr>
          <w:cantSplit/>
        </w:trPr>
        <w:tc>
          <w:tcPr>
            <w:tcW w:type="dxa" w:w="2665"/>
          </w:tcPr>
          <w:p>
            <w:r/>
            <w:r>
              <w:rPr>
                <w:rFonts w:ascii="Arial" w:hAnsi="Arial"/>
                <w:b w:val="0"/>
                <w:color w:val="1A1A1A"/>
                <w:sz w:val="17"/>
              </w:rPr>
              <w:t>mart_hotel_scraped_booking</w:t>
            </w:r>
          </w:p>
        </w:tc>
        <w:tc>
          <w:tcPr>
            <w:tcW w:type="dxa" w:w="5046"/>
          </w:tcPr>
          <w:p>
            <w:r/>
            <w:r>
              <w:rPr>
                <w:rFonts w:ascii="Arial" w:hAnsi="Arial"/>
                <w:b w:val="0"/>
                <w:color w:val="1A1A1A"/>
                <w:sz w:val="17"/>
              </w:rPr>
              <w:t>Hasil uji pengumpulan data hotel; bukan data statistik resmi</w:t>
            </w:r>
          </w:p>
        </w:tc>
        <w:tc>
          <w:tcPr>
            <w:tcW w:type="dxa" w:w="1134"/>
          </w:tcPr>
          <w:p>
            <w:r/>
            <w:r>
              <w:rPr>
                <w:rFonts w:ascii="Arial" w:hAnsi="Arial"/>
                <w:b w:val="0"/>
                <w:color w:val="1A1A1A"/>
                <w:sz w:val="17"/>
              </w:rPr>
              <w:t>72</w:t>
            </w:r>
          </w:p>
        </w:tc>
      </w:tr>
    </w:tbl>
    <w:p>
      <w:pPr>
        <w:spacing w:after="40"/>
      </w:pPr>
    </w:p>
    <w:p>
      <w:pPr>
        <w:spacing w:after="120" w:before="0" w:line="276" w:lineRule="auto"/>
        <w:jc w:val="left"/>
      </w:pPr>
      <w:r>
        <w:rPr>
          <w:rFonts w:ascii="Arial" w:hAnsi="Arial"/>
          <w:b w:val="0"/>
          <w:i/>
          <w:color w:val="555555"/>
          <w:sz w:val="17"/>
        </w:rPr>
        <w:t>Sumber Q2: SELECT count() pada tujuh mart serving, 2 Oktober 2026. Jumlah baris adalah isi tabel saat pemeriksaan; tahun dan cakupan data mengikuti keterangan tiap mart.</w:t>
      </w:r>
    </w:p>
    <w:p>
      <w:pPr>
        <w:keepNext/>
        <w:spacing w:before="240" w:after="80"/>
      </w:pPr>
      <w:r>
        <w:rPr>
          <w:rFonts w:ascii="Arial" w:hAnsi="Arial"/>
          <w:b/>
          <w:color w:val="1A1A1A"/>
          <w:sz w:val="24"/>
        </w:rPr>
        <w:t>IV.  PENJAMINAN MUTU DATA</w:t>
      </w:r>
    </w:p>
    <w:p>
      <w:pPr>
        <w:spacing w:after="120" w:before="0" w:line="276" w:lineRule="auto"/>
        <w:jc w:val="both"/>
      </w:pPr>
      <w:r>
        <w:rPr>
          <w:rFonts w:ascii="Arial" w:hAnsi="Arial"/>
          <w:b w:val="0"/>
          <w:i w:val="0"/>
          <w:color w:val="1A1A1A"/>
          <w:sz w:val="22"/>
        </w:rPr>
        <w:t>Hasil gerbang mutu tanggal 30 September dan riwayat jumlah baris selama bulan tersebut dapat dibaca kembali. Hasil pemeriksaan gagal tetap dicatat; keberadaan catatan bukan bukti semua data sudah layak atau semua jadwal berhasil.</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788"/>
        <w:gridCol w:w="4788"/>
      </w:tblGrid>
      <w:tr>
        <w:trPr>
          <w:cantSplit/>
          <w:tblHeader/>
        </w:trPr>
        <w:tc>
          <w:tcPr>
            <w:tcW w:type="dxa" w:w="4535"/>
            <w:shd w:val="clear" w:color="auto" w:fill="d9d9d9"/>
          </w:tcPr>
          <w:p>
            <w:r/>
            <w:r>
              <w:rPr>
                <w:rFonts w:ascii="Arial" w:hAnsi="Arial"/>
                <w:b/>
                <w:color w:val="1A1A1A"/>
                <w:sz w:val="17"/>
              </w:rPr>
              <w:t>Pemeriksaan / riwayat</w:t>
            </w:r>
          </w:p>
        </w:tc>
        <w:tc>
          <w:tcPr>
            <w:tcW w:type="dxa" w:w="4309"/>
            <w:shd w:val="clear" w:color="auto" w:fill="d9d9d9"/>
          </w:tcPr>
          <w:p>
            <w:r/>
            <w:r>
              <w:rPr>
                <w:rFonts w:ascii="Arial" w:hAnsi="Arial"/>
                <w:b/>
                <w:color w:val="1A1A1A"/>
                <w:sz w:val="17"/>
              </w:rPr>
              <w:t>Hasil dan periode</w:t>
            </w:r>
          </w:p>
        </w:tc>
      </w:tr>
      <w:tr>
        <w:trPr>
          <w:cantSplit/>
        </w:trPr>
        <w:tc>
          <w:tcPr>
            <w:tcW w:type="dxa" w:w="4535"/>
          </w:tcPr>
          <w:p>
            <w:r/>
            <w:r>
              <w:rPr>
                <w:rFonts w:ascii="Arial" w:hAnsi="Arial"/>
                <w:b w:val="0"/>
                <w:color w:val="1A1A1A"/>
                <w:sz w:val="17"/>
              </w:rPr>
              <w:t>Lolos</w:t>
            </w:r>
          </w:p>
        </w:tc>
        <w:tc>
          <w:tcPr>
            <w:tcW w:type="dxa" w:w="4309"/>
          </w:tcPr>
          <w:p>
            <w:r/>
            <w:r>
              <w:rPr>
                <w:rFonts w:ascii="Arial" w:hAnsi="Arial"/>
                <w:b w:val="0"/>
                <w:color w:val="1A1A1A"/>
                <w:sz w:val="17"/>
              </w:rPr>
              <w:t>234 pemeriksaan; 30 September 2026</w:t>
            </w:r>
          </w:p>
        </w:tc>
      </w:tr>
      <w:tr>
        <w:trPr>
          <w:cantSplit/>
        </w:trPr>
        <w:tc>
          <w:tcPr>
            <w:tcW w:type="dxa" w:w="4535"/>
          </w:tcPr>
          <w:p>
            <w:r/>
            <w:r>
              <w:rPr>
                <w:rFonts w:ascii="Arial" w:hAnsi="Arial"/>
                <w:b w:val="0"/>
                <w:color w:val="1A1A1A"/>
                <w:sz w:val="17"/>
              </w:rPr>
              <w:t>Peringatan</w:t>
            </w:r>
          </w:p>
        </w:tc>
        <w:tc>
          <w:tcPr>
            <w:tcW w:type="dxa" w:w="4309"/>
          </w:tcPr>
          <w:p>
            <w:r/>
            <w:r>
              <w:rPr>
                <w:rFonts w:ascii="Arial" w:hAnsi="Arial"/>
                <w:b w:val="0"/>
                <w:color w:val="1A1A1A"/>
                <w:sz w:val="17"/>
              </w:rPr>
              <w:t>43 pemeriksaan; 30 September 2026</w:t>
            </w:r>
          </w:p>
        </w:tc>
      </w:tr>
      <w:tr>
        <w:trPr>
          <w:cantSplit/>
        </w:trPr>
        <w:tc>
          <w:tcPr>
            <w:tcW w:type="dxa" w:w="4535"/>
          </w:tcPr>
          <w:p>
            <w:r/>
            <w:r>
              <w:rPr>
                <w:rFonts w:ascii="Arial" w:hAnsi="Arial"/>
                <w:b w:val="0"/>
                <w:color w:val="1A1A1A"/>
                <w:sz w:val="17"/>
              </w:rPr>
              <w:t>Gagal</w:t>
            </w:r>
          </w:p>
        </w:tc>
        <w:tc>
          <w:tcPr>
            <w:tcW w:type="dxa" w:w="4309"/>
          </w:tcPr>
          <w:p>
            <w:r/>
            <w:r>
              <w:rPr>
                <w:rFonts w:ascii="Arial" w:hAnsi="Arial"/>
                <w:b w:val="0"/>
                <w:color w:val="1A1A1A"/>
                <w:sz w:val="17"/>
              </w:rPr>
              <w:t>88 pemeriksaan; 30 September 2026</w:t>
            </w:r>
          </w:p>
        </w:tc>
      </w:tr>
      <w:tr>
        <w:trPr>
          <w:cantSplit/>
        </w:trPr>
        <w:tc>
          <w:tcPr>
            <w:tcW w:type="dxa" w:w="4535"/>
          </w:tcPr>
          <w:p>
            <w:r/>
            <w:r>
              <w:rPr>
                <w:rFonts w:ascii="Arial" w:hAnsi="Arial"/>
                <w:b w:val="0"/>
                <w:color w:val="1A1A1A"/>
                <w:sz w:val="17"/>
              </w:rPr>
              <w:t>Catatan jumlah baris selama September</w:t>
            </w:r>
          </w:p>
        </w:tc>
        <w:tc>
          <w:tcPr>
            <w:tcW w:type="dxa" w:w="4309"/>
          </w:tcPr>
          <w:p>
            <w:r/>
            <w:r>
              <w:rPr>
                <w:rFonts w:ascii="Arial" w:hAnsi="Arial"/>
                <w:b w:val="0"/>
                <w:color w:val="1A1A1A"/>
                <w:sz w:val="17"/>
              </w:rPr>
              <w:t>5.662 catatan pada 235 tabel</w:t>
            </w:r>
          </w:p>
        </w:tc>
      </w:tr>
      <w:tr>
        <w:trPr>
          <w:cantSplit/>
        </w:trPr>
        <w:tc>
          <w:tcPr>
            <w:tcW w:type="dxa" w:w="4535"/>
          </w:tcPr>
          <w:p>
            <w:r/>
            <w:r>
              <w:rPr>
                <w:rFonts w:ascii="Arial" w:hAnsi="Arial"/>
                <w:b w:val="0"/>
                <w:color w:val="1A1A1A"/>
                <w:sz w:val="17"/>
              </w:rPr>
              <w:t>Observasi jumlah baris terakhir September</w:t>
            </w:r>
          </w:p>
        </w:tc>
        <w:tc>
          <w:tcPr>
            <w:tcW w:type="dxa" w:w="4309"/>
          </w:tcPr>
          <w:p>
            <w:r/>
            <w:r>
              <w:rPr>
                <w:rFonts w:ascii="Arial" w:hAnsi="Arial"/>
                <w:b w:val="0"/>
                <w:color w:val="1A1A1A"/>
                <w:sz w:val="17"/>
              </w:rPr>
              <w:t>30 September 2026 09.30.49 WIB; 235 catatan</w:t>
            </w:r>
          </w:p>
        </w:tc>
      </w:tr>
    </w:tbl>
    <w:p>
      <w:pPr>
        <w:spacing w:after="40"/>
      </w:pPr>
    </w:p>
    <w:p>
      <w:pPr>
        <w:spacing w:after="120" w:before="0" w:line="276" w:lineRule="auto"/>
        <w:jc w:val="left"/>
      </w:pPr>
      <w:r>
        <w:rPr>
          <w:rFonts w:ascii="Arial" w:hAnsi="Arial"/>
          <w:b w:val="0"/>
          <w:i/>
          <w:color w:val="555555"/>
          <w:sz w:val="17"/>
        </w:rPr>
        <w:t>Sumber Q3: _silver_meta.quality, batas 30 September WIB; Q4: _silver_meta.rowcount_history, periode 1–30 September WIB. Dibaca 2 Oktober 2026. Catatan tidak membuktikan semua jadwal berhasil atau semua temuan otomatis dikeluarkan dari mart.</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4535"/>
            <w:shd w:val="clear" w:color="auto" w:fill="d9d9d9"/>
          </w:tcPr>
          <w:p>
            <w:r/>
            <w:r>
              <w:rPr>
                <w:rFonts w:ascii="Arial" w:hAnsi="Arial"/>
                <w:b/>
                <w:color w:val="1A1A1A"/>
                <w:sz w:val="17"/>
              </w:rPr>
              <w:t>Alasan / keterangan</w:t>
            </w:r>
          </w:p>
        </w:tc>
        <w:tc>
          <w:tcPr>
            <w:tcW w:type="dxa" w:w="2041"/>
            <w:shd w:val="clear" w:color="auto" w:fill="d9d9d9"/>
          </w:tcPr>
          <w:p>
            <w:r/>
            <w:r>
              <w:rPr>
                <w:rFonts w:ascii="Arial" w:hAnsi="Arial"/>
                <w:b/>
                <w:color w:val="1A1A1A"/>
                <w:sz w:val="17"/>
              </w:rPr>
              <w:t>Tabel terdampak</w:t>
            </w:r>
          </w:p>
        </w:tc>
        <w:tc>
          <w:tcPr>
            <w:tcW w:type="dxa" w:w="2268"/>
            <w:shd w:val="clear" w:color="auto" w:fill="d9d9d9"/>
          </w:tcPr>
          <w:p>
            <w:r/>
            <w:r>
              <w:rPr>
                <w:rFonts w:ascii="Arial" w:hAnsi="Arial"/>
                <w:b/>
                <w:color w:val="1A1A1A"/>
                <w:sz w:val="17"/>
              </w:rPr>
              <w:t>Temuan</w:t>
            </w:r>
          </w:p>
        </w:tc>
      </w:tr>
      <w:tr>
        <w:trPr>
          <w:cantSplit/>
        </w:trPr>
        <w:tc>
          <w:tcPr>
            <w:tcW w:type="dxa" w:w="4535"/>
          </w:tcPr>
          <w:p>
            <w:r/>
            <w:r>
              <w:rPr>
                <w:rFonts w:ascii="Arial" w:hAnsi="Arial"/>
                <w:b w:val="0"/>
                <w:color w:val="1A1A1A"/>
                <w:sz w:val="17"/>
              </w:rPr>
              <w:t>jumlah (angka) gagal konversi</w:t>
            </w:r>
          </w:p>
        </w:tc>
        <w:tc>
          <w:tcPr>
            <w:tcW w:type="dxa" w:w="2041"/>
          </w:tcPr>
          <w:p>
            <w:r/>
            <w:r>
              <w:rPr>
                <w:rFonts w:ascii="Arial" w:hAnsi="Arial"/>
                <w:b w:val="0"/>
                <w:color w:val="1A1A1A"/>
                <w:sz w:val="17"/>
              </w:rPr>
              <w:t>9 tabel</w:t>
            </w:r>
          </w:p>
        </w:tc>
        <w:tc>
          <w:tcPr>
            <w:tcW w:type="dxa" w:w="2268"/>
          </w:tcPr>
          <w:p>
            <w:r/>
            <w:r>
              <w:rPr>
                <w:rFonts w:ascii="Arial" w:hAnsi="Arial"/>
                <w:b w:val="0"/>
                <w:color w:val="1A1A1A"/>
                <w:sz w:val="17"/>
              </w:rPr>
              <w:t>52.735 nilai</w:t>
            </w:r>
          </w:p>
        </w:tc>
      </w:tr>
      <w:tr>
        <w:trPr>
          <w:cantSplit/>
        </w:trPr>
        <w:tc>
          <w:tcPr>
            <w:tcW w:type="dxa" w:w="4535"/>
          </w:tcPr>
          <w:p>
            <w:r/>
            <w:r>
              <w:rPr>
                <w:rFonts w:ascii="Arial" w:hAnsi="Arial"/>
                <w:b w:val="0"/>
                <w:color w:val="1A1A1A"/>
                <w:sz w:val="17"/>
              </w:rPr>
              <w:t>lon (angka) gagal konversi</w:t>
            </w:r>
          </w:p>
        </w:tc>
        <w:tc>
          <w:tcPr>
            <w:tcW w:type="dxa" w:w="2041"/>
          </w:tcPr>
          <w:p>
            <w:r/>
            <w:r>
              <w:rPr>
                <w:rFonts w:ascii="Arial" w:hAnsi="Arial"/>
                <w:b w:val="0"/>
                <w:color w:val="1A1A1A"/>
                <w:sz w:val="17"/>
              </w:rPr>
              <w:t>7 tabel</w:t>
            </w:r>
          </w:p>
        </w:tc>
        <w:tc>
          <w:tcPr>
            <w:tcW w:type="dxa" w:w="2268"/>
          </w:tcPr>
          <w:p>
            <w:r/>
            <w:r>
              <w:rPr>
                <w:rFonts w:ascii="Arial" w:hAnsi="Arial"/>
                <w:b w:val="0"/>
                <w:color w:val="1A1A1A"/>
                <w:sz w:val="17"/>
              </w:rPr>
              <w:t>195 nilai</w:t>
            </w:r>
          </w:p>
        </w:tc>
      </w:tr>
      <w:tr>
        <w:trPr>
          <w:cantSplit/>
        </w:trPr>
        <w:tc>
          <w:tcPr>
            <w:tcW w:type="dxa" w:w="4535"/>
          </w:tcPr>
          <w:p>
            <w:r/>
            <w:r>
              <w:rPr>
                <w:rFonts w:ascii="Arial" w:hAnsi="Arial"/>
                <w:b w:val="0"/>
                <w:color w:val="1A1A1A"/>
                <w:sz w:val="17"/>
              </w:rPr>
              <w:t>lat (angka) gagal konversi</w:t>
            </w:r>
          </w:p>
        </w:tc>
        <w:tc>
          <w:tcPr>
            <w:tcW w:type="dxa" w:w="2041"/>
          </w:tcPr>
          <w:p>
            <w:r/>
            <w:r>
              <w:rPr>
                <w:rFonts w:ascii="Arial" w:hAnsi="Arial"/>
                <w:b w:val="0"/>
                <w:color w:val="1A1A1A"/>
                <w:sz w:val="17"/>
              </w:rPr>
              <w:t>7 tabel</w:t>
            </w:r>
          </w:p>
        </w:tc>
        <w:tc>
          <w:tcPr>
            <w:tcW w:type="dxa" w:w="2268"/>
          </w:tcPr>
          <w:p>
            <w:r/>
            <w:r>
              <w:rPr>
                <w:rFonts w:ascii="Arial" w:hAnsi="Arial"/>
                <w:b w:val="0"/>
                <w:color w:val="1A1A1A"/>
                <w:sz w:val="17"/>
              </w:rPr>
              <w:t>195 nilai</w:t>
            </w:r>
          </w:p>
        </w:tc>
      </w:tr>
      <w:tr>
        <w:trPr>
          <w:cantSplit/>
        </w:trPr>
        <w:tc>
          <w:tcPr>
            <w:tcW w:type="dxa" w:w="4535"/>
          </w:tcPr>
          <w:p>
            <w:r/>
            <w:r>
              <w:rPr>
                <w:rFonts w:ascii="Arial" w:hAnsi="Arial"/>
                <w:b w:val="0"/>
                <w:color w:val="1A1A1A"/>
                <w:sz w:val="17"/>
              </w:rPr>
              <w:t>jumlah_ulasan (angka) gagal konversi</w:t>
            </w:r>
          </w:p>
        </w:tc>
        <w:tc>
          <w:tcPr>
            <w:tcW w:type="dxa" w:w="2041"/>
          </w:tcPr>
          <w:p>
            <w:r/>
            <w:r>
              <w:rPr>
                <w:rFonts w:ascii="Arial" w:hAnsi="Arial"/>
                <w:b w:val="0"/>
                <w:color w:val="1A1A1A"/>
                <w:sz w:val="17"/>
              </w:rPr>
              <w:t>4 tabel</w:t>
            </w:r>
          </w:p>
        </w:tc>
        <w:tc>
          <w:tcPr>
            <w:tcW w:type="dxa" w:w="2268"/>
          </w:tcPr>
          <w:p>
            <w:r/>
            <w:r>
              <w:rPr>
                <w:rFonts w:ascii="Arial" w:hAnsi="Arial"/>
                <w:b w:val="0"/>
                <w:color w:val="1A1A1A"/>
                <w:sz w:val="17"/>
              </w:rPr>
              <w:t>86 nilai</w:t>
            </w:r>
          </w:p>
        </w:tc>
      </w:tr>
      <w:tr>
        <w:trPr>
          <w:cantSplit/>
        </w:trPr>
        <w:tc>
          <w:tcPr>
            <w:tcW w:type="dxa" w:w="4535"/>
          </w:tcPr>
          <w:p>
            <w:r/>
            <w:r>
              <w:rPr>
                <w:rFonts w:ascii="Arial" w:hAnsi="Arial"/>
                <w:b w:val="0"/>
                <w:color w:val="1A1A1A"/>
                <w:sz w:val="17"/>
              </w:rPr>
              <w:t>rating (angka) gagal konversi</w:t>
            </w:r>
          </w:p>
        </w:tc>
        <w:tc>
          <w:tcPr>
            <w:tcW w:type="dxa" w:w="2041"/>
          </w:tcPr>
          <w:p>
            <w:r/>
            <w:r>
              <w:rPr>
                <w:rFonts w:ascii="Arial" w:hAnsi="Arial"/>
                <w:b w:val="0"/>
                <w:color w:val="1A1A1A"/>
                <w:sz w:val="17"/>
              </w:rPr>
              <w:t>3 tabel</w:t>
            </w:r>
          </w:p>
        </w:tc>
        <w:tc>
          <w:tcPr>
            <w:tcW w:type="dxa" w:w="2268"/>
          </w:tcPr>
          <w:p>
            <w:r/>
            <w:r>
              <w:rPr>
                <w:rFonts w:ascii="Arial" w:hAnsi="Arial"/>
                <w:b w:val="0"/>
                <w:color w:val="1A1A1A"/>
                <w:sz w:val="17"/>
              </w:rPr>
              <w:t>81 nilai</w:t>
            </w:r>
          </w:p>
        </w:tc>
      </w:tr>
      <w:tr>
        <w:trPr>
          <w:cantSplit/>
        </w:trPr>
        <w:tc>
          <w:tcPr>
            <w:tcW w:type="dxa" w:w="4535"/>
          </w:tcPr>
          <w:p>
            <w:r/>
            <w:r>
              <w:rPr>
                <w:rFonts w:ascii="Arial" w:hAnsi="Arial"/>
                <w:b w:val="0"/>
                <w:color w:val="1A1A1A"/>
                <w:sz w:val="17"/>
              </w:rPr>
              <w:t>Total kelompok temuan snapshot 1 Oktober</w:t>
            </w:r>
          </w:p>
        </w:tc>
        <w:tc>
          <w:tcPr>
            <w:tcW w:type="dxa" w:w="2041"/>
          </w:tcPr>
          <w:p>
            <w:r/>
            <w:r>
              <w:rPr>
                <w:rFonts w:ascii="Arial" w:hAnsi="Arial"/>
                <w:b w:val="0"/>
                <w:color w:val="1A1A1A"/>
                <w:sz w:val="17"/>
              </w:rPr>
              <w:t>Bukan baris/orang unik</w:t>
            </w:r>
          </w:p>
        </w:tc>
        <w:tc>
          <w:tcPr>
            <w:tcW w:type="dxa" w:w="2268"/>
          </w:tcPr>
          <w:p>
            <w:r/>
            <w:r>
              <w:rPr>
                <w:rFonts w:ascii="Arial" w:hAnsi="Arial"/>
                <w:b w:val="0"/>
                <w:color w:val="1A1A1A"/>
                <w:sz w:val="17"/>
              </w:rPr>
              <w:t>133 kelompok</w:t>
            </w:r>
          </w:p>
        </w:tc>
      </w:tr>
    </w:tbl>
    <w:p>
      <w:pPr>
        <w:spacing w:after="40"/>
      </w:pPr>
    </w:p>
    <w:p>
      <w:pPr>
        <w:spacing w:after="120" w:before="0" w:line="276" w:lineRule="auto"/>
        <w:jc w:val="left"/>
      </w:pPr>
      <w:r>
        <w:rPr>
          <w:rFonts w:ascii="Arial" w:hAnsi="Arial"/>
          <w:b w:val="0"/>
          <w:i/>
          <w:color w:val="555555"/>
          <w:sz w:val="17"/>
        </w:rPr>
        <w:t>Sumber Q5: _silver_meta.karantina, snapshot tersimpan 1 Oktober, dibaca 2 Oktober 2026. Snapshot akhir September tidak tersedia. Nilai gagal konversi dan kelompok temuan bukan jumlah baris sumber atau orang unik.</w:t>
      </w:r>
    </w:p>
    <w:p>
      <w:pPr>
        <w:keepNext/>
        <w:spacing w:before="240" w:after="80"/>
      </w:pPr>
      <w:r>
        <w:rPr>
          <w:rFonts w:ascii="Arial" w:hAnsi="Arial"/>
          <w:b/>
          <w:color w:val="1A1A1A"/>
          <w:sz w:val="24"/>
        </w:rPr>
        <w:t>V.  BUKTI PELAKSANAAN</w:t>
      </w:r>
    </w:p>
    <w:p>
      <w:pPr>
        <w:spacing w:after="120" w:before="0" w:line="276" w:lineRule="auto"/>
        <w:jc w:val="both"/>
      </w:pPr>
      <w:r>
        <w:rPr>
          <w:rFonts w:ascii="Arial" w:hAnsi="Arial"/>
          <w:b w:val="0"/>
          <w:i w:val="0"/>
          <w:color w:val="1A1A1A"/>
          <w:sz w:val="22"/>
        </w:rPr>
        <w:t>Tangkapan layar diambil pada 2 Oktober 2026 dari sistem yang berjalan. Gambar menunjukkan ketersediaan tampilan saat pemeriksaan, bukan snapshot kondisi 30 September. Tahun dan angka di dalam gambar mengikuti keterangan sumber pada halaman.</w:t>
      </w:r>
    </w:p>
    <w:p>
      <w:pPr>
        <w:keepNext/>
        <w:spacing w:before="120" w:after="40"/>
        <w:jc w:val="center"/>
      </w:pPr>
      <w:r>
        <w:drawing>
          <wp:inline xmlns:a="http://schemas.openxmlformats.org/drawingml/2006/main" xmlns:pic="http://schemas.openxmlformats.org/drawingml/2006/picture">
            <wp:extent cx="5580000" cy="3875000"/>
            <wp:docPr id="1" name="Picture 1"/>
            <wp:cNvGraphicFramePr>
              <a:graphicFrameLocks noChangeAspect="1"/>
            </wp:cNvGraphicFramePr>
            <a:graphic>
              <a:graphicData uri="http://schemas.openxmlformats.org/drawingml/2006/picture">
                <pic:pic>
                  <pic:nvPicPr>
                    <pic:cNvPr id="0" name="01-dashboard.jpg"/>
                    <pic:cNvPicPr/>
                  </pic:nvPicPr>
                  <pic:blipFill>
                    <a:blip r:embed="rId9"/>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1. Ringkasan statistik pariwisata dan ekonomi kreatif. Sumber: https://dispar.rantai.dev/dashboard; tangkapan layar 2 Oktober 2026.</w:t>
      </w:r>
    </w:p>
    <w:p>
      <w:pPr>
        <w:keepNext/>
        <w:spacing w:before="120" w:after="40"/>
        <w:jc w:val="center"/>
      </w:pPr>
      <w:r>
        <w:drawing>
          <wp:inline xmlns:a="http://schemas.openxmlformats.org/drawingml/2006/main" xmlns:pic="http://schemas.openxmlformats.org/drawingml/2006/picture">
            <wp:extent cx="5580000" cy="3875000"/>
            <wp:docPr id="2" name="Picture 2"/>
            <wp:cNvGraphicFramePr>
              <a:graphicFrameLocks noChangeAspect="1"/>
            </wp:cNvGraphicFramePr>
            <a:graphic>
              <a:graphicData uri="http://schemas.openxmlformats.org/drawingml/2006/picture">
                <pic:pic>
                  <pic:nvPicPr>
                    <pic:cNvPr id="0" name="02-wisman.jpg"/>
                    <pic:cNvPicPr/>
                  </pic:nvPicPr>
                  <pic:blipFill>
                    <a:blip r:embed="rId10"/>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2. Wisman dengan cakupan tahunan dan tahun berjalan. Sumber: https://dispar.rantai.dev/dashboard/wisman; tangkapan layar 2 Oktober 2026.</w:t>
      </w:r>
    </w:p>
    <w:p>
      <w:pPr>
        <w:keepNext/>
        <w:spacing w:before="120" w:after="40"/>
        <w:jc w:val="center"/>
      </w:pPr>
      <w:r>
        <w:drawing>
          <wp:inline xmlns:a="http://schemas.openxmlformats.org/drawingml/2006/main" xmlns:pic="http://schemas.openxmlformats.org/drawingml/2006/picture">
            <wp:extent cx="5580000" cy="3875000"/>
            <wp:docPr id="3" name="Picture 3"/>
            <wp:cNvGraphicFramePr>
              <a:graphicFrameLocks noChangeAspect="1"/>
            </wp:cNvGraphicFramePr>
            <a:graphic>
              <a:graphicData uri="http://schemas.openxmlformats.org/drawingml/2006/picture">
                <pic:pic>
                  <pic:nvPicPr>
                    <pic:cNvPr id="0" name="03-wisnus.jpg"/>
                    <pic:cNvPicPr/>
                  </pic:nvPicPr>
                  <pic:blipFill>
                    <a:blip r:embed="rId11"/>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3. Perjalanan wisatawan nusantara menurut kota tujuan. Sumber: https://dispar.rantai.dev/dashboard/wisnus; tangkapan layar 2 Oktober 2026.</w:t>
      </w:r>
    </w:p>
    <w:p>
      <w:pPr>
        <w:keepNext/>
        <w:spacing w:before="120" w:after="40"/>
        <w:jc w:val="center"/>
      </w:pPr>
      <w:r>
        <w:drawing>
          <wp:inline xmlns:a="http://schemas.openxmlformats.org/drawingml/2006/main" xmlns:pic="http://schemas.openxmlformats.org/drawingml/2006/picture">
            <wp:extent cx="5580000" cy="3875000"/>
            <wp:docPr id="4" name="Picture 4"/>
            <wp:cNvGraphicFramePr>
              <a:graphicFrameLocks noChangeAspect="1"/>
            </wp:cNvGraphicFramePr>
            <a:graphic>
              <a:graphicData uri="http://schemas.openxmlformats.org/drawingml/2006/picture">
                <pic:pic>
                  <pic:nvPicPr>
                    <pic:cNvPr id="0" name="04-pdrb-ekraf.jpg"/>
                    <pic:cNvPicPr/>
                  </pic:nvPicPr>
                  <pic:blipFill>
                    <a:blip r:embed="rId12"/>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4. PDRB ekonomi kreatif dan pembanding target. Sumber: https://dispar.rantai.dev/dashboard/pdrb-ekraf; tangkapan layar 2 Oktober 2026.</w:t>
      </w:r>
    </w:p>
    <w:p>
      <w:pPr>
        <w:keepNext/>
        <w:spacing w:before="120" w:after="40"/>
        <w:jc w:val="center"/>
      </w:pPr>
      <w:r>
        <w:drawing>
          <wp:inline xmlns:a="http://schemas.openxmlformats.org/drawingml/2006/main" xmlns:pic="http://schemas.openxmlformats.org/drawingml/2006/picture">
            <wp:extent cx="5580000" cy="3875000"/>
            <wp:docPr id="5" name="Picture 5"/>
            <wp:cNvGraphicFramePr>
              <a:graphicFrameLocks noChangeAspect="1"/>
            </wp:cNvGraphicFramePr>
            <a:graphic>
              <a:graphicData uri="http://schemas.openxmlformats.org/drawingml/2006/picture">
                <pic:pic>
                  <pic:nvPicPr>
                    <pic:cNvPr id="0" name="05-tenaga-kerja.jpg"/>
                    <pic:cNvPicPr/>
                  </pic:nvPicPr>
                  <pic:blipFill>
                    <a:blip r:embed="rId13"/>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5. Tenaga kerja ekonomi kreatif dari sumber resmi. Sumber: https://dispar.rantai.dev/dashboard/tenaga-kerja; tangkapan layar 2 Oktober 2026.</w:t>
      </w:r>
    </w:p>
    <w:p>
      <w:pPr>
        <w:keepNext/>
        <w:spacing w:before="120" w:after="40"/>
        <w:jc w:val="center"/>
      </w:pPr>
      <w:r>
        <w:drawing>
          <wp:inline xmlns:a="http://schemas.openxmlformats.org/drawingml/2006/main" xmlns:pic="http://schemas.openxmlformats.org/drawingml/2006/picture">
            <wp:extent cx="5580000" cy="3875000"/>
            <wp:docPr id="6" name="Picture 6"/>
            <wp:cNvGraphicFramePr>
              <a:graphicFrameLocks noChangeAspect="1"/>
            </wp:cNvGraphicFramePr>
            <a:graphic>
              <a:graphicData uri="http://schemas.openxmlformats.org/drawingml/2006/picture">
                <pic:pic>
                  <pic:nvPicPr>
                    <pic:cNvPr id="0" name="06-katalog.jpg"/>
                    <pic:cNvPicPr/>
                  </pic:nvPicPr>
                  <pic:blipFill>
                    <a:blip r:embed="rId14"/>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6. Katalog data primer dan sekunder dengan penanda lapisan. Sumber: https://dispar.rantai.dev/sdi; tangkapan layar 2 Oktober 2026.</w:t>
      </w:r>
    </w:p>
    <w:p>
      <w:pPr>
        <w:keepNext/>
        <w:spacing w:before="120" w:after="40"/>
        <w:jc w:val="center"/>
      </w:pPr>
      <w:r>
        <w:drawing>
          <wp:inline xmlns:a="http://schemas.openxmlformats.org/drawingml/2006/main" xmlns:pic="http://schemas.openxmlformats.org/drawingml/2006/picture">
            <wp:extent cx="5580000" cy="3875000"/>
            <wp:docPr id="7" name="Picture 7"/>
            <wp:cNvGraphicFramePr>
              <a:graphicFrameLocks noChangeAspect="1"/>
            </wp:cNvGraphicFramePr>
            <a:graphic>
              <a:graphicData uri="http://schemas.openxmlformats.org/drawingml/2006/picture">
                <pic:pic>
                  <pic:nvPicPr>
                    <pic:cNvPr id="0" name="07-wellness.jpg"/>
                    <pic:cNvPicPr/>
                  </pic:nvPicPr>
                  <pic:blipFill>
                    <a:blip r:embed="rId15"/>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7. Dataset sekunder venue wellness. Sumber: https://dispar.rantai.dev/sdi/wellness-jakarta; tangkapan layar 2 Oktober 2026.</w:t>
      </w:r>
    </w:p>
    <w:p>
      <w:pPr>
        <w:keepNext/>
        <w:spacing w:before="120" w:after="40"/>
        <w:jc w:val="center"/>
      </w:pPr>
      <w:r>
        <w:drawing>
          <wp:inline xmlns:a="http://schemas.openxmlformats.org/drawingml/2006/main" xmlns:pic="http://schemas.openxmlformats.org/drawingml/2006/picture">
            <wp:extent cx="5580000" cy="3875000"/>
            <wp:docPr id="8" name="Picture 8"/>
            <wp:cNvGraphicFramePr>
              <a:graphicFrameLocks noChangeAspect="1"/>
            </wp:cNvGraphicFramePr>
            <a:graphic>
              <a:graphicData uri="http://schemas.openxmlformats.org/drawingml/2006/picture">
                <pic:pic>
                  <pic:nvPicPr>
                    <pic:cNvPr id="0" name="08-kuliner.jpg"/>
                    <pic:cNvPicPr/>
                  </pic:nvPicPr>
                  <pic:blipFill>
                    <a:blip r:embed="rId16"/>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8. Data pendukung indikator kuliner, termasuk TripAdvisor. Sumber: https://dispar.rantai.dev/gci/pariwisata/kuliner-michelin; tangkapan layar 2 Oktober 2026.</w:t>
      </w:r>
    </w:p>
    <w:p>
      <w:pPr>
        <w:keepNext/>
        <w:spacing w:before="120" w:after="40"/>
        <w:jc w:val="center"/>
      </w:pPr>
      <w:r>
        <w:drawing>
          <wp:inline xmlns:a="http://schemas.openxmlformats.org/drawingml/2006/main" xmlns:pic="http://schemas.openxmlformats.org/drawingml/2006/picture">
            <wp:extent cx="5580000" cy="3875000"/>
            <wp:docPr id="9" name="Picture 9"/>
            <wp:cNvGraphicFramePr>
              <a:graphicFrameLocks noChangeAspect="1"/>
            </wp:cNvGraphicFramePr>
            <a:graphic>
              <a:graphicData uri="http://schemas.openxmlformats.org/drawingml/2006/picture">
                <pic:pic>
                  <pic:nvPicPr>
                    <pic:cNvPr id="0" name="09-ai.jpg"/>
                    <pic:cNvPicPr/>
                  </pic:nvPicPr>
                  <pic:blipFill>
                    <a:blip r:embed="rId17"/>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9. Antarmuka asisten AI; jawaban analitis belum diuji. Sumber: https://dispar.rantai.dev/ai; tangkapan layar 2 Oktober 2026.</w:t>
      </w:r>
    </w:p>
    <w:p>
      <w:pPr>
        <w:keepNext/>
        <w:spacing w:before="120" w:after="40"/>
        <w:jc w:val="center"/>
      </w:pPr>
      <w:r>
        <w:drawing>
          <wp:inline xmlns:a="http://schemas.openxmlformats.org/drawingml/2006/main" xmlns:pic="http://schemas.openxmlformats.org/drawingml/2006/picture">
            <wp:extent cx="5580000" cy="3875000"/>
            <wp:docPr id="10" name="Picture 10"/>
            <wp:cNvGraphicFramePr>
              <a:graphicFrameLocks noChangeAspect="1"/>
            </wp:cNvGraphicFramePr>
            <a:graphic>
              <a:graphicData uri="http://schemas.openxmlformats.org/drawingml/2006/picture">
                <pic:pic>
                  <pic:nvPicPr>
                    <pic:cNvPr id="0" name="10-api-docs.jpg"/>
                    <pic:cNvPicPr/>
                  </pic:nvPicPr>
                  <pic:blipFill>
                    <a:blip r:embed="rId18"/>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10. Dokumentasi antarmuka data publik. Sumber: https://dispar.rantai.dev/docs; tangkapan layar 2 Oktober 2026.</w:t>
      </w:r>
    </w:p>
    <w:p>
      <w:pPr>
        <w:keepNext/>
        <w:spacing w:before="120" w:after="40"/>
        <w:jc w:val="center"/>
      </w:pPr>
      <w:r>
        <w:drawing>
          <wp:inline xmlns:a="http://schemas.openxmlformats.org/drawingml/2006/main" xmlns:pic="http://schemas.openxmlformats.org/drawingml/2006/picture">
            <wp:extent cx="5580000" cy="3875000"/>
            <wp:docPr id="11" name="Picture 11"/>
            <wp:cNvGraphicFramePr>
              <a:graphicFrameLocks noChangeAspect="1"/>
            </wp:cNvGraphicFramePr>
            <a:graphic>
              <a:graphicData uri="http://schemas.openxmlformats.org/drawingml/2006/picture">
                <pic:pic>
                  <pic:nvPicPr>
                    <pic:cNvPr id="0" name="11-buku-home.jpg"/>
                    <pic:cNvPicPr/>
                  </pic:nvPicPr>
                  <pic:blipFill>
                    <a:blip r:embed="rId19"/>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11. Buku Statistika Pariwisata Perkotaan sebagai rujukan metodologi. Sumber: https://dispar-buku.vercel.app/; tangkapan layar 2 Oktober 2026.</w:t>
      </w:r>
    </w:p>
    <w:p>
      <w:pPr>
        <w:keepNext/>
        <w:spacing w:before="240" w:after="80"/>
      </w:pPr>
      <w:r>
        <w:rPr>
          <w:rFonts w:ascii="Arial" w:hAnsi="Arial"/>
          <w:b/>
          <w:color w:val="1A1A1A"/>
          <w:sz w:val="24"/>
        </w:rPr>
        <w:t>VI.  REKAP INDIKATOR TERPILIH</w:t>
      </w:r>
    </w:p>
    <w:p>
      <w:pPr>
        <w:spacing w:after="120" w:before="0" w:line="276" w:lineRule="auto"/>
        <w:jc w:val="both"/>
      </w:pPr>
      <w:r>
        <w:rPr>
          <w:rFonts w:ascii="Arial" w:hAnsi="Arial"/>
          <w:b w:val="0"/>
          <w:i w:val="0"/>
          <w:color w:val="1A1A1A"/>
          <w:sz w:val="22"/>
        </w:rPr>
        <w:t>Rekap berikut berasal dari tampilan data bersih yang mendasari dashboard. Data tahunan dan tahun berjalan dipisahkan; jumlah perjalanan bukan jumlah wisatawan unik.</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3118"/>
            <w:shd w:val="clear" w:color="auto" w:fill="d9d9d9"/>
          </w:tcPr>
          <w:p>
            <w:r/>
            <w:r>
              <w:rPr>
                <w:rFonts w:ascii="Arial" w:hAnsi="Arial"/>
                <w:b/>
                <w:color w:val="1A1A1A"/>
                <w:sz w:val="17"/>
              </w:rPr>
              <w:t>Indikator</w:t>
            </w:r>
          </w:p>
        </w:tc>
        <w:tc>
          <w:tcPr>
            <w:tcW w:type="dxa" w:w="2835"/>
            <w:shd w:val="clear" w:color="auto" w:fill="d9d9d9"/>
          </w:tcPr>
          <w:p>
            <w:r/>
            <w:r>
              <w:rPr>
                <w:rFonts w:ascii="Arial" w:hAnsi="Arial"/>
                <w:b/>
                <w:color w:val="1A1A1A"/>
                <w:sz w:val="17"/>
              </w:rPr>
              <w:t>Periode data</w:t>
            </w:r>
          </w:p>
        </w:tc>
        <w:tc>
          <w:tcPr>
            <w:tcW w:type="dxa" w:w="2891"/>
            <w:shd w:val="clear" w:color="auto" w:fill="d9d9d9"/>
          </w:tcPr>
          <w:p>
            <w:r/>
            <w:r>
              <w:rPr>
                <w:rFonts w:ascii="Arial" w:hAnsi="Arial"/>
                <w:b/>
                <w:color w:val="1A1A1A"/>
                <w:sz w:val="17"/>
              </w:rPr>
              <w:t>Jumlah</w:t>
            </w:r>
          </w:p>
        </w:tc>
      </w:tr>
      <w:tr>
        <w:trPr>
          <w:cantSplit/>
        </w:trPr>
        <w:tc>
          <w:tcPr>
            <w:tcW w:type="dxa" w:w="3118"/>
          </w:tcPr>
          <w:p>
            <w:r/>
            <w:r>
              <w:rPr>
                <w:rFonts w:ascii="Arial" w:hAnsi="Arial"/>
                <w:b w:val="0"/>
                <w:color w:val="1A1A1A"/>
                <w:sz w:val="17"/>
              </w:rPr>
              <w:t>Wisman Jakarta</w:t>
            </w:r>
          </w:p>
        </w:tc>
        <w:tc>
          <w:tcPr>
            <w:tcW w:type="dxa" w:w="2835"/>
          </w:tcPr>
          <w:p>
            <w:r/>
            <w:r>
              <w:rPr>
                <w:rFonts w:ascii="Arial" w:hAnsi="Arial"/>
                <w:b w:val="0"/>
                <w:color w:val="1A1A1A"/>
                <w:sz w:val="17"/>
              </w:rPr>
              <w:t>Januari–Desember 2025</w:t>
            </w:r>
          </w:p>
        </w:tc>
        <w:tc>
          <w:tcPr>
            <w:tcW w:type="dxa" w:w="2891"/>
          </w:tcPr>
          <w:p>
            <w:r/>
            <w:r>
              <w:rPr>
                <w:rFonts w:ascii="Arial" w:hAnsi="Arial"/>
                <w:b w:val="0"/>
                <w:color w:val="1A1A1A"/>
                <w:sz w:val="17"/>
              </w:rPr>
              <w:t>2.754.220 kunjungan</w:t>
            </w:r>
          </w:p>
        </w:tc>
      </w:tr>
      <w:tr>
        <w:trPr>
          <w:cantSplit/>
        </w:trPr>
        <w:tc>
          <w:tcPr>
            <w:tcW w:type="dxa" w:w="3118"/>
          </w:tcPr>
          <w:p>
            <w:r/>
            <w:r>
              <w:rPr>
                <w:rFonts w:ascii="Arial" w:hAnsi="Arial"/>
                <w:b w:val="0"/>
                <w:color w:val="1A1A1A"/>
                <w:sz w:val="17"/>
              </w:rPr>
              <w:t>Wisman Jakarta</w:t>
            </w:r>
          </w:p>
        </w:tc>
        <w:tc>
          <w:tcPr>
            <w:tcW w:type="dxa" w:w="2835"/>
          </w:tcPr>
          <w:p>
            <w:r/>
            <w:r>
              <w:rPr>
                <w:rFonts w:ascii="Arial" w:hAnsi="Arial"/>
                <w:b w:val="0"/>
                <w:color w:val="1A1A1A"/>
                <w:sz w:val="17"/>
              </w:rPr>
              <w:t>Januari–April 2026</w:t>
            </w:r>
          </w:p>
        </w:tc>
        <w:tc>
          <w:tcPr>
            <w:tcW w:type="dxa" w:w="2891"/>
          </w:tcPr>
          <w:p>
            <w:r/>
            <w:r>
              <w:rPr>
                <w:rFonts w:ascii="Arial" w:hAnsi="Arial"/>
                <w:b w:val="0"/>
                <w:color w:val="1A1A1A"/>
                <w:sz w:val="17"/>
              </w:rPr>
              <w:t>803.500 kunjungan</w:t>
            </w:r>
          </w:p>
        </w:tc>
      </w:tr>
      <w:tr>
        <w:trPr>
          <w:cantSplit/>
        </w:trPr>
        <w:tc>
          <w:tcPr>
            <w:tcW w:type="dxa" w:w="3118"/>
          </w:tcPr>
          <w:p>
            <w:r/>
            <w:r>
              <w:rPr>
                <w:rFonts w:ascii="Arial" w:hAnsi="Arial"/>
                <w:b w:val="0"/>
                <w:color w:val="1A1A1A"/>
                <w:sz w:val="17"/>
              </w:rPr>
              <w:t>Perjalanan wisnus ke kota tujuan DKI</w:t>
            </w:r>
          </w:p>
        </w:tc>
        <w:tc>
          <w:tcPr>
            <w:tcW w:type="dxa" w:w="2835"/>
          </w:tcPr>
          <w:p>
            <w:r/>
            <w:r>
              <w:rPr>
                <w:rFonts w:ascii="Arial" w:hAnsi="Arial"/>
                <w:b w:val="0"/>
                <w:color w:val="1A1A1A"/>
                <w:sz w:val="17"/>
              </w:rPr>
              <w:t>Januari–Desember 2025</w:t>
            </w:r>
          </w:p>
        </w:tc>
        <w:tc>
          <w:tcPr>
            <w:tcW w:type="dxa" w:w="2891"/>
          </w:tcPr>
          <w:p>
            <w:r/>
            <w:r>
              <w:rPr>
                <w:rFonts w:ascii="Arial" w:hAnsi="Arial"/>
                <w:b w:val="0"/>
                <w:color w:val="1A1A1A"/>
                <w:sz w:val="17"/>
              </w:rPr>
              <w:t>99.396.992 perjalanan</w:t>
            </w:r>
          </w:p>
        </w:tc>
      </w:tr>
      <w:tr>
        <w:trPr>
          <w:cantSplit/>
        </w:trPr>
        <w:tc>
          <w:tcPr>
            <w:tcW w:type="dxa" w:w="3118"/>
          </w:tcPr>
          <w:p>
            <w:r/>
            <w:r>
              <w:rPr>
                <w:rFonts w:ascii="Arial" w:hAnsi="Arial"/>
                <w:b w:val="0"/>
                <w:color w:val="1A1A1A"/>
                <w:sz w:val="17"/>
              </w:rPr>
              <w:t>Perjalanan wisnus ke kota tujuan DKI</w:t>
            </w:r>
          </w:p>
        </w:tc>
        <w:tc>
          <w:tcPr>
            <w:tcW w:type="dxa" w:w="2835"/>
          </w:tcPr>
          <w:p>
            <w:r/>
            <w:r>
              <w:rPr>
                <w:rFonts w:ascii="Arial" w:hAnsi="Arial"/>
                <w:b w:val="0"/>
                <w:color w:val="1A1A1A"/>
                <w:sz w:val="17"/>
              </w:rPr>
              <w:t>Januari–Mei 2026</w:t>
            </w:r>
          </w:p>
        </w:tc>
        <w:tc>
          <w:tcPr>
            <w:tcW w:type="dxa" w:w="2891"/>
          </w:tcPr>
          <w:p>
            <w:r/>
            <w:r>
              <w:rPr>
                <w:rFonts w:ascii="Arial" w:hAnsi="Arial"/>
                <w:b w:val="0"/>
                <w:color w:val="1A1A1A"/>
                <w:sz w:val="17"/>
              </w:rPr>
              <w:t>42.690.440 perjalanan</w:t>
            </w:r>
          </w:p>
        </w:tc>
      </w:tr>
      <w:tr>
        <w:trPr>
          <w:cantSplit/>
        </w:trPr>
        <w:tc>
          <w:tcPr>
            <w:tcW w:type="dxa" w:w="3118"/>
          </w:tcPr>
          <w:p>
            <w:r/>
            <w:r>
              <w:rPr>
                <w:rFonts w:ascii="Arial" w:hAnsi="Arial"/>
                <w:b w:val="0"/>
                <w:color w:val="1A1A1A"/>
                <w:sz w:val="17"/>
              </w:rPr>
              <w:t>Tenaga kerja ekonomi kreatif DKI</w:t>
            </w:r>
          </w:p>
        </w:tc>
        <w:tc>
          <w:tcPr>
            <w:tcW w:type="dxa" w:w="2835"/>
          </w:tcPr>
          <w:p>
            <w:r/>
            <w:r>
              <w:rPr>
                <w:rFonts w:ascii="Arial" w:hAnsi="Arial"/>
                <w:b w:val="0"/>
                <w:color w:val="1A1A1A"/>
                <w:sz w:val="17"/>
              </w:rPr>
              <w:t>2024; kategori Total</w:t>
            </w:r>
          </w:p>
        </w:tc>
        <w:tc>
          <w:tcPr>
            <w:tcW w:type="dxa" w:w="2891"/>
          </w:tcPr>
          <w:p>
            <w:r/>
            <w:r>
              <w:rPr>
                <w:rFonts w:ascii="Arial" w:hAnsi="Arial"/>
                <w:b w:val="0"/>
                <w:color w:val="1A1A1A"/>
                <w:sz w:val="17"/>
              </w:rPr>
              <w:t>1.257.285 orang</w:t>
            </w:r>
          </w:p>
        </w:tc>
      </w:tr>
    </w:tbl>
    <w:p>
      <w:pPr>
        <w:spacing w:after="40"/>
      </w:pPr>
    </w:p>
    <w:p>
      <w:pPr>
        <w:spacing w:after="120" w:before="0" w:line="276" w:lineRule="auto"/>
        <w:jc w:val="left"/>
      </w:pPr>
      <w:r>
        <w:rPr>
          <w:rFonts w:ascii="Arial" w:hAnsi="Arial"/>
          <w:b w:val="0"/>
          <w:i/>
          <w:color w:val="555555"/>
          <w:sz w:val="17"/>
        </w:rPr>
        <w:t>Sumber Q6: silver.wisman_jakarta_per_bulan, jumlah_kunjungan per tahun; Q7: silver.wisnus_perjalanan_per_kota_tujuan, jumlah_perjalanan per tahun; Q8: silver.tenaga_kerja_ekraf_per_provinsi, tahun 2024, kode_wilayah 31, jenis_kelamin Total. Dibaca 2 Oktober 2026. Angka bukan realisasi bulan September 2026.</w:t>
      </w:r>
    </w:p>
    <w:p>
      <w:pPr>
        <w:spacing w:after="120" w:before="0" w:line="276" w:lineRule="auto"/>
        <w:jc w:val="left"/>
      </w:pPr>
      <w:r>
        <w:rPr>
          <w:rFonts w:ascii="Arial" w:hAnsi="Arial"/>
          <w:b w:val="0"/>
          <w:i/>
          <w:color w:val="555555"/>
          <w:sz w:val="17"/>
        </w:rPr>
        <w:t>Kueri lengkap dan hasil pemeriksaan tersimpan dalam verifikasi-bulan4.json. Q1 = inventory; Q2 = marts; Q3 = quality_september_last; Q4 = rowcount_history; Q5 = quarantine; Q6–Q8 = indicators menurut urutan sumber.</w:t>
      </w:r>
    </w:p>
    <w:p>
      <w:pPr>
        <w:keepNext/>
        <w:spacing w:before="240" w:after="80"/>
      </w:pPr>
      <w:r>
        <w:rPr>
          <w:rFonts w:ascii="Arial" w:hAnsi="Arial"/>
          <w:b/>
          <w:color w:val="1A1A1A"/>
          <w:sz w:val="24"/>
        </w:rPr>
        <w:t>VII.  KENDALA, RISIKO, DAN MITIGASI</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2154"/>
            <w:shd w:val="clear" w:color="auto" w:fill="d9d9d9"/>
          </w:tcPr>
          <w:p>
            <w:r/>
            <w:r>
              <w:rPr>
                <w:rFonts w:ascii="Arial" w:hAnsi="Arial"/>
                <w:b/>
                <w:color w:val="1A1A1A"/>
                <w:sz w:val="17"/>
              </w:rPr>
              <w:t>Kendala / risiko</w:t>
            </w:r>
          </w:p>
        </w:tc>
        <w:tc>
          <w:tcPr>
            <w:tcW w:type="dxa" w:w="2835"/>
            <w:shd w:val="clear" w:color="auto" w:fill="d9d9d9"/>
          </w:tcPr>
          <w:p>
            <w:r/>
            <w:r>
              <w:rPr>
                <w:rFonts w:ascii="Arial" w:hAnsi="Arial"/>
                <w:b/>
                <w:color w:val="1A1A1A"/>
                <w:sz w:val="17"/>
              </w:rPr>
              <w:t>Dampak</w:t>
            </w:r>
          </w:p>
        </w:tc>
        <w:tc>
          <w:tcPr>
            <w:tcW w:type="dxa" w:w="3855"/>
            <w:shd w:val="clear" w:color="auto" w:fill="d9d9d9"/>
          </w:tcPr>
          <w:p>
            <w:r/>
            <w:r>
              <w:rPr>
                <w:rFonts w:ascii="Arial" w:hAnsi="Arial"/>
                <w:b/>
                <w:color w:val="1A1A1A"/>
                <w:sz w:val="17"/>
              </w:rPr>
              <w:t>Tindakan dan mitigasi</w:t>
            </w:r>
          </w:p>
        </w:tc>
      </w:tr>
      <w:tr>
        <w:trPr>
          <w:cantSplit/>
        </w:trPr>
        <w:tc>
          <w:tcPr>
            <w:tcW w:type="dxa" w:w="2154"/>
          </w:tcPr>
          <w:p>
            <w:r/>
            <w:r>
              <w:rPr>
                <w:rFonts w:ascii="Arial" w:hAnsi="Arial"/>
                <w:b w:val="0"/>
                <w:color w:val="1A1A1A"/>
                <w:sz w:val="17"/>
              </w:rPr>
              <w:t>Periode sumber tidak seragam</w:t>
            </w:r>
          </w:p>
        </w:tc>
        <w:tc>
          <w:tcPr>
            <w:tcW w:type="dxa" w:w="2835"/>
          </w:tcPr>
          <w:p>
            <w:r/>
            <w:r>
              <w:rPr>
                <w:rFonts w:ascii="Arial" w:hAnsi="Arial"/>
                <w:b w:val="0"/>
                <w:color w:val="1A1A1A"/>
                <w:sz w:val="17"/>
              </w:rPr>
              <w:t>Sebagian indikator berisi tahun 2024/2025 atau periode parsial 2026</w:t>
            </w:r>
          </w:p>
        </w:tc>
        <w:tc>
          <w:tcPr>
            <w:tcW w:type="dxa" w:w="3855"/>
          </w:tcPr>
          <w:p>
            <w:r/>
            <w:r>
              <w:rPr>
                <w:rFonts w:ascii="Arial" w:hAnsi="Arial"/>
                <w:b w:val="0"/>
                <w:color w:val="1A1A1A"/>
                <w:sz w:val="17"/>
              </w:rPr>
              <w:t>Cantumkan tahun, satuan, dan batas cakupan; hindari membandingkan periode parsial dengan target tahunan tanpa keterangan.</w:t>
            </w:r>
          </w:p>
        </w:tc>
      </w:tr>
      <w:tr>
        <w:trPr>
          <w:cantSplit/>
        </w:trPr>
        <w:tc>
          <w:tcPr>
            <w:tcW w:type="dxa" w:w="2154"/>
          </w:tcPr>
          <w:p>
            <w:r/>
            <w:r>
              <w:rPr>
                <w:rFonts w:ascii="Arial" w:hAnsi="Arial"/>
                <w:b w:val="0"/>
                <w:color w:val="1A1A1A"/>
                <w:sz w:val="17"/>
              </w:rPr>
              <w:t>Rincian yang belum tersedia</w:t>
            </w:r>
          </w:p>
        </w:tc>
        <w:tc>
          <w:tcPr>
            <w:tcW w:type="dxa" w:w="2835"/>
          </w:tcPr>
          <w:p>
            <w:r/>
            <w:r>
              <w:rPr>
                <w:rFonts w:ascii="Arial" w:hAnsi="Arial"/>
                <w:b w:val="0"/>
                <w:color w:val="1A1A1A"/>
                <w:sz w:val="17"/>
              </w:rPr>
              <w:t>Lama menginap non-bintang, PDRB per wilayah, dan tenaga kerja per subsektor DKI masih kosong</w:t>
            </w:r>
          </w:p>
        </w:tc>
        <w:tc>
          <w:tcPr>
            <w:tcW w:type="dxa" w:w="3855"/>
          </w:tcPr>
          <w:p>
            <w:r/>
            <w:r>
              <w:rPr>
                <w:rFonts w:ascii="Arial" w:hAnsi="Arial"/>
                <w:b w:val="0"/>
                <w:color w:val="1A1A1A"/>
                <w:sz w:val="17"/>
              </w:rPr>
              <w:t>Permintaan data kepada pemilik sumber; tampilkan status menunggu data, tanpa mengganti rincian DKI dengan data nasional.</w:t>
            </w:r>
          </w:p>
        </w:tc>
      </w:tr>
      <w:tr>
        <w:trPr>
          <w:cantSplit/>
        </w:trPr>
        <w:tc>
          <w:tcPr>
            <w:tcW w:type="dxa" w:w="2154"/>
          </w:tcPr>
          <w:p>
            <w:r/>
            <w:r>
              <w:rPr>
                <w:rFonts w:ascii="Arial" w:hAnsi="Arial"/>
                <w:b w:val="0"/>
                <w:color w:val="1A1A1A"/>
                <w:sz w:val="17"/>
              </w:rPr>
              <w:t>Mart historis dan tabel persiapan</w:t>
            </w:r>
          </w:p>
        </w:tc>
        <w:tc>
          <w:tcPr>
            <w:tcW w:type="dxa" w:w="2835"/>
          </w:tcPr>
          <w:p>
            <w:r/>
            <w:r>
              <w:rPr>
                <w:rFonts w:ascii="Arial" w:hAnsi="Arial"/>
                <w:b w:val="0"/>
                <w:color w:val="1A1A1A"/>
                <w:sz w:val="17"/>
              </w:rPr>
              <w:t>Mart wisman lama berperiode 2014; terdapat tabel _baru di lapisan penyaji</w:t>
            </w:r>
          </w:p>
        </w:tc>
        <w:tc>
          <w:tcPr>
            <w:tcW w:type="dxa" w:w="3855"/>
          </w:tcPr>
          <w:p>
            <w:r/>
            <w:r>
              <w:rPr>
                <w:rFonts w:ascii="Arial" w:hAnsi="Arial"/>
                <w:b w:val="0"/>
                <w:color w:val="1A1A1A"/>
                <w:sz w:val="17"/>
              </w:rPr>
              <w:t>Gunakan sumber dashboard terbaru untuk indikator; pisahkan mart operasional dari objek persiapan.</w:t>
            </w:r>
          </w:p>
        </w:tc>
      </w:tr>
      <w:tr>
        <w:trPr>
          <w:cantSplit/>
        </w:trPr>
        <w:tc>
          <w:tcPr>
            <w:tcW w:type="dxa" w:w="2154"/>
          </w:tcPr>
          <w:p>
            <w:r/>
            <w:r>
              <w:rPr>
                <w:rFonts w:ascii="Arial" w:hAnsi="Arial"/>
                <w:b w:val="0"/>
                <w:color w:val="1A1A1A"/>
                <w:sz w:val="17"/>
              </w:rPr>
              <w:t>Riwayat karantina terbatas</w:t>
            </w:r>
          </w:p>
        </w:tc>
        <w:tc>
          <w:tcPr>
            <w:tcW w:type="dxa" w:w="2835"/>
          </w:tcPr>
          <w:p>
            <w:r/>
            <w:r>
              <w:rPr>
                <w:rFonts w:ascii="Arial" w:hAnsi="Arial"/>
                <w:b w:val="0"/>
                <w:color w:val="1A1A1A"/>
                <w:sz w:val="17"/>
              </w:rPr>
              <w:t>Snapshot akhir September tidak tersedia pada tabel karantina yang dibaca</w:t>
            </w:r>
          </w:p>
        </w:tc>
        <w:tc>
          <w:tcPr>
            <w:tcW w:type="dxa" w:w="3855"/>
          </w:tcPr>
          <w:p>
            <w:r/>
            <w:r>
              <w:rPr>
                <w:rFonts w:ascii="Arial" w:hAnsi="Arial"/>
                <w:b w:val="0"/>
                <w:color w:val="1A1A1A"/>
                <w:sz w:val="17"/>
              </w:rPr>
              <w:t>Nyatakan tanggal snapshot yang tersedia dan siapkan penyimpanan riwayat sebagai tindak lanjut.</w:t>
            </w:r>
          </w:p>
        </w:tc>
      </w:tr>
      <w:tr>
        <w:trPr>
          <w:cantSplit/>
        </w:trPr>
        <w:tc>
          <w:tcPr>
            <w:tcW w:type="dxa" w:w="2154"/>
          </w:tcPr>
          <w:p>
            <w:r/>
            <w:r>
              <w:rPr>
                <w:rFonts w:ascii="Arial" w:hAnsi="Arial"/>
                <w:b w:val="0"/>
                <w:color w:val="1A1A1A"/>
                <w:sz w:val="17"/>
              </w:rPr>
              <w:t>Pengujian operasi dan AI</w:t>
            </w:r>
          </w:p>
        </w:tc>
        <w:tc>
          <w:tcPr>
            <w:tcW w:type="dxa" w:w="2835"/>
          </w:tcPr>
          <w:p>
            <w:r/>
            <w:r>
              <w:rPr>
                <w:rFonts w:ascii="Arial" w:hAnsi="Arial"/>
                <w:b w:val="0"/>
                <w:color w:val="1A1A1A"/>
                <w:sz w:val="17"/>
              </w:rPr>
              <w:t>Dokumentasi atau antarmuka belum membuktikan pemulihan cadangan dan ketepatan jawaban AI</w:t>
            </w:r>
          </w:p>
        </w:tc>
        <w:tc>
          <w:tcPr>
            <w:tcW w:type="dxa" w:w="3855"/>
          </w:tcPr>
          <w:p>
            <w:r/>
            <w:r>
              <w:rPr>
                <w:rFonts w:ascii="Arial" w:hAnsi="Arial"/>
                <w:b w:val="0"/>
                <w:color w:val="1A1A1A"/>
                <w:sz w:val="17"/>
              </w:rPr>
              <w:t>Jadwalkan uji tersendiri, catat hasil dan batasnya sebelum mengklaim kemampuan.</w:t>
            </w:r>
          </w:p>
        </w:tc>
      </w:tr>
    </w:tbl>
    <w:p>
      <w:pPr>
        <w:spacing w:after="40"/>
      </w:pPr>
    </w:p>
    <w:p>
      <w:pPr>
        <w:keepNext/>
        <w:spacing w:before="240" w:after="80"/>
      </w:pPr>
      <w:r>
        <w:rPr>
          <w:rFonts w:ascii="Arial" w:hAnsi="Arial"/>
          <w:b/>
          <w:color w:val="1A1A1A"/>
          <w:sz w:val="24"/>
        </w:rPr>
        <w:t>VIII.  RENCANA BULAN BERIKUTNYA</w:t>
      </w:r>
    </w:p>
    <w:p>
      <w:pPr>
        <w:spacing w:after="120" w:before="0" w:line="276" w:lineRule="auto"/>
        <w:jc w:val="both"/>
      </w:pPr>
      <w:r>
        <w:rPr>
          <w:rFonts w:ascii="Arial" w:hAnsi="Arial"/>
          <w:b w:val="0"/>
          <w:i w:val="0"/>
          <w:color w:val="1A1A1A"/>
          <w:sz w:val="22"/>
        </w:rPr>
        <w:t>Rencana Oktober adalah melengkapi data yang masih kosong, menyelaraskan definisi dan periode indikator, menindaklanjuti temuan mutu, serta menguji kemampuan operasional dan analitis yang belum memiliki bukti memadai. Pengembangan platform AI-Data diteruskan dengan menjaga keterlacakan angka sampai sumbernya. Data parsial, inventori usaha, dan hasil uji pengumpulan data tidak dipakai sebagai pengganti statistik resmi yang belum tersedia.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788"/>
        <w:gridCol w:w="4788"/>
      </w:tblGrid>
      <w:tr>
        <w:trPr>
          <w:cantSplit/>
          <w:tblHeader/>
        </w:trPr>
        <w:tc>
          <w:tcPr>
            <w:tcW w:type="dxa" w:w="4422"/>
            <w:shd w:val="clear" w:color="auto" w:fill="d9d9d9"/>
          </w:tcPr>
          <w:p>
            <w:r/>
            <w:r>
              <w:rPr>
                <w:rFonts w:ascii="Arial" w:hAnsi="Arial"/>
                <w:b/>
                <w:color w:val="1A1A1A"/>
                <w:sz w:val="17"/>
              </w:rPr>
              <w:t>Rencana Oktober 2026</w:t>
            </w:r>
          </w:p>
        </w:tc>
        <w:tc>
          <w:tcPr>
            <w:tcW w:type="dxa" w:w="4422"/>
            <w:shd w:val="clear" w:color="auto" w:fill="d9d9d9"/>
          </w:tcPr>
          <w:p>
            <w:r/>
            <w:r>
              <w:rPr>
                <w:rFonts w:ascii="Arial" w:hAnsi="Arial"/>
                <w:b/>
                <w:color w:val="1A1A1A"/>
                <w:sz w:val="17"/>
              </w:rPr>
              <w:t>Sasaran</w:t>
            </w:r>
          </w:p>
        </w:tc>
      </w:tr>
      <w:tr>
        <w:trPr>
          <w:cantSplit/>
        </w:trPr>
        <w:tc>
          <w:tcPr>
            <w:tcW w:type="dxa" w:w="4422"/>
          </w:tcPr>
          <w:p>
            <w:r/>
            <w:r>
              <w:rPr>
                <w:rFonts w:ascii="Arial" w:hAnsi="Arial"/>
                <w:b w:val="0"/>
                <w:color w:val="1A1A1A"/>
                <w:sz w:val="17"/>
              </w:rPr>
              <w:t>Pemenuhan data indikator yang masih kosong</w:t>
            </w:r>
          </w:p>
        </w:tc>
        <w:tc>
          <w:tcPr>
            <w:tcW w:type="dxa" w:w="4422"/>
          </w:tcPr>
          <w:p>
            <w:r/>
            <w:r>
              <w:rPr>
                <w:rFonts w:ascii="Arial" w:hAnsi="Arial"/>
                <w:b w:val="0"/>
                <w:color w:val="1A1A1A"/>
                <w:sz w:val="17"/>
              </w:rPr>
              <w:t>Lama menginap non-bintang, rincian PDRB per wilayah, dan tenaga kerja per subsektor DKI diperoleh dari pemilik data.</w:t>
            </w:r>
          </w:p>
        </w:tc>
      </w:tr>
      <w:tr>
        <w:trPr>
          <w:cantSplit/>
        </w:trPr>
        <w:tc>
          <w:tcPr>
            <w:tcW w:type="dxa" w:w="4422"/>
          </w:tcPr>
          <w:p>
            <w:r/>
            <w:r>
              <w:rPr>
                <w:rFonts w:ascii="Arial" w:hAnsi="Arial"/>
                <w:b w:val="0"/>
                <w:color w:val="1A1A1A"/>
                <w:sz w:val="17"/>
              </w:rPr>
              <w:t>Penyelarasan sumber dashboard dan mart</w:t>
            </w:r>
          </w:p>
        </w:tc>
        <w:tc>
          <w:tcPr>
            <w:tcW w:type="dxa" w:w="4422"/>
          </w:tcPr>
          <w:p>
            <w:r/>
            <w:r>
              <w:rPr>
                <w:rFonts w:ascii="Arial" w:hAnsi="Arial"/>
                <w:b w:val="0"/>
                <w:color w:val="1A1A1A"/>
                <w:sz w:val="17"/>
              </w:rPr>
              <w:t>Periode, definisi, serta cakupan indikator konsisten; arsip historis diberi label yang jelas.</w:t>
            </w:r>
          </w:p>
        </w:tc>
      </w:tr>
      <w:tr>
        <w:trPr>
          <w:cantSplit/>
        </w:trPr>
        <w:tc>
          <w:tcPr>
            <w:tcW w:type="dxa" w:w="4422"/>
          </w:tcPr>
          <w:p>
            <w:r/>
            <w:r>
              <w:rPr>
                <w:rFonts w:ascii="Arial" w:hAnsi="Arial"/>
                <w:b w:val="0"/>
                <w:color w:val="1A1A1A"/>
                <w:sz w:val="17"/>
              </w:rPr>
              <w:t>Tindak lanjut temuan mutu dan riwayat karantina</w:t>
            </w:r>
          </w:p>
        </w:tc>
        <w:tc>
          <w:tcPr>
            <w:tcW w:type="dxa" w:w="4422"/>
          </w:tcPr>
          <w:p>
            <w:r/>
            <w:r>
              <w:rPr>
                <w:rFonts w:ascii="Arial" w:hAnsi="Arial"/>
                <w:b w:val="0"/>
                <w:color w:val="1A1A1A"/>
                <w:sz w:val="17"/>
              </w:rPr>
              <w:t>Temuan konversi diperiksa bersama pemilik sumber; snapshot per periode dapat ditelusuri.</w:t>
            </w:r>
          </w:p>
        </w:tc>
      </w:tr>
      <w:tr>
        <w:trPr>
          <w:cantSplit/>
        </w:trPr>
        <w:tc>
          <w:tcPr>
            <w:tcW w:type="dxa" w:w="4422"/>
          </w:tcPr>
          <w:p>
            <w:r/>
            <w:r>
              <w:rPr>
                <w:rFonts w:ascii="Arial" w:hAnsi="Arial"/>
                <w:b w:val="0"/>
                <w:color w:val="1A1A1A"/>
                <w:sz w:val="17"/>
              </w:rPr>
              <w:t>Uji pemulihan dan pembaruan terjadwal</w:t>
            </w:r>
          </w:p>
        </w:tc>
        <w:tc>
          <w:tcPr>
            <w:tcW w:type="dxa" w:w="4422"/>
          </w:tcPr>
          <w:p>
            <w:r/>
            <w:r>
              <w:rPr>
                <w:rFonts w:ascii="Arial" w:hAnsi="Arial"/>
                <w:b w:val="0"/>
                <w:color w:val="1A1A1A"/>
                <w:sz w:val="17"/>
              </w:rPr>
              <w:t>Kemampuan operasi dibuktikan dengan catatan pengujian, tidak disimpulkan dari dokumen konfigurasi.</w:t>
            </w:r>
          </w:p>
        </w:tc>
      </w:tr>
      <w:tr>
        <w:trPr>
          <w:cantSplit/>
        </w:trPr>
        <w:tc>
          <w:tcPr>
            <w:tcW w:type="dxa" w:w="4422"/>
          </w:tcPr>
          <w:p>
            <w:r/>
            <w:r>
              <w:rPr>
                <w:rFonts w:ascii="Arial" w:hAnsi="Arial"/>
                <w:b w:val="0"/>
                <w:color w:val="1A1A1A"/>
                <w:sz w:val="17"/>
              </w:rPr>
              <w:t>Uji jawaban asisten AI</w:t>
            </w:r>
          </w:p>
        </w:tc>
        <w:tc>
          <w:tcPr>
            <w:tcW w:type="dxa" w:w="4422"/>
          </w:tcPr>
          <w:p>
            <w:r/>
            <w:r>
              <w:rPr>
                <w:rFonts w:ascii="Arial" w:hAnsi="Arial"/>
                <w:b w:val="0"/>
                <w:color w:val="1A1A1A"/>
                <w:sz w:val="17"/>
              </w:rPr>
              <w:t>Pertanyaan terukur dibandingkan dengan hasil kueri dan sumber yang sama.</w:t>
            </w:r>
          </w:p>
        </w:tc>
      </w:tr>
      <w:tr>
        <w:trPr>
          <w:cantSplit/>
        </w:trPr>
        <w:tc>
          <w:tcPr>
            <w:tcW w:type="dxa" w:w="4422"/>
          </w:tcPr>
          <w:p>
            <w:r/>
            <w:r>
              <w:rPr>
                <w:rFonts w:ascii="Arial" w:hAnsi="Arial"/>
                <w:b w:val="0"/>
                <w:color w:val="1A1A1A"/>
                <w:sz w:val="17"/>
              </w:rPr>
              <w:t>Kelanjutan inventori jumlah kamar hotel</w:t>
            </w:r>
          </w:p>
        </w:tc>
        <w:tc>
          <w:tcPr>
            <w:tcW w:type="dxa" w:w="4422"/>
          </w:tcPr>
          <w:p>
            <w:r/>
            <w:r>
              <w:rPr>
                <w:rFonts w:ascii="Arial" w:hAnsi="Arial"/>
                <w:b w:val="0"/>
                <w:color w:val="1A1A1A"/>
                <w:sz w:val="17"/>
              </w:rPr>
              <w:t>Sumber, tanggal pengambilan, serta status verifikasi setiap hotel tercatat.</w:t>
            </w:r>
          </w:p>
        </w:tc>
      </w:tr>
    </w:tbl>
    <w:p>
      <w:pPr>
        <w:spacing w:after="40"/>
      </w:pPr>
    </w:p>
    <w:p>
      <w:pPr>
        <w:keepNext/>
        <w:spacing w:before="240" w:after="80"/>
      </w:pPr>
      <w:r>
        <w:rPr>
          <w:rFonts w:ascii="Arial" w:hAnsi="Arial"/>
          <w:b/>
          <w:color w:val="1A1A1A"/>
          <w:sz w:val="24"/>
        </w:rPr>
        <w:t>IX.  PENUTUP</w:t>
      </w:r>
    </w:p>
    <w:p>
      <w:pPr>
        <w:spacing w:after="120" w:before="0" w:line="276" w:lineRule="auto"/>
        <w:jc w:val="both"/>
      </w:pPr>
      <w:r>
        <w:rPr>
          <w:rFonts w:ascii="Arial" w:hAnsi="Arial"/>
          <w:b w:val="0"/>
          <w:i w:val="0"/>
          <w:color w:val="1A1A1A"/>
          <w:sz w:val="22"/>
        </w:rPr>
        <w:t>Pekerjaan bulan keempat memperluas dashboard statistik, sumber resmi, dataset sekunder, dan dokumentasi pemanfaatan platform. Angka dalam tabel diperiksa pada 2 Oktober 2026 dengan periode sumber yang dinyatakan. Riwayat September digunakan apabila tersedia; keterbatasan snapshot dan kemampuan yang belum diuji dicatat sebagai agenda Oktober.</w:t>
      </w:r>
    </w:p>
    <w:p>
      <w:pPr>
        <w:keepNext/>
        <w:spacing w:before="240" w:after="80"/>
      </w:pPr>
      <w:r>
        <w:rPr>
          <w:rFonts w:ascii="Arial" w:hAnsi="Arial"/>
          <w:b/>
          <w:color w:val="1A1A1A"/>
          <w:sz w:val="24"/>
        </w:rPr>
        <w:t>LAMPIRAN — LAPORAN PELAKSANAAN TUGAS TENAGA AHLI</w:t>
      </w:r>
    </w:p>
    <w:p>
      <w:pPr>
        <w:spacing w:after="120" w:before="0" w:line="276" w:lineRule="auto"/>
        <w:jc w:val="both"/>
      </w:pPr>
      <w:r>
        <w:rPr>
          <w:rFonts w:ascii="Arial" w:hAnsi="Arial"/>
          <w:b w:val="0"/>
          <w:i w:val="0"/>
          <w:color w:val="1A1A1A"/>
          <w:sz w:val="22"/>
        </w:rPr>
        <w:t>Tujuh laporan tenaga ahli untuk bulan ke-4 September 2026 disertakan dalam direktori bulan-4, masing-masing dalam format DOCX dan PDF.</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567"/>
            <w:shd w:val="clear" w:color="auto" w:fill="d9d9d9"/>
          </w:tcPr>
          <w:p>
            <w:r/>
            <w:r>
              <w:rPr>
                <w:rFonts w:ascii="Arial" w:hAnsi="Arial"/>
                <w:b/>
                <w:color w:val="1A1A1A"/>
                <w:sz w:val="17"/>
              </w:rPr>
              <w:t>No.</w:t>
            </w:r>
          </w:p>
        </w:tc>
        <w:tc>
          <w:tcPr>
            <w:tcW w:type="dxa" w:w="4535"/>
            <w:shd w:val="clear" w:color="auto" w:fill="d9d9d9"/>
          </w:tcPr>
          <w:p>
            <w:r/>
            <w:r>
              <w:rPr>
                <w:rFonts w:ascii="Arial" w:hAnsi="Arial"/>
                <w:b/>
                <w:color w:val="1A1A1A"/>
                <w:sz w:val="17"/>
              </w:rPr>
              <w:t>Posisi tenaga ahli</w:t>
            </w:r>
          </w:p>
        </w:tc>
        <w:tc>
          <w:tcPr>
            <w:tcW w:type="dxa" w:w="3742"/>
            <w:shd w:val="clear" w:color="auto" w:fill="d9d9d9"/>
          </w:tcPr>
          <w:p>
            <w:r/>
            <w:r>
              <w:rPr>
                <w:rFonts w:ascii="Arial" w:hAnsi="Arial"/>
                <w:b/>
                <w:color w:val="1A1A1A"/>
                <w:sz w:val="17"/>
              </w:rPr>
              <w:t>Berkas September 2026</w:t>
            </w:r>
          </w:p>
        </w:tc>
      </w:tr>
      <w:tr>
        <w:trPr>
          <w:cantSplit/>
        </w:trPr>
        <w:tc>
          <w:tcPr>
            <w:tcW w:type="dxa" w:w="567"/>
          </w:tcPr>
          <w:p>
            <w:r/>
            <w:r>
              <w:rPr>
                <w:rFonts w:ascii="Arial" w:hAnsi="Arial"/>
                <w:b w:val="0"/>
                <w:color w:val="1A1A1A"/>
                <w:sz w:val="17"/>
              </w:rPr>
              <w:t>1</w:t>
            </w:r>
          </w:p>
        </w:tc>
        <w:tc>
          <w:tcPr>
            <w:tcW w:type="dxa" w:w="4535"/>
          </w:tcPr>
          <w:p>
            <w:r/>
            <w:r>
              <w:rPr>
                <w:rFonts w:ascii="Arial" w:hAnsi="Arial"/>
                <w:b w:val="0"/>
                <w:color w:val="1A1A1A"/>
                <w:sz w:val="17"/>
              </w:rPr>
              <w:t>Project Manager Analisis Data dan Pembangunan Dashboard Pariwisata</w:t>
            </w:r>
          </w:p>
        </w:tc>
        <w:tc>
          <w:tcPr>
            <w:tcW w:type="dxa" w:w="3742"/>
          </w:tcPr>
          <w:p>
            <w:r/>
            <w:r>
              <w:rPr>
                <w:rFonts w:ascii="Arial" w:hAnsi="Arial"/>
                <w:b w:val="0"/>
                <w:color w:val="1A1A1A"/>
                <w:sz w:val="17"/>
              </w:rPr>
              <w:t>01-PM-Analisis-Data-Dashboard.docx / .pdf</w:t>
            </w:r>
          </w:p>
        </w:tc>
      </w:tr>
      <w:tr>
        <w:trPr>
          <w:cantSplit/>
        </w:trPr>
        <w:tc>
          <w:tcPr>
            <w:tcW w:type="dxa" w:w="567"/>
          </w:tcPr>
          <w:p>
            <w:r/>
            <w:r>
              <w:rPr>
                <w:rFonts w:ascii="Arial" w:hAnsi="Arial"/>
                <w:b w:val="0"/>
                <w:color w:val="1A1A1A"/>
                <w:sz w:val="17"/>
              </w:rPr>
              <w:t>2</w:t>
            </w:r>
          </w:p>
        </w:tc>
        <w:tc>
          <w:tcPr>
            <w:tcW w:type="dxa" w:w="4535"/>
          </w:tcPr>
          <w:p>
            <w:r/>
            <w:r>
              <w:rPr>
                <w:rFonts w:ascii="Arial" w:hAnsi="Arial"/>
                <w:b w:val="0"/>
                <w:color w:val="1A1A1A"/>
                <w:sz w:val="17"/>
              </w:rPr>
              <w:t>Tenaga Ahli Database Administrator (Senior)</w:t>
            </w:r>
          </w:p>
        </w:tc>
        <w:tc>
          <w:tcPr>
            <w:tcW w:type="dxa" w:w="3742"/>
          </w:tcPr>
          <w:p>
            <w:r/>
            <w:r>
              <w:rPr>
                <w:rFonts w:ascii="Arial" w:hAnsi="Arial"/>
                <w:b w:val="0"/>
                <w:color w:val="1A1A1A"/>
                <w:sz w:val="17"/>
              </w:rPr>
              <w:t>02-Database-Administrator.docx / .pdf</w:t>
            </w:r>
          </w:p>
        </w:tc>
      </w:tr>
      <w:tr>
        <w:trPr>
          <w:cantSplit/>
        </w:trPr>
        <w:tc>
          <w:tcPr>
            <w:tcW w:type="dxa" w:w="567"/>
          </w:tcPr>
          <w:p>
            <w:r/>
            <w:r>
              <w:rPr>
                <w:rFonts w:ascii="Arial" w:hAnsi="Arial"/>
                <w:b w:val="0"/>
                <w:color w:val="1A1A1A"/>
                <w:sz w:val="17"/>
              </w:rPr>
              <w:t>3</w:t>
            </w:r>
          </w:p>
        </w:tc>
        <w:tc>
          <w:tcPr>
            <w:tcW w:type="dxa" w:w="4535"/>
          </w:tcPr>
          <w:p>
            <w:r/>
            <w:r>
              <w:rPr>
                <w:rFonts w:ascii="Arial" w:hAnsi="Arial"/>
                <w:b w:val="0"/>
                <w:color w:val="1A1A1A"/>
                <w:sz w:val="17"/>
              </w:rPr>
              <w:t>Tenaga Ahli Master Data Management (MDM) Specialist (Senior)</w:t>
            </w:r>
          </w:p>
        </w:tc>
        <w:tc>
          <w:tcPr>
            <w:tcW w:type="dxa" w:w="3742"/>
          </w:tcPr>
          <w:p>
            <w:r/>
            <w:r>
              <w:rPr>
                <w:rFonts w:ascii="Arial" w:hAnsi="Arial"/>
                <w:b w:val="0"/>
                <w:color w:val="1A1A1A"/>
                <w:sz w:val="17"/>
              </w:rPr>
              <w:t>03-MDM-Specialist.docx / .pdf</w:t>
            </w:r>
          </w:p>
        </w:tc>
      </w:tr>
      <w:tr>
        <w:trPr>
          <w:cantSplit/>
        </w:trPr>
        <w:tc>
          <w:tcPr>
            <w:tcW w:type="dxa" w:w="567"/>
          </w:tcPr>
          <w:p>
            <w:r/>
            <w:r>
              <w:rPr>
                <w:rFonts w:ascii="Arial" w:hAnsi="Arial"/>
                <w:b w:val="0"/>
                <w:color w:val="1A1A1A"/>
                <w:sz w:val="17"/>
              </w:rPr>
              <w:t>4</w:t>
            </w:r>
          </w:p>
        </w:tc>
        <w:tc>
          <w:tcPr>
            <w:tcW w:type="dxa" w:w="4535"/>
          </w:tcPr>
          <w:p>
            <w:r/>
            <w:r>
              <w:rPr>
                <w:rFonts w:ascii="Arial" w:hAnsi="Arial"/>
                <w:b w:val="0"/>
                <w:color w:val="1A1A1A"/>
                <w:sz w:val="17"/>
              </w:rPr>
              <w:t>Tenaga Ahli BI Developer 1 (Junior)</w:t>
            </w:r>
          </w:p>
        </w:tc>
        <w:tc>
          <w:tcPr>
            <w:tcW w:type="dxa" w:w="3742"/>
          </w:tcPr>
          <w:p>
            <w:r/>
            <w:r>
              <w:rPr>
                <w:rFonts w:ascii="Arial" w:hAnsi="Arial"/>
                <w:b w:val="0"/>
                <w:color w:val="1A1A1A"/>
                <w:sz w:val="17"/>
              </w:rPr>
              <w:t>04-BI-Developer-1.docx / .pdf</w:t>
            </w:r>
          </w:p>
        </w:tc>
      </w:tr>
      <w:tr>
        <w:trPr>
          <w:cantSplit/>
        </w:trPr>
        <w:tc>
          <w:tcPr>
            <w:tcW w:type="dxa" w:w="567"/>
          </w:tcPr>
          <w:p>
            <w:r/>
            <w:r>
              <w:rPr>
                <w:rFonts w:ascii="Arial" w:hAnsi="Arial"/>
                <w:b w:val="0"/>
                <w:color w:val="1A1A1A"/>
                <w:sz w:val="17"/>
              </w:rPr>
              <w:t>5</w:t>
            </w:r>
          </w:p>
        </w:tc>
        <w:tc>
          <w:tcPr>
            <w:tcW w:type="dxa" w:w="4535"/>
          </w:tcPr>
          <w:p>
            <w:r/>
            <w:r>
              <w:rPr>
                <w:rFonts w:ascii="Arial" w:hAnsi="Arial"/>
                <w:b w:val="0"/>
                <w:color w:val="1A1A1A"/>
                <w:sz w:val="17"/>
              </w:rPr>
              <w:t>Tenaga Ahli Data Engineer 2 (Junior)</w:t>
            </w:r>
          </w:p>
        </w:tc>
        <w:tc>
          <w:tcPr>
            <w:tcW w:type="dxa" w:w="3742"/>
          </w:tcPr>
          <w:p>
            <w:r/>
            <w:r>
              <w:rPr>
                <w:rFonts w:ascii="Arial" w:hAnsi="Arial"/>
                <w:b w:val="0"/>
                <w:color w:val="1A1A1A"/>
                <w:sz w:val="17"/>
              </w:rPr>
              <w:t>05-Data-Engineer-2.docx / .pdf</w:t>
            </w:r>
          </w:p>
        </w:tc>
      </w:tr>
      <w:tr>
        <w:trPr>
          <w:cantSplit/>
        </w:trPr>
        <w:tc>
          <w:tcPr>
            <w:tcW w:type="dxa" w:w="567"/>
          </w:tcPr>
          <w:p>
            <w:r/>
            <w:r>
              <w:rPr>
                <w:rFonts w:ascii="Arial" w:hAnsi="Arial"/>
                <w:b w:val="0"/>
                <w:color w:val="1A1A1A"/>
                <w:sz w:val="17"/>
              </w:rPr>
              <w:t>6</w:t>
            </w:r>
          </w:p>
        </w:tc>
        <w:tc>
          <w:tcPr>
            <w:tcW w:type="dxa" w:w="4535"/>
          </w:tcPr>
          <w:p>
            <w:r/>
            <w:r>
              <w:rPr>
                <w:rFonts w:ascii="Arial" w:hAnsi="Arial"/>
                <w:b w:val="0"/>
                <w:color w:val="1A1A1A"/>
                <w:sz w:val="17"/>
              </w:rPr>
              <w:t>Tenaga Ahli Data Analyst (Intermediate)</w:t>
            </w:r>
          </w:p>
        </w:tc>
        <w:tc>
          <w:tcPr>
            <w:tcW w:type="dxa" w:w="3742"/>
          </w:tcPr>
          <w:p>
            <w:r/>
            <w:r>
              <w:rPr>
                <w:rFonts w:ascii="Arial" w:hAnsi="Arial"/>
                <w:b w:val="0"/>
                <w:color w:val="1A1A1A"/>
                <w:sz w:val="17"/>
              </w:rPr>
              <w:t>06-Data-Analyst.docx / .pdf</w:t>
            </w:r>
          </w:p>
        </w:tc>
      </w:tr>
      <w:tr>
        <w:trPr>
          <w:cantSplit/>
        </w:trPr>
        <w:tc>
          <w:tcPr>
            <w:tcW w:type="dxa" w:w="567"/>
          </w:tcPr>
          <w:p>
            <w:r/>
            <w:r>
              <w:rPr>
                <w:rFonts w:ascii="Arial" w:hAnsi="Arial"/>
                <w:b w:val="0"/>
                <w:color w:val="1A1A1A"/>
                <w:sz w:val="17"/>
              </w:rPr>
              <w:t>7</w:t>
            </w:r>
          </w:p>
        </w:tc>
        <w:tc>
          <w:tcPr>
            <w:tcW w:type="dxa" w:w="4535"/>
          </w:tcPr>
          <w:p>
            <w:r/>
            <w:r>
              <w:rPr>
                <w:rFonts w:ascii="Arial" w:hAnsi="Arial"/>
                <w:b w:val="0"/>
                <w:color w:val="1A1A1A"/>
                <w:sz w:val="17"/>
              </w:rPr>
              <w:t>Tenaga Ahli Business Analyst 1 (Intermediate)</w:t>
            </w:r>
          </w:p>
        </w:tc>
        <w:tc>
          <w:tcPr>
            <w:tcW w:type="dxa" w:w="3742"/>
          </w:tcPr>
          <w:p>
            <w:r/>
            <w:r>
              <w:rPr>
                <w:rFonts w:ascii="Arial" w:hAnsi="Arial"/>
                <w:b w:val="0"/>
                <w:color w:val="1A1A1A"/>
                <w:sz w:val="17"/>
              </w:rPr>
              <w:t>07-Business-Analyst-1.docx / .pdf</w:t>
            </w:r>
          </w:p>
        </w:tc>
      </w:tr>
    </w:tbl>
    <w:p>
      <w:pPr>
        <w:spacing w:after="40"/>
      </w:pPr>
    </w:p>
    <w:p>
      <w:pPr>
        <w:spacing w:after="120"/>
      </w:pPr>
    </w:p>
    <w:tbl>
      <w:tblPr>
        <w:tblW w:type="auto" w:w="0"/>
        <w:tblLook w:firstColumn="1" w:firstRow="1" w:lastColumn="0" w:lastRow="0" w:noHBand="0" w:noVBand="1" w:val="04A0"/>
      </w:tblPr>
      <w:tblGrid>
        <w:gridCol w:w="4788"/>
        <w:gridCol w:w="4788"/>
      </w:tblGrid>
      <w:tr>
        <w:trPr>
          <w:cantSplit/>
        </w:trPr>
        <w:tc>
          <w:tcPr>
            <w:tcW w:type="dxa" w:w="4788"/>
          </w:tcPr>
          <w:p>
            <w:pPr>
              <w:keepNext/>
              <w:jc w:val="center"/>
            </w:pPr>
            <w:r/>
            <w:r>
              <w:rPr>
                <w:rFonts w:ascii="Arial" w:hAnsi="Arial"/>
                <w:b w:val="0"/>
                <w:color w:val="1A1A1A"/>
                <w:sz w:val="21"/>
              </w:rPr>
              <w:t>Mengetahui,</w:t>
              <w:br/>
              <w:t>Pejabat Pembuat Komitmen</w:t>
            </w:r>
          </w:p>
        </w:tc>
        <w:tc>
          <w:tcPr>
            <w:tcW w:type="dxa" w:w="4788"/>
          </w:tcPr>
          <w:p>
            <w:pPr>
              <w:keepNext/>
              <w:jc w:val="center"/>
            </w:pPr>
            <w:r/>
            <w:r>
              <w:rPr>
                <w:rFonts w:ascii="Arial" w:hAnsi="Arial"/>
                <w:b w:val="0"/>
                <w:color w:val="1A1A1A"/>
                <w:sz w:val="21"/>
              </w:rPr>
              <w:t>Jakarta, ......................... 2026</w:t>
              <w:br/>
              <w:t>Project Manager Kegiatan</w:t>
            </w: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jc w:val="center"/>
            </w:pPr>
            <w:r/>
            <w:r>
              <w:rPr>
                <w:rFonts w:ascii="Arial" w:hAnsi="Arial"/>
                <w:b/>
                <w:color w:val="1A1A1A"/>
                <w:sz w:val="21"/>
              </w:rPr>
              <w:t>(  Bima Agung  )</w:t>
            </w:r>
          </w:p>
        </w:tc>
        <w:tc>
          <w:tcPr>
            <w:tcW w:type="dxa" w:w="4788"/>
          </w:tcPr>
          <w:p>
            <w:pPr>
              <w:keepNext/>
              <w:jc w:val="center"/>
            </w:pPr>
            <w:r/>
            <w:r>
              <w:rPr>
                <w:rFonts w:ascii="Arial" w:hAnsi="Arial"/>
                <w:b/>
                <w:color w:val="1A1A1A"/>
                <w:sz w:val="21"/>
              </w:rPr>
              <w:t>(  [Nama Project Manager]  )</w:t>
            </w:r>
          </w:p>
        </w:tc>
      </w:tr>
      <w:tr>
        <w:trPr>
          <w:cantSplit/>
        </w:trPr>
        <w:tc>
          <w:tcPr>
            <w:tcW w:type="dxa" w:w="4788"/>
          </w:tcPr>
          <w:p>
            <w:pPr>
              <w:keepNext/>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Project Manager Analisis Data dan Pembangunan Dashboard Pariwisata</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