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rPr>
          <w:cantSplit/>
          <w:tblHeader/>
        </w:trP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rPr>
          <w:cantSplit/>
        </w:trP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rPr>
          <w:cantSplit/>
        </w:trP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Master Data Management (MDM) Specialist (Senior)</w:t>
            </w:r>
          </w:p>
        </w:tc>
      </w:tr>
      <w:tr>
        <w:trPr>
          <w:cantSplit/>
        </w:trP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Sistem Informasi/Teknik Informatika/Ilmu Komputer/Statistik, pengalaman minimal 7 tahun</w:t>
            </w:r>
          </w:p>
        </w:tc>
      </w:tr>
      <w:tr>
        <w:trPr>
          <w:cantSplit/>
        </w:trP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ke-4 (Laporan Bulanan Keempat) — September 2026</w:t>
            </w:r>
          </w:p>
        </w:tc>
      </w:tr>
      <w:tr>
        <w:trPr>
          <w:cantSplit/>
        </w:trP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rPr>
          <w:cantSplit/>
        </w:trP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bulanan keempat ini memuat pelaksanaan kegiatan Penyediaan dan Pengelolaan Data Statistik Pariwisata Jakarta Tahun Anggaran 2026 untuk periode 1–30 September. Fokus pekerjaan adalah pengembangan dashboard statistik pariwisata dan ekonomi kreatif, integrasi sumber resmi, perluasan inventori sekunder, serta dokumentasi operasional. Capaian ditelusuri dari perubahan yang tercatat pada September dan bukti sistem yang diperiksa pada 2 Oktober 2026. Tahun data indikator dibedakan dari periode pekerjaan; snapshot inventaris setelah akhir bulan diberi tanggal sebenarnya.</w:t>
      </w:r>
    </w:p>
    <w:p>
      <w:pPr>
        <w:spacing w:after="120" w:before="0" w:line="276" w:lineRule="auto"/>
        <w:jc w:val="both"/>
      </w:pPr>
      <w:r>
        <w:rPr>
          <w:rFonts w:ascii="Arial" w:hAnsi="Arial"/>
          <w:b w:val="0"/>
          <w:i w:val="0"/>
          <w:color w:val="1A1A1A"/>
          <w:sz w:val="22"/>
        </w:rPr>
        <w:t>MDM Specialist memfokuskan bulan keempat pada konsistensi definisi indikator, periode data, dan keterlacakan sumber. Pengayaan dataset sekunder dan dashboard statistik menuntut pemisahan yang jelas antara inventori venue, jumlah kunjungan, serta ukuran tenaga kerja.</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Mengidentifikasi entitas master data pariwisata Jakarta dan menyusun struktur data master;</w:t>
      </w:r>
    </w:p>
    <w:p>
      <w:pPr>
        <w:spacing w:after="60" w:line="269" w:lineRule="auto"/>
        <w:ind w:left="510"/>
      </w:pPr>
      <w:r>
        <w:rPr>
          <w:rFonts w:ascii="Arial" w:hAnsi="Arial"/>
          <w:b/>
          <w:sz w:val="22"/>
        </w:rPr>
        <w:t xml:space="preserve">b.  </w:t>
      </w:r>
      <w:r>
        <w:rPr>
          <w:rFonts w:ascii="Arial" w:hAnsi="Arial"/>
          <w:color w:val="1A1A1A"/>
          <w:sz w:val="22"/>
        </w:rPr>
        <w:t>Menyusun kebijakan dan prosedur MDM (data ownership, data stewardship, alur perubahan, persetujuan, dan audit);</w:t>
      </w:r>
    </w:p>
    <w:p>
      <w:pPr>
        <w:spacing w:after="60" w:line="269" w:lineRule="auto"/>
        <w:ind w:left="510"/>
      </w:pPr>
      <w:r>
        <w:rPr>
          <w:rFonts w:ascii="Arial" w:hAnsi="Arial"/>
          <w:b/>
          <w:sz w:val="22"/>
        </w:rPr>
        <w:t xml:space="preserve">c.  </w:t>
      </w:r>
      <w:r>
        <w:rPr>
          <w:rFonts w:ascii="Arial" w:hAnsi="Arial"/>
          <w:color w:val="1A1A1A"/>
          <w:sz w:val="22"/>
        </w:rPr>
        <w:t>Melaksanakan pembentukan master data melalui konsolidasi, deduplikasi, verifikasi, dan validasi data dari berbagai sumber;</w:t>
      </w:r>
    </w:p>
    <w:p>
      <w:pPr>
        <w:spacing w:after="60" w:line="269" w:lineRule="auto"/>
        <w:ind w:left="510"/>
      </w:pPr>
      <w:r>
        <w:rPr>
          <w:rFonts w:ascii="Arial" w:hAnsi="Arial"/>
          <w:b/>
          <w:sz w:val="22"/>
        </w:rPr>
        <w:t xml:space="preserve">d.  </w:t>
      </w:r>
      <w:r>
        <w:rPr>
          <w:rFonts w:ascii="Arial" w:hAnsi="Arial"/>
          <w:color w:val="1A1A1A"/>
          <w:sz w:val="22"/>
        </w:rPr>
        <w:t>Menyusun mekanisme pemeliharaan dan pemutakhiran master data secara berkala;</w:t>
      </w:r>
    </w:p>
    <w:p>
      <w:pPr>
        <w:spacing w:after="60" w:line="269" w:lineRule="auto"/>
        <w:ind w:left="510"/>
      </w:pPr>
      <w:r>
        <w:rPr>
          <w:rFonts w:ascii="Arial" w:hAnsi="Arial"/>
          <w:b/>
          <w:sz w:val="22"/>
        </w:rPr>
        <w:t xml:space="preserve">e.  </w:t>
      </w:r>
      <w:r>
        <w:rPr>
          <w:rFonts w:ascii="Arial" w:hAnsi="Arial"/>
          <w:color w:val="1A1A1A"/>
          <w:sz w:val="22"/>
        </w:rPr>
        <w:t>Memastikan integrasi master data ke dalam database dan ketersediaannya bagi Dashboard melalui metadata.</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Pelaksanaan mencakup penataan metadata yang terlihat pada katalog dan penelaahan hasil gerbang mutu yang memiliki riwayat September. Pemeriksaan membedakan jumlah temuan konversi dari jumlah baris sumber yang unik.</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rPr>
          <w:cantSplit/>
          <w:tblHeader/>
        </w:trP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rPr>
          <w:cantSplit/>
        </w:trPr>
        <w:tc>
          <w:tcPr>
            <w:tcW w:type="dxa" w:w="3742"/>
          </w:tcPr>
          <w:p>
            <w:r/>
            <w:r>
              <w:rPr>
                <w:rFonts w:ascii="Arial" w:hAnsi="Arial"/>
                <w:b w:val="0"/>
                <w:color w:val="1A1A1A"/>
                <w:sz w:val="19"/>
              </w:rPr>
              <w:t>Identifikasi entitas dan struktur master</w:t>
            </w:r>
          </w:p>
        </w:tc>
        <w:tc>
          <w:tcPr>
            <w:tcW w:type="dxa" w:w="5102"/>
          </w:tcPr>
          <w:p>
            <w:r/>
            <w:r>
              <w:rPr>
                <w:rFonts w:ascii="Arial" w:hAnsi="Arial"/>
                <w:b w:val="0"/>
                <w:color w:val="1A1A1A"/>
                <w:sz w:val="19"/>
              </w:rPr>
              <w:t>Mengelompokkan sumber wisatawan, usaha/venue pariwisata, dan tenaga kerja ekonomi kreatif agar ukuran yang berbeda tidak digabung sebagai satu indikator.</w:t>
            </w:r>
          </w:p>
        </w:tc>
      </w:tr>
      <w:tr>
        <w:trPr>
          <w:cantSplit/>
        </w:trPr>
        <w:tc>
          <w:tcPr>
            <w:tcW w:type="dxa" w:w="3742"/>
          </w:tcPr>
          <w:p>
            <w:r/>
            <w:r>
              <w:rPr>
                <w:rFonts w:ascii="Arial" w:hAnsi="Arial"/>
                <w:b w:val="0"/>
                <w:color w:val="1A1A1A"/>
                <w:sz w:val="19"/>
              </w:rPr>
              <w:t>Kebijakan dan kepemilikan data</w:t>
            </w:r>
          </w:p>
        </w:tc>
        <w:tc>
          <w:tcPr>
            <w:tcW w:type="dxa" w:w="5102"/>
          </w:tcPr>
          <w:p>
            <w:r/>
            <w:r>
              <w:rPr>
                <w:rFonts w:ascii="Arial" w:hAnsi="Arial"/>
                <w:b w:val="0"/>
                <w:color w:val="1A1A1A"/>
                <w:sz w:val="19"/>
              </w:rPr>
              <w:t>Menempatkan sumber, tahun/periode, dan batas ketersediaan data sebagai keterangan yang harus mengikuti angka pada dashboard. Data nasional per subsektor tidak diberi label sebagai rincian DKI.</w:t>
            </w:r>
          </w:p>
        </w:tc>
      </w:tr>
      <w:tr>
        <w:trPr>
          <w:cantSplit/>
        </w:trPr>
        <w:tc>
          <w:tcPr>
            <w:tcW w:type="dxa" w:w="3742"/>
          </w:tcPr>
          <w:p>
            <w:r/>
            <w:r>
              <w:rPr>
                <w:rFonts w:ascii="Arial" w:hAnsi="Arial"/>
                <w:b w:val="0"/>
                <w:color w:val="1A1A1A"/>
                <w:sz w:val="19"/>
              </w:rPr>
              <w:t>Konsolidasi dan validasi data</w:t>
            </w:r>
          </w:p>
        </w:tc>
        <w:tc>
          <w:tcPr>
            <w:tcW w:type="dxa" w:w="5102"/>
          </w:tcPr>
          <w:p>
            <w:r/>
            <w:r>
              <w:rPr>
                <w:rFonts w:ascii="Arial" w:hAnsi="Arial"/>
                <w:b w:val="0"/>
                <w:color w:val="1A1A1A"/>
                <w:sz w:val="19"/>
              </w:rPr>
              <w:t>Menelaah hasil gerbang mutu tanggal 30 September serta contoh alasan karantina. Temuan yang tersimpan diperlakukan sebagai bahan perbaikan, bukan bukti otomatis seluruh baris telah disisihkan.</w:t>
            </w:r>
          </w:p>
        </w:tc>
      </w:tr>
      <w:tr>
        <w:trPr>
          <w:cantSplit/>
        </w:trPr>
        <w:tc>
          <w:tcPr>
            <w:tcW w:type="dxa" w:w="3742"/>
          </w:tcPr>
          <w:p>
            <w:r/>
            <w:r>
              <w:rPr>
                <w:rFonts w:ascii="Arial" w:hAnsi="Arial"/>
                <w:b w:val="0"/>
                <w:color w:val="1A1A1A"/>
                <w:sz w:val="19"/>
              </w:rPr>
              <w:t>Pemeliharaan master data</w:t>
            </w:r>
          </w:p>
        </w:tc>
        <w:tc>
          <w:tcPr>
            <w:tcW w:type="dxa" w:w="5102"/>
          </w:tcPr>
          <w:p>
            <w:r/>
            <w:r>
              <w:rPr>
                <w:rFonts w:ascii="Arial" w:hAnsi="Arial"/>
                <w:b w:val="0"/>
                <w:color w:val="1A1A1A"/>
                <w:sz w:val="19"/>
              </w:rPr>
              <w:t>Memantau catatan jumlah baris selama September untuk menelusuri keberadaan pembaruan. Jumlah catatan tidak digunakan untuk menyimpulkan seluruh jadwal bulanan berhasil.</w:t>
            </w:r>
          </w:p>
        </w:tc>
      </w:tr>
      <w:tr>
        <w:trPr>
          <w:cantSplit/>
        </w:trPr>
        <w:tc>
          <w:tcPr>
            <w:tcW w:type="dxa" w:w="3742"/>
          </w:tcPr>
          <w:p>
            <w:r/>
            <w:r>
              <w:rPr>
                <w:rFonts w:ascii="Arial" w:hAnsi="Arial"/>
                <w:b w:val="0"/>
                <w:color w:val="1A1A1A"/>
                <w:sz w:val="19"/>
              </w:rPr>
              <w:t>Metadata untuk dashboard</w:t>
            </w:r>
          </w:p>
        </w:tc>
        <w:tc>
          <w:tcPr>
            <w:tcW w:type="dxa" w:w="5102"/>
          </w:tcPr>
          <w:p>
            <w:r/>
            <w:r>
              <w:rPr>
                <w:rFonts w:ascii="Arial" w:hAnsi="Arial"/>
                <w:b w:val="0"/>
                <w:color w:val="1A1A1A"/>
                <w:sz w:val="19"/>
              </w:rPr>
              <w:t>Mendukung kesesuaian judul, sumber resmi, cakupan wilayah, dan periode pada katalog serta halaman statistik tenaga kerja.</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Riwayat gerbang mutu dan jumlah baris memiliki batas periode September. Karantina yang dapat dibaca merupakan snapshot 1 Oktober; keterbatasan itu dinyatakan pada catatan sumber.</w:t>
      </w:r>
    </w:p>
    <w:p>
      <w:pPr>
        <w:spacing w:after="60" w:before="80" w:line="276" w:lineRule="auto"/>
        <w:jc w:val="left"/>
      </w:pPr>
      <w:r>
        <w:rPr>
          <w:rFonts w:ascii="Arial" w:hAnsi="Arial"/>
          <w:b/>
          <w:i w:val="0"/>
          <w:color w:val="1A1A1A"/>
          <w:sz w:val="21"/>
        </w:rPr>
        <w:t>Hasil gerbang mutu dan riwayat pembaruan:</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788"/>
        <w:gridCol w:w="4788"/>
      </w:tblGrid>
      <w:tr>
        <w:trPr>
          <w:cantSplit/>
          <w:tblHeader/>
        </w:trPr>
        <w:tc>
          <w:tcPr>
            <w:tcW w:type="dxa" w:w="4535"/>
            <w:shd w:val="clear" w:color="auto" w:fill="d9d9d9"/>
          </w:tcPr>
          <w:p>
            <w:r/>
            <w:r>
              <w:rPr>
                <w:rFonts w:ascii="Arial" w:hAnsi="Arial"/>
                <w:b/>
                <w:color w:val="1A1A1A"/>
                <w:sz w:val="17"/>
              </w:rPr>
              <w:t>Pemeriksaan / riwayat</w:t>
            </w:r>
          </w:p>
        </w:tc>
        <w:tc>
          <w:tcPr>
            <w:tcW w:type="dxa" w:w="4309"/>
            <w:shd w:val="clear" w:color="auto" w:fill="d9d9d9"/>
          </w:tcPr>
          <w:p>
            <w:r/>
            <w:r>
              <w:rPr>
                <w:rFonts w:ascii="Arial" w:hAnsi="Arial"/>
                <w:b/>
                <w:color w:val="1A1A1A"/>
                <w:sz w:val="17"/>
              </w:rPr>
              <w:t>Hasil dan periode</w:t>
            </w:r>
          </w:p>
        </w:tc>
      </w:tr>
      <w:tr>
        <w:trPr>
          <w:cantSplit/>
        </w:trPr>
        <w:tc>
          <w:tcPr>
            <w:tcW w:type="dxa" w:w="4535"/>
          </w:tcPr>
          <w:p>
            <w:r/>
            <w:r>
              <w:rPr>
                <w:rFonts w:ascii="Arial" w:hAnsi="Arial"/>
                <w:b w:val="0"/>
                <w:color w:val="1A1A1A"/>
                <w:sz w:val="17"/>
              </w:rPr>
              <w:t>Lolos</w:t>
            </w:r>
          </w:p>
        </w:tc>
        <w:tc>
          <w:tcPr>
            <w:tcW w:type="dxa" w:w="4309"/>
          </w:tcPr>
          <w:p>
            <w:r/>
            <w:r>
              <w:rPr>
                <w:rFonts w:ascii="Arial" w:hAnsi="Arial"/>
                <w:b w:val="0"/>
                <w:color w:val="1A1A1A"/>
                <w:sz w:val="17"/>
              </w:rPr>
              <w:t>234 pemeriksaan; 30 September 2026</w:t>
            </w:r>
          </w:p>
        </w:tc>
      </w:tr>
      <w:tr>
        <w:trPr>
          <w:cantSplit/>
        </w:trPr>
        <w:tc>
          <w:tcPr>
            <w:tcW w:type="dxa" w:w="4535"/>
          </w:tcPr>
          <w:p>
            <w:r/>
            <w:r>
              <w:rPr>
                <w:rFonts w:ascii="Arial" w:hAnsi="Arial"/>
                <w:b w:val="0"/>
                <w:color w:val="1A1A1A"/>
                <w:sz w:val="17"/>
              </w:rPr>
              <w:t>Peringatan</w:t>
            </w:r>
          </w:p>
        </w:tc>
        <w:tc>
          <w:tcPr>
            <w:tcW w:type="dxa" w:w="4309"/>
          </w:tcPr>
          <w:p>
            <w:r/>
            <w:r>
              <w:rPr>
                <w:rFonts w:ascii="Arial" w:hAnsi="Arial"/>
                <w:b w:val="0"/>
                <w:color w:val="1A1A1A"/>
                <w:sz w:val="17"/>
              </w:rPr>
              <w:t>43 pemeriksaan; 30 September 2026</w:t>
            </w:r>
          </w:p>
        </w:tc>
      </w:tr>
      <w:tr>
        <w:trPr>
          <w:cantSplit/>
        </w:trPr>
        <w:tc>
          <w:tcPr>
            <w:tcW w:type="dxa" w:w="4535"/>
          </w:tcPr>
          <w:p>
            <w:r/>
            <w:r>
              <w:rPr>
                <w:rFonts w:ascii="Arial" w:hAnsi="Arial"/>
                <w:b w:val="0"/>
                <w:color w:val="1A1A1A"/>
                <w:sz w:val="17"/>
              </w:rPr>
              <w:t>Gagal</w:t>
            </w:r>
          </w:p>
        </w:tc>
        <w:tc>
          <w:tcPr>
            <w:tcW w:type="dxa" w:w="4309"/>
          </w:tcPr>
          <w:p>
            <w:r/>
            <w:r>
              <w:rPr>
                <w:rFonts w:ascii="Arial" w:hAnsi="Arial"/>
                <w:b w:val="0"/>
                <w:color w:val="1A1A1A"/>
                <w:sz w:val="17"/>
              </w:rPr>
              <w:t>88 pemeriksaan; 30 September 2026</w:t>
            </w:r>
          </w:p>
        </w:tc>
      </w:tr>
      <w:tr>
        <w:trPr>
          <w:cantSplit/>
        </w:trPr>
        <w:tc>
          <w:tcPr>
            <w:tcW w:type="dxa" w:w="4535"/>
          </w:tcPr>
          <w:p>
            <w:r/>
            <w:r>
              <w:rPr>
                <w:rFonts w:ascii="Arial" w:hAnsi="Arial"/>
                <w:b w:val="0"/>
                <w:color w:val="1A1A1A"/>
                <w:sz w:val="17"/>
              </w:rPr>
              <w:t>Catatan jumlah baris selama September</w:t>
            </w:r>
          </w:p>
        </w:tc>
        <w:tc>
          <w:tcPr>
            <w:tcW w:type="dxa" w:w="4309"/>
          </w:tcPr>
          <w:p>
            <w:r/>
            <w:r>
              <w:rPr>
                <w:rFonts w:ascii="Arial" w:hAnsi="Arial"/>
                <w:b w:val="0"/>
                <w:color w:val="1A1A1A"/>
                <w:sz w:val="17"/>
              </w:rPr>
              <w:t>5.662 catatan pada 235 tabel</w:t>
            </w:r>
          </w:p>
        </w:tc>
      </w:tr>
      <w:tr>
        <w:trPr>
          <w:cantSplit/>
        </w:trPr>
        <w:tc>
          <w:tcPr>
            <w:tcW w:type="dxa" w:w="4535"/>
          </w:tcPr>
          <w:p>
            <w:r/>
            <w:r>
              <w:rPr>
                <w:rFonts w:ascii="Arial" w:hAnsi="Arial"/>
                <w:b w:val="0"/>
                <w:color w:val="1A1A1A"/>
                <w:sz w:val="17"/>
              </w:rPr>
              <w:t>Observasi jumlah baris terakhir September</w:t>
            </w:r>
          </w:p>
        </w:tc>
        <w:tc>
          <w:tcPr>
            <w:tcW w:type="dxa" w:w="4309"/>
          </w:tcPr>
          <w:p>
            <w:r/>
            <w:r>
              <w:rPr>
                <w:rFonts w:ascii="Arial" w:hAnsi="Arial"/>
                <w:b w:val="0"/>
                <w:color w:val="1A1A1A"/>
                <w:sz w:val="17"/>
              </w:rPr>
              <w:t>30 September 2026 09.30.49 WIB; 235 catatan</w:t>
            </w:r>
          </w:p>
        </w:tc>
      </w:tr>
    </w:tbl>
    <w:p>
      <w:pPr>
        <w:spacing w:after="40"/>
      </w:pPr>
    </w:p>
    <w:p>
      <w:pPr>
        <w:spacing w:after="160" w:before="0" w:line="276" w:lineRule="auto"/>
        <w:jc w:val="left"/>
      </w:pPr>
      <w:r>
        <w:rPr>
          <w:rFonts w:ascii="Arial" w:hAnsi="Arial"/>
          <w:b w:val="0"/>
          <w:i/>
          <w:color w:val="555555"/>
          <w:sz w:val="17"/>
        </w:rPr>
        <w:t>Sumber Q3: _silver_meta.quality, batas 30 September WIB; Q4: _silver_meta.rowcount_history, periode 1–30 September WIB. Dibaca 2 Oktober 2026. Catatan tidak membuktikan semua jadwal berhasil atau semua temuan otomatis dikeluarkan dari mart.</w:t>
      </w:r>
    </w:p>
    <w:p>
      <w:pPr>
        <w:spacing w:after="60" w:before="80" w:line="276" w:lineRule="auto"/>
        <w:jc w:val="left"/>
      </w:pPr>
      <w:r>
        <w:rPr>
          <w:rFonts w:ascii="Arial" w:hAnsi="Arial"/>
          <w:b/>
          <w:i w:val="0"/>
          <w:color w:val="1A1A1A"/>
          <w:sz w:val="21"/>
        </w:rPr>
        <w:t>Temuan karantina yang tersedia saat pemeriksaan:</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rPr>
          <w:cantSplit/>
          <w:tblHeader/>
        </w:trPr>
        <w:tc>
          <w:tcPr>
            <w:tcW w:type="dxa" w:w="4535"/>
            <w:shd w:val="clear" w:color="auto" w:fill="d9d9d9"/>
          </w:tcPr>
          <w:p>
            <w:r/>
            <w:r>
              <w:rPr>
                <w:rFonts w:ascii="Arial" w:hAnsi="Arial"/>
                <w:b/>
                <w:color w:val="1A1A1A"/>
                <w:sz w:val="17"/>
              </w:rPr>
              <w:t>Alasan / keterangan</w:t>
            </w:r>
          </w:p>
        </w:tc>
        <w:tc>
          <w:tcPr>
            <w:tcW w:type="dxa" w:w="2041"/>
            <w:shd w:val="clear" w:color="auto" w:fill="d9d9d9"/>
          </w:tcPr>
          <w:p>
            <w:r/>
            <w:r>
              <w:rPr>
                <w:rFonts w:ascii="Arial" w:hAnsi="Arial"/>
                <w:b/>
                <w:color w:val="1A1A1A"/>
                <w:sz w:val="17"/>
              </w:rPr>
              <w:t>Tabel terdampak</w:t>
            </w:r>
          </w:p>
        </w:tc>
        <w:tc>
          <w:tcPr>
            <w:tcW w:type="dxa" w:w="2268"/>
            <w:shd w:val="clear" w:color="auto" w:fill="d9d9d9"/>
          </w:tcPr>
          <w:p>
            <w:r/>
            <w:r>
              <w:rPr>
                <w:rFonts w:ascii="Arial" w:hAnsi="Arial"/>
                <w:b/>
                <w:color w:val="1A1A1A"/>
                <w:sz w:val="17"/>
              </w:rPr>
              <w:t>Temuan</w:t>
            </w:r>
          </w:p>
        </w:tc>
      </w:tr>
      <w:tr>
        <w:trPr>
          <w:cantSplit/>
        </w:trPr>
        <w:tc>
          <w:tcPr>
            <w:tcW w:type="dxa" w:w="4535"/>
          </w:tcPr>
          <w:p>
            <w:r/>
            <w:r>
              <w:rPr>
                <w:rFonts w:ascii="Arial" w:hAnsi="Arial"/>
                <w:b w:val="0"/>
                <w:color w:val="1A1A1A"/>
                <w:sz w:val="17"/>
              </w:rPr>
              <w:t>jumlah (angka) gagal konversi</w:t>
            </w:r>
          </w:p>
        </w:tc>
        <w:tc>
          <w:tcPr>
            <w:tcW w:type="dxa" w:w="2041"/>
          </w:tcPr>
          <w:p>
            <w:r/>
            <w:r>
              <w:rPr>
                <w:rFonts w:ascii="Arial" w:hAnsi="Arial"/>
                <w:b w:val="0"/>
                <w:color w:val="1A1A1A"/>
                <w:sz w:val="17"/>
              </w:rPr>
              <w:t>9 tabel</w:t>
            </w:r>
          </w:p>
        </w:tc>
        <w:tc>
          <w:tcPr>
            <w:tcW w:type="dxa" w:w="2268"/>
          </w:tcPr>
          <w:p>
            <w:r/>
            <w:r>
              <w:rPr>
                <w:rFonts w:ascii="Arial" w:hAnsi="Arial"/>
                <w:b w:val="0"/>
                <w:color w:val="1A1A1A"/>
                <w:sz w:val="17"/>
              </w:rPr>
              <w:t>52.735 nilai</w:t>
            </w:r>
          </w:p>
        </w:tc>
      </w:tr>
      <w:tr>
        <w:trPr>
          <w:cantSplit/>
        </w:trPr>
        <w:tc>
          <w:tcPr>
            <w:tcW w:type="dxa" w:w="4535"/>
          </w:tcPr>
          <w:p>
            <w:r/>
            <w:r>
              <w:rPr>
                <w:rFonts w:ascii="Arial" w:hAnsi="Arial"/>
                <w:b w:val="0"/>
                <w:color w:val="1A1A1A"/>
                <w:sz w:val="17"/>
              </w:rPr>
              <w:t>lon (angka) gagal konversi</w:t>
            </w:r>
          </w:p>
        </w:tc>
        <w:tc>
          <w:tcPr>
            <w:tcW w:type="dxa" w:w="2041"/>
          </w:tcPr>
          <w:p>
            <w:r/>
            <w:r>
              <w:rPr>
                <w:rFonts w:ascii="Arial" w:hAnsi="Arial"/>
                <w:b w:val="0"/>
                <w:color w:val="1A1A1A"/>
                <w:sz w:val="17"/>
              </w:rPr>
              <w:t>7 tabel</w:t>
            </w:r>
          </w:p>
        </w:tc>
        <w:tc>
          <w:tcPr>
            <w:tcW w:type="dxa" w:w="2268"/>
          </w:tcPr>
          <w:p>
            <w:r/>
            <w:r>
              <w:rPr>
                <w:rFonts w:ascii="Arial" w:hAnsi="Arial"/>
                <w:b w:val="0"/>
                <w:color w:val="1A1A1A"/>
                <w:sz w:val="17"/>
              </w:rPr>
              <w:t>195 nilai</w:t>
            </w:r>
          </w:p>
        </w:tc>
      </w:tr>
      <w:tr>
        <w:trPr>
          <w:cantSplit/>
        </w:trPr>
        <w:tc>
          <w:tcPr>
            <w:tcW w:type="dxa" w:w="4535"/>
          </w:tcPr>
          <w:p>
            <w:r/>
            <w:r>
              <w:rPr>
                <w:rFonts w:ascii="Arial" w:hAnsi="Arial"/>
                <w:b w:val="0"/>
                <w:color w:val="1A1A1A"/>
                <w:sz w:val="17"/>
              </w:rPr>
              <w:t>lat (angka) gagal konversi</w:t>
            </w:r>
          </w:p>
        </w:tc>
        <w:tc>
          <w:tcPr>
            <w:tcW w:type="dxa" w:w="2041"/>
          </w:tcPr>
          <w:p>
            <w:r/>
            <w:r>
              <w:rPr>
                <w:rFonts w:ascii="Arial" w:hAnsi="Arial"/>
                <w:b w:val="0"/>
                <w:color w:val="1A1A1A"/>
                <w:sz w:val="17"/>
              </w:rPr>
              <w:t>7 tabel</w:t>
            </w:r>
          </w:p>
        </w:tc>
        <w:tc>
          <w:tcPr>
            <w:tcW w:type="dxa" w:w="2268"/>
          </w:tcPr>
          <w:p>
            <w:r/>
            <w:r>
              <w:rPr>
                <w:rFonts w:ascii="Arial" w:hAnsi="Arial"/>
                <w:b w:val="0"/>
                <w:color w:val="1A1A1A"/>
                <w:sz w:val="17"/>
              </w:rPr>
              <w:t>195 nilai</w:t>
            </w:r>
          </w:p>
        </w:tc>
      </w:tr>
      <w:tr>
        <w:trPr>
          <w:cantSplit/>
        </w:trPr>
        <w:tc>
          <w:tcPr>
            <w:tcW w:type="dxa" w:w="4535"/>
          </w:tcPr>
          <w:p>
            <w:r/>
            <w:r>
              <w:rPr>
                <w:rFonts w:ascii="Arial" w:hAnsi="Arial"/>
                <w:b w:val="0"/>
                <w:color w:val="1A1A1A"/>
                <w:sz w:val="17"/>
              </w:rPr>
              <w:t>jumlah_ulasan (angka) gagal konversi</w:t>
            </w:r>
          </w:p>
        </w:tc>
        <w:tc>
          <w:tcPr>
            <w:tcW w:type="dxa" w:w="2041"/>
          </w:tcPr>
          <w:p>
            <w:r/>
            <w:r>
              <w:rPr>
                <w:rFonts w:ascii="Arial" w:hAnsi="Arial"/>
                <w:b w:val="0"/>
                <w:color w:val="1A1A1A"/>
                <w:sz w:val="17"/>
              </w:rPr>
              <w:t>4 tabel</w:t>
            </w:r>
          </w:p>
        </w:tc>
        <w:tc>
          <w:tcPr>
            <w:tcW w:type="dxa" w:w="2268"/>
          </w:tcPr>
          <w:p>
            <w:r/>
            <w:r>
              <w:rPr>
                <w:rFonts w:ascii="Arial" w:hAnsi="Arial"/>
                <w:b w:val="0"/>
                <w:color w:val="1A1A1A"/>
                <w:sz w:val="17"/>
              </w:rPr>
              <w:t>86 nilai</w:t>
            </w:r>
          </w:p>
        </w:tc>
      </w:tr>
      <w:tr>
        <w:trPr>
          <w:cantSplit/>
        </w:trPr>
        <w:tc>
          <w:tcPr>
            <w:tcW w:type="dxa" w:w="4535"/>
          </w:tcPr>
          <w:p>
            <w:r/>
            <w:r>
              <w:rPr>
                <w:rFonts w:ascii="Arial" w:hAnsi="Arial"/>
                <w:b w:val="0"/>
                <w:color w:val="1A1A1A"/>
                <w:sz w:val="17"/>
              </w:rPr>
              <w:t>rating (angka) gagal konversi</w:t>
            </w:r>
          </w:p>
        </w:tc>
        <w:tc>
          <w:tcPr>
            <w:tcW w:type="dxa" w:w="2041"/>
          </w:tcPr>
          <w:p>
            <w:r/>
            <w:r>
              <w:rPr>
                <w:rFonts w:ascii="Arial" w:hAnsi="Arial"/>
                <w:b w:val="0"/>
                <w:color w:val="1A1A1A"/>
                <w:sz w:val="17"/>
              </w:rPr>
              <w:t>3 tabel</w:t>
            </w:r>
          </w:p>
        </w:tc>
        <w:tc>
          <w:tcPr>
            <w:tcW w:type="dxa" w:w="2268"/>
          </w:tcPr>
          <w:p>
            <w:r/>
            <w:r>
              <w:rPr>
                <w:rFonts w:ascii="Arial" w:hAnsi="Arial"/>
                <w:b w:val="0"/>
                <w:color w:val="1A1A1A"/>
                <w:sz w:val="17"/>
              </w:rPr>
              <w:t>81 nilai</w:t>
            </w:r>
          </w:p>
        </w:tc>
      </w:tr>
      <w:tr>
        <w:trPr>
          <w:cantSplit/>
        </w:trPr>
        <w:tc>
          <w:tcPr>
            <w:tcW w:type="dxa" w:w="4535"/>
          </w:tcPr>
          <w:p>
            <w:r/>
            <w:r>
              <w:rPr>
                <w:rFonts w:ascii="Arial" w:hAnsi="Arial"/>
                <w:b w:val="0"/>
                <w:color w:val="1A1A1A"/>
                <w:sz w:val="17"/>
              </w:rPr>
              <w:t>Total kelompok temuan snapshot 1 Oktober</w:t>
            </w:r>
          </w:p>
        </w:tc>
        <w:tc>
          <w:tcPr>
            <w:tcW w:type="dxa" w:w="2041"/>
          </w:tcPr>
          <w:p>
            <w:r/>
            <w:r>
              <w:rPr>
                <w:rFonts w:ascii="Arial" w:hAnsi="Arial"/>
                <w:b w:val="0"/>
                <w:color w:val="1A1A1A"/>
                <w:sz w:val="17"/>
              </w:rPr>
              <w:t>Bukan baris/orang unik</w:t>
            </w:r>
          </w:p>
        </w:tc>
        <w:tc>
          <w:tcPr>
            <w:tcW w:type="dxa" w:w="2268"/>
          </w:tcPr>
          <w:p>
            <w:r/>
            <w:r>
              <w:rPr>
                <w:rFonts w:ascii="Arial" w:hAnsi="Arial"/>
                <w:b w:val="0"/>
                <w:color w:val="1A1A1A"/>
                <w:sz w:val="17"/>
              </w:rPr>
              <w:t>133 kelompok</w:t>
            </w:r>
          </w:p>
        </w:tc>
      </w:tr>
    </w:tbl>
    <w:p>
      <w:pPr>
        <w:spacing w:after="40"/>
      </w:pPr>
    </w:p>
    <w:p>
      <w:pPr>
        <w:spacing w:after="160" w:before="0" w:line="276" w:lineRule="auto"/>
        <w:jc w:val="left"/>
      </w:pPr>
      <w:r>
        <w:rPr>
          <w:rFonts w:ascii="Arial" w:hAnsi="Arial"/>
          <w:b w:val="0"/>
          <w:i/>
          <w:color w:val="555555"/>
          <w:sz w:val="17"/>
        </w:rPr>
        <w:t>Sumber Q5: _silver_meta.karantina, snapshot tersimpan 1 Oktober, dibaca 2 Oktober 2026. Snapshot akhir September tidak tersedia. Nilai gagal konversi dan kelompok temuan bukan jumlah baris sumber atau orang unik.</w:t>
      </w:r>
    </w:p>
    <w:p>
      <w:pPr>
        <w:keepNext/>
        <w:spacing w:before="120" w:after="40"/>
        <w:jc w:val="center"/>
      </w:pPr>
      <w:r>
        <w:drawing>
          <wp:inline xmlns:a="http://schemas.openxmlformats.org/drawingml/2006/main" xmlns:pic="http://schemas.openxmlformats.org/drawingml/2006/picture">
            <wp:extent cx="5580000" cy="3875000"/>
            <wp:docPr id="1" name="Picture 1"/>
            <wp:cNvGraphicFramePr>
              <a:graphicFrameLocks noChangeAspect="1"/>
            </wp:cNvGraphicFramePr>
            <a:graphic>
              <a:graphicData uri="http://schemas.openxmlformats.org/drawingml/2006/picture">
                <pic:pic>
                  <pic:nvPicPr>
                    <pic:cNvPr id="0" name="06-katalog.jpg"/>
                    <pic:cNvPicPr/>
                  </pic:nvPicPr>
                  <pic:blipFill>
                    <a:blip r:embed="rId9"/>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1. Katalog dengan penanda lapisan dan sumber dataset. Sumber: https://dispar.rantai.dev/sdi; tangkapan layar 2 Oktober 2026.</w:t>
      </w:r>
    </w:p>
    <w:p>
      <w:pPr>
        <w:keepNext/>
        <w:spacing w:before="120" w:after="40"/>
        <w:jc w:val="center"/>
      </w:pPr>
      <w:r>
        <w:drawing>
          <wp:inline xmlns:a="http://schemas.openxmlformats.org/drawingml/2006/main" xmlns:pic="http://schemas.openxmlformats.org/drawingml/2006/picture">
            <wp:extent cx="5580000" cy="3875000"/>
            <wp:docPr id="2" name="Picture 2"/>
            <wp:cNvGraphicFramePr>
              <a:graphicFrameLocks noChangeAspect="1"/>
            </wp:cNvGraphicFramePr>
            <a:graphic>
              <a:graphicData uri="http://schemas.openxmlformats.org/drawingml/2006/picture">
                <pic:pic>
                  <pic:nvPicPr>
                    <pic:cNvPr id="0" name="05-tenaga-kerja.jpg"/>
                    <pic:cNvPicPr/>
                  </pic:nvPicPr>
                  <pic:blipFill>
                    <a:blip r:embed="rId10"/>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2. Dashboard tenaga kerja dengan pembedaan cakupan DKI dan nasional. Sumber: https://dispar.rantai.dev/dashboard/tenaga-kerja; tangkapan layar 2 Oktober 2026.</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Rencana Oktober adalah melengkapi data yang masih kosong, menyelaraskan definisi dan periode indikator, menindaklanjuti temuan mutu, serta menguji kemampuan operasional dan analitis yang belum memiliki bukti memadai. Pengembangan platform AI-Data diteruskan dengan menjaga keterlacakan angka sampai sumbernya. Data parsial, inventori usaha, dan hasil uji pengumpulan data tidak dipakai sebagai pengganti statistik resmi yang belum tersedia.</w:t>
      </w:r>
    </w:p>
    <w:p>
      <w:pPr>
        <w:spacing w:after="120" w:before="0" w:line="276" w:lineRule="auto"/>
        <w:jc w:val="both"/>
      </w:pPr>
      <w:r>
        <w:rPr>
          <w:rFonts w:ascii="Arial" w:hAnsi="Arial"/>
          <w:b w:val="0"/>
          <w:i w:val="0"/>
          <w:color w:val="1A1A1A"/>
          <w:sz w:val="22"/>
        </w:rPr>
        <w:t>Pada Oktober, MDM Specialist perlu menyepakati definisi dan pemilik indikator yang masih kosong, menindaklanjuti kolom gagal konversi, serta menyiapkan penyimpanan riwayat karantina agar kondisi akhir bulan dapat ditelusuri.</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Konsistensi definisi dan periode menjadi pengendalian utama dalam pengembangan September. Riwayat mutu mendukung penelaahan, sedangkan keterbatasan snapshot karantina perlu ditutup pada tahap berikutnya.</w:t>
      </w:r>
    </w:p>
    <w:p>
      <w:pPr>
        <w:spacing w:after="120"/>
      </w:pPr>
    </w:p>
    <w:tbl>
      <w:tblPr>
        <w:tblW w:type="auto" w:w="0"/>
        <w:tblLook w:firstColumn="1" w:firstRow="1" w:lastColumn="0" w:lastRow="0" w:noHBand="0" w:noVBand="1" w:val="04A0"/>
      </w:tblPr>
      <w:tblGrid>
        <w:gridCol w:w="4788"/>
        <w:gridCol w:w="4788"/>
      </w:tblGrid>
      <w:tr>
        <w:trPr>
          <w:cantSplit/>
        </w:trPr>
        <w:tc>
          <w:tcPr>
            <w:tcW w:type="dxa" w:w="4788"/>
          </w:tcPr>
          <w:p>
            <w:pPr>
              <w:keepNext/>
              <w:jc w:val="center"/>
            </w:pPr>
            <w:r/>
            <w:r>
              <w:rPr>
                <w:rFonts w:ascii="Arial" w:hAnsi="Arial"/>
                <w:b w:val="0"/>
                <w:color w:val="1A1A1A"/>
                <w:sz w:val="21"/>
              </w:rPr>
              <w:t>Mengetahui,</w:t>
              <w:br/>
              <w:t>Pejabat Pembuat Komitmen</w:t>
            </w:r>
          </w:p>
        </w:tc>
        <w:tc>
          <w:tcPr>
            <w:tcW w:type="dxa" w:w="4788"/>
          </w:tcPr>
          <w:p>
            <w:pPr>
              <w:keepNext/>
              <w:jc w:val="center"/>
            </w:pPr>
            <w:r/>
            <w:r>
              <w:rPr>
                <w:rFonts w:ascii="Arial" w:hAnsi="Arial"/>
                <w:b w:val="0"/>
                <w:color w:val="1A1A1A"/>
                <w:sz w:val="21"/>
              </w:rPr>
              <w:t>Jakarta, ......................... 2026</w:t>
              <w:br/>
              <w:t>Tenaga Ahli yang bersangkutan</w:t>
            </w: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jc w:val="center"/>
            </w:pPr>
            <w:r/>
            <w:r>
              <w:rPr>
                <w:rFonts w:ascii="Arial" w:hAnsi="Arial"/>
                <w:b/>
                <w:color w:val="1A1A1A"/>
                <w:sz w:val="21"/>
              </w:rPr>
              <w:t>(  Bima Agung  )</w:t>
            </w:r>
          </w:p>
        </w:tc>
        <w:tc>
          <w:tcPr>
            <w:tcW w:type="dxa" w:w="4788"/>
          </w:tcPr>
          <w:p>
            <w:pPr>
              <w:keepNext/>
              <w:jc w:val="center"/>
            </w:pPr>
            <w:r/>
            <w:r>
              <w:rPr>
                <w:rFonts w:ascii="Arial" w:hAnsi="Arial"/>
                <w:b/>
                <w:color w:val="1A1A1A"/>
                <w:sz w:val="21"/>
              </w:rPr>
              <w:t>(  [Nama Tenaga Ahli]  )</w:t>
            </w:r>
          </w:p>
        </w:tc>
      </w:tr>
      <w:tr>
        <w:trPr>
          <w:cantSplit/>
        </w:trPr>
        <w:tc>
          <w:tcPr>
            <w:tcW w:type="dxa" w:w="4788"/>
          </w:tcPr>
          <w:p>
            <w:pPr>
              <w:keepNext/>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Master Data Management (MDM) Specialist (Senior)</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