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Analyst (Intermediate)</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Data Analyst memusatkan bulan keempat pada penyiapan rekap indikator yang dapat dibandingkan secara benar. Fokusnya adalah kunjungan wisatawan mancanegara, perjalanan wisatawan nusantara, dan tenaga kerja ekonomi kreatif dengan tahun data yang dinyatakan eksplisit.</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Menyiapkan dataset untuk pelaporan dan visualisasi sesuai kebutuhan Dinas;</w:t>
      </w:r>
    </w:p>
    <w:p>
      <w:pPr>
        <w:spacing w:after="60" w:line="269" w:lineRule="auto"/>
        <w:ind w:left="510"/>
      </w:pPr>
      <w:r>
        <w:rPr>
          <w:rFonts w:ascii="Arial" w:hAnsi="Arial"/>
          <w:b/>
          <w:sz w:val="22"/>
        </w:rPr>
        <w:t xml:space="preserve">b.  </w:t>
      </w:r>
      <w:r>
        <w:rPr>
          <w:rFonts w:ascii="Arial" w:hAnsi="Arial"/>
          <w:color w:val="1A1A1A"/>
          <w:sz w:val="22"/>
        </w:rPr>
        <w:t>Menyusun laporan rutin (bulanan, triwulanan, tahunan) dan laporan ad-hoc yang relevan;</w:t>
      </w:r>
    </w:p>
    <w:p>
      <w:pPr>
        <w:spacing w:after="60" w:line="269" w:lineRule="auto"/>
        <w:ind w:left="510"/>
      </w:pPr>
      <w:r>
        <w:rPr>
          <w:rFonts w:ascii="Arial" w:hAnsi="Arial"/>
          <w:b/>
          <w:sz w:val="22"/>
        </w:rPr>
        <w:t xml:space="preserve">c.  </w:t>
      </w:r>
      <w:r>
        <w:rPr>
          <w:rFonts w:ascii="Arial" w:hAnsi="Arial"/>
          <w:color w:val="1A1A1A"/>
          <w:sz w:val="22"/>
        </w:rPr>
        <w:t>Memastikan kualitas dan keakuratan data yang disajikan pada antarmuka pelaporan dan dashboard;</w:t>
      </w:r>
    </w:p>
    <w:p>
      <w:pPr>
        <w:spacing w:after="60" w:line="269" w:lineRule="auto"/>
        <w:ind w:left="510"/>
      </w:pPr>
      <w:r>
        <w:rPr>
          <w:rFonts w:ascii="Arial" w:hAnsi="Arial"/>
          <w:b/>
          <w:sz w:val="22"/>
        </w:rPr>
        <w:t xml:space="preserve">d.  </w:t>
      </w:r>
      <w:r>
        <w:rPr>
          <w:rFonts w:ascii="Arial" w:hAnsi="Arial"/>
          <w:color w:val="1A1A1A"/>
          <w:sz w:val="22"/>
        </w:rPr>
        <w:t>Berkolaborasi dengan pengguna data untuk memvalidasi kebutuhan informasi.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Rekap disusun dari kueri ke tampilan data bersih yang juga mendasari dashboard. Angka tahunan dipisahkan dari periode tahun berjalan; data wisman dalam mart lama yang berperiode 2014 tidak digunakan sebagai pengganti data terbaru.</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Dataset pelaporan dan visualisasi</w:t>
            </w:r>
          </w:p>
        </w:tc>
        <w:tc>
          <w:tcPr>
            <w:tcW w:type="dxa" w:w="5102"/>
          </w:tcPr>
          <w:p>
            <w:r/>
            <w:r>
              <w:rPr>
                <w:rFonts w:ascii="Arial" w:hAnsi="Arial"/>
                <w:b w:val="0"/>
                <w:color w:val="1A1A1A"/>
                <w:sz w:val="19"/>
              </w:rPr>
              <w:t>Menyiapkan pembacaan wisatawan nusantara menurut kota tujuan serta tenaga kerja ekonomi kreatif DKI dari sumber resmi yang ditambahkan pada September.</w:t>
            </w:r>
          </w:p>
        </w:tc>
      </w:tr>
      <w:tr>
        <w:trPr>
          <w:cantSplit/>
        </w:trPr>
        <w:tc>
          <w:tcPr>
            <w:tcW w:type="dxa" w:w="3742"/>
          </w:tcPr>
          <w:p>
            <w:r/>
            <w:r>
              <w:rPr>
                <w:rFonts w:ascii="Arial" w:hAnsi="Arial"/>
                <w:b w:val="0"/>
                <w:color w:val="1A1A1A"/>
                <w:sz w:val="19"/>
              </w:rPr>
              <w:t>Laporan indikator rutin</w:t>
            </w:r>
          </w:p>
        </w:tc>
        <w:tc>
          <w:tcPr>
            <w:tcW w:type="dxa" w:w="5102"/>
          </w:tcPr>
          <w:p>
            <w:r/>
            <w:r>
              <w:rPr>
                <w:rFonts w:ascii="Arial" w:hAnsi="Arial"/>
                <w:b w:val="0"/>
                <w:color w:val="1A1A1A"/>
                <w:sz w:val="19"/>
              </w:rPr>
              <w:t>Menyajikan rekap wisman tahunan dan tahun berjalan, perjalanan wisnus tahunan dan periode Januari–Mei, serta tenaga kerja DKI tahun terakhir yang tersedia.</w:t>
            </w:r>
          </w:p>
        </w:tc>
      </w:tr>
      <w:tr>
        <w:trPr>
          <w:cantSplit/>
        </w:trPr>
        <w:tc>
          <w:tcPr>
            <w:tcW w:type="dxa" w:w="3742"/>
          </w:tcPr>
          <w:p>
            <w:r/>
            <w:r>
              <w:rPr>
                <w:rFonts w:ascii="Arial" w:hAnsi="Arial"/>
                <w:b w:val="0"/>
                <w:color w:val="1A1A1A"/>
                <w:sz w:val="19"/>
              </w:rPr>
              <w:t>Ketepatan dan kualitas angka</w:t>
            </w:r>
          </w:p>
        </w:tc>
        <w:tc>
          <w:tcPr>
            <w:tcW w:type="dxa" w:w="5102"/>
          </w:tcPr>
          <w:p>
            <w:r/>
            <w:r>
              <w:rPr>
                <w:rFonts w:ascii="Arial" w:hAnsi="Arial"/>
                <w:b w:val="0"/>
                <w:color w:val="1A1A1A"/>
                <w:sz w:val="19"/>
              </w:rPr>
              <w:t>Memastikan total tenaga kerja memakai kategori Total tanpa menjumlahkannya kembali dengan rincian laki-laki dan perempuan. Jumlah perjalanan tidak diberi label orang unik.</w:t>
            </w:r>
          </w:p>
        </w:tc>
      </w:tr>
      <w:tr>
        <w:trPr>
          <w:cantSplit/>
        </w:trPr>
        <w:tc>
          <w:tcPr>
            <w:tcW w:type="dxa" w:w="3742"/>
          </w:tcPr>
          <w:p>
            <w:r/>
            <w:r>
              <w:rPr>
                <w:rFonts w:ascii="Arial" w:hAnsi="Arial"/>
                <w:b w:val="0"/>
                <w:color w:val="1A1A1A"/>
                <w:sz w:val="19"/>
              </w:rPr>
              <w:t>Validasi kebutuhan informasi</w:t>
            </w:r>
          </w:p>
        </w:tc>
        <w:tc>
          <w:tcPr>
            <w:tcW w:type="dxa" w:w="5102"/>
          </w:tcPr>
          <w:p>
            <w:r/>
            <w:r>
              <w:rPr>
                <w:rFonts w:ascii="Arial" w:hAnsi="Arial"/>
                <w:b w:val="0"/>
                <w:color w:val="1A1A1A"/>
                <w:sz w:val="19"/>
              </w:rPr>
              <w:t>Mencatat kebutuhan lama menginap non-bintang, rincian PDRB per wilayah, dan tenaga kerja per subsektor DKI yang masih belum tersedia pada halaman.</w:t>
            </w:r>
          </w:p>
        </w:tc>
      </w:tr>
      <w:tr>
        <w:trPr>
          <w:cantSplit/>
        </w:trPr>
        <w:tc>
          <w:tcPr>
            <w:tcW w:type="dxa" w:w="3742"/>
          </w:tcPr>
          <w:p>
            <w:r/>
            <w:r>
              <w:rPr>
                <w:rFonts w:ascii="Arial" w:hAnsi="Arial"/>
                <w:b w:val="0"/>
                <w:color w:val="1A1A1A"/>
                <w:sz w:val="19"/>
              </w:rPr>
              <w:t>Dokumentasi metodologi</w:t>
            </w:r>
          </w:p>
        </w:tc>
        <w:tc>
          <w:tcPr>
            <w:tcW w:type="dxa" w:w="5102"/>
          </w:tcPr>
          <w:p>
            <w:r/>
            <w:r>
              <w:rPr>
                <w:rFonts w:ascii="Arial" w:hAnsi="Arial"/>
                <w:b w:val="0"/>
                <w:color w:val="1A1A1A"/>
                <w:sz w:val="19"/>
              </w:rPr>
              <w:t>Menjaga rujukan metodologis mengenai satuan, periode, dan keterbandingan indikator agar ringkasan tidak mengubah makna sumber.</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Tabel rekap memuat periode data dan kueri sumber yang terverifikasi pada 2 Oktober. Bukti visual menunjukkan cara informasi itu disajikan pada dashboard.</w:t>
      </w:r>
    </w:p>
    <w:p>
      <w:pPr>
        <w:spacing w:after="60" w:before="80" w:line="276" w:lineRule="auto"/>
        <w:jc w:val="left"/>
      </w:pPr>
      <w:r>
        <w:rPr>
          <w:rFonts w:ascii="Arial" w:hAnsi="Arial"/>
          <w:b/>
          <w:i w:val="0"/>
          <w:color w:val="1A1A1A"/>
          <w:sz w:val="21"/>
        </w:rPr>
        <w:t>Rekap indikator terpilih dengan periode eksplisit: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18"/>
            <w:shd w:val="clear" w:color="auto" w:fill="d9d9d9"/>
          </w:tcPr>
          <w:p>
            <w:r/>
            <w:r>
              <w:rPr>
                <w:rFonts w:ascii="Arial" w:hAnsi="Arial"/>
                <w:b/>
                <w:color w:val="1A1A1A"/>
                <w:sz w:val="17"/>
              </w:rPr>
              <w:t>Indikator</w:t>
            </w:r>
          </w:p>
        </w:tc>
        <w:tc>
          <w:tcPr>
            <w:tcW w:type="dxa" w:w="2835"/>
            <w:shd w:val="clear" w:color="auto" w:fill="d9d9d9"/>
          </w:tcPr>
          <w:p>
            <w:r/>
            <w:r>
              <w:rPr>
                <w:rFonts w:ascii="Arial" w:hAnsi="Arial"/>
                <w:b/>
                <w:color w:val="1A1A1A"/>
                <w:sz w:val="17"/>
              </w:rPr>
              <w:t>Periode data</w:t>
            </w:r>
          </w:p>
        </w:tc>
        <w:tc>
          <w:tcPr>
            <w:tcW w:type="dxa" w:w="2891"/>
            <w:shd w:val="clear" w:color="auto" w:fill="d9d9d9"/>
          </w:tcPr>
          <w:p>
            <w:r/>
            <w:r>
              <w:rPr>
                <w:rFonts w:ascii="Arial" w:hAnsi="Arial"/>
                <w:b/>
                <w:color w:val="1A1A1A"/>
                <w:sz w:val="17"/>
              </w:rPr>
              <w:t>Jumlah</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2.754.220 kunjungan</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Januari–April 2026</w:t>
            </w:r>
          </w:p>
        </w:tc>
        <w:tc>
          <w:tcPr>
            <w:tcW w:type="dxa" w:w="2891"/>
          </w:tcPr>
          <w:p>
            <w:r/>
            <w:r>
              <w:rPr>
                <w:rFonts w:ascii="Arial" w:hAnsi="Arial"/>
                <w:b w:val="0"/>
                <w:color w:val="1A1A1A"/>
                <w:sz w:val="17"/>
              </w:rPr>
              <w:t>803.500 kunjungan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99.396.992 perjalanan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Januari–Mei 2026</w:t>
            </w:r>
          </w:p>
        </w:tc>
        <w:tc>
          <w:tcPr>
            <w:tcW w:type="dxa" w:w="2891"/>
          </w:tcPr>
          <w:p>
            <w:r/>
            <w:r>
              <w:rPr>
                <w:rFonts w:ascii="Arial" w:hAnsi="Arial"/>
                <w:b w:val="0"/>
                <w:color w:val="1A1A1A"/>
                <w:sz w:val="17"/>
              </w:rPr>
              <w:t>42.690.440 perjalanan</w:t>
            </w:r>
          </w:p>
        </w:tc>
      </w:tr>
      <w:tr>
        <w:trPr>
          <w:cantSplit/>
        </w:trPr>
        <w:tc>
          <w:tcPr>
            <w:tcW w:type="dxa" w:w="3118"/>
          </w:tcPr>
          <w:p>
            <w:r/>
            <w:r>
              <w:rPr>
                <w:rFonts w:ascii="Arial" w:hAnsi="Arial"/>
                <w:b w:val="0"/>
                <w:color w:val="1A1A1A"/>
                <w:sz w:val="17"/>
              </w:rPr>
              <w:t>Tenaga kerja ekonomi kreatif DKI</w:t>
            </w:r>
          </w:p>
        </w:tc>
        <w:tc>
          <w:tcPr>
            <w:tcW w:type="dxa" w:w="2835"/>
          </w:tcPr>
          <w:p>
            <w:r/>
            <w:r>
              <w:rPr>
                <w:rFonts w:ascii="Arial" w:hAnsi="Arial"/>
                <w:b w:val="0"/>
                <w:color w:val="1A1A1A"/>
                <w:sz w:val="17"/>
              </w:rPr>
              <w:t>2024; kategori Total</w:t>
            </w:r>
          </w:p>
        </w:tc>
        <w:tc>
          <w:tcPr>
            <w:tcW w:type="dxa" w:w="2891"/>
          </w:tcPr>
          <w:p>
            <w:r/>
            <w:r>
              <w:rPr>
                <w:rFonts w:ascii="Arial" w:hAnsi="Arial"/>
                <w:b w:val="0"/>
                <w:color w:val="1A1A1A"/>
                <w:sz w:val="17"/>
              </w:rPr>
              <w:t>1.257.285 orang</w:t>
            </w:r>
          </w:p>
        </w:tc>
      </w:tr>
    </w:tbl>
    <w:p>
      <w:pPr>
        <w:spacing w:after="40"/>
      </w:pPr>
    </w:p>
    <w:p>
      <w:pPr>
        <w:spacing w:after="160" w:before="0" w:line="276" w:lineRule="auto"/>
        <w:jc w:val="left"/>
      </w:pPr>
      <w:r>
        <w:rPr>
          <w:rFonts w:ascii="Arial" w:hAnsi="Arial"/>
          <w:b w:val="0"/>
          <w:i/>
          <w:color w:val="555555"/>
          <w:sz w:val="17"/>
        </w:rPr>
        <w:t>Sumber Q6: silver.wisman_jakarta_per_bulan, jumlah_kunjungan per tahun; Q7: silver.wisnus_perjalanan_per_kota_tujuan, jumlah_perjalanan per tahun; Q8: silver.tenaga_kerja_ekraf_per_provinsi, tahun 2024, kode_wilayah 31, jenis_kelamin Total. Dibaca 2 Oktober 2026. Angka bukan realisasi bulan September 2026.</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2-wisman.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Realisasi wisman dan keterangan cakupan tahun berjalan. Sumber: https://dispar.rantai.dev/dashboard/wisman; tangkapan layar 2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3-wisnus.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Rekap perjalanan wisata menurut kota tujuan. Sumber: https://dispar.rantai.dev/dashboard/wisnus; tangkapan layar 2 Oktober 2026.</w:t>
      </w:r>
    </w:p>
    <w:p>
      <w:pPr>
        <w:keepNext/>
        <w:spacing w:before="120" w:after="40"/>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05-tenaga-kerja.jpg"/>
                    <pic:cNvPicPr/>
                  </pic:nvPicPr>
                  <pic:blipFill>
                    <a:blip r:embed="rId1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3. Statistik tenaga kerja DKI dan keterangan batas rincian yang tersedia. Sumber: https://dispar.rantai.dev/dashboard/tenaga-kerja;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Data Analyst perlu menyelaraskan seri data yang berbeda periode, meminta rincian wilayah dan lama menginap yang belum tersedia, serta memeriksa kembali pembaruan angka sebelum menjadi bahan kebijakan. Perbandingan terhadap target tahunan harus memberi keterangan apabila realisasi masih parsial.</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Rekap September mengutamakan keterlacakan dan keterbandingan, sehingga pembaca mengetahui ukuran serta tahun data setiap angka. Kelengkapan sumber berikutnya menentukan perluasan analisis yang dapat dipertanggungjawabkan.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Analyst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