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Database Administrator (Senior)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Teknik Informatika/Ilmu Komputer/Sistem Informasi, pengalaman minimal 7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pengembangan platform lakehouse dengan Rantai Lake, yaitu konsol pengelolaan lakehouse yang sekaligus menjadi alat dashboarding — dashboard dapat disusun secara manual maupun melalui percakapan dengan asisten AI,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Database Administrator, tenaga ahli bertanggung jawab menyiapkan dan mengelola basis data statistik pariwisata pada infrastruktur mandiri Dinas — pada bulan ini berkembang menjadi lake house tiga lapis — menyusun struktur penyimpanan, menjaga kinerja kueri, serta menetapkan mekanisme pencadangan, pemulihan, dan pemeliharaan.</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Merancang struktur basis data statistik pariwisata pada platform Database (logical &amp; physical data model);</w:t>
      </w:r>
    </w:p>
    <w:p>
      <w:pPr>
        <w:spacing w:after="60" w:line="269" w:lineRule="auto"/>
        <w:ind w:left="510"/>
      </w:pPr>
      <w:r>
        <w:rPr>
          <w:rFonts w:ascii="Arial" w:hAnsi="Arial"/>
          <w:b/>
          <w:sz w:val="22"/>
        </w:rPr>
        <w:t xml:space="preserve">b.  </w:t>
      </w:r>
      <w:r>
        <w:rPr>
          <w:rFonts w:ascii="Arial" w:hAnsi="Arial"/>
          <w:color w:val="1A1A1A"/>
          <w:sz w:val="22"/>
        </w:rPr>
        <w:t>Menyusun skema tabel, indeks, constraint, view, dan partisi sesuai kebutuhan analitik;</w:t>
      </w:r>
    </w:p>
    <w:p>
      <w:pPr>
        <w:spacing w:after="60" w:line="269" w:lineRule="auto"/>
        <w:ind w:left="510"/>
      </w:pPr>
      <w:r>
        <w:rPr>
          <w:rFonts w:ascii="Arial" w:hAnsi="Arial"/>
          <w:b/>
          <w:sz w:val="22"/>
        </w:rPr>
        <w:t xml:space="preserve">c.  </w:t>
      </w:r>
      <w:r>
        <w:rPr>
          <w:rFonts w:ascii="Arial" w:hAnsi="Arial"/>
          <w:color w:val="1A1A1A"/>
          <w:sz w:val="22"/>
        </w:rPr>
        <w:t>Melaksanakan loading data hasil pengumpulan, pembersihan, dan validasi ke dalam Database;</w:t>
      </w:r>
    </w:p>
    <w:p>
      <w:pPr>
        <w:spacing w:after="60" w:line="269" w:lineRule="auto"/>
        <w:ind w:left="510"/>
      </w:pPr>
      <w:r>
        <w:rPr>
          <w:rFonts w:ascii="Arial" w:hAnsi="Arial"/>
          <w:b/>
          <w:sz w:val="22"/>
        </w:rPr>
        <w:t xml:space="preserve">d.  </w:t>
      </w:r>
      <w:r>
        <w:rPr>
          <w:rFonts w:ascii="Arial" w:hAnsi="Arial"/>
          <w:color w:val="1A1A1A"/>
          <w:sz w:val="22"/>
        </w:rPr>
        <w:t>Melakukan optimasi kinerja basis data (query tuning, indexing, statistik, partitioning);</w:t>
      </w:r>
    </w:p>
    <w:p>
      <w:pPr>
        <w:spacing w:after="60" w:line="269" w:lineRule="auto"/>
        <w:ind w:left="510"/>
      </w:pPr>
      <w:r>
        <w:rPr>
          <w:rFonts w:ascii="Arial" w:hAnsi="Arial"/>
          <w:b/>
          <w:sz w:val="22"/>
        </w:rPr>
        <w:t xml:space="preserve">e.  </w:t>
      </w:r>
      <w:r>
        <w:rPr>
          <w:rFonts w:ascii="Arial" w:hAnsi="Arial"/>
          <w:color w:val="1A1A1A"/>
          <w:sz w:val="22"/>
        </w:rPr>
        <w:t>Menyusun tata kelola akses dan keamanan basis data (role, privilege, audit trail);</w:t>
      </w:r>
    </w:p>
    <w:p>
      <w:pPr>
        <w:spacing w:after="60" w:line="269" w:lineRule="auto"/>
        <w:ind w:left="510"/>
      </w:pPr>
      <w:r>
        <w:rPr>
          <w:rFonts w:ascii="Arial" w:hAnsi="Arial"/>
          <w:b/>
          <w:sz w:val="22"/>
        </w:rPr>
        <w:t xml:space="preserve">f.  </w:t>
      </w:r>
      <w:r>
        <w:rPr>
          <w:rFonts w:ascii="Arial" w:hAnsi="Arial"/>
          <w:color w:val="1A1A1A"/>
          <w:sz w:val="22"/>
        </w:rPr>
        <w:t>Menyusun pedoman backup, recovery, dan pemeliharaan basis data;</w:t>
      </w:r>
    </w:p>
    <w:p>
      <w:pPr>
        <w:spacing w:after="60" w:line="269" w:lineRule="auto"/>
        <w:ind w:left="510"/>
      </w:pPr>
      <w:r>
        <w:rPr>
          <w:rFonts w:ascii="Arial" w:hAnsi="Arial"/>
          <w:b/>
          <w:sz w:val="22"/>
        </w:rPr>
        <w:t xml:space="preserve">g.  </w:t>
      </w:r>
      <w:r>
        <w:rPr>
          <w:rFonts w:ascii="Arial" w:hAnsi="Arial"/>
          <w:color w:val="1A1A1A"/>
          <w:sz w:val="22"/>
        </w:rPr>
        <w:t>Mendokumentasikan basis data (ERD, kamus tabel, panduan operasional).</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membangun lake house data pariwisata di atas server Dinas: data mentah disimpan dalam format terbuka pada object storage, dibaca oleh satu mesin analitik yang sekaligus menyajikan tabel agregat untuk dashboard. Struktur ini menjawab kebutuhan agar data tetap dapat dipindahkan ke basis data lain di kemudian hari tanpa memindahkan isinya.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Perancangan struktur data tiga lapis</w:t>
            </w:r>
          </w:p>
        </w:tc>
        <w:tc>
          <w:tcPr>
            <w:tcW w:type="dxa" w:w="5102"/>
          </w:tcPr>
          <w:p>
            <w:r/>
            <w:r>
              <w:rPr>
                <w:rFonts w:ascii="Arial" w:hAnsi="Arial"/>
                <w:b w:val="0"/>
                <w:color w:val="1A1A1A"/>
                <w:sz w:val="19"/>
              </w:rPr>
              <w:t>Merancang dan menerapkan lapisan Bronze (mentah, format terbuka Apache Iceberg, lengkap kolom audit: waktu penarikan, sumber, nomor batch, sidik jari baris), Silver (bersih &amp; bertipe), dan Gold (agregat penyaji dashboard).</w:t>
            </w:r>
          </w:p>
        </w:tc>
      </w:tr>
      <w:tr>
        <w:tc>
          <w:tcPr>
            <w:tcW w:type="dxa" w:w="3742"/>
          </w:tcPr>
          <w:p>
            <w:r/>
            <w:r>
              <w:rPr>
                <w:rFonts w:ascii="Arial" w:hAnsi="Arial"/>
                <w:b w:val="0"/>
                <w:color w:val="1A1A1A"/>
                <w:sz w:val="19"/>
              </w:rPr>
              <w:t>Skema tabel, view &amp; tabel agregat</w:t>
            </w:r>
          </w:p>
        </w:tc>
        <w:tc>
          <w:tcPr>
            <w:tcW w:type="dxa" w:w="5102"/>
          </w:tcPr>
          <w:p>
            <w:r/>
            <w:r>
              <w:rPr>
                <w:rFonts w:ascii="Arial" w:hAnsi="Arial"/>
                <w:b w:val="0"/>
                <w:color w:val="1A1A1A"/>
                <w:sz w:val="19"/>
              </w:rPr>
              <w:t>Menyusun 225 tabel mentah, 224 view bersih hasil inferensi tipe otomatis dengan ambang konversi 95%, serta 6 tabel mart penyaji; pemutakhiran mart memakai pola tabel-bayangan lalu ditukar secara atomik agar dashboard tidak pernah membaca tabel setengah jadi.</w:t>
            </w:r>
          </w:p>
        </w:tc>
      </w:tr>
      <w:tr>
        <w:tc>
          <w:tcPr>
            <w:tcW w:type="dxa" w:w="3742"/>
          </w:tcPr>
          <w:p>
            <w:r/>
            <w:r>
              <w:rPr>
                <w:rFonts w:ascii="Arial" w:hAnsi="Arial"/>
                <w:b w:val="0"/>
                <w:color w:val="1A1A1A"/>
                <w:sz w:val="19"/>
              </w:rPr>
              <w:t>Loading data terkurasi &amp; tervalidasi</w:t>
            </w:r>
          </w:p>
        </w:tc>
        <w:tc>
          <w:tcPr>
            <w:tcW w:type="dxa" w:w="5102"/>
          </w:tcPr>
          <w:p>
            <w:r/>
            <w:r>
              <w:rPr>
                <w:rFonts w:ascii="Arial" w:hAnsi="Arial"/>
                <w:b w:val="0"/>
                <w:color w:val="1A1A1A"/>
                <w:sz w:val="19"/>
              </w:rPr>
              <w:t>Menjalankan pemuatan harian terjadwal (pukul 02.00) untuk seluruh dataset Satu Data Jakarta dan berkas pendataan lapangan; seluruh proses idempoten sehingga pengulangan tidak menimbulkan duplikasi.</w:t>
            </w:r>
          </w:p>
        </w:tc>
      </w:tr>
      <w:tr>
        <w:tc>
          <w:tcPr>
            <w:tcW w:type="dxa" w:w="3742"/>
          </w:tcPr>
          <w:p>
            <w:r/>
            <w:r>
              <w:rPr>
                <w:rFonts w:ascii="Arial" w:hAnsi="Arial"/>
                <w:b w:val="0"/>
                <w:color w:val="1A1A1A"/>
                <w:sz w:val="19"/>
              </w:rPr>
              <w:t>Optimasi kinerja</w:t>
            </w:r>
          </w:p>
        </w:tc>
        <w:tc>
          <w:tcPr>
            <w:tcW w:type="dxa" w:w="5102"/>
          </w:tcPr>
          <w:p>
            <w:r/>
            <w:r>
              <w:rPr>
                <w:rFonts w:ascii="Arial" w:hAnsi="Arial"/>
                <w:b w:val="0"/>
                <w:color w:val="1A1A1A"/>
                <w:sz w:val="19"/>
              </w:rPr>
              <w:t>Menyetel mesin analitik agar dashboard membaca tabel agregat (bukan menghitung ulang dari data mentah); hasil pemantauan menunjukkan waktu respons kueri persentil-95 sebesar 210 ms dengan tingkat kesalahan kueri 0%.</w:t>
            </w:r>
          </w:p>
        </w:tc>
      </w:tr>
      <w:tr>
        <w:tc>
          <w:tcPr>
            <w:tcW w:type="dxa" w:w="3742"/>
          </w:tcPr>
          <w:p>
            <w:r/>
            <w:r>
              <w:rPr>
                <w:rFonts w:ascii="Arial" w:hAnsi="Arial"/>
                <w:b w:val="0"/>
                <w:color w:val="1A1A1A"/>
                <w:sz w:val="19"/>
              </w:rPr>
              <w:t>Tata kelola akses &amp; keamanan</w:t>
            </w:r>
          </w:p>
        </w:tc>
        <w:tc>
          <w:tcPr>
            <w:tcW w:type="dxa" w:w="5102"/>
          </w:tcPr>
          <w:p>
            <w:r/>
            <w:r>
              <w:rPr>
                <w:rFonts w:ascii="Arial" w:hAnsi="Arial"/>
                <w:b w:val="0"/>
                <w:color w:val="1A1A1A"/>
                <w:sz w:val="19"/>
              </w:rPr>
              <w:t>Memisahkan pengguna basis data untuk aplikasi (hanya baca, terbatas pada lapisan penyaji) dan untuk operator; seluruh kredensial dipindahkan ke variabel lingkungan container dan tidak lagi tertulis di dalam kode.</w:t>
            </w:r>
          </w:p>
        </w:tc>
      </w:tr>
      <w:tr>
        <w:tc>
          <w:tcPr>
            <w:tcW w:type="dxa" w:w="3742"/>
          </w:tcPr>
          <w:p>
            <w:r/>
            <w:r>
              <w:rPr>
                <w:rFonts w:ascii="Arial" w:hAnsi="Arial"/>
                <w:b w:val="0"/>
                <w:color w:val="1A1A1A"/>
                <w:sz w:val="19"/>
              </w:rPr>
              <w:t>Backup, recovery &amp; pemeliharaan</w:t>
            </w:r>
          </w:p>
        </w:tc>
        <w:tc>
          <w:tcPr>
            <w:tcW w:type="dxa" w:w="5102"/>
          </w:tcPr>
          <w:p>
            <w:r/>
            <w:r>
              <w:rPr>
                <w:rFonts w:ascii="Arial" w:hAnsi="Arial"/>
                <w:b w:val="0"/>
                <w:color w:val="1A1A1A"/>
                <w:sz w:val="19"/>
              </w:rPr>
              <w:t>Menyiapkan pencadangan harian pukul 04.00 (salinan inkremental bucket data ke bucket cadangan, dapat diarahkan ke penyimpanan terpisah), prosedur pemulihan per tanggal, serta pemeliharaan berkala berupa penghapusan snapshot lama (retensi 7 hari) agar metadata dan penyimpanan tidak membengkak.</w:t>
            </w:r>
          </w:p>
        </w:tc>
      </w:tr>
      <w:tr>
        <w:tc>
          <w:tcPr>
            <w:tcW w:type="dxa" w:w="3742"/>
          </w:tcPr>
          <w:p>
            <w:r/>
            <w:r>
              <w:rPr>
                <w:rFonts w:ascii="Arial" w:hAnsi="Arial"/>
                <w:b w:val="0"/>
                <w:color w:val="1A1A1A"/>
                <w:sz w:val="19"/>
              </w:rPr>
              <w:t>Dokumentasi</w:t>
            </w:r>
          </w:p>
        </w:tc>
        <w:tc>
          <w:tcPr>
            <w:tcW w:type="dxa" w:w="5102"/>
          </w:tcPr>
          <w:p>
            <w:r/>
            <w:r>
              <w:rPr>
                <w:rFonts w:ascii="Arial" w:hAnsi="Arial"/>
                <w:b w:val="0"/>
                <w:color w:val="1A1A1A"/>
                <w:sz w:val="19"/>
              </w:rPr>
              <w:t>Menyusun dokumen operasional lake house (cara menjalankan dari nol, lapisan data, jadwal, prosedur pencadangan/pemulihan) yang disimpan bersama kode.</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struktur lake house yang berjalan, isi lapisan penyaji, dan hasil pemantauan kinerja.</w:t>
      </w:r>
    </w:p>
    <w:p>
      <w:pPr>
        <w:spacing w:after="60" w:before="80" w:line="276" w:lineRule="auto"/>
        <w:jc w:val="left"/>
      </w:pPr>
      <w:r>
        <w:rPr>
          <w:rFonts w:ascii="Arial" w:hAnsi="Arial"/>
          <w:b/>
          <w:i w:val="0"/>
          <w:color w:val="1A1A1A"/>
          <w:sz w:val="21"/>
        </w:rPr>
        <w:t>Struktur penyimpanan lake house per 26 Agustus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c>
          <w:tcPr>
            <w:tcW w:type="dxa" w:w="1701"/>
            <w:shd w:val="clear" w:color="auto" w:fill="d9d9d9"/>
          </w:tcPr>
          <w:p>
            <w:r/>
            <w:r>
              <w:rPr>
                <w:rFonts w:ascii="Arial" w:hAnsi="Arial"/>
                <w:b/>
                <w:color w:val="1A1A1A"/>
                <w:sz w:val="17"/>
              </w:rPr>
              <w:t>Lapisan</w:t>
            </w:r>
          </w:p>
        </w:tc>
        <w:tc>
          <w:tcPr>
            <w:tcW w:type="dxa" w:w="2381"/>
            <w:shd w:val="clear" w:color="auto" w:fill="d9d9d9"/>
          </w:tcPr>
          <w:p>
            <w:r/>
            <w:r>
              <w:rPr>
                <w:rFonts w:ascii="Arial" w:hAnsi="Arial"/>
                <w:b/>
                <w:color w:val="1A1A1A"/>
                <w:sz w:val="17"/>
              </w:rPr>
              <w:t>Bentuk penyimpanan</w:t>
            </w:r>
          </w:p>
        </w:tc>
        <w:tc>
          <w:tcPr>
            <w:tcW w:type="dxa" w:w="3628"/>
            <w:shd w:val="clear" w:color="auto" w:fill="d9d9d9"/>
          </w:tcPr>
          <w:p>
            <w:r/>
            <w:r>
              <w:rPr>
                <w:rFonts w:ascii="Arial" w:hAnsi="Arial"/>
                <w:b/>
                <w:color w:val="1A1A1A"/>
                <w:sz w:val="17"/>
              </w:rPr>
              <w:t>Isi</w:t>
            </w:r>
          </w:p>
        </w:tc>
        <w:tc>
          <w:tcPr>
            <w:tcW w:type="dxa" w:w="1134"/>
            <w:shd w:val="clear" w:color="auto" w:fill="d9d9d9"/>
          </w:tcPr>
          <w:p>
            <w:r/>
            <w:r>
              <w:rPr>
                <w:rFonts w:ascii="Arial" w:hAnsi="Arial"/>
                <w:b/>
                <w:color w:val="1A1A1A"/>
                <w:sz w:val="17"/>
              </w:rPr>
              <w:t>Jumlah</w:t>
            </w:r>
          </w:p>
        </w:tc>
      </w:tr>
      <w:tr>
        <w:tc>
          <w:tcPr>
            <w:tcW w:type="dxa" w:w="1701"/>
          </w:tcPr>
          <w:p>
            <w:r/>
            <w:r>
              <w:rPr>
                <w:rFonts w:ascii="Arial" w:hAnsi="Arial"/>
                <w:b w:val="0"/>
                <w:color w:val="1A1A1A"/>
                <w:sz w:val="17"/>
              </w:rPr>
              <w:t>Bronze (mentah)</w:t>
            </w:r>
          </w:p>
        </w:tc>
        <w:tc>
          <w:tcPr>
            <w:tcW w:type="dxa" w:w="2381"/>
          </w:tcPr>
          <w:p>
            <w:r/>
            <w:r>
              <w:rPr>
                <w:rFonts w:ascii="Arial" w:hAnsi="Arial"/>
                <w:b w:val="0"/>
                <w:color w:val="1A1A1A"/>
                <w:sz w:val="17"/>
              </w:rPr>
              <w:t>Apache Iceberg di object storage</w:t>
            </w:r>
          </w:p>
        </w:tc>
        <w:tc>
          <w:tcPr>
            <w:tcW w:type="dxa" w:w="3628"/>
          </w:tcPr>
          <w:p>
            <w:r/>
            <w:r>
              <w:rPr>
                <w:rFonts w:ascii="Arial" w:hAnsi="Arial"/>
                <w:b w:val="0"/>
                <w:color w:val="1A1A1A"/>
                <w:sz w:val="17"/>
              </w:rPr>
              <w:t>Salinan apa adanya dataset SDI + berkas pendataan lapangan, lengkap kolom audit (waktu tarik, sumber, batch)</w:t>
            </w:r>
          </w:p>
        </w:tc>
        <w:tc>
          <w:tcPr>
            <w:tcW w:type="dxa" w:w="1134"/>
          </w:tcPr>
          <w:p>
            <w:r/>
            <w:r>
              <w:rPr>
                <w:rFonts w:ascii="Arial" w:hAnsi="Arial"/>
                <w:b w:val="0"/>
                <w:color w:val="1A1A1A"/>
                <w:sz w:val="17"/>
              </w:rPr>
              <w:t>225 tabel</w:t>
            </w:r>
          </w:p>
        </w:tc>
      </w:tr>
      <w:tr>
        <w:tc>
          <w:tcPr>
            <w:tcW w:type="dxa" w:w="1701"/>
          </w:tcPr>
          <w:p>
            <w:r/>
            <w:r>
              <w:rPr>
                <w:rFonts w:ascii="Arial" w:hAnsi="Arial"/>
                <w:b w:val="0"/>
                <w:color w:val="1A1A1A"/>
                <w:sz w:val="17"/>
              </w:rPr>
              <w:t>Silver (bersih)</w:t>
            </w:r>
          </w:p>
        </w:tc>
        <w:tc>
          <w:tcPr>
            <w:tcW w:type="dxa" w:w="2381"/>
          </w:tcPr>
          <w:p>
            <w:r/>
            <w:r>
              <w:rPr>
                <w:rFonts w:ascii="Arial" w:hAnsi="Arial"/>
                <w:b w:val="0"/>
                <w:color w:val="1A1A1A"/>
                <w:sz w:val="17"/>
              </w:rPr>
              <w:t>View bertipe di ClickHouse</w:t>
            </w:r>
          </w:p>
        </w:tc>
        <w:tc>
          <w:tcPr>
            <w:tcW w:type="dxa" w:w="3628"/>
          </w:tcPr>
          <w:p>
            <w:r/>
            <w:r>
              <w:rPr>
                <w:rFonts w:ascii="Arial" w:hAnsi="Arial"/>
                <w:b w:val="0"/>
                <w:color w:val="1A1A1A"/>
                <w:sz w:val="17"/>
              </w:rPr>
              <w:t>Kolom sudah bertipe (angka/tanggal/teks bersih) + dimensi bersama (negara, bulan)</w:t>
            </w:r>
          </w:p>
        </w:tc>
        <w:tc>
          <w:tcPr>
            <w:tcW w:type="dxa" w:w="1134"/>
          </w:tcPr>
          <w:p>
            <w:r/>
            <w:r>
              <w:rPr>
                <w:rFonts w:ascii="Arial" w:hAnsi="Arial"/>
                <w:b w:val="0"/>
                <w:color w:val="1A1A1A"/>
                <w:sz w:val="17"/>
              </w:rPr>
              <w:t>224 view</w:t>
            </w:r>
          </w:p>
        </w:tc>
      </w:tr>
      <w:tr>
        <w:tc>
          <w:tcPr>
            <w:tcW w:type="dxa" w:w="1701"/>
          </w:tcPr>
          <w:p>
            <w:r/>
            <w:r>
              <w:rPr>
                <w:rFonts w:ascii="Arial" w:hAnsi="Arial"/>
                <w:b w:val="0"/>
                <w:color w:val="1A1A1A"/>
                <w:sz w:val="17"/>
              </w:rPr>
              <w:t>Gold (penyaji)</w:t>
            </w:r>
          </w:p>
        </w:tc>
        <w:tc>
          <w:tcPr>
            <w:tcW w:type="dxa" w:w="2381"/>
          </w:tcPr>
          <w:p>
            <w:r/>
            <w:r>
              <w:rPr>
                <w:rFonts w:ascii="Arial" w:hAnsi="Arial"/>
                <w:b w:val="0"/>
                <w:color w:val="1A1A1A"/>
                <w:sz w:val="17"/>
              </w:rPr>
              <w:t>Tabel agregat ClickHouse</w:t>
            </w:r>
          </w:p>
        </w:tc>
        <w:tc>
          <w:tcPr>
            <w:tcW w:type="dxa" w:w="3628"/>
          </w:tcPr>
          <w:p>
            <w:r/>
            <w:r>
              <w:rPr>
                <w:rFonts w:ascii="Arial" w:hAnsi="Arial"/>
                <w:b w:val="0"/>
                <w:color w:val="1A1A1A"/>
                <w:sz w:val="17"/>
              </w:rPr>
              <w:t>Mart siap dashboard: wisman, kuliner, event, atlas, kesiapan GCI, kunjungan DTW</w:t>
            </w:r>
          </w:p>
        </w:tc>
        <w:tc>
          <w:tcPr>
            <w:tcW w:type="dxa" w:w="1134"/>
          </w:tcPr>
          <w:p>
            <w:r/>
            <w:r>
              <w:rPr>
                <w:rFonts w:ascii="Arial" w:hAnsi="Arial"/>
                <w:b w:val="0"/>
                <w:color w:val="1A1A1A"/>
                <w:sz w:val="17"/>
              </w:rPr>
              <w:t>6 mart</w:t>
            </w:r>
          </w:p>
        </w:tc>
      </w:tr>
    </w:tbl>
    <w:p>
      <w:pPr>
        <w:spacing w:after="40"/>
      </w:pPr>
    </w:p>
    <w:p>
      <w:pPr>
        <w:spacing w:after="160" w:before="0" w:line="276" w:lineRule="auto"/>
        <w:jc w:val="left"/>
      </w:pPr>
      <w:r>
        <w:rPr>
          <w:rFonts w:ascii="Arial" w:hAnsi="Arial"/>
          <w:b w:val="0"/>
          <w:i/>
          <w:color w:val="555555"/>
          <w:sz w:val="17"/>
        </w:rPr>
        <w:t>Sumber: lakehouse Dinas per 26 Agustus 2026. Bronze menyimpan data mentah dalam format terbuka (Apache Iceberg) sehingga tidak terkunci pada satu mesin basis data.</w:t>
      </w:r>
    </w:p>
    <w:p>
      <w:pPr>
        <w:spacing w:after="60" w:before="80" w:line="276" w:lineRule="auto"/>
        <w:jc w:val="left"/>
      </w:pPr>
      <w:r>
        <w:rPr>
          <w:rFonts w:ascii="Arial" w:hAnsi="Arial"/>
          <w:b/>
          <w:i w:val="0"/>
          <w:color w:val="1A1A1A"/>
          <w:sz w:val="21"/>
        </w:rPr>
        <w:t>Isi lapisan penyaji (Gold) yang dibaca dashboard:</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92"/>
        <w:gridCol w:w="3192"/>
        <w:gridCol w:w="3192"/>
      </w:tblGrid>
      <w:tr>
        <w:tc>
          <w:tcPr>
            <w:tcW w:type="dxa" w:w="2835"/>
            <w:shd w:val="clear" w:color="auto" w:fill="d9d9d9"/>
          </w:tcPr>
          <w:p>
            <w:r/>
            <w:r>
              <w:rPr>
                <w:rFonts w:ascii="Arial" w:hAnsi="Arial"/>
                <w:b/>
                <w:color w:val="1A1A1A"/>
                <w:sz w:val="17"/>
              </w:rPr>
              <w:t>Mart Gold</w:t>
            </w:r>
          </w:p>
        </w:tc>
        <w:tc>
          <w:tcPr>
            <w:tcW w:type="dxa" w:w="4649"/>
            <w:shd w:val="clear" w:color="auto" w:fill="d9d9d9"/>
          </w:tcPr>
          <w:p>
            <w:r/>
            <w:r>
              <w:rPr>
                <w:rFonts w:ascii="Arial" w:hAnsi="Arial"/>
                <w:b/>
                <w:color w:val="1A1A1A"/>
                <w:sz w:val="17"/>
              </w:rPr>
              <w:t>Isi</w:t>
            </w:r>
          </w:p>
        </w:tc>
        <w:tc>
          <w:tcPr>
            <w:tcW w:type="dxa" w:w="1361"/>
            <w:shd w:val="clear" w:color="auto" w:fill="d9d9d9"/>
          </w:tcPr>
          <w:p>
            <w:r/>
            <w:r>
              <w:rPr>
                <w:rFonts w:ascii="Arial" w:hAnsi="Arial"/>
                <w:b/>
                <w:color w:val="1A1A1A"/>
                <w:sz w:val="17"/>
              </w:rPr>
              <w:t>Baris</w:t>
            </w:r>
          </w:p>
        </w:tc>
      </w:tr>
      <w:tr>
        <w:tc>
          <w:tcPr>
            <w:tcW w:type="dxa" w:w="2835"/>
          </w:tcPr>
          <w:p>
            <w:r/>
            <w:r>
              <w:rPr>
                <w:rFonts w:ascii="Arial" w:hAnsi="Arial"/>
                <w:b w:val="0"/>
                <w:color w:val="1A1A1A"/>
                <w:sz w:val="17"/>
              </w:rPr>
              <w:t>serving.mart_wisman</w:t>
            </w:r>
          </w:p>
        </w:tc>
        <w:tc>
          <w:tcPr>
            <w:tcW w:type="dxa" w:w="4649"/>
          </w:tcPr>
          <w:p>
            <w:r/>
            <w:r>
              <w:rPr>
                <w:rFonts w:ascii="Arial" w:hAnsi="Arial"/>
                <w:b w:val="0"/>
                <w:color w:val="1A1A1A"/>
                <w:sz w:val="17"/>
              </w:rPr>
              <w:t>Wisatawan mancanegara per bulan / negara / kawasan</w:t>
            </w:r>
          </w:p>
        </w:tc>
        <w:tc>
          <w:tcPr>
            <w:tcW w:type="dxa" w:w="1361"/>
          </w:tcPr>
          <w:p>
            <w:r/>
            <w:r>
              <w:rPr>
                <w:rFonts w:ascii="Arial" w:hAnsi="Arial"/>
                <w:b w:val="0"/>
                <w:color w:val="1A1A1A"/>
                <w:sz w:val="17"/>
              </w:rPr>
              <w:t>276</w:t>
            </w:r>
          </w:p>
        </w:tc>
      </w:tr>
      <w:tr>
        <w:tc>
          <w:tcPr>
            <w:tcW w:type="dxa" w:w="2835"/>
          </w:tcPr>
          <w:p>
            <w:r/>
            <w:r>
              <w:rPr>
                <w:rFonts w:ascii="Arial" w:hAnsi="Arial"/>
                <w:b w:val="0"/>
                <w:color w:val="1A1A1A"/>
                <w:sz w:val="17"/>
              </w:rPr>
              <w:t>serving.mart_kunjungan_dtw</w:t>
            </w:r>
          </w:p>
        </w:tc>
        <w:tc>
          <w:tcPr>
            <w:tcW w:type="dxa" w:w="4649"/>
          </w:tcPr>
          <w:p>
            <w:r/>
            <w:r>
              <w:rPr>
                <w:rFonts w:ascii="Arial" w:hAnsi="Arial"/>
                <w:b w:val="0"/>
                <w:color w:val="1A1A1A"/>
                <w:sz w:val="17"/>
              </w:rPr>
              <w:t>Kunjungan 31+ daya tarik wisata (DTW) beserta sumber &amp; tanggal terbit</w:t>
            </w:r>
          </w:p>
        </w:tc>
        <w:tc>
          <w:tcPr>
            <w:tcW w:type="dxa" w:w="1361"/>
          </w:tcPr>
          <w:p>
            <w:r/>
            <w:r>
              <w:rPr>
                <w:rFonts w:ascii="Arial" w:hAnsi="Arial"/>
                <w:b w:val="0"/>
                <w:color w:val="1A1A1A"/>
                <w:sz w:val="17"/>
              </w:rPr>
              <w:t>35</w:t>
            </w:r>
          </w:p>
        </w:tc>
      </w:tr>
      <w:tr>
        <w:tc>
          <w:tcPr>
            <w:tcW w:type="dxa" w:w="2835"/>
          </w:tcPr>
          <w:p>
            <w:r/>
            <w:r>
              <w:rPr>
                <w:rFonts w:ascii="Arial" w:hAnsi="Arial"/>
                <w:b w:val="0"/>
                <w:color w:val="1A1A1A"/>
                <w:sz w:val="17"/>
              </w:rPr>
              <w:t>serving.mart_gci_readiness</w:t>
            </w:r>
          </w:p>
        </w:tc>
        <w:tc>
          <w:tcPr>
            <w:tcW w:type="dxa" w:w="4649"/>
          </w:tcPr>
          <w:p>
            <w:r/>
            <w:r>
              <w:rPr>
                <w:rFonts w:ascii="Arial" w:hAnsi="Arial"/>
                <w:b w:val="0"/>
                <w:color w:val="1A1A1A"/>
                <w:sz w:val="17"/>
              </w:rPr>
              <w:t>Kesiapan data per indikator GCI/GPCI</w:t>
            </w:r>
          </w:p>
        </w:tc>
        <w:tc>
          <w:tcPr>
            <w:tcW w:type="dxa" w:w="1361"/>
          </w:tcPr>
          <w:p>
            <w:r/>
            <w:r>
              <w:rPr>
                <w:rFonts w:ascii="Arial" w:hAnsi="Arial"/>
                <w:b w:val="0"/>
                <w:color w:val="1A1A1A"/>
                <w:sz w:val="17"/>
              </w:rPr>
              <w:t>28</w:t>
            </w:r>
          </w:p>
        </w:tc>
      </w:tr>
      <w:tr>
        <w:tc>
          <w:tcPr>
            <w:tcW w:type="dxa" w:w="2835"/>
          </w:tcPr>
          <w:p>
            <w:r/>
            <w:r>
              <w:rPr>
                <w:rFonts w:ascii="Arial" w:hAnsi="Arial"/>
                <w:b w:val="0"/>
                <w:color w:val="1A1A1A"/>
                <w:sz w:val="17"/>
              </w:rPr>
              <w:t>serving.mart_event</w:t>
            </w:r>
          </w:p>
        </w:tc>
        <w:tc>
          <w:tcPr>
            <w:tcW w:type="dxa" w:w="4649"/>
          </w:tcPr>
          <w:p>
            <w:r/>
            <w:r>
              <w:rPr>
                <w:rFonts w:ascii="Arial" w:hAnsi="Arial"/>
                <w:b w:val="0"/>
                <w:color w:val="1A1A1A"/>
                <w:sz w:val="17"/>
              </w:rPr>
              <w:t>Event &amp; pengunjung event</w:t>
            </w:r>
          </w:p>
        </w:tc>
        <w:tc>
          <w:tcPr>
            <w:tcW w:type="dxa" w:w="1361"/>
          </w:tcPr>
          <w:p>
            <w:r/>
            <w:r>
              <w:rPr>
                <w:rFonts w:ascii="Arial" w:hAnsi="Arial"/>
                <w:b w:val="0"/>
                <w:color w:val="1A1A1A"/>
                <w:sz w:val="17"/>
              </w:rPr>
              <w:t>9</w:t>
            </w:r>
          </w:p>
        </w:tc>
      </w:tr>
      <w:tr>
        <w:tc>
          <w:tcPr>
            <w:tcW w:type="dxa" w:w="2835"/>
          </w:tcPr>
          <w:p>
            <w:r/>
            <w:r>
              <w:rPr>
                <w:rFonts w:ascii="Arial" w:hAnsi="Arial"/>
                <w:b w:val="0"/>
                <w:color w:val="1A1A1A"/>
                <w:sz w:val="17"/>
              </w:rPr>
              <w:t>serving.mart_kuliner</w:t>
            </w:r>
          </w:p>
        </w:tc>
        <w:tc>
          <w:tcPr>
            <w:tcW w:type="dxa" w:w="4649"/>
          </w:tcPr>
          <w:p>
            <w:r/>
            <w:r>
              <w:rPr>
                <w:rFonts w:ascii="Arial" w:hAnsi="Arial"/>
                <w:b w:val="0"/>
                <w:color w:val="1A1A1A"/>
                <w:sz w:val="17"/>
              </w:rPr>
              <w:t>Kuliner (Michelin/TripAdvisor) per wilayah</w:t>
            </w:r>
          </w:p>
        </w:tc>
        <w:tc>
          <w:tcPr>
            <w:tcW w:type="dxa" w:w="1361"/>
          </w:tcPr>
          <w:p>
            <w:r/>
            <w:r>
              <w:rPr>
                <w:rFonts w:ascii="Arial" w:hAnsi="Arial"/>
                <w:b w:val="0"/>
                <w:color w:val="1A1A1A"/>
                <w:sz w:val="17"/>
              </w:rPr>
              <w:t>5</w:t>
            </w:r>
          </w:p>
        </w:tc>
      </w:tr>
      <w:tr>
        <w:tc>
          <w:tcPr>
            <w:tcW w:type="dxa" w:w="2835"/>
          </w:tcPr>
          <w:p>
            <w:r/>
            <w:r>
              <w:rPr>
                <w:rFonts w:ascii="Arial" w:hAnsi="Arial"/>
                <w:b w:val="0"/>
                <w:color w:val="1A1A1A"/>
                <w:sz w:val="17"/>
              </w:rPr>
              <w:t>serving.mart_atlas</w:t>
            </w:r>
          </w:p>
        </w:tc>
        <w:tc>
          <w:tcPr>
            <w:tcW w:type="dxa" w:w="4649"/>
          </w:tcPr>
          <w:p>
            <w:r/>
            <w:r>
              <w:rPr>
                <w:rFonts w:ascii="Arial" w:hAnsi="Arial"/>
                <w:b w:val="0"/>
                <w:color w:val="1A1A1A"/>
                <w:sz w:val="17"/>
              </w:rPr>
              <w:t>Pendataan lapangan Atlas (restoran, pertunjukan, suvenir, nightlife)</w:t>
            </w:r>
          </w:p>
        </w:tc>
        <w:tc>
          <w:tcPr>
            <w:tcW w:type="dxa" w:w="1361"/>
          </w:tcPr>
          <w:p>
            <w:r/>
            <w:r>
              <w:rPr>
                <w:rFonts w:ascii="Arial" w:hAnsi="Arial"/>
                <w:b w:val="0"/>
                <w:color w:val="1A1A1A"/>
                <w:sz w:val="17"/>
              </w:rPr>
              <w:t>4</w:t>
            </w:r>
          </w:p>
        </w:tc>
      </w:tr>
    </w:tbl>
    <w:p>
      <w:pPr>
        <w:spacing w:after="40"/>
      </w:pPr>
    </w:p>
    <w:p>
      <w:pPr>
        <w:spacing w:after="160" w:before="0" w:line="276" w:lineRule="auto"/>
        <w:jc w:val="left"/>
      </w:pPr>
      <w:r>
        <w:rPr>
          <w:rFonts w:ascii="Arial" w:hAnsi="Arial"/>
          <w:b w:val="0"/>
          <w:i/>
          <w:color w:val="555555"/>
          <w:sz w:val="17"/>
        </w:rPr>
        <w:t>Sumber: lapisan Gold lakehouse (ClickHouse) per 26 Agustus 2026 — seluruh angka pada dashboard dibaca dari tabel-tabel ini.</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1-lake-catalog.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Katalog lake house dengan pembagian ruang nama (primer, sekunder, bersih, penyaji) beserta kepemilikan data.</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03-lake-observability.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Pemantauan kinerja — waktu respons kueri persentil-95 210 ms, kesalahan kueri 0%, tanpa insiden.</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kemampuan Dashboarding meningkat menjadi alat bantu mandiri bagi pengguna, dan kemampuan AI Analyst mulai berfungsi melalui asisten yang dapat menjawab pertanyaan langsung di atas data Dinas.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DBA berperan memantapkan operasi lake house: menguji pemulihan dari cadangan secara berkala, memperluas mart penyaji untuk indikator baru, serta menyiapkan pemisahan ruang data antar-unit agar platform siap dipakai lebih dari satu bidang di lingkungan Dinas.</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Lake house data pariwisata telah berdiri dan berjalan otomatis di server Dinas, lengkap dengan pencadangan, pemulihan, dan pemeliharaan. Tahap berikutnya adalah uji pemulihan berkala dan perluasan mart penyaji untuk indikator baru.</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Database Administrator (Senior)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