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BI Developer 1 (Junior)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5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BI Developer, tenaga ahli bertanggung jawab membangun dashboard interaktif yang menyajikan indikator pariwisata, menyusun visualisasi yang konsisten dengan definisi data, serta menyediakan fitur penyaringan dan ekspor bagi pengguna di lingkungan Dinas.</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Mengkonfigurasi koneksi Dashboard ke database melalui semantic layer/metadata MDM;</w:t>
      </w:r>
    </w:p>
    <w:p>
      <w:pPr>
        <w:spacing w:after="60" w:line="269" w:lineRule="auto"/>
        <w:ind w:left="510"/>
      </w:pPr>
      <w:r>
        <w:rPr>
          <w:rFonts w:ascii="Arial" w:hAnsi="Arial"/>
          <w:b/>
          <w:sz w:val="22"/>
        </w:rPr>
        <w:t xml:space="preserve">b.  </w:t>
      </w:r>
      <w:r>
        <w:rPr>
          <w:rFonts w:ascii="Arial" w:hAnsi="Arial"/>
          <w:color w:val="1A1A1A"/>
          <w:sz w:val="22"/>
        </w:rPr>
        <w:t>Membangun dashboard interaktif (overview pariwisata, kunjungan wisatawan, akomodasi, destinasi, kontribusi ekonomi, dan dashboard tematik lainnya);</w:t>
      </w:r>
    </w:p>
    <w:p>
      <w:pPr>
        <w:spacing w:after="60" w:line="269" w:lineRule="auto"/>
        <w:ind w:left="510"/>
      </w:pPr>
      <w:r>
        <w:rPr>
          <w:rFonts w:ascii="Arial" w:hAnsi="Arial"/>
          <w:b/>
          <w:sz w:val="22"/>
        </w:rPr>
        <w:t xml:space="preserve">c.  </w:t>
      </w:r>
      <w:r>
        <w:rPr>
          <w:rFonts w:ascii="Arial" w:hAnsi="Arial"/>
          <w:color w:val="1A1A1A"/>
          <w:sz w:val="22"/>
        </w:rPr>
        <w:t>Menyusun visualisasi yang konsisten dengan standar metadata dan definisi data;</w:t>
      </w:r>
    </w:p>
    <w:p>
      <w:pPr>
        <w:spacing w:after="60" w:line="269" w:lineRule="auto"/>
        <w:ind w:left="510"/>
      </w:pPr>
      <w:r>
        <w:rPr>
          <w:rFonts w:ascii="Arial" w:hAnsi="Arial"/>
          <w:b/>
          <w:sz w:val="22"/>
        </w:rPr>
        <w:t xml:space="preserve">d.  </w:t>
      </w:r>
      <w:r>
        <w:rPr>
          <w:rFonts w:ascii="Arial" w:hAnsi="Arial"/>
          <w:color w:val="1A1A1A"/>
          <w:sz w:val="22"/>
        </w:rPr>
        <w:t>Mengatur akses pengguna, jadwal refresh data, dan pemeliharaan dashboard;</w:t>
      </w:r>
    </w:p>
    <w:p>
      <w:pPr>
        <w:spacing w:after="60" w:line="269" w:lineRule="auto"/>
        <w:ind w:left="510"/>
      </w:pPr>
      <w:r>
        <w:rPr>
          <w:rFonts w:ascii="Arial" w:hAnsi="Arial"/>
          <w:b/>
          <w:sz w:val="22"/>
        </w:rPr>
        <w:t xml:space="preserve">e.  </w:t>
      </w:r>
      <w:r>
        <w:rPr>
          <w:rFonts w:ascii="Arial" w:hAnsi="Arial"/>
          <w:color w:val="1A1A1A"/>
          <w:sz w:val="22"/>
        </w:rPr>
        <w:t>Menyusun panduan pemanfaatan dashboard bagi pengguna di lingkungan Dinas.</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membangun antarmuka dashboard publik yang menampilkan dua indikator GCI beserta ringkasan statistik, filter, dan ekspor.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Koneksi dashboard ke sumber data</w:t>
            </w:r>
          </w:p>
        </w:tc>
        <w:tc>
          <w:tcPr>
            <w:tcW w:type="dxa" w:w="5102"/>
          </w:tcPr>
          <w:p>
            <w:r/>
            <w:r>
              <w:rPr>
                <w:rFonts w:ascii="Arial" w:hAnsi="Arial"/>
                <w:b w:val="0"/>
                <w:color w:val="1A1A1A"/>
                <w:sz w:val="19"/>
              </w:rPr>
              <w:t>Menghubungkan dashboard ke data store terstruktur (restoran &amp; pertunjukan) melalui lapisan data aplikasi.</w:t>
            </w:r>
          </w:p>
        </w:tc>
      </w:tr>
      <w:tr>
        <w:tc>
          <w:tcPr>
            <w:tcW w:type="dxa" w:w="3742"/>
          </w:tcPr>
          <w:p>
            <w:r/>
            <w:r>
              <w:rPr>
                <w:rFonts w:ascii="Arial" w:hAnsi="Arial"/>
                <w:b w:val="0"/>
                <w:color w:val="1A1A1A"/>
                <w:sz w:val="19"/>
              </w:rPr>
              <w:t>Dashboard interaktif tematik</w:t>
            </w:r>
          </w:p>
        </w:tc>
        <w:tc>
          <w:tcPr>
            <w:tcW w:type="dxa" w:w="5102"/>
          </w:tcPr>
          <w:p>
            <w:r/>
            <w:r>
              <w:rPr>
                <w:rFonts w:ascii="Arial" w:hAnsi="Arial"/>
                <w:b w:val="0"/>
                <w:color w:val="1A1A1A"/>
                <w:sz w:val="19"/>
              </w:rPr>
              <w:t>Membangun dashboard Restoran GCI dan Pertunjukan &amp; Budaya, lengkap dengan kartu ringkasan (total, ber-rating, hotel, cafe / konser, festival, budaya).</w:t>
            </w:r>
          </w:p>
        </w:tc>
      </w:tr>
      <w:tr>
        <w:tc>
          <w:tcPr>
            <w:tcW w:type="dxa" w:w="3742"/>
          </w:tcPr>
          <w:p>
            <w:r/>
            <w:r>
              <w:rPr>
                <w:rFonts w:ascii="Arial" w:hAnsi="Arial"/>
                <w:b w:val="0"/>
                <w:color w:val="1A1A1A"/>
                <w:sz w:val="19"/>
              </w:rPr>
              <w:t>Visualisasi konsisten dengan definisi</w:t>
            </w:r>
          </w:p>
        </w:tc>
        <w:tc>
          <w:tcPr>
            <w:tcW w:type="dxa" w:w="5102"/>
          </w:tcPr>
          <w:p>
            <w:r/>
            <w:r>
              <w:rPr>
                <w:rFonts w:ascii="Arial" w:hAnsi="Arial"/>
                <w:b w:val="0"/>
                <w:color w:val="1A1A1A"/>
                <w:sz w:val="19"/>
              </w:rPr>
              <w:t>Menambahkan kolom Harga (tingkat harga, penanda * untuk nilai editorial), Rating, dan Jumlah Ulasan sesuai definisi metadata; penanda verifikasi untuk nilai perkiraan/kapasitas.</w:t>
            </w:r>
          </w:p>
        </w:tc>
      </w:tr>
      <w:tr>
        <w:tc>
          <w:tcPr>
            <w:tcW w:type="dxa" w:w="3742"/>
          </w:tcPr>
          <w:p>
            <w:r/>
            <w:r>
              <w:rPr>
                <w:rFonts w:ascii="Arial" w:hAnsi="Arial"/>
                <w:b w:val="0"/>
                <w:color w:val="1A1A1A"/>
                <w:sz w:val="19"/>
              </w:rPr>
              <w:t>Filter, pencarian &amp; ekspor</w:t>
            </w:r>
          </w:p>
        </w:tc>
        <w:tc>
          <w:tcPr>
            <w:tcW w:type="dxa" w:w="5102"/>
          </w:tcPr>
          <w:p>
            <w:r/>
            <w:r>
              <w:rPr>
                <w:rFonts w:ascii="Arial" w:hAnsi="Arial"/>
                <w:b w:val="0"/>
                <w:color w:val="1A1A1A"/>
                <w:sz w:val="19"/>
              </w:rPr>
              <w:t>Menyediakan filter kategori (Hotel ★4/★3, Restoran, Cafe; konser/festival/budaya), filter tahun (2025/2026), pencarian, dan ekspor ke Excel.</w:t>
            </w:r>
          </w:p>
        </w:tc>
      </w:tr>
      <w:tr>
        <w:tc>
          <w:tcPr>
            <w:tcW w:type="dxa" w:w="3742"/>
          </w:tcPr>
          <w:p>
            <w:r/>
            <w:r>
              <w:rPr>
                <w:rFonts w:ascii="Arial" w:hAnsi="Arial"/>
                <w:b w:val="0"/>
                <w:color w:val="1A1A1A"/>
                <w:sz w:val="19"/>
              </w:rPr>
              <w:t>Panduan pemanfaatan</w:t>
            </w:r>
          </w:p>
        </w:tc>
        <w:tc>
          <w:tcPr>
            <w:tcW w:type="dxa" w:w="5102"/>
          </w:tcPr>
          <w:p>
            <w:r/>
            <w:r>
              <w:rPr>
                <w:rFonts w:ascii="Arial" w:hAnsi="Arial"/>
                <w:b w:val="0"/>
                <w:color w:val="1A1A1A"/>
                <w:sz w:val="19"/>
              </w:rPr>
              <w:t>Menyusun antarmuka dwibahasa (ID/EN) agar dashboard mudah dimanfaatkan pengguna Dinas.</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tangkapan layar dashboard interaktif yang dibangun.</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gci-viewport.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Dashboard Restoran GCI — kartu ringkasan, filter kategori/rating, kolom Harga &amp; Rating, dan tombol Ekspor Excel.</w:t>
      </w:r>
    </w:p>
    <w:p>
      <w:pPr>
        <w:spacing w:before="120" w:after="40"/>
        <w:jc w:val="center"/>
      </w:pPr>
      <w:r>
        <w:drawing>
          <wp:inline xmlns:a="http://schemas.openxmlformats.org/drawingml/2006/main" xmlns:pic="http://schemas.openxmlformats.org/drawingml/2006/picture">
            <wp:extent cx="5580000" cy="5283507"/>
            <wp:docPr id="2" name="Picture 2"/>
            <wp:cNvGraphicFramePr>
              <a:graphicFrameLocks noChangeAspect="1"/>
            </wp:cNvGraphicFramePr>
            <a:graphic>
              <a:graphicData uri="http://schemas.openxmlformats.org/drawingml/2006/picture">
                <pic:pic>
                  <pic:nvPicPr>
                    <pic:cNvPr id="0" name="events-viewport.png"/>
                    <pic:cNvPicPr/>
                  </pic:nvPicPr>
                  <pic:blipFill>
                    <a:blip r:embed="rId10"/>
                    <a:stretch>
                      <a:fillRect/>
                    </a:stretch>
                  </pic:blipFill>
                  <pic:spPr>
                    <a:xfrm>
                      <a:off x="0" y="0"/>
                      <a:ext cx="5580000" cy="5283507"/>
                    </a:xfrm>
                    <a:prstGeom prst="rect"/>
                  </pic:spPr>
                </pic:pic>
              </a:graphicData>
            </a:graphic>
          </wp:inline>
        </w:drawing>
      </w:r>
    </w:p>
    <w:p>
      <w:pPr>
        <w:spacing w:after="200"/>
        <w:jc w:val="center"/>
      </w:pPr>
      <w:r>
        <w:rPr>
          <w:rFonts w:ascii="Arial" w:hAnsi="Arial"/>
          <w:i/>
          <w:color w:val="555555"/>
          <w:sz w:val="18"/>
        </w:rPr>
        <w:t>Gambar 2. Dashboard Pertunjukan &amp; Budaya — filter tahun &amp; kategori, ringkasan konser/festival/budaya.</w:t>
      </w:r>
    </w:p>
    <w:p>
      <w:pPr>
        <w:spacing w:before="120" w:after="40"/>
        <w:jc w:val="center"/>
      </w:pPr>
      <w:r>
        <w:drawing>
          <wp:inline xmlns:a="http://schemas.openxmlformats.org/drawingml/2006/main" xmlns:pic="http://schemas.openxmlformats.org/drawingml/2006/picture">
            <wp:extent cx="5580000" cy="5283507"/>
            <wp:docPr id="3" name="Picture 3"/>
            <wp:cNvGraphicFramePr>
              <a:graphicFrameLocks noChangeAspect="1"/>
            </wp:cNvGraphicFramePr>
            <a:graphic>
              <a:graphicData uri="http://schemas.openxmlformats.org/drawingml/2006/picture">
                <pic:pic>
                  <pic:nvPicPr>
                    <pic:cNvPr id="0" name="home-viewport.png"/>
                    <pic:cNvPicPr/>
                  </pic:nvPicPr>
                  <pic:blipFill>
                    <a:blip r:embed="rId11"/>
                    <a:stretch>
                      <a:fillRect/>
                    </a:stretch>
                  </pic:blipFill>
                  <pic:spPr>
                    <a:xfrm>
                      <a:off x="0" y="0"/>
                      <a:ext cx="5580000" cy="5283507"/>
                    </a:xfrm>
                    <a:prstGeom prst="rect"/>
                  </pic:spPr>
                </pic:pic>
              </a:graphicData>
            </a:graphic>
          </wp:inline>
        </w:drawing>
      </w:r>
    </w:p>
    <w:p>
      <w:pPr>
        <w:spacing w:after="200"/>
        <w:jc w:val="center"/>
      </w:pPr>
      <w:r>
        <w:rPr>
          <w:rFonts w:ascii="Arial" w:hAnsi="Arial"/>
          <w:i/>
          <w:color w:val="555555"/>
          <w:sz w:val="18"/>
        </w:rPr>
        <w:t>Gambar 3. Halaman utama direktori sebagai pintu masuk seluruh dashboard tematik.</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Pada pengembangan platform, BI Developer berperan memperluas lapisan Dashboarding menjadi indikator strategis penuh (performa destinasi, event &amp; MICE, tren sentimen, okupansi hotel, aktivitas kawasan, efektivitas promosi) serta menyiapkan integrasi dengan AI Analyst agar pengguna dapat bertanya langsung kepada data.</w:t>
      </w:r>
    </w:p>
    <w:p>
      <w:pPr>
        <w:spacing w:before="120" w:after="40"/>
        <w:jc w:val="center"/>
      </w:pPr>
      <w:r>
        <w:drawing>
          <wp:inline xmlns:a="http://schemas.openxmlformats.org/drawingml/2006/main" xmlns:pic="http://schemas.openxmlformats.org/drawingml/2006/picture">
            <wp:extent cx="5580000" cy="3139823"/>
            <wp:docPr id="4" name="Picture 4"/>
            <wp:cNvGraphicFramePr>
              <a:graphicFrameLocks noChangeAspect="1"/>
            </wp:cNvGraphicFramePr>
            <a:graphic>
              <a:graphicData uri="http://schemas.openxmlformats.org/drawingml/2006/picture">
                <pic:pic>
                  <pic:nvPicPr>
                    <pic:cNvPr id="0" name="deck-04-platform5.png"/>
                    <pic:cNvPicPr/>
                  </pic:nvPicPr>
                  <pic:blipFill>
                    <a:blip r:embed="rId12"/>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4. Posisi Dashboarding di antara lima kemampuan inti platform.</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Dua dashboard indikator GCI telah dibangun dan dapat diakses publik. Tahap berikutnya adalah menambah dashboard tematik dan menautkannya dengan lapisan AI Analyst pada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BI Developer 1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