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Business Analyst 1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Komputer/Manajemen/Statistik,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Business Analyst, tenaga ahli bertanggung jawab memetakan kondisi tata kelola data saat ini (as-is), merumuskan kondisi yang dituju (to-be), menyusun gap analysis, menerjemahkan kebutuhan bisnis menjadi spesifikasi data, serta mendokumentasikan requirement dan use case.</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Melakukan pemetaan kondisi tata kelola data pariwisata saat ini (as-is) melalui wawancara, observasi, dan analisis dokumen;</w:t>
      </w:r>
    </w:p>
    <w:p>
      <w:pPr>
        <w:spacing w:after="60" w:line="269" w:lineRule="auto"/>
        <w:ind w:left="510"/>
      </w:pPr>
      <w:r>
        <w:rPr>
          <w:rFonts w:ascii="Arial" w:hAnsi="Arial"/>
          <w:b/>
          <w:sz w:val="22"/>
        </w:rPr>
        <w:t xml:space="preserve">b.  </w:t>
      </w:r>
      <w:r>
        <w:rPr>
          <w:rFonts w:ascii="Arial" w:hAnsi="Arial"/>
          <w:color w:val="1A1A1A"/>
          <w:sz w:val="22"/>
        </w:rPr>
        <w:t>Merumuskan kondisi tata kelola data yang dituju (to-be) bersama pemangku kepentingan;</w:t>
      </w:r>
    </w:p>
    <w:p>
      <w:pPr>
        <w:spacing w:after="60" w:line="269" w:lineRule="auto"/>
        <w:ind w:left="510"/>
      </w:pPr>
      <w:r>
        <w:rPr>
          <w:rFonts w:ascii="Arial" w:hAnsi="Arial"/>
          <w:b/>
          <w:sz w:val="22"/>
        </w:rPr>
        <w:t xml:space="preserve">c.  </w:t>
      </w:r>
      <w:r>
        <w:rPr>
          <w:rFonts w:ascii="Arial" w:hAnsi="Arial"/>
          <w:color w:val="1A1A1A"/>
          <w:sz w:val="22"/>
        </w:rPr>
        <w:t>Menyusun gap analysis as-is vs to-be beserta rekomendasi pemenuhan;</w:t>
      </w:r>
    </w:p>
    <w:p>
      <w:pPr>
        <w:spacing w:after="60" w:line="269" w:lineRule="auto"/>
        <w:ind w:left="510"/>
      </w:pPr>
      <w:r>
        <w:rPr>
          <w:rFonts w:ascii="Arial" w:hAnsi="Arial"/>
          <w:b/>
          <w:sz w:val="22"/>
        </w:rPr>
        <w:t xml:space="preserve">d.  </w:t>
      </w:r>
      <w:r>
        <w:rPr>
          <w:rFonts w:ascii="Arial" w:hAnsi="Arial"/>
          <w:color w:val="1A1A1A"/>
          <w:sz w:val="22"/>
        </w:rPr>
        <w:t>Menerjemahkan kebutuhan bisnis menjadi spesifikasi tata kelola data (standar data, metadata, kebijakan MDM, kebijakan akses);</w:t>
      </w:r>
    </w:p>
    <w:p>
      <w:pPr>
        <w:spacing w:after="60" w:line="269" w:lineRule="auto"/>
        <w:ind w:left="510"/>
      </w:pPr>
      <w:r>
        <w:rPr>
          <w:rFonts w:ascii="Arial" w:hAnsi="Arial"/>
          <w:b/>
          <w:sz w:val="22"/>
        </w:rPr>
        <w:t xml:space="preserve">e.  </w:t>
      </w:r>
      <w:r>
        <w:rPr>
          <w:rFonts w:ascii="Arial" w:hAnsi="Arial"/>
          <w:color w:val="1A1A1A"/>
          <w:sz w:val="22"/>
        </w:rPr>
        <w:t>Mendokumentasikan requirement, alur proses, dan use case pengelolaan data pariwisata;</w:t>
      </w:r>
    </w:p>
    <w:p>
      <w:pPr>
        <w:spacing w:after="60" w:line="269" w:lineRule="auto"/>
        <w:ind w:left="510"/>
      </w:pPr>
      <w:r>
        <w:rPr>
          <w:rFonts w:ascii="Arial" w:hAnsi="Arial"/>
          <w:b/>
          <w:sz w:val="22"/>
        </w:rPr>
        <w:t xml:space="preserve">f.  </w:t>
      </w:r>
      <w:r>
        <w:rPr>
          <w:rFonts w:ascii="Arial" w:hAnsi="Arial"/>
          <w:color w:val="1A1A1A"/>
          <w:sz w:val="22"/>
        </w:rPr>
        <w:t>Berkoordinasi dengan pemangku kepentingan internal dan eksternal Dinas;</w:t>
      </w:r>
    </w:p>
    <w:p>
      <w:pPr>
        <w:spacing w:after="60" w:line="269" w:lineRule="auto"/>
        <w:ind w:left="510"/>
      </w:pPr>
      <w:r>
        <w:rPr>
          <w:rFonts w:ascii="Arial" w:hAnsi="Arial"/>
          <w:b/>
          <w:sz w:val="22"/>
        </w:rPr>
        <w:t xml:space="preserve">g.  </w:t>
      </w:r>
      <w:r>
        <w:rPr>
          <w:rFonts w:ascii="Arial" w:hAnsi="Arial"/>
          <w:color w:val="1A1A1A"/>
          <w:sz w:val="22"/>
        </w:rPr>
        <w:t>Mendukung penyusunan roadmap dan rencana implementasi standarisasi 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memetakan kondisi data pariwisata yang masih terfragmentasi (as-is), merumuskan kondisi decision intelligence yang dituju (to-be), dan menerjemahkan indikator GCI/GPCI menjadi kebutuhan data konkret.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Pemetaan kondisi as-is</w:t>
            </w:r>
          </w:p>
        </w:tc>
        <w:tc>
          <w:tcPr>
            <w:tcW w:type="dxa" w:w="5102"/>
          </w:tcPr>
          <w:p>
            <w:r/>
            <w:r>
              <w:rPr>
                <w:rFonts w:ascii="Arial" w:hAnsi="Arial"/>
                <w:b w:val="0"/>
                <w:color w:val="1A1A1A"/>
                <w:sz w:val="19"/>
              </w:rPr>
              <w:t>Mengidentifikasi masalah utama: data tersebar di banyak sumber, laporan historis dan terlambat, analisis manual, dan belum ada sistem yang menghubungkan data hingga aksi.</w:t>
            </w:r>
          </w:p>
        </w:tc>
      </w:tr>
      <w:tr>
        <w:tc>
          <w:tcPr>
            <w:tcW w:type="dxa" w:w="3742"/>
          </w:tcPr>
          <w:p>
            <w:r/>
            <w:r>
              <w:rPr>
                <w:rFonts w:ascii="Arial" w:hAnsi="Arial"/>
                <w:b w:val="0"/>
                <w:color w:val="1A1A1A"/>
                <w:sz w:val="19"/>
              </w:rPr>
              <w:t>Perumusan kondisi to-be</w:t>
            </w:r>
          </w:p>
        </w:tc>
        <w:tc>
          <w:tcPr>
            <w:tcW w:type="dxa" w:w="5102"/>
          </w:tcPr>
          <w:p>
            <w:r/>
            <w:r>
              <w:rPr>
                <w:rFonts w:ascii="Arial" w:hAnsi="Arial"/>
                <w:b w:val="0"/>
                <w:color w:val="1A1A1A"/>
                <w:sz w:val="19"/>
              </w:rPr>
              <w:t>Merumuskan visi alur ‘data terfragmentasi → terintegrasi → insight → prediksi → simulasi → aksi kebijakan’ yang proaktif, terukur, dan dapat diaudit.</w:t>
            </w:r>
          </w:p>
        </w:tc>
      </w:tr>
      <w:tr>
        <w:tc>
          <w:tcPr>
            <w:tcW w:type="dxa" w:w="3742"/>
          </w:tcPr>
          <w:p>
            <w:r/>
            <w:r>
              <w:rPr>
                <w:rFonts w:ascii="Arial" w:hAnsi="Arial"/>
                <w:b w:val="0"/>
                <w:color w:val="1A1A1A"/>
                <w:sz w:val="19"/>
              </w:rPr>
              <w:t>Gap analysis &amp; rekomendasi</w:t>
            </w:r>
          </w:p>
        </w:tc>
        <w:tc>
          <w:tcPr>
            <w:tcW w:type="dxa" w:w="5102"/>
          </w:tcPr>
          <w:p>
            <w:r/>
            <w:r>
              <w:rPr>
                <w:rFonts w:ascii="Arial" w:hAnsi="Arial"/>
                <w:b w:val="0"/>
                <w:color w:val="1A1A1A"/>
                <w:sz w:val="19"/>
              </w:rPr>
              <w:t>Menyusun rekomendasi fondasi intelligence end-to-end (bukan sekadar dashboard) sebagai pemenuhan kesenjangan.</w:t>
            </w:r>
          </w:p>
        </w:tc>
      </w:tr>
      <w:tr>
        <w:tc>
          <w:tcPr>
            <w:tcW w:type="dxa" w:w="3742"/>
          </w:tcPr>
          <w:p>
            <w:r/>
            <w:r>
              <w:rPr>
                <w:rFonts w:ascii="Arial" w:hAnsi="Arial"/>
                <w:b w:val="0"/>
                <w:color w:val="1A1A1A"/>
                <w:sz w:val="19"/>
              </w:rPr>
              <w:t>Spesifikasi kebutuhan data indikator</w:t>
            </w:r>
          </w:p>
        </w:tc>
        <w:tc>
          <w:tcPr>
            <w:tcW w:type="dxa" w:w="5102"/>
          </w:tcPr>
          <w:p>
            <w:r/>
            <w:r>
              <w:rPr>
                <w:rFonts w:ascii="Arial" w:hAnsi="Arial"/>
                <w:b w:val="0"/>
                <w:color w:val="1A1A1A"/>
                <w:sz w:val="19"/>
              </w:rPr>
              <w:t>Menerjemahkan indikator GPCI Cultural Interaction (konferensi internasional, event budaya, museum, teater, kuliner, kamar hotel, dsb.) menjadi daftar variabel dan sumber data yang harus dikumpulkan.</w:t>
            </w:r>
          </w:p>
        </w:tc>
      </w:tr>
      <w:tr>
        <w:tc>
          <w:tcPr>
            <w:tcW w:type="dxa" w:w="3742"/>
          </w:tcPr>
          <w:p>
            <w:r/>
            <w:r>
              <w:rPr>
                <w:rFonts w:ascii="Arial" w:hAnsi="Arial"/>
                <w:b w:val="0"/>
                <w:color w:val="1A1A1A"/>
                <w:sz w:val="19"/>
              </w:rPr>
              <w:t>Dokumentasi requirement &amp; use case</w:t>
            </w:r>
          </w:p>
        </w:tc>
        <w:tc>
          <w:tcPr>
            <w:tcW w:type="dxa" w:w="5102"/>
          </w:tcPr>
          <w:p>
            <w:r/>
            <w:r>
              <w:rPr>
                <w:rFonts w:ascii="Arial" w:hAnsi="Arial"/>
                <w:b w:val="0"/>
                <w:color w:val="1A1A1A"/>
                <w:sz w:val="19"/>
              </w:rPr>
              <w:t>Mendokumentasikan use case AI Analyst (mis. ‘kawasan mana yang menunjukkan peningkatan minat wisatawan?’, ‘event mana yang paling berdampak terhadap okupansi hotel?’) dan menautkannya ke KPI Disparekraf.</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pemetaan indikator GPCI ke sumber data dan rancangan alur solusi, serta perwujudan awal pada dashboard.</w:t>
      </w:r>
    </w:p>
    <w:p>
      <w:pPr>
        <w:spacing w:before="120" w:after="40"/>
        <w:jc w:val="center"/>
      </w:pPr>
      <w:r>
        <w:drawing>
          <wp:inline xmlns:a="http://schemas.openxmlformats.org/drawingml/2006/main" xmlns:pic="http://schemas.openxmlformats.org/drawingml/2006/picture">
            <wp:extent cx="5580000" cy="3139823"/>
            <wp:docPr id="1" name="Picture 1"/>
            <wp:cNvGraphicFramePr>
              <a:graphicFrameLocks noChangeAspect="1"/>
            </wp:cNvGraphicFramePr>
            <a:graphic>
              <a:graphicData uri="http://schemas.openxmlformats.org/drawingml/2006/picture">
                <pic:pic>
                  <pic:nvPicPr>
                    <pic:cNvPr id="0" name="deck-12-gpci.png"/>
                    <pic:cNvPicPr/>
                  </pic:nvPicPr>
                  <pic:blipFill>
                    <a:blip r:embed="rId9"/>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1. Pemetaan indikator pendukung GPCI ke sumber data (as-is → kebutuhan data).</w:t>
      </w:r>
    </w:p>
    <w:p>
      <w:pPr>
        <w:spacing w:before="120" w:after="40"/>
        <w:jc w:val="center"/>
      </w:pPr>
      <w:r>
        <w:drawing>
          <wp:inline xmlns:a="http://schemas.openxmlformats.org/drawingml/2006/main" xmlns:pic="http://schemas.openxmlformats.org/drawingml/2006/picture">
            <wp:extent cx="5580000" cy="3139823"/>
            <wp:docPr id="2" name="Picture 2"/>
            <wp:cNvGraphicFramePr>
              <a:graphicFrameLocks noChangeAspect="1"/>
            </wp:cNvGraphicFramePr>
            <a:graphic>
              <a:graphicData uri="http://schemas.openxmlformats.org/drawingml/2006/picture">
                <pic:pic>
                  <pic:nvPicPr>
                    <pic:cNvPr id="0" name="deck-04-platform5.png"/>
                    <pic:cNvPicPr/>
                  </pic:nvPicPr>
                  <pic:blipFill>
                    <a:blip r:embed="rId10"/>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2. Terjemahan kebutuhan bisnis menjadi lima kemampuan inti platform (to-be).</w:t>
      </w:r>
    </w:p>
    <w:p>
      <w:pPr>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gci-viewport.png"/>
                    <pic:cNvPicPr/>
                  </pic:nvPicPr>
                  <pic:blipFill>
                    <a:blip r:embed="rId11"/>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3. Perwujudan awal kebutuhan data indikator restoran GCI pada dashboard.</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Business Analyst berperan menjaga keterhubungan platform dengan dua KPI utama Disparekraf (kontribusi ekonomi kreatif terhadap PDRB dan jumlah wisatawan mancanegara) serta posisi Jakarta pada indeks daya saing kota global, dan menyusun roadmap standardisasi data bersama Project Manager.</w:t>
      </w:r>
    </w:p>
    <w:p>
      <w:pPr>
        <w:spacing w:before="120" w:after="40"/>
        <w:jc w:val="center"/>
      </w:pPr>
      <w:r>
        <w:drawing>
          <wp:inline xmlns:a="http://schemas.openxmlformats.org/drawingml/2006/main" xmlns:pic="http://schemas.openxmlformats.org/drawingml/2006/picture">
            <wp:extent cx="5580000" cy="3139823"/>
            <wp:docPr id="4" name="Picture 4"/>
            <wp:cNvGraphicFramePr>
              <a:graphicFrameLocks noChangeAspect="1"/>
            </wp:cNvGraphicFramePr>
            <a:graphic>
              <a:graphicData uri="http://schemas.openxmlformats.org/drawingml/2006/picture">
                <pic:pic>
                  <pic:nvPicPr>
                    <pic:cNvPr id="0" name="deck-09-roadmap.png"/>
                    <pic:cNvPicPr/>
                  </pic:nvPicPr>
                  <pic:blipFill>
                    <a:blip r:embed="rId12"/>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4. Roadmap implementasi standardisasi &amp; platform (Fase 1–3).</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Pemetaan as-is/to-be dan spesifikasi kebutuhan data indikator telah tersusun. Tahap berikutnya adalah memformalkan dokumen standardisasi data dan gap analysis sebagai dasar implementasi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Business Analyst 1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