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Master Data Management (MDM) Specialist (Senior)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7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MDM Specialist, tenaga ahli bertanggung jawab membentuk dan menjaga data induk (golden record) entitas pariwisata dari data baru maupun data yang diperkuat, melalui konsolidasi, deduplikasi, verifikasi, dan validasi lintas sumber agar setiap entitas tepercaya dan dapat diaudit.</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Mengidentifikasi entitas master data pariwisata Jakarta dan menyusun struktur data master;</w:t>
      </w:r>
    </w:p>
    <w:p>
      <w:pPr>
        <w:spacing w:after="60" w:line="269" w:lineRule="auto"/>
        <w:ind w:left="510"/>
      </w:pPr>
      <w:r>
        <w:rPr>
          <w:rFonts w:ascii="Arial" w:hAnsi="Arial"/>
          <w:b/>
          <w:sz w:val="22"/>
        </w:rPr>
        <w:t xml:space="preserve">b.  </w:t>
      </w:r>
      <w:r>
        <w:rPr>
          <w:rFonts w:ascii="Arial" w:hAnsi="Arial"/>
          <w:color w:val="1A1A1A"/>
          <w:sz w:val="22"/>
        </w:rPr>
        <w:t>Menyusun kebijakan dan prosedur MDM (data ownership, data stewardship, alur perubahan, persetujuan, dan audit);</w:t>
      </w:r>
    </w:p>
    <w:p>
      <w:pPr>
        <w:spacing w:after="60" w:line="269" w:lineRule="auto"/>
        <w:ind w:left="510"/>
      </w:pPr>
      <w:r>
        <w:rPr>
          <w:rFonts w:ascii="Arial" w:hAnsi="Arial"/>
          <w:b/>
          <w:sz w:val="22"/>
        </w:rPr>
        <w:t xml:space="preserve">c.  </w:t>
      </w:r>
      <w:r>
        <w:rPr>
          <w:rFonts w:ascii="Arial" w:hAnsi="Arial"/>
          <w:color w:val="1A1A1A"/>
          <w:sz w:val="22"/>
        </w:rPr>
        <w:t>Melaksanakan pembentukan master data melalui konsolidasi, deduplikasi, verifikasi, dan validasi data dari berbagai sumber;</w:t>
      </w:r>
    </w:p>
    <w:p>
      <w:pPr>
        <w:spacing w:after="60" w:line="269" w:lineRule="auto"/>
        <w:ind w:left="510"/>
      </w:pPr>
      <w:r>
        <w:rPr>
          <w:rFonts w:ascii="Arial" w:hAnsi="Arial"/>
          <w:b/>
          <w:sz w:val="22"/>
        </w:rPr>
        <w:t xml:space="preserve">d.  </w:t>
      </w:r>
      <w:r>
        <w:rPr>
          <w:rFonts w:ascii="Arial" w:hAnsi="Arial"/>
          <w:color w:val="1A1A1A"/>
          <w:sz w:val="22"/>
        </w:rPr>
        <w:t>Menyusun mekanisme pemeliharaan dan pemutakhiran master data secara berkala;</w:t>
      </w:r>
    </w:p>
    <w:p>
      <w:pPr>
        <w:spacing w:after="60" w:line="269" w:lineRule="auto"/>
        <w:ind w:left="510"/>
      </w:pPr>
      <w:r>
        <w:rPr>
          <w:rFonts w:ascii="Arial" w:hAnsi="Arial"/>
          <w:b/>
          <w:sz w:val="22"/>
        </w:rPr>
        <w:t xml:space="preserve">e.  </w:t>
      </w:r>
      <w:r>
        <w:rPr>
          <w:rFonts w:ascii="Arial" w:hAnsi="Arial"/>
          <w:color w:val="1A1A1A"/>
          <w:sz w:val="22"/>
        </w:rPr>
        <w:t>Memastikan integrasi master data ke dalam database dan ketersediaannya bagi Dashboard melalui metadata.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pekerjaan MDM yang menonjol adalah (1) pembentukan master data wisata ramah muslim/halal dengan nomor sertifikat halal sebagai kunci identitas tepercaya, dan (2) penguatan golden record event melalui pengayaan lokasi menjadi alamat/koordinat/sumber beserta verifikasi ulang 12 event prioritas.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Identifikasi entitas &amp; struktur master</w:t>
            </w:r>
          </w:p>
        </w:tc>
        <w:tc>
          <w:tcPr>
            <w:tcW w:type="dxa" w:w="5102"/>
          </w:tcPr>
          <w:p>
            <w:r/>
            <w:r>
              <w:rPr>
                <w:rFonts w:ascii="Arial" w:hAnsi="Arial"/>
                <w:b w:val="0"/>
                <w:color w:val="1A1A1A"/>
                <w:sz w:val="19"/>
              </w:rPr>
              <w:t>Menetapkan entitas master baru: restoran/zona KHAS halal, hotel ramah muslim, mall ramah muslim, RPH halal, produk kreatif halal, serta entitas event; menyusun atribut kunci masing-masing.</w:t>
            </w:r>
          </w:p>
        </w:tc>
      </w:tr>
      <w:tr>
        <w:tc>
          <w:tcPr>
            <w:tcW w:type="dxa" w:w="3742"/>
          </w:tcPr>
          <w:p>
            <w:r/>
            <w:r>
              <w:rPr>
                <w:rFonts w:ascii="Arial" w:hAnsi="Arial"/>
                <w:b w:val="0"/>
                <w:color w:val="1A1A1A"/>
                <w:sz w:val="19"/>
              </w:rPr>
              <w:t>Kebijakan &amp; prosedur stewardship</w:t>
            </w:r>
          </w:p>
        </w:tc>
        <w:tc>
          <w:tcPr>
            <w:tcW w:type="dxa" w:w="5102"/>
          </w:tcPr>
          <w:p>
            <w:r/>
            <w:r>
              <w:rPr>
                <w:rFonts w:ascii="Arial" w:hAnsi="Arial"/>
                <w:b w:val="0"/>
                <w:color w:val="1A1A1A"/>
                <w:sz w:val="19"/>
              </w:rPr>
              <w:t>Menetapkan aturan kepemilikan nilai per-sumber; nilai hasil riset tidak difabrikasi — bila tak terverifikasi, atribut dikembalikan ke status kosong atau ditandai untuk ditinjau (needs_review).</w:t>
            </w:r>
          </w:p>
        </w:tc>
      </w:tr>
      <w:tr>
        <w:tc>
          <w:tcPr>
            <w:tcW w:type="dxa" w:w="3742"/>
          </w:tcPr>
          <w:p>
            <w:r/>
            <w:r>
              <w:rPr>
                <w:rFonts w:ascii="Arial" w:hAnsi="Arial"/>
                <w:b w:val="0"/>
                <w:color w:val="1A1A1A"/>
                <w:sz w:val="19"/>
              </w:rPr>
              <w:t>Konsolidasi, deduplikasi &amp; verifikasi</w:t>
            </w:r>
          </w:p>
        </w:tc>
        <w:tc>
          <w:tcPr>
            <w:tcW w:type="dxa" w:w="5102"/>
          </w:tcPr>
          <w:p>
            <w:r/>
            <w:r>
              <w:rPr>
                <w:rFonts w:ascii="Arial" w:hAnsi="Arial"/>
                <w:b w:val="0"/>
                <w:color w:val="1A1A1A"/>
                <w:sz w:val="19"/>
              </w:rPr>
              <w:t>Memverifikasi nomor sertifikat halal (BPJPH/LPPOM MUI) sebagai kunci induk; menyelaraskan penamaan dan menautkan tautan Google Maps yang dapat diverifikasi pada entitas halal.</w:t>
            </w:r>
          </w:p>
        </w:tc>
      </w:tr>
      <w:tr>
        <w:tc>
          <w:tcPr>
            <w:tcW w:type="dxa" w:w="3742"/>
          </w:tcPr>
          <w:p>
            <w:r/>
            <w:r>
              <w:rPr>
                <w:rFonts w:ascii="Arial" w:hAnsi="Arial"/>
                <w:b w:val="0"/>
                <w:color w:val="1A1A1A"/>
                <w:sz w:val="19"/>
              </w:rPr>
              <w:t>Penguatan golden record event</w:t>
            </w:r>
          </w:p>
        </w:tc>
        <w:tc>
          <w:tcPr>
            <w:tcW w:type="dxa" w:w="5102"/>
          </w:tcPr>
          <w:p>
            <w:r/>
            <w:r>
              <w:rPr>
                <w:rFonts w:ascii="Arial" w:hAnsi="Arial"/>
                <w:b w:val="0"/>
                <w:color w:val="1A1A1A"/>
                <w:sz w:val="19"/>
              </w:rPr>
              <w:t>Memperkaya 804 baris event dengan alamat, titik koordinat, dan sumber; melakukan verifikasi ulang bertingkat pada 12 event prioritas hingga 7 mencapai keyakinan tinggi (high), termasuk koreksi alamat luar negeri yang keliru pada sumber asli.</w:t>
            </w:r>
          </w:p>
        </w:tc>
      </w:tr>
      <w:tr>
        <w:tc>
          <w:tcPr>
            <w:tcW w:type="dxa" w:w="3742"/>
          </w:tcPr>
          <w:p>
            <w:r/>
            <w:r>
              <w:rPr>
                <w:rFonts w:ascii="Arial" w:hAnsi="Arial"/>
                <w:b w:val="0"/>
                <w:color w:val="1A1A1A"/>
                <w:sz w:val="19"/>
              </w:rPr>
              <w:t>Integrasi master ke dashboard</w:t>
            </w:r>
          </w:p>
        </w:tc>
        <w:tc>
          <w:tcPr>
            <w:tcW w:type="dxa" w:w="5102"/>
          </w:tcPr>
          <w:p>
            <w:r/>
            <w:r>
              <w:rPr>
                <w:rFonts w:ascii="Arial" w:hAnsi="Arial"/>
                <w:b w:val="0"/>
                <w:color w:val="1A1A1A"/>
                <w:sz w:val="19"/>
              </w:rPr>
              <w:t>Memastikan atribut master (nama, alamat, koordinat, sumber, nomor sertifikat, tingkat keyakinan) tersedia konsisten pada halaman detail katalog dan peta.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data induk halal dengan nomor sertifikat sebagai kunci identitas, dan golden record event yang telah diperkuat dengan alamat &amp; koordinat.</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8-halal-restoran.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Data induk restoran halal dengan No. Sertifikat Halal (BPJPH/LPPOM MUI) sebagai kunci identitas tepercaya dan sumber yang dapat diverifikasi.</w:t>
      </w:r>
    </w:p>
    <w:p>
      <w:pPr>
        <w:spacing w:after="60" w:before="80" w:line="276" w:lineRule="auto"/>
        <w:jc w:val="left"/>
      </w:pPr>
      <w:r>
        <w:rPr>
          <w:rFonts w:ascii="Arial" w:hAnsi="Arial"/>
          <w:b/>
          <w:i w:val="0"/>
          <w:color w:val="1A1A1A"/>
          <w:sz w:val="21"/>
        </w:rPr>
        <w:t>Cuplikan golden record event yang diperkuat (12 event prioritas — hasil verifikasi ulang):</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15"/>
        <w:gridCol w:w="1915"/>
        <w:gridCol w:w="1915"/>
        <w:gridCol w:w="1915"/>
        <w:gridCol w:w="1915"/>
      </w:tblGrid>
      <w:tr>
        <w:tc>
          <w:tcPr>
            <w:tcW w:type="dxa" w:w="2268"/>
            <w:shd w:val="clear" w:color="auto" w:fill="d9d9d9"/>
          </w:tcPr>
          <w:p>
            <w:r/>
            <w:r>
              <w:rPr>
                <w:rFonts w:ascii="Arial" w:hAnsi="Arial"/>
                <w:b/>
                <w:color w:val="1A1A1A"/>
                <w:sz w:val="17"/>
              </w:rPr>
              <w:t>Nama Event</w:t>
            </w:r>
          </w:p>
        </w:tc>
        <w:tc>
          <w:tcPr>
            <w:tcW w:type="dxa" w:w="3175"/>
            <w:shd w:val="clear" w:color="auto" w:fill="d9d9d9"/>
          </w:tcPr>
          <w:p>
            <w:r/>
            <w:r>
              <w:rPr>
                <w:rFonts w:ascii="Arial" w:hAnsi="Arial"/>
                <w:b/>
                <w:color w:val="1A1A1A"/>
                <w:sz w:val="17"/>
              </w:rPr>
              <w:t>Alamat (hasil geocode)</w:t>
            </w:r>
          </w:p>
        </w:tc>
        <w:tc>
          <w:tcPr>
            <w:tcW w:type="dxa" w:w="1304"/>
            <w:shd w:val="clear" w:color="auto" w:fill="d9d9d9"/>
          </w:tcPr>
          <w:p>
            <w:r/>
            <w:r>
              <w:rPr>
                <w:rFonts w:ascii="Arial" w:hAnsi="Arial"/>
                <w:b/>
                <w:color w:val="1A1A1A"/>
                <w:sz w:val="17"/>
              </w:rPr>
              <w:t>Kota</w:t>
            </w:r>
          </w:p>
        </w:tc>
        <w:tc>
          <w:tcPr>
            <w:tcW w:type="dxa" w:w="1020"/>
            <w:shd w:val="clear" w:color="auto" w:fill="d9d9d9"/>
          </w:tcPr>
          <w:p>
            <w:r/>
            <w:r>
              <w:rPr>
                <w:rFonts w:ascii="Arial" w:hAnsi="Arial"/>
                <w:b/>
                <w:color w:val="1A1A1A"/>
                <w:sz w:val="17"/>
              </w:rPr>
              <w:t>Lat</w:t>
            </w:r>
          </w:p>
        </w:tc>
        <w:tc>
          <w:tcPr>
            <w:tcW w:type="dxa" w:w="1020"/>
            <w:shd w:val="clear" w:color="auto" w:fill="d9d9d9"/>
          </w:tcPr>
          <w:p>
            <w:r/>
            <w:r>
              <w:rPr>
                <w:rFonts w:ascii="Arial" w:hAnsi="Arial"/>
                <w:b/>
                <w:color w:val="1A1A1A"/>
                <w:sz w:val="17"/>
              </w:rPr>
              <w:t>Lon</w:t>
            </w:r>
          </w:p>
        </w:tc>
      </w:tr>
      <w:tr>
        <w:tc>
          <w:tcPr>
            <w:tcW w:type="dxa" w:w="2268"/>
          </w:tcPr>
          <w:p>
            <w:r/>
            <w:r>
              <w:rPr>
                <w:rFonts w:ascii="Arial" w:hAnsi="Arial"/>
                <w:b w:val="0"/>
                <w:color w:val="1A1A1A"/>
                <w:sz w:val="17"/>
              </w:rPr>
              <w:t>BTN JAKARTA INTERNATIONAL…</w:t>
            </w:r>
          </w:p>
        </w:tc>
        <w:tc>
          <w:tcPr>
            <w:tcW w:type="dxa" w:w="3175"/>
          </w:tcPr>
          <w:p>
            <w:r/>
            <w:r>
              <w:rPr>
                <w:rFonts w:ascii="Arial" w:hAnsi="Arial"/>
                <w:b w:val="0"/>
                <w:color w:val="1A1A1A"/>
                <w:sz w:val="17"/>
              </w:rPr>
              <w:t>Stadion Utama Gelora Bung Karno (finish…</w:t>
            </w:r>
          </w:p>
        </w:tc>
        <w:tc>
          <w:tcPr>
            <w:tcW w:type="dxa" w:w="1304"/>
          </w:tcPr>
          <w:p>
            <w:r/>
            <w:r>
              <w:rPr>
                <w:rFonts w:ascii="Arial" w:hAnsi="Arial"/>
                <w:b w:val="0"/>
                <w:color w:val="1A1A1A"/>
                <w:sz w:val="17"/>
              </w:rPr>
              <w:t>Jakarta Pusat</w:t>
            </w:r>
          </w:p>
        </w:tc>
        <w:tc>
          <w:tcPr>
            <w:tcW w:type="dxa" w:w="1020"/>
          </w:tcPr>
          <w:p>
            <w:r/>
            <w:r>
              <w:rPr>
                <w:rFonts w:ascii="Arial" w:hAnsi="Arial"/>
                <w:b w:val="0"/>
                <w:color w:val="1A1A1A"/>
                <w:sz w:val="17"/>
              </w:rPr>
              <w:t>-6.2185</w:t>
            </w:r>
          </w:p>
        </w:tc>
        <w:tc>
          <w:tcPr>
            <w:tcW w:type="dxa" w:w="1020"/>
          </w:tcPr>
          <w:p>
            <w:r/>
            <w:r>
              <w:rPr>
                <w:rFonts w:ascii="Arial" w:hAnsi="Arial"/>
                <w:b w:val="0"/>
                <w:color w:val="1A1A1A"/>
                <w:sz w:val="17"/>
              </w:rPr>
              <w:t>106.8017</w:t>
            </w:r>
          </w:p>
        </w:tc>
      </w:tr>
      <w:tr>
        <w:tc>
          <w:tcPr>
            <w:tcW w:type="dxa" w:w="2268"/>
          </w:tcPr>
          <w:p>
            <w:r/>
            <w:r>
              <w:rPr>
                <w:rFonts w:ascii="Arial" w:hAnsi="Arial"/>
                <w:b w:val="0"/>
                <w:color w:val="1A1A1A"/>
                <w:sz w:val="17"/>
              </w:rPr>
              <w:t>RED CROSS INDONESIA - PMI</w:t>
            </w:r>
          </w:p>
        </w:tc>
        <w:tc>
          <w:tcPr>
            <w:tcW w:type="dxa" w:w="3175"/>
          </w:tcPr>
          <w:p>
            <w:r/>
            <w:r>
              <w:rPr>
                <w:rFonts w:ascii="Arial" w:hAnsi="Arial"/>
                <w:b w:val="0"/>
                <w:color w:val="1A1A1A"/>
                <w:sz w:val="17"/>
              </w:rPr>
              <w:t>Lapangan Sisi Selatan Monumen Nasional …</w:t>
            </w:r>
          </w:p>
        </w:tc>
        <w:tc>
          <w:tcPr>
            <w:tcW w:type="dxa" w:w="1304"/>
          </w:tcPr>
          <w:p>
            <w:r/>
            <w:r>
              <w:rPr>
                <w:rFonts w:ascii="Arial" w:hAnsi="Arial"/>
                <w:b w:val="0"/>
                <w:color w:val="1A1A1A"/>
                <w:sz w:val="17"/>
              </w:rPr>
              <w:t>Jakarta Pusat</w:t>
            </w:r>
          </w:p>
        </w:tc>
        <w:tc>
          <w:tcPr>
            <w:tcW w:type="dxa" w:w="1020"/>
          </w:tcPr>
          <w:p>
            <w:r/>
            <w:r>
              <w:rPr>
                <w:rFonts w:ascii="Arial" w:hAnsi="Arial"/>
                <w:b w:val="0"/>
                <w:color w:val="1A1A1A"/>
                <w:sz w:val="17"/>
              </w:rPr>
              <w:t>-6.1830</w:t>
            </w:r>
          </w:p>
        </w:tc>
        <w:tc>
          <w:tcPr>
            <w:tcW w:type="dxa" w:w="1020"/>
          </w:tcPr>
          <w:p>
            <w:r/>
            <w:r>
              <w:rPr>
                <w:rFonts w:ascii="Arial" w:hAnsi="Arial"/>
                <w:b w:val="0"/>
                <w:color w:val="1A1A1A"/>
                <w:sz w:val="17"/>
              </w:rPr>
              <w:t>106.8232</w:t>
            </w:r>
          </w:p>
        </w:tc>
      </w:tr>
      <w:tr>
        <w:tc>
          <w:tcPr>
            <w:tcW w:type="dxa" w:w="2268"/>
          </w:tcPr>
          <w:p>
            <w:r/>
            <w:r>
              <w:rPr>
                <w:rFonts w:ascii="Arial" w:hAnsi="Arial"/>
                <w:b w:val="0"/>
                <w:color w:val="1A1A1A"/>
                <w:sz w:val="17"/>
              </w:rPr>
              <w:t>TRAVEL MEET ASIA 2026</w:t>
            </w:r>
          </w:p>
        </w:tc>
        <w:tc>
          <w:tcPr>
            <w:tcW w:type="dxa" w:w="3175"/>
          </w:tcPr>
          <w:p>
            <w:r/>
            <w:r>
              <w:rPr>
                <w:rFonts w:ascii="Arial" w:hAnsi="Arial"/>
                <w:b w:val="0"/>
                <w:color w:val="1A1A1A"/>
                <w:sz w:val="17"/>
              </w:rPr>
              <w:t>Swissotel Jakarta PIK Avenue, PIK Avenu…</w:t>
            </w:r>
          </w:p>
        </w:tc>
        <w:tc>
          <w:tcPr>
            <w:tcW w:type="dxa" w:w="1304"/>
          </w:tcPr>
          <w:p>
            <w:r/>
            <w:r>
              <w:rPr>
                <w:rFonts w:ascii="Arial" w:hAnsi="Arial"/>
                <w:b w:val="0"/>
                <w:color w:val="1A1A1A"/>
                <w:sz w:val="17"/>
              </w:rPr>
              <w:t>Jakarta Utara</w:t>
            </w:r>
          </w:p>
        </w:tc>
        <w:tc>
          <w:tcPr>
            <w:tcW w:type="dxa" w:w="1020"/>
          </w:tcPr>
          <w:p>
            <w:r/>
            <w:r>
              <w:rPr>
                <w:rFonts w:ascii="Arial" w:hAnsi="Arial"/>
                <w:b w:val="0"/>
                <w:color w:val="1A1A1A"/>
                <w:sz w:val="17"/>
              </w:rPr>
              <w:t>-6.1085</w:t>
            </w:r>
          </w:p>
        </w:tc>
        <w:tc>
          <w:tcPr>
            <w:tcW w:type="dxa" w:w="1020"/>
          </w:tcPr>
          <w:p>
            <w:r/>
            <w:r>
              <w:rPr>
                <w:rFonts w:ascii="Arial" w:hAnsi="Arial"/>
                <w:b w:val="0"/>
                <w:color w:val="1A1A1A"/>
                <w:sz w:val="17"/>
              </w:rPr>
              <w:t>106.7398</w:t>
            </w:r>
          </w:p>
        </w:tc>
      </w:tr>
      <w:tr>
        <w:tc>
          <w:tcPr>
            <w:tcW w:type="dxa" w:w="2268"/>
          </w:tcPr>
          <w:p>
            <w:r/>
            <w:r>
              <w:rPr>
                <w:rFonts w:ascii="Arial" w:hAnsi="Arial"/>
                <w:b w:val="0"/>
                <w:color w:val="1A1A1A"/>
                <w:sz w:val="17"/>
              </w:rPr>
              <w:t>JAKARTA AT IMEX FRANKFURT…</w:t>
            </w:r>
          </w:p>
        </w:tc>
        <w:tc>
          <w:tcPr>
            <w:tcW w:type="dxa" w:w="3175"/>
          </w:tcPr>
          <w:p>
            <w:r/>
            <w:r>
              <w:rPr>
                <w:rFonts w:ascii="Arial" w:hAnsi="Arial"/>
                <w:b w:val="0"/>
                <w:color w:val="1A1A1A"/>
                <w:sz w:val="17"/>
              </w:rPr>
              <w:t>Messe Frankfurt (venue IMEX Frankfurt),…</w:t>
            </w:r>
          </w:p>
        </w:tc>
        <w:tc>
          <w:tcPr>
            <w:tcW w:type="dxa" w:w="1304"/>
          </w:tcPr>
          <w:p>
            <w:r/>
            <w:r>
              <w:rPr>
                <w:rFonts w:ascii="Arial" w:hAnsi="Arial"/>
                <w:b w:val="0"/>
                <w:color w:val="1A1A1A"/>
                <w:sz w:val="17"/>
              </w:rPr>
              <w:t>Frankfurt am Ma…</w:t>
            </w:r>
          </w:p>
        </w:tc>
        <w:tc>
          <w:tcPr>
            <w:tcW w:type="dxa" w:w="1020"/>
          </w:tcPr>
          <w:p>
            <w:r/>
            <w:r>
              <w:rPr>
                <w:rFonts w:ascii="Arial" w:hAnsi="Arial"/>
                <w:b w:val="0"/>
                <w:color w:val="1A1A1A"/>
                <w:sz w:val="17"/>
              </w:rPr>
              <w:t>50.111949</w:t>
            </w:r>
          </w:p>
        </w:tc>
        <w:tc>
          <w:tcPr>
            <w:tcW w:type="dxa" w:w="1020"/>
          </w:tcPr>
          <w:p>
            <w:r/>
            <w:r>
              <w:rPr>
                <w:rFonts w:ascii="Arial" w:hAnsi="Arial"/>
                <w:b w:val="0"/>
                <w:color w:val="1A1A1A"/>
                <w:sz w:val="17"/>
              </w:rPr>
              <w:t>8.651138</w:t>
            </w:r>
          </w:p>
        </w:tc>
      </w:tr>
      <w:tr>
        <w:tc>
          <w:tcPr>
            <w:tcW w:type="dxa" w:w="2268"/>
          </w:tcPr>
          <w:p>
            <w:r/>
            <w:r>
              <w:rPr>
                <w:rFonts w:ascii="Arial" w:hAnsi="Arial"/>
                <w:b w:val="0"/>
                <w:color w:val="1A1A1A"/>
                <w:sz w:val="17"/>
              </w:rPr>
              <w:t>SALES MISSION CHINA AT XI…</w:t>
            </w:r>
          </w:p>
        </w:tc>
        <w:tc>
          <w:tcPr>
            <w:tcW w:type="dxa" w:w="3175"/>
          </w:tcPr>
          <w:p>
            <w:r/>
            <w:r>
              <w:rPr>
                <w:rFonts w:ascii="Arial" w:hAnsi="Arial"/>
                <w:b w:val="0"/>
                <w:color w:val="1A1A1A"/>
                <w:sz w:val="17"/>
              </w:rPr>
              <w:t>Hotel Nikko Xiamen, No. 199 Wenxing Eas…</w:t>
            </w:r>
          </w:p>
        </w:tc>
        <w:tc>
          <w:tcPr>
            <w:tcW w:type="dxa" w:w="1304"/>
          </w:tcPr>
          <w:p>
            <w:r/>
            <w:r>
              <w:rPr>
                <w:rFonts w:ascii="Arial" w:hAnsi="Arial"/>
                <w:b w:val="0"/>
                <w:color w:val="1A1A1A"/>
                <w:sz w:val="17"/>
              </w:rPr>
              <w:t>Xiamen, Fujian,…</w:t>
            </w:r>
          </w:p>
        </w:tc>
        <w:tc>
          <w:tcPr>
            <w:tcW w:type="dxa" w:w="1020"/>
          </w:tcPr>
          <w:p>
            <w:r/>
            <w:r>
              <w:rPr>
                <w:rFonts w:ascii="Arial" w:hAnsi="Arial"/>
                <w:b w:val="0"/>
                <w:color w:val="1A1A1A"/>
                <w:sz w:val="17"/>
              </w:rPr>
              <w:t>24.4494</w:t>
            </w:r>
          </w:p>
        </w:tc>
        <w:tc>
          <w:tcPr>
            <w:tcW w:type="dxa" w:w="1020"/>
          </w:tcPr>
          <w:p>
            <w:r/>
            <w:r>
              <w:rPr>
                <w:rFonts w:ascii="Arial" w:hAnsi="Arial"/>
                <w:b w:val="0"/>
                <w:color w:val="1A1A1A"/>
                <w:sz w:val="17"/>
              </w:rPr>
              <w:t>118.0819</w:t>
            </w:r>
          </w:p>
        </w:tc>
      </w:tr>
      <w:tr>
        <w:tc>
          <w:tcPr>
            <w:tcW w:type="dxa" w:w="2268"/>
          </w:tcPr>
          <w:p>
            <w:r/>
            <w:r>
              <w:rPr>
                <w:rFonts w:ascii="Arial" w:hAnsi="Arial"/>
                <w:b w:val="0"/>
                <w:color w:val="1A1A1A"/>
                <w:sz w:val="17"/>
              </w:rPr>
              <w:t>JAKARTA AT ITB CHINA 2026</w:t>
            </w:r>
          </w:p>
        </w:tc>
        <w:tc>
          <w:tcPr>
            <w:tcW w:type="dxa" w:w="3175"/>
          </w:tcPr>
          <w:p>
            <w:r/>
            <w:r>
              <w:rPr>
                <w:rFonts w:ascii="Arial" w:hAnsi="Arial"/>
                <w:b w:val="0"/>
                <w:color w:val="1A1A1A"/>
                <w:sz w:val="17"/>
              </w:rPr>
              <w:t>Shanghai World Expo Exhibition &amp; Conven…</w:t>
            </w:r>
          </w:p>
        </w:tc>
        <w:tc>
          <w:tcPr>
            <w:tcW w:type="dxa" w:w="1304"/>
          </w:tcPr>
          <w:p>
            <w:r/>
            <w:r>
              <w:rPr>
                <w:rFonts w:ascii="Arial" w:hAnsi="Arial"/>
                <w:b w:val="0"/>
                <w:color w:val="1A1A1A"/>
                <w:sz w:val="17"/>
              </w:rPr>
              <w:t>Shanghai, China</w:t>
            </w:r>
          </w:p>
        </w:tc>
        <w:tc>
          <w:tcPr>
            <w:tcW w:type="dxa" w:w="1020"/>
          </w:tcPr>
          <w:p>
            <w:r/>
            <w:r>
              <w:rPr>
                <w:rFonts w:ascii="Arial" w:hAnsi="Arial"/>
                <w:b w:val="0"/>
                <w:color w:val="1A1A1A"/>
                <w:sz w:val="17"/>
              </w:rPr>
              <w:t>31.183552</w:t>
            </w:r>
          </w:p>
        </w:tc>
        <w:tc>
          <w:tcPr>
            <w:tcW w:type="dxa" w:w="1020"/>
          </w:tcPr>
          <w:p>
            <w:r/>
            <w:r>
              <w:rPr>
                <w:rFonts w:ascii="Arial" w:hAnsi="Arial"/>
                <w:b w:val="0"/>
                <w:color w:val="1A1A1A"/>
                <w:sz w:val="17"/>
              </w:rPr>
              <w:t>121.4895…</w:t>
            </w:r>
          </w:p>
        </w:tc>
      </w:tr>
    </w:tbl>
    <w:p>
      <w:pPr>
        <w:spacing w:after="40"/>
      </w:pPr>
    </w:p>
    <w:p>
      <w:pPr>
        <w:spacing w:after="160" w:before="0" w:line="276" w:lineRule="auto"/>
        <w:jc w:val="left"/>
      </w:pPr>
      <w:r>
        <w:rPr>
          <w:rFonts w:ascii="Arial" w:hAnsi="Arial"/>
          <w:b w:val="0"/>
          <w:i/>
          <w:color w:val="555555"/>
          <w:sz w:val="17"/>
        </w:rPr>
        <w:t>Sumber: dataset Jumlah Pengunjung Event Jakarta 2026 (804 baris); kolom lokasi diperkuat menjadi alamat, koordinat, dan sumber via geocoding + penelusuran web.</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Pada pengembangan platform, MDM Specialist berperan memastikan setiap sumber yang masuk melalui Data Gathering dikonsolidasikan menjadi master data tepercaya — dengan kunci identitas yang jelas (mis. nomor sertifikat halal) dan tingkat keyakinan yang tercatat — sebelum dipakai dashboard maupun AI Analyst.</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Master data entitas halal telah dibentuk dengan kunci sertifikat, dan golden record event telah diperkuat serta diverifikasi ulang. Tahap berikutnya adalah memformalkan kebijakan stewardship dan memperluas master data ke seluruh entitas pariwisata.</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Master Data Management (MDM) Specialist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