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Database Administrator (Senior)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7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Database Administrator, tenaga ahli bertanggung jawab merancang struktur penyimpanan data statistik pariwisata, menyusun skema tabel dan aturan integritas data, melaksanakan loading data hasil pengumpulan, serta mendokumentasikan struktur data agar konsisten dan dapat digunakan ulang.</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struktur basis data statistik pariwisata pada platform Database (logical &amp; physical data model);</w:t>
      </w:r>
    </w:p>
    <w:p>
      <w:pPr>
        <w:spacing w:after="60" w:line="269" w:lineRule="auto"/>
        <w:ind w:left="510"/>
      </w:pPr>
      <w:r>
        <w:rPr>
          <w:rFonts w:ascii="Arial" w:hAnsi="Arial"/>
          <w:b/>
          <w:sz w:val="22"/>
        </w:rPr>
        <w:t xml:space="preserve">b.  </w:t>
      </w:r>
      <w:r>
        <w:rPr>
          <w:rFonts w:ascii="Arial" w:hAnsi="Arial"/>
          <w:color w:val="1A1A1A"/>
          <w:sz w:val="22"/>
        </w:rPr>
        <w:t>Menyusun skema tabel, indeks, constraint, view, dan partisi sesuai kebutuhan analitik;</w:t>
      </w:r>
    </w:p>
    <w:p>
      <w:pPr>
        <w:spacing w:after="60" w:line="269" w:lineRule="auto"/>
        <w:ind w:left="510"/>
      </w:pPr>
      <w:r>
        <w:rPr>
          <w:rFonts w:ascii="Arial" w:hAnsi="Arial"/>
          <w:b/>
          <w:sz w:val="22"/>
        </w:rPr>
        <w:t xml:space="preserve">c.  </w:t>
      </w:r>
      <w:r>
        <w:rPr>
          <w:rFonts w:ascii="Arial" w:hAnsi="Arial"/>
          <w:color w:val="1A1A1A"/>
          <w:sz w:val="22"/>
        </w:rPr>
        <w:t>Melaksanakan loading data hasil pengumpulan, pembersihan, dan validasi ke dalam Database;</w:t>
      </w:r>
    </w:p>
    <w:p>
      <w:pPr>
        <w:spacing w:after="60" w:line="269" w:lineRule="auto"/>
        <w:ind w:left="510"/>
      </w:pPr>
      <w:r>
        <w:rPr>
          <w:rFonts w:ascii="Arial" w:hAnsi="Arial"/>
          <w:b/>
          <w:sz w:val="22"/>
        </w:rPr>
        <w:t xml:space="preserve">d.  </w:t>
      </w:r>
      <w:r>
        <w:rPr>
          <w:rFonts w:ascii="Arial" w:hAnsi="Arial"/>
          <w:color w:val="1A1A1A"/>
          <w:sz w:val="22"/>
        </w:rPr>
        <w:t>Melakukan optimasi kinerja basis data (query tuning, indexing, statistik, partitioning);</w:t>
      </w:r>
    </w:p>
    <w:p>
      <w:pPr>
        <w:spacing w:after="60" w:line="269" w:lineRule="auto"/>
        <w:ind w:left="510"/>
      </w:pPr>
      <w:r>
        <w:rPr>
          <w:rFonts w:ascii="Arial" w:hAnsi="Arial"/>
          <w:b/>
          <w:sz w:val="22"/>
        </w:rPr>
        <w:t xml:space="preserve">e.  </w:t>
      </w:r>
      <w:r>
        <w:rPr>
          <w:rFonts w:ascii="Arial" w:hAnsi="Arial"/>
          <w:color w:val="1A1A1A"/>
          <w:sz w:val="22"/>
        </w:rPr>
        <w:t>Menyusun tata kelola akses dan keamanan basis data (role, privilege, audit trail);</w:t>
      </w:r>
    </w:p>
    <w:p>
      <w:pPr>
        <w:spacing w:after="60" w:line="269" w:lineRule="auto"/>
        <w:ind w:left="510"/>
      </w:pPr>
      <w:r>
        <w:rPr>
          <w:rFonts w:ascii="Arial" w:hAnsi="Arial"/>
          <w:b/>
          <w:sz w:val="22"/>
        </w:rPr>
        <w:t xml:space="preserve">f.  </w:t>
      </w:r>
      <w:r>
        <w:rPr>
          <w:rFonts w:ascii="Arial" w:hAnsi="Arial"/>
          <w:color w:val="1A1A1A"/>
          <w:sz w:val="22"/>
        </w:rPr>
        <w:t>Menyusun pedoman backup, recovery, dan pemeliharaan basis data;</w:t>
      </w:r>
    </w:p>
    <w:p>
      <w:pPr>
        <w:spacing w:after="60" w:line="269" w:lineRule="auto"/>
        <w:ind w:left="510"/>
      </w:pPr>
      <w:r>
        <w:rPr>
          <w:rFonts w:ascii="Arial" w:hAnsi="Arial"/>
          <w:b/>
          <w:sz w:val="22"/>
        </w:rPr>
        <w:t xml:space="preserve">g.  </w:t>
      </w:r>
      <w:r>
        <w:rPr>
          <w:rFonts w:ascii="Arial" w:hAnsi="Arial"/>
          <w:color w:val="1A1A1A"/>
          <w:sz w:val="22"/>
        </w:rPr>
        <w:t>Mendokumentasikan basis data (ERD, kamus tabel, panduan operasional).</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merancang struktur data untuk dua domain (restoran dan pertunjukan) dalam bentuk skema tabel terstandar dengan kolom, tipe, dan sumber yang konsisten, serta menyiapkan lapisan data raw–clean–mart sebagai kerangka lakehouse. Sesuai lingkup KAK, pekerjaan difokuskan pada perancangan dan struktur data (bukan administrasi basis data operasional).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Rancangan logical &amp; physical model</w:t>
            </w:r>
          </w:p>
        </w:tc>
        <w:tc>
          <w:tcPr>
            <w:tcW w:type="dxa" w:w="5102"/>
          </w:tcPr>
          <w:p>
            <w:r/>
            <w:r>
              <w:rPr>
                <w:rFonts w:ascii="Arial" w:hAnsi="Arial"/>
                <w:b w:val="0"/>
                <w:color w:val="1A1A1A"/>
                <w:sz w:val="19"/>
              </w:rPr>
              <w:t>Menetapkan skema entitas restoran (Nama, Jenis Cuisine, Alamat, Rating, Jumlah Ulasan, Sumber, Tier/Area) dan pertunjukan (Penyelenggara, Nama, Tanggal, Tempat, Jenis, Jumlah Pengunjung, Keterangan, Sumber).</w:t>
            </w:r>
          </w:p>
        </w:tc>
      </w:tr>
      <w:tr>
        <w:tc>
          <w:tcPr>
            <w:tcW w:type="dxa" w:w="3742"/>
          </w:tcPr>
          <w:p>
            <w:r/>
            <w:r>
              <w:rPr>
                <w:rFonts w:ascii="Arial" w:hAnsi="Arial"/>
                <w:b w:val="0"/>
                <w:color w:val="1A1A1A"/>
                <w:sz w:val="19"/>
              </w:rPr>
              <w:t>Skema tabel, constraint &amp; view</w:t>
            </w:r>
          </w:p>
        </w:tc>
        <w:tc>
          <w:tcPr>
            <w:tcW w:type="dxa" w:w="5102"/>
          </w:tcPr>
          <w:p>
            <w:r/>
            <w:r>
              <w:rPr>
                <w:rFonts w:ascii="Arial" w:hAnsi="Arial"/>
                <w:b w:val="0"/>
                <w:color w:val="1A1A1A"/>
                <w:sz w:val="19"/>
              </w:rPr>
              <w:t>Menyusun kolom terstandar dan aturan pengisian (mis. Jumlah Pengunjung hanya berisi angka, kosong bila tidak tersedia; penggunaan kapasitas sebagai proksi diberi keterangan).</w:t>
            </w:r>
          </w:p>
        </w:tc>
      </w:tr>
      <w:tr>
        <w:tc>
          <w:tcPr>
            <w:tcW w:type="dxa" w:w="3742"/>
          </w:tcPr>
          <w:p>
            <w:r/>
            <w:r>
              <w:rPr>
                <w:rFonts w:ascii="Arial" w:hAnsi="Arial"/>
                <w:b w:val="0"/>
                <w:color w:val="1A1A1A"/>
                <w:sz w:val="19"/>
              </w:rPr>
              <w:t>Loading data terkurasi &amp; tervalidasi</w:t>
            </w:r>
          </w:p>
        </w:tc>
        <w:tc>
          <w:tcPr>
            <w:tcW w:type="dxa" w:w="5102"/>
          </w:tcPr>
          <w:p>
            <w:r/>
            <w:r>
              <w:rPr>
                <w:rFonts w:ascii="Arial" w:hAnsi="Arial"/>
                <w:b w:val="0"/>
                <w:color w:val="1A1A1A"/>
                <w:sz w:val="19"/>
              </w:rPr>
              <w:t>Memuat 84 baris restoran deliverable dan 308 entri pertunjukan ke struktur data aplikasi, termasuk kolom turunan alamat, harga, dan rating.</w:t>
            </w:r>
          </w:p>
        </w:tc>
      </w:tr>
      <w:tr>
        <w:tc>
          <w:tcPr>
            <w:tcW w:type="dxa" w:w="3742"/>
          </w:tcPr>
          <w:p>
            <w:r/>
            <w:r>
              <w:rPr>
                <w:rFonts w:ascii="Arial" w:hAnsi="Arial"/>
                <w:b w:val="0"/>
                <w:color w:val="1A1A1A"/>
                <w:sz w:val="19"/>
              </w:rPr>
              <w:t>Optimasi &amp; deduplikasi</w:t>
            </w:r>
          </w:p>
        </w:tc>
        <w:tc>
          <w:tcPr>
            <w:tcW w:type="dxa" w:w="5102"/>
          </w:tcPr>
          <w:p>
            <w:r/>
            <w:r>
              <w:rPr>
                <w:rFonts w:ascii="Arial" w:hAnsi="Arial"/>
                <w:b w:val="0"/>
                <w:color w:val="1A1A1A"/>
                <w:sz w:val="19"/>
              </w:rPr>
              <w:t>Menerapkan mekanisme deduplikasi lintas-sumber (normalisasi nama + tahun-bulan) sehingga entri ganda dan wilayah non-DKI tersaring sebelum dimuat.</w:t>
            </w:r>
          </w:p>
        </w:tc>
      </w:tr>
      <w:tr>
        <w:tc>
          <w:tcPr>
            <w:tcW w:type="dxa" w:w="3742"/>
          </w:tcPr>
          <w:p>
            <w:r/>
            <w:r>
              <w:rPr>
                <w:rFonts w:ascii="Arial" w:hAnsi="Arial"/>
                <w:b w:val="0"/>
                <w:color w:val="1A1A1A"/>
                <w:sz w:val="19"/>
              </w:rPr>
              <w:t>Tata kelola akses &amp; sumber</w:t>
            </w:r>
          </w:p>
        </w:tc>
        <w:tc>
          <w:tcPr>
            <w:tcW w:type="dxa" w:w="5102"/>
          </w:tcPr>
          <w:p>
            <w:r/>
            <w:r>
              <w:rPr>
                <w:rFonts w:ascii="Arial" w:hAnsi="Arial"/>
                <w:b w:val="0"/>
                <w:color w:val="1A1A1A"/>
                <w:sz w:val="19"/>
              </w:rPr>
              <w:t>Menandai sumber setiap nilai (Google/OSM/editorial) sebagai jejak keterlacakan (audit trail) pada setiap baris data.</w:t>
            </w:r>
          </w:p>
        </w:tc>
      </w:tr>
      <w:tr>
        <w:tc>
          <w:tcPr>
            <w:tcW w:type="dxa" w:w="3742"/>
          </w:tcPr>
          <w:p>
            <w:r/>
            <w:r>
              <w:rPr>
                <w:rFonts w:ascii="Arial" w:hAnsi="Arial"/>
                <w:b w:val="0"/>
                <w:color w:val="1A1A1A"/>
                <w:sz w:val="19"/>
              </w:rPr>
              <w:t>Dokumentasi struktur data</w:t>
            </w:r>
          </w:p>
        </w:tc>
        <w:tc>
          <w:tcPr>
            <w:tcW w:type="dxa" w:w="5102"/>
          </w:tcPr>
          <w:p>
            <w:r/>
            <w:r>
              <w:rPr>
                <w:rFonts w:ascii="Arial" w:hAnsi="Arial"/>
                <w:b w:val="0"/>
                <w:color w:val="1A1A1A"/>
                <w:sz w:val="19"/>
              </w:rPr>
              <w:t>Menyusun kamus kolom dan pedoman pengisian yang menyertai kedua berkas deliverable.</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struktur tabel data yang tampil pada dashboard dan cuplikan skema data deliverable.</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gci-viewport.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Struktur tabel restoran pada dashboard — kolom terstandar Nama, Jenis Cuisine, Alamat, Harga, Rating, Jumlah Ulasan, Sumber, Tier.</w:t>
      </w:r>
    </w:p>
    <w:p>
      <w:pPr>
        <w:spacing w:after="60" w:before="80" w:line="276" w:lineRule="auto"/>
        <w:jc w:val="left"/>
      </w:pPr>
      <w:r>
        <w:rPr>
          <w:rFonts w:ascii="Arial" w:hAnsi="Arial"/>
          <w:b/>
          <w:i w:val="0"/>
          <w:color w:val="1A1A1A"/>
          <w:sz w:val="21"/>
        </w:rPr>
        <w:t>Cuplikan skema &amp; isi tabel restoran (deliverable):</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567"/>
            <w:shd w:val="clear" w:color="auto" w:fill="d9d9d9"/>
          </w:tcPr>
          <w:p>
            <w:r/>
            <w:r>
              <w:rPr>
                <w:rFonts w:ascii="Arial" w:hAnsi="Arial"/>
                <w:b/>
                <w:color w:val="1A1A1A"/>
                <w:sz w:val="17"/>
              </w:rPr>
              <w:t>No.</w:t>
            </w:r>
          </w:p>
        </w:tc>
        <w:tc>
          <w:tcPr>
            <w:tcW w:type="dxa" w:w="2381"/>
            <w:shd w:val="clear" w:color="auto" w:fill="d9d9d9"/>
          </w:tcPr>
          <w:p>
            <w:r/>
            <w:r>
              <w:rPr>
                <w:rFonts w:ascii="Arial" w:hAnsi="Arial"/>
                <w:b/>
                <w:color w:val="1A1A1A"/>
                <w:sz w:val="17"/>
              </w:rPr>
              <w:t>Nama</w:t>
            </w:r>
          </w:p>
        </w:tc>
        <w:tc>
          <w:tcPr>
            <w:tcW w:type="dxa" w:w="2041"/>
            <w:shd w:val="clear" w:color="auto" w:fill="d9d9d9"/>
          </w:tcPr>
          <w:p>
            <w:r/>
            <w:r>
              <w:rPr>
                <w:rFonts w:ascii="Arial" w:hAnsi="Arial"/>
                <w:b/>
                <w:color w:val="1A1A1A"/>
                <w:sz w:val="17"/>
              </w:rPr>
              <w:t>Jenis Cuisine</w:t>
            </w:r>
          </w:p>
        </w:tc>
        <w:tc>
          <w:tcPr>
            <w:tcW w:type="dxa" w:w="907"/>
            <w:shd w:val="clear" w:color="auto" w:fill="d9d9d9"/>
          </w:tcPr>
          <w:p>
            <w:r/>
            <w:r>
              <w:rPr>
                <w:rFonts w:ascii="Arial" w:hAnsi="Arial"/>
                <w:b/>
                <w:color w:val="1A1A1A"/>
                <w:sz w:val="17"/>
              </w:rPr>
              <w:t>Rating</w:t>
            </w:r>
          </w:p>
        </w:tc>
        <w:tc>
          <w:tcPr>
            <w:tcW w:type="dxa" w:w="1134"/>
            <w:shd w:val="clear" w:color="auto" w:fill="d9d9d9"/>
          </w:tcPr>
          <w:p>
            <w:r/>
            <w:r>
              <w:rPr>
                <w:rFonts w:ascii="Arial" w:hAnsi="Arial"/>
                <w:b/>
                <w:color w:val="1A1A1A"/>
                <w:sz w:val="17"/>
              </w:rPr>
              <w:t>Ulasan</w:t>
            </w:r>
          </w:p>
        </w:tc>
        <w:tc>
          <w:tcPr>
            <w:tcW w:type="dxa" w:w="1191"/>
            <w:shd w:val="clear" w:color="auto" w:fill="d9d9d9"/>
          </w:tcPr>
          <w:p>
            <w:r/>
            <w:r>
              <w:rPr>
                <w:rFonts w:ascii="Arial" w:hAnsi="Arial"/>
                <w:b/>
                <w:color w:val="1A1A1A"/>
                <w:sz w:val="17"/>
              </w:rPr>
              <w:t>Sumber</w:t>
            </w:r>
          </w:p>
        </w:tc>
      </w:tr>
      <w:tr>
        <w:tc>
          <w:tcPr>
            <w:tcW w:type="dxa" w:w="567"/>
          </w:tcPr>
          <w:p>
            <w:r/>
            <w:r>
              <w:rPr>
                <w:rFonts w:ascii="Arial" w:hAnsi="Arial"/>
                <w:b w:val="0"/>
                <w:color w:val="1A1A1A"/>
                <w:sz w:val="17"/>
              </w:rPr>
              <w:t>1</w:t>
            </w:r>
          </w:p>
        </w:tc>
        <w:tc>
          <w:tcPr>
            <w:tcW w:type="dxa" w:w="2381"/>
          </w:tcPr>
          <w:p>
            <w:r/>
            <w:r>
              <w:rPr>
                <w:rFonts w:ascii="Arial" w:hAnsi="Arial"/>
                <w:b w:val="0"/>
                <w:color w:val="1A1A1A"/>
                <w:sz w:val="17"/>
              </w:rPr>
              <w:t>Osteria GIA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4,9</w:t>
            </w:r>
          </w:p>
        </w:tc>
        <w:tc>
          <w:tcPr>
            <w:tcW w:type="dxa" w:w="1134"/>
          </w:tcPr>
          <w:p>
            <w:r/>
            <w:r>
              <w:rPr>
                <w:rFonts w:ascii="Arial" w:hAnsi="Arial"/>
                <w:b w:val="0"/>
                <w:color w:val="1A1A1A"/>
                <w:sz w:val="17"/>
              </w:rPr>
              <w:t>4877</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2</w:t>
            </w:r>
          </w:p>
        </w:tc>
        <w:tc>
          <w:tcPr>
            <w:tcW w:type="dxa" w:w="2381"/>
          </w:tcPr>
          <w:p>
            <w:r/>
            <w:r>
              <w:rPr>
                <w:rFonts w:ascii="Arial" w:hAnsi="Arial"/>
                <w:b w:val="0"/>
                <w:color w:val="1A1A1A"/>
                <w:sz w:val="17"/>
              </w:rPr>
              <w:t>Bistecca</w:t>
            </w:r>
          </w:p>
        </w:tc>
        <w:tc>
          <w:tcPr>
            <w:tcW w:type="dxa" w:w="2041"/>
          </w:tcPr>
          <w:p>
            <w:r/>
            <w:r>
              <w:rPr>
                <w:rFonts w:ascii="Arial" w:hAnsi="Arial"/>
                <w:b w:val="0"/>
                <w:color w:val="1A1A1A"/>
                <w:sz w:val="17"/>
              </w:rPr>
              <w:t>Italian / Steakhouse</w:t>
            </w:r>
          </w:p>
        </w:tc>
        <w:tc>
          <w:tcPr>
            <w:tcW w:type="dxa" w:w="907"/>
          </w:tcPr>
          <w:p>
            <w:r/>
            <w:r>
              <w:rPr>
                <w:rFonts w:ascii="Arial" w:hAnsi="Arial"/>
                <w:b w:val="0"/>
                <w:color w:val="1A1A1A"/>
                <w:sz w:val="17"/>
              </w:rPr>
              <w:t>4,6</w:t>
            </w:r>
          </w:p>
        </w:tc>
        <w:tc>
          <w:tcPr>
            <w:tcW w:type="dxa" w:w="1134"/>
          </w:tcPr>
          <w:p>
            <w:r/>
            <w:r>
              <w:rPr>
                <w:rFonts w:ascii="Arial" w:hAnsi="Arial"/>
                <w:b w:val="0"/>
                <w:color w:val="1A1A1A"/>
                <w:sz w:val="17"/>
              </w:rPr>
              <w:t>1792</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3</w:t>
            </w:r>
          </w:p>
        </w:tc>
        <w:tc>
          <w:tcPr>
            <w:tcW w:type="dxa" w:w="2381"/>
          </w:tcPr>
          <w:p>
            <w:r/>
            <w:r>
              <w:rPr>
                <w:rFonts w:ascii="Arial" w:hAnsi="Arial"/>
                <w:b w:val="0"/>
                <w:color w:val="1A1A1A"/>
                <w:sz w:val="17"/>
              </w:rPr>
              <w:t>Bottega Ristorante</w:t>
            </w:r>
          </w:p>
        </w:tc>
        <w:tc>
          <w:tcPr>
            <w:tcW w:type="dxa" w:w="2041"/>
          </w:tcPr>
          <w:p>
            <w:r/>
            <w:r>
              <w:rPr>
                <w:rFonts w:ascii="Arial" w:hAnsi="Arial"/>
                <w:b w:val="0"/>
                <w:color w:val="1A1A1A"/>
                <w:sz w:val="17"/>
              </w:rPr>
              <w:t>Italian / European</w:t>
            </w:r>
          </w:p>
        </w:tc>
        <w:tc>
          <w:tcPr>
            <w:tcW w:type="dxa" w:w="907"/>
          </w:tcPr>
          <w:p>
            <w:r/>
            <w:r>
              <w:rPr>
                <w:rFonts w:ascii="Arial" w:hAnsi="Arial"/>
                <w:b w:val="0"/>
                <w:color w:val="1A1A1A"/>
                <w:sz w:val="17"/>
              </w:rPr>
              <w:t>4,5</w:t>
            </w:r>
          </w:p>
        </w:tc>
        <w:tc>
          <w:tcPr>
            <w:tcW w:type="dxa" w:w="1134"/>
          </w:tcPr>
          <w:p>
            <w:r/>
            <w:r>
              <w:rPr>
                <w:rFonts w:ascii="Arial" w:hAnsi="Arial"/>
                <w:b w:val="0"/>
                <w:color w:val="1A1A1A"/>
                <w:sz w:val="17"/>
              </w:rPr>
              <w:t>1502</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4</w:t>
            </w:r>
          </w:p>
        </w:tc>
        <w:tc>
          <w:tcPr>
            <w:tcW w:type="dxa" w:w="2381"/>
          </w:tcPr>
          <w:p>
            <w:r/>
            <w:r>
              <w:rPr>
                <w:rFonts w:ascii="Arial" w:hAnsi="Arial"/>
                <w:b w:val="0"/>
                <w:color w:val="1A1A1A"/>
                <w:sz w:val="17"/>
              </w:rPr>
              <w:t>The Garden Osteria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4,7</w:t>
            </w:r>
          </w:p>
        </w:tc>
        <w:tc>
          <w:tcPr>
            <w:tcW w:type="dxa" w:w="1134"/>
          </w:tcPr>
          <w:p>
            <w:r/>
            <w:r>
              <w:rPr>
                <w:rFonts w:ascii="Arial" w:hAnsi="Arial"/>
                <w:b w:val="0"/>
                <w:color w:val="1A1A1A"/>
                <w:sz w:val="17"/>
              </w:rPr>
              <w:t>3058</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5</w:t>
            </w:r>
          </w:p>
        </w:tc>
        <w:tc>
          <w:tcPr>
            <w:tcW w:type="dxa" w:w="2381"/>
          </w:tcPr>
          <w:p>
            <w:r/>
            <w:r>
              <w:rPr>
                <w:rFonts w:ascii="Arial" w:hAnsi="Arial"/>
                <w:b w:val="0"/>
                <w:color w:val="1A1A1A"/>
                <w:sz w:val="17"/>
              </w:rPr>
              <w:t>ORO Italian Restaurant</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4,8</w:t>
            </w:r>
          </w:p>
        </w:tc>
        <w:tc>
          <w:tcPr>
            <w:tcW w:type="dxa" w:w="1134"/>
          </w:tcPr>
          <w:p>
            <w:r/>
            <w:r>
              <w:rPr>
                <w:rFonts w:ascii="Arial" w:hAnsi="Arial"/>
                <w:b w:val="0"/>
                <w:color w:val="1A1A1A"/>
                <w:sz w:val="17"/>
              </w:rPr>
              <w:t>1467</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6</w:t>
            </w:r>
          </w:p>
        </w:tc>
        <w:tc>
          <w:tcPr>
            <w:tcW w:type="dxa" w:w="2381"/>
          </w:tcPr>
          <w:p>
            <w:r/>
            <w:r>
              <w:rPr>
                <w:rFonts w:ascii="Arial" w:hAnsi="Arial"/>
                <w:b w:val="0"/>
                <w:color w:val="1A1A1A"/>
                <w:sz w:val="17"/>
              </w:rPr>
              <w:t>Emilia Cucina Italiana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4,8</w:t>
            </w:r>
          </w:p>
        </w:tc>
        <w:tc>
          <w:tcPr>
            <w:tcW w:type="dxa" w:w="1134"/>
          </w:tcPr>
          <w:p>
            <w:r/>
            <w:r>
              <w:rPr>
                <w:rFonts w:ascii="Arial" w:hAnsi="Arial"/>
                <w:b w:val="0"/>
                <w:color w:val="1A1A1A"/>
                <w:sz w:val="17"/>
              </w:rPr>
              <w:t>4776</w:t>
            </w:r>
          </w:p>
        </w:tc>
        <w:tc>
          <w:tcPr>
            <w:tcW w:type="dxa" w:w="1191"/>
          </w:tcPr>
          <w:p>
            <w:r/>
            <w:r>
              <w:rPr>
                <w:rFonts w:ascii="Arial" w:hAnsi="Arial"/>
                <w:b w:val="0"/>
                <w:color w:val="1A1A1A"/>
                <w:sz w:val="17"/>
              </w:rPr>
              <w:t>Google</w:t>
            </w:r>
          </w:p>
        </w:tc>
      </w:tr>
    </w:tbl>
    <w:p>
      <w:pPr>
        <w:spacing w:after="40"/>
      </w:pPr>
    </w:p>
    <w:p>
      <w:pPr>
        <w:spacing w:after="160" w:before="0" w:line="276" w:lineRule="auto"/>
        <w:jc w:val="left"/>
      </w:pPr>
      <w:r>
        <w:rPr>
          <w:rFonts w:ascii="Arial" w:hAnsi="Arial"/>
          <w:b w:val="0"/>
          <w:i/>
          <w:color w:val="555555"/>
          <w:sz w:val="17"/>
        </w:rPr>
        <w:t>Sumber: berkas deliverable data-restoran-GCI-jakarta.tsv (84 baris kurasi).</w:t>
      </w:r>
    </w:p>
    <w:p>
      <w:pPr>
        <w:spacing w:before="120" w:after="40"/>
        <w:jc w:val="center"/>
      </w:pPr>
      <w:r>
        <w:drawing>
          <wp:inline xmlns:a="http://schemas.openxmlformats.org/drawingml/2006/main" xmlns:pic="http://schemas.openxmlformats.org/drawingml/2006/picture">
            <wp:extent cx="5580000" cy="3139823"/>
            <wp:docPr id="2" name="Picture 2"/>
            <wp:cNvGraphicFramePr>
              <a:graphicFrameLocks noChangeAspect="1"/>
            </wp:cNvGraphicFramePr>
            <a:graphic>
              <a:graphicData uri="http://schemas.openxmlformats.org/drawingml/2006/picture">
                <pic:pic>
                  <pic:nvPicPr>
                    <pic:cNvPr id="0" name="deck-05-arsitektur.png"/>
                    <pic:cNvPicPr/>
                  </pic:nvPicPr>
                  <pic:blipFill>
                    <a:blip r:embed="rId10"/>
                    <a:stretch>
                      <a:fillRect/>
                    </a:stretch>
                  </pic:blipFill>
                  <pic:spPr>
                    <a:xfrm>
                      <a:off x="0" y="0"/>
                      <a:ext cx="5580000" cy="3139823"/>
                    </a:xfrm>
                    <a:prstGeom prst="rect"/>
                  </pic:spPr>
                </pic:pic>
              </a:graphicData>
            </a:graphic>
          </wp:inline>
        </w:drawing>
      </w:r>
    </w:p>
    <w:p>
      <w:pPr>
        <w:spacing w:after="200"/>
        <w:jc w:val="center"/>
      </w:pPr>
      <w:r>
        <w:rPr>
          <w:rFonts w:ascii="Arial" w:hAnsi="Arial"/>
          <w:i/>
          <w:color w:val="555555"/>
          <w:sz w:val="18"/>
        </w:rPr>
        <w:t>Gambar 2. Rancangan arsitektur konseptual lapisan data: raw → clean → business data mart.</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Pada pengembangan platform, DBA berperan membangun lapisan Lakehouse (Raw Data Layer, Clean Data Layer, Business Data Mart) sebagai fondasi data yang terstandarisasi, tervalidasi, dan siap digunakan ulang oleh dashboard maupun AI Analyst, lengkap dengan arsip metadata dan jejak sumber.</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Struktur data untuk dua domain indikator telah dirancang, dimuat, dan didokumentasikan. Tahap berikutnya adalah memperluas skema untuk entitas pariwisata lain dan menerapkannya pada lapisan lakehouse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Database Administrator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