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Master Data Management (MDM) Specialist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MDM Specialist, tenaga ahli bertanggung jawab mengidentifikasi entitas master data pariwisata, menyusun strukturnya, serta melaksanakan konsolidasi, deduplikasi, verifikasi, dan validasi data dari berbagai sumber agar terbentuk data induk (golden record) yang tepercaya.</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Mengidentifikasi entitas master data pariwisata Jakarta dan menyusun struktur data master;</w:t>
      </w:r>
    </w:p>
    <w:p>
      <w:pPr>
        <w:spacing w:after="60" w:line="269" w:lineRule="auto"/>
        <w:ind w:left="510"/>
      </w:pPr>
      <w:r>
        <w:rPr>
          <w:rFonts w:ascii="Arial" w:hAnsi="Arial"/>
          <w:b/>
          <w:sz w:val="22"/>
        </w:rPr>
        <w:t xml:space="preserve">b.  </w:t>
      </w:r>
      <w:r>
        <w:rPr>
          <w:rFonts w:ascii="Arial" w:hAnsi="Arial"/>
          <w:color w:val="1A1A1A"/>
          <w:sz w:val="22"/>
        </w:rPr>
        <w:t>Menyusun kebijakan dan prosedur MDM (data ownership, data stewardship, alur perubahan, persetujuan, dan audit);</w:t>
      </w:r>
    </w:p>
    <w:p>
      <w:pPr>
        <w:spacing w:after="60" w:line="269" w:lineRule="auto"/>
        <w:ind w:left="510"/>
      </w:pPr>
      <w:r>
        <w:rPr>
          <w:rFonts w:ascii="Arial" w:hAnsi="Arial"/>
          <w:b/>
          <w:sz w:val="22"/>
        </w:rPr>
        <w:t xml:space="preserve">c.  </w:t>
      </w:r>
      <w:r>
        <w:rPr>
          <w:rFonts w:ascii="Arial" w:hAnsi="Arial"/>
          <w:color w:val="1A1A1A"/>
          <w:sz w:val="22"/>
        </w:rPr>
        <w:t>Melaksanakan pembentukan master data melalui konsolidasi, deduplikasi, verifikasi, dan validasi data dari berbagai sumber;</w:t>
      </w:r>
    </w:p>
    <w:p>
      <w:pPr>
        <w:spacing w:after="60" w:line="269" w:lineRule="auto"/>
        <w:ind w:left="510"/>
      </w:pPr>
      <w:r>
        <w:rPr>
          <w:rFonts w:ascii="Arial" w:hAnsi="Arial"/>
          <w:b/>
          <w:sz w:val="22"/>
        </w:rPr>
        <w:t xml:space="preserve">d.  </w:t>
      </w:r>
      <w:r>
        <w:rPr>
          <w:rFonts w:ascii="Arial" w:hAnsi="Arial"/>
          <w:color w:val="1A1A1A"/>
          <w:sz w:val="22"/>
        </w:rPr>
        <w:t>Menyusun mekanisme pemeliharaan dan pemutakhiran master data secara berkala;</w:t>
      </w:r>
    </w:p>
    <w:p>
      <w:pPr>
        <w:spacing w:after="60" w:line="269" w:lineRule="auto"/>
        <w:ind w:left="510"/>
      </w:pPr>
      <w:r>
        <w:rPr>
          <w:rFonts w:ascii="Arial" w:hAnsi="Arial"/>
          <w:b/>
          <w:sz w:val="22"/>
        </w:rPr>
        <w:t xml:space="preserve">e.  </w:t>
      </w:r>
      <w:r>
        <w:rPr>
          <w:rFonts w:ascii="Arial" w:hAnsi="Arial"/>
          <w:color w:val="1A1A1A"/>
          <w:sz w:val="22"/>
        </w:rPr>
        <w:t>Memastikan integrasi master data ke dalam database dan ketersediaannya bagi Dashboard melalui metadata.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mengidentifikasi entitas master (restoran, hotel/akomodasi, event/pertunjukan, dan kawasan) serta membentuk data induk melalui konsolidasi multi-sumber, deduplikasi, dan verifikasi. Pekerjaan penting yang menonjol adalah penyelarasan nama restoran di dalam hotel dan pembersihan rating yang salah-tautan.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Identifikasi entitas &amp; struktur master</w:t>
            </w:r>
          </w:p>
        </w:tc>
        <w:tc>
          <w:tcPr>
            <w:tcW w:type="dxa" w:w="5102"/>
          </w:tcPr>
          <w:p>
            <w:r/>
            <w:r>
              <w:rPr>
                <w:rFonts w:ascii="Arial" w:hAnsi="Arial"/>
                <w:b w:val="0"/>
                <w:color w:val="1A1A1A"/>
                <w:sz w:val="19"/>
              </w:rPr>
              <w:t>Menetapkan entitas master restoran, hotel/akomodasi, event, dan kawasan; menyusun atribut kunci dan relasi antar-entitas (mis. restoran ↔ hotel induk).</w:t>
            </w:r>
          </w:p>
        </w:tc>
      </w:tr>
      <w:tr>
        <w:tc>
          <w:tcPr>
            <w:tcW w:type="dxa" w:w="3742"/>
          </w:tcPr>
          <w:p>
            <w:r/>
            <w:r>
              <w:rPr>
                <w:rFonts w:ascii="Arial" w:hAnsi="Arial"/>
                <w:b w:val="0"/>
                <w:color w:val="1A1A1A"/>
                <w:sz w:val="19"/>
              </w:rPr>
              <w:t>Kebijakan &amp; prosedur stewardship</w:t>
            </w:r>
          </w:p>
        </w:tc>
        <w:tc>
          <w:tcPr>
            <w:tcW w:type="dxa" w:w="5102"/>
          </w:tcPr>
          <w:p>
            <w:r/>
            <w:r>
              <w:rPr>
                <w:rFonts w:ascii="Arial" w:hAnsi="Arial"/>
                <w:b w:val="0"/>
                <w:color w:val="1A1A1A"/>
                <w:sz w:val="19"/>
              </w:rPr>
              <w:t>Menetapkan aturan kepemilikan nilai per-sumber dan prosedur perubahan (nilai hasil riset tidak pernah difabrikasi; bila tak terverifikasi, dikembalikan ke status kosong/‘belum ada rating’).</w:t>
            </w:r>
          </w:p>
        </w:tc>
      </w:tr>
      <w:tr>
        <w:tc>
          <w:tcPr>
            <w:tcW w:type="dxa" w:w="3742"/>
          </w:tcPr>
          <w:p>
            <w:r/>
            <w:r>
              <w:rPr>
                <w:rFonts w:ascii="Arial" w:hAnsi="Arial"/>
                <w:b w:val="0"/>
                <w:color w:val="1A1A1A"/>
                <w:sz w:val="19"/>
              </w:rPr>
              <w:t>Konsolidasi, deduplikasi &amp; verifikasi</w:t>
            </w:r>
          </w:p>
        </w:tc>
        <w:tc>
          <w:tcPr>
            <w:tcW w:type="dxa" w:w="5102"/>
          </w:tcPr>
          <w:p>
            <w:r/>
            <w:r>
              <w:rPr>
                <w:rFonts w:ascii="Arial" w:hAnsi="Arial"/>
                <w:b w:val="0"/>
                <w:color w:val="1A1A1A"/>
                <w:sz w:val="19"/>
              </w:rPr>
              <w:t>Menggabungkan seed kurasi dengan data bulk OSM; menyelaraskan 112 dari 138 restoran-hotel agar menampilkan nama restoran, bukan sekadar nama hotel; memverifikasi kecocokan placeId.</w:t>
            </w:r>
          </w:p>
        </w:tc>
      </w:tr>
      <w:tr>
        <w:tc>
          <w:tcPr>
            <w:tcW w:type="dxa" w:w="3742"/>
          </w:tcPr>
          <w:p>
            <w:r/>
            <w:r>
              <w:rPr>
                <w:rFonts w:ascii="Arial" w:hAnsi="Arial"/>
                <w:b w:val="0"/>
                <w:color w:val="1A1A1A"/>
                <w:sz w:val="19"/>
              </w:rPr>
              <w:t>Validasi &amp; pembersihan golden record</w:t>
            </w:r>
          </w:p>
        </w:tc>
        <w:tc>
          <w:tcPr>
            <w:tcW w:type="dxa" w:w="5102"/>
          </w:tcPr>
          <w:p>
            <w:r/>
            <w:r>
              <w:rPr>
                <w:rFonts w:ascii="Arial" w:hAnsi="Arial"/>
                <w:b w:val="0"/>
                <w:color w:val="1A1A1A"/>
                <w:sz w:val="19"/>
              </w:rPr>
              <w:t>Membersihkan rating yang keliru menautkan restoran ke mall/landmark (mis. Plaza Senayan, Museum Sejarah Jakarta) sehingga tidak menyesatkan indikator.</w:t>
            </w:r>
          </w:p>
        </w:tc>
      </w:tr>
      <w:tr>
        <w:tc>
          <w:tcPr>
            <w:tcW w:type="dxa" w:w="3742"/>
          </w:tcPr>
          <w:p>
            <w:r/>
            <w:r>
              <w:rPr>
                <w:rFonts w:ascii="Arial" w:hAnsi="Arial"/>
                <w:b w:val="0"/>
                <w:color w:val="1A1A1A"/>
                <w:sz w:val="19"/>
              </w:rPr>
              <w:t>Integrasi master ke dashboard</w:t>
            </w:r>
          </w:p>
        </w:tc>
        <w:tc>
          <w:tcPr>
            <w:tcW w:type="dxa" w:w="5102"/>
          </w:tcPr>
          <w:p>
            <w:r/>
            <w:r>
              <w:rPr>
                <w:rFonts w:ascii="Arial" w:hAnsi="Arial"/>
                <w:b w:val="0"/>
                <w:color w:val="1A1A1A"/>
                <w:sz w:val="19"/>
              </w:rPr>
              <w:t>Memastikan atribut master (nama, alamat, tier, sumber, harga) tersedia dan konsisten pada antarmuka dashboard.</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tampilan entitas master pada dashboard beserta atribut sumber, dan cuplikan data induk restoran.</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gci-viewport.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Entitas master restoran &amp; restoran-hotel dengan atribut Tier dan Sumber; nama restoran diselaraskan dari nama hotel induk.</w:t>
      </w:r>
    </w:p>
    <w:p>
      <w:pPr>
        <w:spacing w:after="60" w:before="80" w:line="276" w:lineRule="auto"/>
        <w:jc w:val="left"/>
      </w:pPr>
      <w:r>
        <w:rPr>
          <w:rFonts w:ascii="Arial" w:hAnsi="Arial"/>
          <w:b/>
          <w:i w:val="0"/>
          <w:color w:val="1A1A1A"/>
          <w:sz w:val="21"/>
        </w:rPr>
        <w:t>Cuplikan data induk (golden record) restoran: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567"/>
            <w:shd w:val="clear" w:color="auto" w:fill="d9d9d9"/>
          </w:tcPr>
          <w:p>
            <w:r/>
            <w:r>
              <w:rPr>
                <w:rFonts w:ascii="Arial" w:hAnsi="Arial"/>
                <w:b/>
                <w:color w:val="1A1A1A"/>
                <w:sz w:val="17"/>
              </w:rPr>
              <w:t>No.</w:t>
            </w:r>
          </w:p>
        </w:tc>
        <w:tc>
          <w:tcPr>
            <w:tcW w:type="dxa" w:w="2381"/>
            <w:shd w:val="clear" w:color="auto" w:fill="d9d9d9"/>
          </w:tcPr>
          <w:p>
            <w:r/>
            <w:r>
              <w:rPr>
                <w:rFonts w:ascii="Arial" w:hAnsi="Arial"/>
                <w:b/>
                <w:color w:val="1A1A1A"/>
                <w:sz w:val="17"/>
              </w:rPr>
              <w:t>Nama</w:t>
            </w:r>
          </w:p>
        </w:tc>
        <w:tc>
          <w:tcPr>
            <w:tcW w:type="dxa" w:w="2041"/>
            <w:shd w:val="clear" w:color="auto" w:fill="d9d9d9"/>
          </w:tcPr>
          <w:p>
            <w:r/>
            <w:r>
              <w:rPr>
                <w:rFonts w:ascii="Arial" w:hAnsi="Arial"/>
                <w:b/>
                <w:color w:val="1A1A1A"/>
                <w:sz w:val="17"/>
              </w:rPr>
              <w:t>Jenis Cuisine</w:t>
            </w:r>
          </w:p>
        </w:tc>
        <w:tc>
          <w:tcPr>
            <w:tcW w:type="dxa" w:w="907"/>
            <w:shd w:val="clear" w:color="auto" w:fill="d9d9d9"/>
          </w:tcPr>
          <w:p>
            <w:r/>
            <w:r>
              <w:rPr>
                <w:rFonts w:ascii="Arial" w:hAnsi="Arial"/>
                <w:b/>
                <w:color w:val="1A1A1A"/>
                <w:sz w:val="17"/>
              </w:rPr>
              <w:t>Rating</w:t>
            </w:r>
          </w:p>
        </w:tc>
        <w:tc>
          <w:tcPr>
            <w:tcW w:type="dxa" w:w="1134"/>
            <w:shd w:val="clear" w:color="auto" w:fill="d9d9d9"/>
          </w:tcPr>
          <w:p>
            <w:r/>
            <w:r>
              <w:rPr>
                <w:rFonts w:ascii="Arial" w:hAnsi="Arial"/>
                <w:b/>
                <w:color w:val="1A1A1A"/>
                <w:sz w:val="17"/>
              </w:rPr>
              <w:t>Ulasan</w:t>
            </w:r>
          </w:p>
        </w:tc>
        <w:tc>
          <w:tcPr>
            <w:tcW w:type="dxa" w:w="1191"/>
            <w:shd w:val="clear" w:color="auto" w:fill="d9d9d9"/>
          </w:tcPr>
          <w:p>
            <w:r/>
            <w:r>
              <w:rPr>
                <w:rFonts w:ascii="Arial" w:hAnsi="Arial"/>
                <w:b/>
                <w:color w:val="1A1A1A"/>
                <w:sz w:val="17"/>
              </w:rPr>
              <w:t>Sumber</w:t>
            </w:r>
          </w:p>
        </w:tc>
      </w:tr>
      <w:tr>
        <w:tc>
          <w:tcPr>
            <w:tcW w:type="dxa" w:w="567"/>
          </w:tcPr>
          <w:p>
            <w:r/>
            <w:r>
              <w:rPr>
                <w:rFonts w:ascii="Arial" w:hAnsi="Arial"/>
                <w:b w:val="0"/>
                <w:color w:val="1A1A1A"/>
                <w:sz w:val="17"/>
              </w:rPr>
              <w:t>1</w:t>
            </w:r>
          </w:p>
        </w:tc>
        <w:tc>
          <w:tcPr>
            <w:tcW w:type="dxa" w:w="2381"/>
          </w:tcPr>
          <w:p>
            <w:r/>
            <w:r>
              <w:rPr>
                <w:rFonts w:ascii="Arial" w:hAnsi="Arial"/>
                <w:b w:val="0"/>
                <w:color w:val="1A1A1A"/>
                <w:sz w:val="17"/>
              </w:rPr>
              <w:t>Osteria GIA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4,9</w:t>
            </w:r>
          </w:p>
        </w:tc>
        <w:tc>
          <w:tcPr>
            <w:tcW w:type="dxa" w:w="1134"/>
          </w:tcPr>
          <w:p>
            <w:r/>
            <w:r>
              <w:rPr>
                <w:rFonts w:ascii="Arial" w:hAnsi="Arial"/>
                <w:b w:val="0"/>
                <w:color w:val="1A1A1A"/>
                <w:sz w:val="17"/>
              </w:rPr>
              <w:t>4877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2</w:t>
            </w:r>
          </w:p>
        </w:tc>
        <w:tc>
          <w:tcPr>
            <w:tcW w:type="dxa" w:w="2381"/>
          </w:tcPr>
          <w:p>
            <w:r/>
            <w:r>
              <w:rPr>
                <w:rFonts w:ascii="Arial" w:hAnsi="Arial"/>
                <w:b w:val="0"/>
                <w:color w:val="1A1A1A"/>
                <w:sz w:val="17"/>
              </w:rPr>
              <w:t>Bistecca</w:t>
            </w:r>
          </w:p>
        </w:tc>
        <w:tc>
          <w:tcPr>
            <w:tcW w:type="dxa" w:w="2041"/>
          </w:tcPr>
          <w:p>
            <w:r/>
            <w:r>
              <w:rPr>
                <w:rFonts w:ascii="Arial" w:hAnsi="Arial"/>
                <w:b w:val="0"/>
                <w:color w:val="1A1A1A"/>
                <w:sz w:val="17"/>
              </w:rPr>
              <w:t>Italian / Steakhouse</w:t>
            </w:r>
          </w:p>
        </w:tc>
        <w:tc>
          <w:tcPr>
            <w:tcW w:type="dxa" w:w="907"/>
          </w:tcPr>
          <w:p>
            <w:r/>
            <w:r>
              <w:rPr>
                <w:rFonts w:ascii="Arial" w:hAnsi="Arial"/>
                <w:b w:val="0"/>
                <w:color w:val="1A1A1A"/>
                <w:sz w:val="17"/>
              </w:rPr>
              <w:t>4,6</w:t>
            </w:r>
          </w:p>
        </w:tc>
        <w:tc>
          <w:tcPr>
            <w:tcW w:type="dxa" w:w="1134"/>
          </w:tcPr>
          <w:p>
            <w:r/>
            <w:r>
              <w:rPr>
                <w:rFonts w:ascii="Arial" w:hAnsi="Arial"/>
                <w:b w:val="0"/>
                <w:color w:val="1A1A1A"/>
                <w:sz w:val="17"/>
              </w:rPr>
              <w:t>1792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3</w:t>
            </w:r>
          </w:p>
        </w:tc>
        <w:tc>
          <w:tcPr>
            <w:tcW w:type="dxa" w:w="2381"/>
          </w:tcPr>
          <w:p>
            <w:r/>
            <w:r>
              <w:rPr>
                <w:rFonts w:ascii="Arial" w:hAnsi="Arial"/>
                <w:b w:val="0"/>
                <w:color w:val="1A1A1A"/>
                <w:sz w:val="17"/>
              </w:rPr>
              <w:t>Bottega Ristorante</w:t>
            </w:r>
          </w:p>
        </w:tc>
        <w:tc>
          <w:tcPr>
            <w:tcW w:type="dxa" w:w="2041"/>
          </w:tcPr>
          <w:p>
            <w:r/>
            <w:r>
              <w:rPr>
                <w:rFonts w:ascii="Arial" w:hAnsi="Arial"/>
                <w:b w:val="0"/>
                <w:color w:val="1A1A1A"/>
                <w:sz w:val="17"/>
              </w:rPr>
              <w:t>Italian / European</w:t>
            </w:r>
          </w:p>
        </w:tc>
        <w:tc>
          <w:tcPr>
            <w:tcW w:type="dxa" w:w="907"/>
          </w:tcPr>
          <w:p>
            <w:r/>
            <w:r>
              <w:rPr>
                <w:rFonts w:ascii="Arial" w:hAnsi="Arial"/>
                <w:b w:val="0"/>
                <w:color w:val="1A1A1A"/>
                <w:sz w:val="17"/>
              </w:rPr>
              <w:t>4,5</w:t>
            </w:r>
          </w:p>
        </w:tc>
        <w:tc>
          <w:tcPr>
            <w:tcW w:type="dxa" w:w="1134"/>
          </w:tcPr>
          <w:p>
            <w:r/>
            <w:r>
              <w:rPr>
                <w:rFonts w:ascii="Arial" w:hAnsi="Arial"/>
                <w:b w:val="0"/>
                <w:color w:val="1A1A1A"/>
                <w:sz w:val="17"/>
              </w:rPr>
              <w:t>1502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4</w:t>
            </w:r>
          </w:p>
        </w:tc>
        <w:tc>
          <w:tcPr>
            <w:tcW w:type="dxa" w:w="2381"/>
          </w:tcPr>
          <w:p>
            <w:r/>
            <w:r>
              <w:rPr>
                <w:rFonts w:ascii="Arial" w:hAnsi="Arial"/>
                <w:b w:val="0"/>
                <w:color w:val="1A1A1A"/>
                <w:sz w:val="17"/>
              </w:rPr>
              <w:t>The Garden Osteria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4,7</w:t>
            </w:r>
          </w:p>
        </w:tc>
        <w:tc>
          <w:tcPr>
            <w:tcW w:type="dxa" w:w="1134"/>
          </w:tcPr>
          <w:p>
            <w:r/>
            <w:r>
              <w:rPr>
                <w:rFonts w:ascii="Arial" w:hAnsi="Arial"/>
                <w:b w:val="0"/>
                <w:color w:val="1A1A1A"/>
                <w:sz w:val="17"/>
              </w:rPr>
              <w:t>3058</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5</w:t>
            </w:r>
          </w:p>
        </w:tc>
        <w:tc>
          <w:tcPr>
            <w:tcW w:type="dxa" w:w="2381"/>
          </w:tcPr>
          <w:p>
            <w:r/>
            <w:r>
              <w:rPr>
                <w:rFonts w:ascii="Arial" w:hAnsi="Arial"/>
                <w:b w:val="0"/>
                <w:color w:val="1A1A1A"/>
                <w:sz w:val="17"/>
              </w:rPr>
              <w:t>ORO Italian Restaurant</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1467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6</w:t>
            </w:r>
          </w:p>
        </w:tc>
        <w:tc>
          <w:tcPr>
            <w:tcW w:type="dxa" w:w="2381"/>
          </w:tcPr>
          <w:p>
            <w:r/>
            <w:r>
              <w:rPr>
                <w:rFonts w:ascii="Arial" w:hAnsi="Arial"/>
                <w:b w:val="0"/>
                <w:color w:val="1A1A1A"/>
                <w:sz w:val="17"/>
              </w:rPr>
              <w:t>Emilia Cucina Italiana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4776</w:t>
            </w:r>
          </w:p>
        </w:tc>
        <w:tc>
          <w:tcPr>
            <w:tcW w:type="dxa" w:w="1191"/>
          </w:tcPr>
          <w:p>
            <w:r/>
            <w:r>
              <w:rPr>
                <w:rFonts w:ascii="Arial" w:hAnsi="Arial"/>
                <w:b w:val="0"/>
                <w:color w:val="1A1A1A"/>
                <w:sz w:val="17"/>
              </w:rPr>
              <w:t>Google</w:t>
            </w:r>
          </w:p>
        </w:tc>
      </w:tr>
    </w:tbl>
    <w:p>
      <w:pPr>
        <w:spacing w:after="40"/>
      </w:pPr>
    </w:p>
    <w:p>
      <w:pPr>
        <w:spacing w:after="160" w:before="0" w:line="276" w:lineRule="auto"/>
        <w:jc w:val="left"/>
      </w:pPr>
      <w:r>
        <w:rPr>
          <w:rFonts w:ascii="Arial" w:hAnsi="Arial"/>
          <w:b w:val="0"/>
          <w:i/>
          <w:color w:val="555555"/>
          <w:sz w:val="17"/>
        </w:rPr>
        <w:t>Sumber: berkas deliverable data-restoran-GCI-jakarta.tsv (84 baris kurasi).</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MDM Specialist berperan memastikan setiap sumber data yang masuk melalui Data Gathering dikonsolidasikan menjadi master data tepercaya sebelum dipublikasikan — sehingga dashboard dan AI Analyst bekerja di atas definisi entitas yang seragam, terverifikasi, dan dapat diaudit.</w:t>
      </w:r>
    </w:p>
    <w:p>
      <w:pPr>
        <w:spacing w:before="120" w:after="40"/>
        <w:jc w:val="center"/>
      </w:pPr>
      <w:r>
        <w:drawing>
          <wp:inline xmlns:a="http://schemas.openxmlformats.org/drawingml/2006/main" xmlns:pic="http://schemas.openxmlformats.org/drawingml/2006/picture">
            <wp:extent cx="5580000" cy="3139823"/>
            <wp:docPr id="2" name="Picture 2"/>
            <wp:cNvGraphicFramePr>
              <a:graphicFrameLocks noChangeAspect="1"/>
            </wp:cNvGraphicFramePr>
            <a:graphic>
              <a:graphicData uri="http://schemas.openxmlformats.org/drawingml/2006/picture">
                <pic:pic>
                  <pic:nvPicPr>
                    <pic:cNvPr id="0" name="deck-04-platform5.png"/>
                    <pic:cNvPicPr/>
                  </pic:nvPicPr>
                  <pic:blipFill>
                    <a:blip r:embed="rId10"/>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2. Lima kemampuan inti platform; master data menjadi penjamin mutu antara Data Gathering dan Lakehouse.</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Entitas master untuk domain restoran dan pertunjukan telah dibentuk dan dibersihkan. Tahap berikutnya adalah memformalkan kebijakan stewardship dan memperluas master data ke seluruh entitas pariwisata pada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Master Data Management (MDM) Specialist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