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jc w:val="center"/>
      </w:pPr>
      <w:r>
        <w:rPr>
          <w:rFonts w:ascii="Arial" w:hAnsi="Arial"/>
          <w:b/>
          <w:i w:val="0"/>
          <w:color w:val="1A1A1A"/>
          <w:sz w:val="24"/>
        </w:rPr>
        <w:t>PEMERINTAH PROVINSI DAERAH KHUSUS IBUKOTA JAKARTA</w:t>
      </w:r>
    </w:p>
    <w:p>
      <w:pPr>
        <w:spacing w:after="0" w:before="0" w:line="276" w:lineRule="auto"/>
        <w:jc w:val="center"/>
      </w:pPr>
      <w:r>
        <w:rPr>
          <w:rFonts w:ascii="Arial" w:hAnsi="Arial"/>
          <w:b/>
          <w:i w:val="0"/>
          <w:color w:val="1A1A1A"/>
          <w:sz w:val="26"/>
        </w:rPr>
        <w:t>DINAS PARIWISATA DAN EKONOMI KREATIF</w:t>
      </w:r>
    </w:p>
    <w:p>
      <w:pPr>
        <w:spacing w:after="40" w:before="0" w:line="276" w:lineRule="auto"/>
        <w:jc w:val="center"/>
      </w:pPr>
      <w:r>
        <w:rPr>
          <w:rFonts w:ascii="Arial" w:hAnsi="Arial"/>
          <w:b w:val="0"/>
          <w:i/>
          <w:color w:val="555555"/>
          <w:sz w:val="20"/>
        </w:rPr>
        <w:t>Bidang Data, Informasi dan Pengembangan Destinasi</w:t>
      </w:r>
    </w:p>
    <w:p>
      <w:pPr>
        <w:spacing w:after="200"/>
        <w:pBdr>
          <w:bottom w:val="single" w:sz="12" w:space="1" w:color="1a1a1a"/>
        </w:pBdr>
      </w:pPr>
    </w:p>
    <w:p>
      <w:pPr>
        <w:spacing w:after="20" w:before="0" w:line="276" w:lineRule="auto"/>
        <w:jc w:val="center"/>
      </w:pPr>
      <w:r>
        <w:rPr>
          <w:rFonts w:ascii="Arial" w:hAnsi="Arial"/>
          <w:b/>
          <w:i w:val="0"/>
          <w:color w:val="1A1A1A"/>
          <w:sz w:val="28"/>
        </w:rPr>
        <w:t>LAPORAN PELAKSANAAN TUGAS TENAGA AHLI</w:t>
      </w:r>
    </w:p>
    <w:p>
      <w:pPr>
        <w:spacing w:after="200" w:before="0" w:line="276" w:lineRule="auto"/>
        <w:jc w:val="center"/>
      </w:pPr>
      <w:r>
        <w:rPr>
          <w:rFonts w:ascii="Arial" w:hAnsi="Arial"/>
          <w:b w:val="0"/>
          <w:i w:val="0"/>
          <w:color w:val="555555"/>
          <w:sz w:val="21"/>
        </w:rPr>
        <w:t>Kegiatan Penyediaan dan Pengelolaan Data Statistik Pariwisata Jakarta — Tahun Anggaran 2026</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88"/>
        <w:gridCol w:w="4788"/>
      </w:tblGrid>
      <w:tr>
        <w:tc>
          <w:tcPr>
            <w:tcW w:type="dxa" w:w="2721"/>
            <w:shd w:val="clear" w:color="auto" w:fill="eeeeee"/>
          </w:tcPr>
          <w:p>
            <w:r/>
            <w:r>
              <w:rPr>
                <w:rFonts w:ascii="Arial" w:hAnsi="Arial"/>
                <w:b/>
                <w:color w:val="1A1A1A"/>
                <w:sz w:val="20"/>
              </w:rPr>
              <w:t>Nama Tenaga Ahli</w:t>
            </w:r>
          </w:p>
        </w:tc>
        <w:tc>
          <w:tcPr>
            <w:tcW w:type="dxa" w:w="6123"/>
          </w:tcPr>
          <w:p>
            <w:r/>
            <w:r>
              <w:rPr>
                <w:rFonts w:ascii="Arial" w:hAnsi="Arial"/>
                <w:b w:val="0"/>
                <w:color w:val="1A1A1A"/>
                <w:sz w:val="20"/>
              </w:rPr>
              <w:t>[Nama Tenaga Ahli]</w:t>
            </w:r>
          </w:p>
        </w:tc>
      </w:tr>
      <w:tr>
        <w:tc>
          <w:tcPr>
            <w:tcW w:type="dxa" w:w="2721"/>
            <w:shd w:val="clear" w:color="auto" w:fill="eeeeee"/>
          </w:tcPr>
          <w:p>
            <w:r/>
            <w:r>
              <w:rPr>
                <w:rFonts w:ascii="Arial" w:hAnsi="Arial"/>
                <w:b/>
                <w:color w:val="1A1A1A"/>
                <w:sz w:val="20"/>
              </w:rPr>
              <w:t>NIK / No. Kontrak</w:t>
            </w:r>
          </w:p>
        </w:tc>
        <w:tc>
          <w:tcPr>
            <w:tcW w:type="dxa" w:w="6123"/>
          </w:tcPr>
          <w:p>
            <w:r/>
            <w:r>
              <w:rPr>
                <w:rFonts w:ascii="Arial" w:hAnsi="Arial"/>
                <w:b w:val="0"/>
                <w:color w:val="1A1A1A"/>
                <w:sz w:val="20"/>
              </w:rPr>
              <w:t>[NIK / No. Kontrak]</w:t>
            </w:r>
          </w:p>
        </w:tc>
      </w:tr>
      <w:tr>
        <w:tc>
          <w:tcPr>
            <w:tcW w:type="dxa" w:w="2721"/>
            <w:shd w:val="clear" w:color="auto" w:fill="eeeeee"/>
          </w:tcPr>
          <w:p>
            <w:r/>
            <w:r>
              <w:rPr>
                <w:rFonts w:ascii="Arial" w:hAnsi="Arial"/>
                <w:b/>
                <w:color w:val="1A1A1A"/>
                <w:sz w:val="20"/>
              </w:rPr>
              <w:t>Jabatan / Posisi</w:t>
            </w:r>
          </w:p>
        </w:tc>
        <w:tc>
          <w:tcPr>
            <w:tcW w:type="dxa" w:w="6123"/>
          </w:tcPr>
          <w:p>
            <w:r/>
            <w:r>
              <w:rPr>
                <w:rFonts w:ascii="Arial" w:hAnsi="Arial"/>
                <w:b w:val="0"/>
                <w:color w:val="1A1A1A"/>
                <w:sz w:val="20"/>
              </w:rPr>
              <w:t>Tenaga Ahli Data Analyst (Intermediate)</w:t>
            </w:r>
          </w:p>
        </w:tc>
      </w:tr>
      <w:tr>
        <w:tc>
          <w:tcPr>
            <w:tcW w:type="dxa" w:w="2721"/>
            <w:shd w:val="clear" w:color="auto" w:fill="eeeeee"/>
          </w:tcPr>
          <w:p>
            <w:r/>
            <w:r>
              <w:rPr>
                <w:rFonts w:ascii="Arial" w:hAnsi="Arial"/>
                <w:b/>
                <w:color w:val="1A1A1A"/>
                <w:sz w:val="20"/>
              </w:rPr>
              <w:t>Kualifikasi</w:t>
            </w:r>
          </w:p>
        </w:tc>
        <w:tc>
          <w:tcPr>
            <w:tcW w:type="dxa" w:w="6123"/>
          </w:tcPr>
          <w:p>
            <w:r/>
            <w:r>
              <w:rPr>
                <w:rFonts w:ascii="Arial" w:hAnsi="Arial"/>
                <w:b w:val="0"/>
                <w:color w:val="1A1A1A"/>
                <w:sz w:val="20"/>
              </w:rPr>
              <w:t>S1 Sistem Informasi/Teknik Informatika/Ilmu Komputer/Statistik, pengalaman minimal 6 tahun</w:t>
            </w:r>
          </w:p>
        </w:tc>
      </w:tr>
      <w:tr>
        <w:tc>
          <w:tcPr>
            <w:tcW w:type="dxa" w:w="2721"/>
            <w:shd w:val="clear" w:color="auto" w:fill="eeeeee"/>
          </w:tcPr>
          <w:p>
            <w:r/>
            <w:r>
              <w:rPr>
                <w:rFonts w:ascii="Arial" w:hAnsi="Arial"/>
                <w:b/>
                <w:color w:val="1A1A1A"/>
                <w:sz w:val="20"/>
              </w:rPr>
              <w:t>Periode Laporan</w:t>
            </w:r>
          </w:p>
        </w:tc>
        <w:tc>
          <w:tcPr>
            <w:tcW w:type="dxa" w:w="6123"/>
          </w:tcPr>
          <w:p>
            <w:r/>
            <w:r>
              <w:rPr>
                <w:rFonts w:ascii="Arial" w:hAnsi="Arial"/>
                <w:b w:val="0"/>
                <w:color w:val="1A1A1A"/>
                <w:sz w:val="20"/>
              </w:rPr>
              <w:t>Bulan ke-1 (Laporan Bulanan Pertama)</w:t>
            </w:r>
          </w:p>
        </w:tc>
      </w:tr>
      <w:tr>
        <w:tc>
          <w:tcPr>
            <w:tcW w:type="dxa" w:w="2721"/>
            <w:shd w:val="clear" w:color="auto" w:fill="eeeeee"/>
          </w:tcPr>
          <w:p>
            <w:r/>
            <w:r>
              <w:rPr>
                <w:rFonts w:ascii="Arial" w:hAnsi="Arial"/>
                <w:b/>
                <w:color w:val="1A1A1A"/>
                <w:sz w:val="20"/>
              </w:rPr>
              <w:t>Sub Kegiatan</w:t>
            </w:r>
          </w:p>
        </w:tc>
        <w:tc>
          <w:tcPr>
            <w:tcW w:type="dxa" w:w="6123"/>
          </w:tcPr>
          <w:p>
            <w:r/>
            <w:r>
              <w:rPr>
                <w:rFonts w:ascii="Arial" w:hAnsi="Arial"/>
                <w:b w:val="0"/>
                <w:color w:val="1A1A1A"/>
                <w:sz w:val="20"/>
              </w:rPr>
              <w:t>Perencanaan Daya Tarik Wisata Provinsi</w:t>
            </w:r>
          </w:p>
        </w:tc>
      </w:tr>
      <w:tr>
        <w:tc>
          <w:tcPr>
            <w:tcW w:type="dxa" w:w="2721"/>
            <w:shd w:val="clear" w:color="auto" w:fill="eeeeee"/>
          </w:tcPr>
          <w:p>
            <w:r/>
            <w:r>
              <w:rPr>
                <w:rFonts w:ascii="Arial" w:hAnsi="Arial"/>
                <w:b/>
                <w:color w:val="1A1A1A"/>
                <w:sz w:val="20"/>
              </w:rPr>
              <w:t>Lokasi</w:t>
            </w:r>
          </w:p>
        </w:tc>
        <w:tc>
          <w:tcPr>
            <w:tcW w:type="dxa" w:w="6123"/>
          </w:tcPr>
          <w:p>
            <w:r/>
            <w:r>
              <w:rPr>
                <w:rFonts w:ascii="Arial" w:hAnsi="Arial"/>
                <w:b w:val="0"/>
                <w:color w:val="1A1A1A"/>
                <w:sz w:val="20"/>
              </w:rPr>
              <w:t>Provinsi DKI Jakarta</w:t>
            </w:r>
          </w:p>
        </w:tc>
      </w:tr>
    </w:tbl>
    <w:p>
      <w:pPr>
        <w:spacing w:after="80"/>
      </w:pPr>
    </w:p>
    <w:p>
      <w:pPr>
        <w:keepNext/>
        <w:spacing w:before="240" w:after="80"/>
      </w:pPr>
      <w:r>
        <w:rPr>
          <w:rFonts w:ascii="Arial" w:hAnsi="Arial"/>
          <w:b/>
          <w:color w:val="1A1A1A"/>
          <w:sz w:val="24"/>
        </w:rPr>
        <w:t>I.  PENDAHULUAN</w:t>
      </w:r>
    </w:p>
    <w:p>
      <w:pPr>
        <w:spacing w:after="120" w:before="0" w:line="276" w:lineRule="auto"/>
        <w:jc w:val="both"/>
      </w:pPr>
      <w:r>
        <w:rPr>
          <w:rFonts w:ascii="Arial" w:hAnsi="Arial"/>
          <w:b w:val="0"/>
          <w:i w:val="0"/>
          <w:color w:val="1A1A1A"/>
          <w:sz w:val="22"/>
        </w:rPr>
        <w:t>Laporan ini disusun sebagai pertanggungjawaban pelaksanaan tugas tenaga ahli pada kegiatan Penyediaan dan Pengelolaan Data Statistik Pariwisata Jakarta Tahun Anggaran 2026, yang bertujuan mewujudkan tata kelola data pariwisata sesuai prinsip Satu Data Indonesia. Fokus pekerjaan pada bulan pertama ini adalah membangun fondasi data indikator Global City Index (GCI) — khususnya inventarisasi restoran &amp; keberagaman kuliner internasional serta pertunjukan musik dan acara budaya di DKI Jakarta — beserta antarmuka dashboard awal untuk menampilkannya.</w:t>
      </w:r>
    </w:p>
    <w:p>
      <w:pPr>
        <w:spacing w:after="120" w:before="0" w:line="276" w:lineRule="auto"/>
        <w:jc w:val="both"/>
      </w:pPr>
      <w:r>
        <w:rPr>
          <w:rFonts w:ascii="Arial" w:hAnsi="Arial"/>
          <w:b w:val="0"/>
          <w:i w:val="0"/>
          <w:color w:val="1A1A1A"/>
          <w:sz w:val="22"/>
        </w:rPr>
        <w:t>Sebagai Data Analyst, tenaga ahli bertanggung jawab menyiapkan dataset untuk pelaporan dan visualisasi, menyusun laporan, memastikan kualitas dan keakuratan data yang disajikan, serta berkolaborasi dengan pengguna data untuk memvalidasi kebutuhan informasi.</w:t>
      </w:r>
    </w:p>
    <w:p>
      <w:pPr>
        <w:keepNext/>
        <w:spacing w:before="240" w:after="80"/>
      </w:pPr>
      <w:r>
        <w:rPr>
          <w:rFonts w:ascii="Arial" w:hAnsi="Arial"/>
          <w:b/>
          <w:color w:val="1A1A1A"/>
          <w:sz w:val="24"/>
        </w:rPr>
        <w:t>II.  URAIAN TUGAS</w:t>
      </w:r>
    </w:p>
    <w:p>
      <w:pPr>
        <w:spacing w:after="80" w:before="0" w:line="276" w:lineRule="auto"/>
        <w:jc w:val="both"/>
      </w:pPr>
      <w:r>
        <w:rPr>
          <w:rFonts w:ascii="Arial" w:hAnsi="Arial"/>
          <w:b w:val="0"/>
          <w:i w:val="0"/>
          <w:color w:val="1A1A1A"/>
          <w:sz w:val="22"/>
        </w:rPr>
        <w:t>Sesuai Kerangka Acuan Kerja (KAK) kegiatan, uraian tugas untuk posisi ini adalah sebagai berikut:</w:t>
      </w:r>
    </w:p>
    <w:p>
      <w:pPr>
        <w:spacing w:after="60" w:line="269" w:lineRule="auto"/>
        <w:ind w:left="510"/>
      </w:pPr>
      <w:r>
        <w:rPr>
          <w:rFonts w:ascii="Arial" w:hAnsi="Arial"/>
          <w:b/>
          <w:sz w:val="22"/>
        </w:rPr>
        <w:t xml:space="preserve">a.  </w:t>
      </w:r>
      <w:r>
        <w:rPr>
          <w:rFonts w:ascii="Arial" w:hAnsi="Arial"/>
          <w:color w:val="1A1A1A"/>
          <w:sz w:val="22"/>
        </w:rPr>
        <w:t>Menyiapkan dataset untuk pelaporan dan visualisasi sesuai kebutuhan Dinas;</w:t>
      </w:r>
    </w:p>
    <w:p>
      <w:pPr>
        <w:spacing w:after="60" w:line="269" w:lineRule="auto"/>
        <w:ind w:left="510"/>
      </w:pPr>
      <w:r>
        <w:rPr>
          <w:rFonts w:ascii="Arial" w:hAnsi="Arial"/>
          <w:b/>
          <w:sz w:val="22"/>
        </w:rPr>
        <w:t xml:space="preserve">b.  </w:t>
      </w:r>
      <w:r>
        <w:rPr>
          <w:rFonts w:ascii="Arial" w:hAnsi="Arial"/>
          <w:color w:val="1A1A1A"/>
          <w:sz w:val="22"/>
        </w:rPr>
        <w:t>Menyusun laporan rutin (bulanan, triwulanan, tahunan) dan laporan ad-hoc yang relevan;</w:t>
      </w:r>
    </w:p>
    <w:p>
      <w:pPr>
        <w:spacing w:after="60" w:line="269" w:lineRule="auto"/>
        <w:ind w:left="510"/>
      </w:pPr>
      <w:r>
        <w:rPr>
          <w:rFonts w:ascii="Arial" w:hAnsi="Arial"/>
          <w:b/>
          <w:sz w:val="22"/>
        </w:rPr>
        <w:t xml:space="preserve">c.  </w:t>
      </w:r>
      <w:r>
        <w:rPr>
          <w:rFonts w:ascii="Arial" w:hAnsi="Arial"/>
          <w:color w:val="1A1A1A"/>
          <w:sz w:val="22"/>
        </w:rPr>
        <w:t>Memastikan kualitas dan keakuratan data yang disajikan pada antarmuka pelaporan dan dashboard;</w:t>
      </w:r>
    </w:p>
    <w:p>
      <w:pPr>
        <w:spacing w:after="60" w:line="269" w:lineRule="auto"/>
        <w:ind w:left="510"/>
      </w:pPr>
      <w:r>
        <w:rPr>
          <w:rFonts w:ascii="Arial" w:hAnsi="Arial"/>
          <w:b/>
          <w:sz w:val="22"/>
        </w:rPr>
        <w:t xml:space="preserve">d.  </w:t>
      </w:r>
      <w:r>
        <w:rPr>
          <w:rFonts w:ascii="Arial" w:hAnsi="Arial"/>
          <w:color w:val="1A1A1A"/>
          <w:sz w:val="22"/>
        </w:rPr>
        <w:t>Berkolaborasi dengan pengguna data untuk memvalidasi kebutuhan informasi.</w:t>
      </w:r>
    </w:p>
    <w:p>
      <w:pPr>
        <w:keepNext/>
        <w:spacing w:before="240" w:after="80"/>
      </w:pPr>
      <w:r>
        <w:rPr>
          <w:rFonts w:ascii="Arial" w:hAnsi="Arial"/>
          <w:b/>
          <w:color w:val="1A1A1A"/>
          <w:sz w:val="24"/>
        </w:rPr>
        <w:t>III.  PELAKSANAAN PEKERJAAN BULAN INI</w:t>
      </w:r>
    </w:p>
    <w:p>
      <w:pPr>
        <w:spacing w:after="120" w:before="0" w:line="276" w:lineRule="auto"/>
        <w:jc w:val="both"/>
      </w:pPr>
      <w:r>
        <w:rPr>
          <w:rFonts w:ascii="Arial" w:hAnsi="Arial"/>
          <w:b w:val="0"/>
          <w:i w:val="0"/>
          <w:color w:val="1A1A1A"/>
          <w:sz w:val="22"/>
        </w:rPr>
        <w:t>Pada bulan pertama, tenaga ahli menyiapkan dua dataset deliverable yang rapi dan terverifikasi, serta melakukan penjaminan mutu atas data yang ditampilkan pada dashboard. Realisasi terhadap uraian tugas:</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742"/>
        <w:gridCol w:w="5102"/>
      </w:tblGrid>
      <w:tr>
        <w:tc>
          <w:tcPr>
            <w:tcW w:type="dxa" w:w="3742"/>
            <w:shd w:val="clear" w:color="auto" w:fill="d9d9d9"/>
          </w:tcPr>
          <w:p>
            <w:r/>
            <w:r>
              <w:rPr>
                <w:rFonts w:ascii="Arial" w:hAnsi="Arial"/>
                <w:b/>
                <w:color w:val="1A1A1A"/>
                <w:sz w:val="20"/>
              </w:rPr>
              <w:t>Uraian Tugas (KAK)</w:t>
            </w:r>
          </w:p>
        </w:tc>
        <w:tc>
          <w:tcPr>
            <w:tcW w:type="dxa" w:w="5102"/>
            <w:shd w:val="clear" w:color="auto" w:fill="d9d9d9"/>
          </w:tcPr>
          <w:p>
            <w:r/>
            <w:r>
              <w:rPr>
                <w:rFonts w:ascii="Arial" w:hAnsi="Arial"/>
                <w:b/>
                <w:color w:val="1A1A1A"/>
                <w:sz w:val="20"/>
              </w:rPr>
              <w:t>Realisasi Bulan Ini</w:t>
            </w:r>
          </w:p>
        </w:tc>
      </w:tr>
      <w:tr>
        <w:tc>
          <w:tcPr>
            <w:tcW w:type="dxa" w:w="3742"/>
          </w:tcPr>
          <w:p>
            <w:r/>
            <w:r>
              <w:rPr>
                <w:rFonts w:ascii="Arial" w:hAnsi="Arial"/>
                <w:b w:val="0"/>
                <w:color w:val="1A1A1A"/>
                <w:sz w:val="19"/>
              </w:rPr>
              <w:t>Penyiapan dataset deliverable</w:t>
            </w:r>
          </w:p>
        </w:tc>
        <w:tc>
          <w:tcPr>
            <w:tcW w:type="dxa" w:w="5102"/>
          </w:tcPr>
          <w:p>
            <w:r/>
            <w:r>
              <w:rPr>
                <w:rFonts w:ascii="Arial" w:hAnsi="Arial"/>
                <w:b w:val="0"/>
                <w:color w:val="1A1A1A"/>
                <w:sz w:val="19"/>
              </w:rPr>
              <w:t>Menyusun berkas deliverable restoran (84 baris terkurasi, lengkap kolom Alamat) dan pertunjukan (170 baris 2025 + 144 baris 2026) dalam format tabel siap serah dan siap ekspor Excel.</w:t>
            </w:r>
          </w:p>
        </w:tc>
      </w:tr>
      <w:tr>
        <w:tc>
          <w:tcPr>
            <w:tcW w:type="dxa" w:w="3742"/>
          </w:tcPr>
          <w:p>
            <w:r/>
            <w:r>
              <w:rPr>
                <w:rFonts w:ascii="Arial" w:hAnsi="Arial"/>
                <w:b w:val="0"/>
                <w:color w:val="1A1A1A"/>
                <w:sz w:val="19"/>
              </w:rPr>
              <w:t>Penyusunan laporan &amp; rekap</w:t>
            </w:r>
          </w:p>
        </w:tc>
        <w:tc>
          <w:tcPr>
            <w:tcW w:type="dxa" w:w="5102"/>
          </w:tcPr>
          <w:p>
            <w:r/>
            <w:r>
              <w:rPr>
                <w:rFonts w:ascii="Arial" w:hAnsi="Arial"/>
                <w:b w:val="0"/>
                <w:color w:val="1A1A1A"/>
                <w:sz w:val="19"/>
              </w:rPr>
              <w:t>Menyusun rekap indikator: 2.577 entri restoran (1.793 ber-rating; 138 restoran hotel; 712 cafe) dan 308 acara (125 konser, 24 festival, 159 budaya).</w:t>
            </w:r>
          </w:p>
        </w:tc>
      </w:tr>
      <w:tr>
        <w:tc>
          <w:tcPr>
            <w:tcW w:type="dxa" w:w="3742"/>
          </w:tcPr>
          <w:p>
            <w:r/>
            <w:r>
              <w:rPr>
                <w:rFonts w:ascii="Arial" w:hAnsi="Arial"/>
                <w:b w:val="0"/>
                <w:color w:val="1A1A1A"/>
                <w:sz w:val="19"/>
              </w:rPr>
              <w:t>Penjaminan kualitas &amp; akurasi</w:t>
            </w:r>
          </w:p>
        </w:tc>
        <w:tc>
          <w:tcPr>
            <w:tcW w:type="dxa" w:w="5102"/>
          </w:tcPr>
          <w:p>
            <w:r/>
            <w:r>
              <w:rPr>
                <w:rFonts w:ascii="Arial" w:hAnsi="Arial"/>
                <w:b w:val="0"/>
                <w:color w:val="1A1A1A"/>
                <w:sz w:val="19"/>
              </w:rPr>
              <w:t>Memverifikasi kecocokan rating terhadap venue yang benar dan menandai nilai perkiraan/kapasitas dengan penanda khusus agar tidak menyesatkan.</w:t>
            </w:r>
          </w:p>
        </w:tc>
      </w:tr>
      <w:tr>
        <w:tc>
          <w:tcPr>
            <w:tcW w:type="dxa" w:w="3742"/>
          </w:tcPr>
          <w:p>
            <w:r/>
            <w:r>
              <w:rPr>
                <w:rFonts w:ascii="Arial" w:hAnsi="Arial"/>
                <w:b w:val="0"/>
                <w:color w:val="1A1A1A"/>
                <w:sz w:val="19"/>
              </w:rPr>
              <w:t>Validasi kebutuhan informasi</w:t>
            </w:r>
          </w:p>
        </w:tc>
        <w:tc>
          <w:tcPr>
            <w:tcW w:type="dxa" w:w="5102"/>
          </w:tcPr>
          <w:p>
            <w:r/>
            <w:r>
              <w:rPr>
                <w:rFonts w:ascii="Arial" w:hAnsi="Arial"/>
                <w:b w:val="0"/>
                <w:color w:val="1A1A1A"/>
                <w:sz w:val="19"/>
              </w:rPr>
              <w:t>Menyelaraskan kolom dan definisi data dengan kebutuhan indikator GCI/GPCI bersama Business Analyst dan pengguna Dinas.</w:t>
            </w:r>
          </w:p>
        </w:tc>
      </w:tr>
    </w:tbl>
    <w:p>
      <w:pPr>
        <w:spacing w:after="40"/>
      </w:pPr>
    </w:p>
    <w:p>
      <w:pPr>
        <w:keepNext/>
        <w:spacing w:before="240" w:after="80"/>
      </w:pPr>
      <w:r>
        <w:rPr>
          <w:rFonts w:ascii="Arial" w:hAnsi="Arial"/>
          <w:b/>
          <w:color w:val="1A1A1A"/>
          <w:sz w:val="24"/>
        </w:rPr>
        <w:t>IV.  BUKTI PELAKSANAAN</w:t>
      </w:r>
    </w:p>
    <w:p>
      <w:pPr>
        <w:spacing w:after="120" w:before="0" w:line="276" w:lineRule="auto"/>
        <w:jc w:val="both"/>
      </w:pPr>
      <w:r>
        <w:rPr>
          <w:rFonts w:ascii="Arial" w:hAnsi="Arial"/>
          <w:b w:val="0"/>
          <w:i w:val="0"/>
          <w:color w:val="1A1A1A"/>
          <w:sz w:val="22"/>
        </w:rPr>
        <w:t>Bukti berupa cuplikan dua dataset deliverable dan rekap indikator pada dashboard.</w:t>
      </w:r>
    </w:p>
    <w:p>
      <w:pPr>
        <w:spacing w:after="60" w:before="80" w:line="276" w:lineRule="auto"/>
        <w:jc w:val="left"/>
      </w:pPr>
      <w:r>
        <w:rPr>
          <w:rFonts w:ascii="Arial" w:hAnsi="Arial"/>
          <w:b/>
          <w:i w:val="0"/>
          <w:color w:val="1A1A1A"/>
          <w:sz w:val="21"/>
        </w:rPr>
        <w:t>Cuplikan dataset restoran (deliverable, terurut berdasarkan rating &amp; jumlah ulasan):</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596"/>
        <w:gridCol w:w="1596"/>
        <w:gridCol w:w="1596"/>
        <w:gridCol w:w="1596"/>
        <w:gridCol w:w="1596"/>
        <w:gridCol w:w="1596"/>
      </w:tblGrid>
      <w:tr>
        <w:tc>
          <w:tcPr>
            <w:tcW w:type="dxa" w:w="567"/>
            <w:shd w:val="clear" w:color="auto" w:fill="d9d9d9"/>
          </w:tcPr>
          <w:p>
            <w:r/>
            <w:r>
              <w:rPr>
                <w:rFonts w:ascii="Arial" w:hAnsi="Arial"/>
                <w:b/>
                <w:color w:val="1A1A1A"/>
                <w:sz w:val="17"/>
              </w:rPr>
              <w:t>No.</w:t>
            </w:r>
          </w:p>
        </w:tc>
        <w:tc>
          <w:tcPr>
            <w:tcW w:type="dxa" w:w="2381"/>
            <w:shd w:val="clear" w:color="auto" w:fill="d9d9d9"/>
          </w:tcPr>
          <w:p>
            <w:r/>
            <w:r>
              <w:rPr>
                <w:rFonts w:ascii="Arial" w:hAnsi="Arial"/>
                <w:b/>
                <w:color w:val="1A1A1A"/>
                <w:sz w:val="17"/>
              </w:rPr>
              <w:t>Nama</w:t>
            </w:r>
          </w:p>
        </w:tc>
        <w:tc>
          <w:tcPr>
            <w:tcW w:type="dxa" w:w="2041"/>
            <w:shd w:val="clear" w:color="auto" w:fill="d9d9d9"/>
          </w:tcPr>
          <w:p>
            <w:r/>
            <w:r>
              <w:rPr>
                <w:rFonts w:ascii="Arial" w:hAnsi="Arial"/>
                <w:b/>
                <w:color w:val="1A1A1A"/>
                <w:sz w:val="17"/>
              </w:rPr>
              <w:t>Jenis Cuisine</w:t>
            </w:r>
          </w:p>
        </w:tc>
        <w:tc>
          <w:tcPr>
            <w:tcW w:type="dxa" w:w="907"/>
            <w:shd w:val="clear" w:color="auto" w:fill="d9d9d9"/>
          </w:tcPr>
          <w:p>
            <w:r/>
            <w:r>
              <w:rPr>
                <w:rFonts w:ascii="Arial" w:hAnsi="Arial"/>
                <w:b/>
                <w:color w:val="1A1A1A"/>
                <w:sz w:val="17"/>
              </w:rPr>
              <w:t>Rating</w:t>
            </w:r>
          </w:p>
        </w:tc>
        <w:tc>
          <w:tcPr>
            <w:tcW w:type="dxa" w:w="1134"/>
            <w:shd w:val="clear" w:color="auto" w:fill="d9d9d9"/>
          </w:tcPr>
          <w:p>
            <w:r/>
            <w:r>
              <w:rPr>
                <w:rFonts w:ascii="Arial" w:hAnsi="Arial"/>
                <w:b/>
                <w:color w:val="1A1A1A"/>
                <w:sz w:val="17"/>
              </w:rPr>
              <w:t>Ulasan</w:t>
            </w:r>
          </w:p>
        </w:tc>
        <w:tc>
          <w:tcPr>
            <w:tcW w:type="dxa" w:w="1191"/>
            <w:shd w:val="clear" w:color="auto" w:fill="d9d9d9"/>
          </w:tcPr>
          <w:p>
            <w:r/>
            <w:r>
              <w:rPr>
                <w:rFonts w:ascii="Arial" w:hAnsi="Arial"/>
                <w:b/>
                <w:color w:val="1A1A1A"/>
                <w:sz w:val="17"/>
              </w:rPr>
              <w:t>Sumber</w:t>
            </w:r>
          </w:p>
        </w:tc>
      </w:tr>
      <w:tr>
        <w:tc>
          <w:tcPr>
            <w:tcW w:type="dxa" w:w="567"/>
          </w:tcPr>
          <w:p>
            <w:r/>
            <w:r>
              <w:rPr>
                <w:rFonts w:ascii="Arial" w:hAnsi="Arial"/>
                <w:b w:val="0"/>
                <w:color w:val="1A1A1A"/>
                <w:sz w:val="17"/>
              </w:rPr>
              <w:t>1</w:t>
            </w:r>
          </w:p>
        </w:tc>
        <w:tc>
          <w:tcPr>
            <w:tcW w:type="dxa" w:w="2381"/>
          </w:tcPr>
          <w:p>
            <w:r/>
            <w:r>
              <w:rPr>
                <w:rFonts w:ascii="Arial" w:hAnsi="Arial"/>
                <w:b w:val="0"/>
                <w:color w:val="1A1A1A"/>
                <w:sz w:val="17"/>
              </w:rPr>
              <w:t>Osteria GIA</w:t>
            </w:r>
          </w:p>
        </w:tc>
        <w:tc>
          <w:tcPr>
            <w:tcW w:type="dxa" w:w="2041"/>
          </w:tcPr>
          <w:p>
            <w:r/>
            <w:r>
              <w:rPr>
                <w:rFonts w:ascii="Arial" w:hAnsi="Arial"/>
                <w:b w:val="0"/>
                <w:color w:val="1A1A1A"/>
                <w:sz w:val="17"/>
              </w:rPr>
              <w:t>Italian</w:t>
            </w:r>
          </w:p>
        </w:tc>
        <w:tc>
          <w:tcPr>
            <w:tcW w:type="dxa" w:w="907"/>
          </w:tcPr>
          <w:p>
            <w:r/>
            <w:r>
              <w:rPr>
                <w:rFonts w:ascii="Arial" w:hAnsi="Arial"/>
                <w:b w:val="0"/>
                <w:color w:val="1A1A1A"/>
                <w:sz w:val="17"/>
              </w:rPr>
              <w:t>4,9</w:t>
            </w:r>
          </w:p>
        </w:tc>
        <w:tc>
          <w:tcPr>
            <w:tcW w:type="dxa" w:w="1134"/>
          </w:tcPr>
          <w:p>
            <w:r/>
            <w:r>
              <w:rPr>
                <w:rFonts w:ascii="Arial" w:hAnsi="Arial"/>
                <w:b w:val="0"/>
                <w:color w:val="1A1A1A"/>
                <w:sz w:val="17"/>
              </w:rPr>
              <w:t>4877</w:t>
            </w:r>
          </w:p>
        </w:tc>
        <w:tc>
          <w:tcPr>
            <w:tcW w:type="dxa" w:w="1191"/>
          </w:tcPr>
          <w:p>
            <w:r/>
            <w:r>
              <w:rPr>
                <w:rFonts w:ascii="Arial" w:hAnsi="Arial"/>
                <w:b w:val="0"/>
                <w:color w:val="1A1A1A"/>
                <w:sz w:val="17"/>
              </w:rPr>
              <w:t>Google</w:t>
            </w:r>
          </w:p>
        </w:tc>
      </w:tr>
      <w:tr>
        <w:tc>
          <w:tcPr>
            <w:tcW w:type="dxa" w:w="567"/>
          </w:tcPr>
          <w:p>
            <w:r/>
            <w:r>
              <w:rPr>
                <w:rFonts w:ascii="Arial" w:hAnsi="Arial"/>
                <w:b w:val="0"/>
                <w:color w:val="1A1A1A"/>
                <w:sz w:val="17"/>
              </w:rPr>
              <w:t>2</w:t>
            </w:r>
          </w:p>
        </w:tc>
        <w:tc>
          <w:tcPr>
            <w:tcW w:type="dxa" w:w="2381"/>
          </w:tcPr>
          <w:p>
            <w:r/>
            <w:r>
              <w:rPr>
                <w:rFonts w:ascii="Arial" w:hAnsi="Arial"/>
                <w:b w:val="0"/>
                <w:color w:val="1A1A1A"/>
                <w:sz w:val="17"/>
              </w:rPr>
              <w:t>Bistecca</w:t>
            </w:r>
          </w:p>
        </w:tc>
        <w:tc>
          <w:tcPr>
            <w:tcW w:type="dxa" w:w="2041"/>
          </w:tcPr>
          <w:p>
            <w:r/>
            <w:r>
              <w:rPr>
                <w:rFonts w:ascii="Arial" w:hAnsi="Arial"/>
                <w:b w:val="0"/>
                <w:color w:val="1A1A1A"/>
                <w:sz w:val="17"/>
              </w:rPr>
              <w:t>Italian / Steakhouse</w:t>
            </w:r>
          </w:p>
        </w:tc>
        <w:tc>
          <w:tcPr>
            <w:tcW w:type="dxa" w:w="907"/>
          </w:tcPr>
          <w:p>
            <w:r/>
            <w:r>
              <w:rPr>
                <w:rFonts w:ascii="Arial" w:hAnsi="Arial"/>
                <w:b w:val="0"/>
                <w:color w:val="1A1A1A"/>
                <w:sz w:val="17"/>
              </w:rPr>
              <w:t>4,6</w:t>
            </w:r>
          </w:p>
        </w:tc>
        <w:tc>
          <w:tcPr>
            <w:tcW w:type="dxa" w:w="1134"/>
          </w:tcPr>
          <w:p>
            <w:r/>
            <w:r>
              <w:rPr>
                <w:rFonts w:ascii="Arial" w:hAnsi="Arial"/>
                <w:b w:val="0"/>
                <w:color w:val="1A1A1A"/>
                <w:sz w:val="17"/>
              </w:rPr>
              <w:t>1792</w:t>
            </w:r>
          </w:p>
        </w:tc>
        <w:tc>
          <w:tcPr>
            <w:tcW w:type="dxa" w:w="1191"/>
          </w:tcPr>
          <w:p>
            <w:r/>
            <w:r>
              <w:rPr>
                <w:rFonts w:ascii="Arial" w:hAnsi="Arial"/>
                <w:b w:val="0"/>
                <w:color w:val="1A1A1A"/>
                <w:sz w:val="17"/>
              </w:rPr>
              <w:t>Google</w:t>
            </w:r>
          </w:p>
        </w:tc>
      </w:tr>
      <w:tr>
        <w:tc>
          <w:tcPr>
            <w:tcW w:type="dxa" w:w="567"/>
          </w:tcPr>
          <w:p>
            <w:r/>
            <w:r>
              <w:rPr>
                <w:rFonts w:ascii="Arial" w:hAnsi="Arial"/>
                <w:b w:val="0"/>
                <w:color w:val="1A1A1A"/>
                <w:sz w:val="17"/>
              </w:rPr>
              <w:t>3</w:t>
            </w:r>
          </w:p>
        </w:tc>
        <w:tc>
          <w:tcPr>
            <w:tcW w:type="dxa" w:w="2381"/>
          </w:tcPr>
          <w:p>
            <w:r/>
            <w:r>
              <w:rPr>
                <w:rFonts w:ascii="Arial" w:hAnsi="Arial"/>
                <w:b w:val="0"/>
                <w:color w:val="1A1A1A"/>
                <w:sz w:val="17"/>
              </w:rPr>
              <w:t>Bottega Ristorante</w:t>
            </w:r>
          </w:p>
        </w:tc>
        <w:tc>
          <w:tcPr>
            <w:tcW w:type="dxa" w:w="2041"/>
          </w:tcPr>
          <w:p>
            <w:r/>
            <w:r>
              <w:rPr>
                <w:rFonts w:ascii="Arial" w:hAnsi="Arial"/>
                <w:b w:val="0"/>
                <w:color w:val="1A1A1A"/>
                <w:sz w:val="17"/>
              </w:rPr>
              <w:t>Italian / European</w:t>
            </w:r>
          </w:p>
        </w:tc>
        <w:tc>
          <w:tcPr>
            <w:tcW w:type="dxa" w:w="907"/>
          </w:tcPr>
          <w:p>
            <w:r/>
            <w:r>
              <w:rPr>
                <w:rFonts w:ascii="Arial" w:hAnsi="Arial"/>
                <w:b w:val="0"/>
                <w:color w:val="1A1A1A"/>
                <w:sz w:val="17"/>
              </w:rPr>
              <w:t>4,5</w:t>
            </w:r>
          </w:p>
        </w:tc>
        <w:tc>
          <w:tcPr>
            <w:tcW w:type="dxa" w:w="1134"/>
          </w:tcPr>
          <w:p>
            <w:r/>
            <w:r>
              <w:rPr>
                <w:rFonts w:ascii="Arial" w:hAnsi="Arial"/>
                <w:b w:val="0"/>
                <w:color w:val="1A1A1A"/>
                <w:sz w:val="17"/>
              </w:rPr>
              <w:t>1502</w:t>
            </w:r>
          </w:p>
        </w:tc>
        <w:tc>
          <w:tcPr>
            <w:tcW w:type="dxa" w:w="1191"/>
          </w:tcPr>
          <w:p>
            <w:r/>
            <w:r>
              <w:rPr>
                <w:rFonts w:ascii="Arial" w:hAnsi="Arial"/>
                <w:b w:val="0"/>
                <w:color w:val="1A1A1A"/>
                <w:sz w:val="17"/>
              </w:rPr>
              <w:t>Google</w:t>
            </w:r>
          </w:p>
        </w:tc>
      </w:tr>
      <w:tr>
        <w:tc>
          <w:tcPr>
            <w:tcW w:type="dxa" w:w="567"/>
          </w:tcPr>
          <w:p>
            <w:r/>
            <w:r>
              <w:rPr>
                <w:rFonts w:ascii="Arial" w:hAnsi="Arial"/>
                <w:b w:val="0"/>
                <w:color w:val="1A1A1A"/>
                <w:sz w:val="17"/>
              </w:rPr>
              <w:t>4</w:t>
            </w:r>
          </w:p>
        </w:tc>
        <w:tc>
          <w:tcPr>
            <w:tcW w:type="dxa" w:w="2381"/>
          </w:tcPr>
          <w:p>
            <w:r/>
            <w:r>
              <w:rPr>
                <w:rFonts w:ascii="Arial" w:hAnsi="Arial"/>
                <w:b w:val="0"/>
                <w:color w:val="1A1A1A"/>
                <w:sz w:val="17"/>
              </w:rPr>
              <w:t>The Garden Osteria</w:t>
            </w:r>
          </w:p>
        </w:tc>
        <w:tc>
          <w:tcPr>
            <w:tcW w:type="dxa" w:w="2041"/>
          </w:tcPr>
          <w:p>
            <w:r/>
            <w:r>
              <w:rPr>
                <w:rFonts w:ascii="Arial" w:hAnsi="Arial"/>
                <w:b w:val="0"/>
                <w:color w:val="1A1A1A"/>
                <w:sz w:val="17"/>
              </w:rPr>
              <w:t>Italian</w:t>
            </w:r>
          </w:p>
        </w:tc>
        <w:tc>
          <w:tcPr>
            <w:tcW w:type="dxa" w:w="907"/>
          </w:tcPr>
          <w:p>
            <w:r/>
            <w:r>
              <w:rPr>
                <w:rFonts w:ascii="Arial" w:hAnsi="Arial"/>
                <w:b w:val="0"/>
                <w:color w:val="1A1A1A"/>
                <w:sz w:val="17"/>
              </w:rPr>
              <w:t>4,7</w:t>
            </w:r>
          </w:p>
        </w:tc>
        <w:tc>
          <w:tcPr>
            <w:tcW w:type="dxa" w:w="1134"/>
          </w:tcPr>
          <w:p>
            <w:r/>
            <w:r>
              <w:rPr>
                <w:rFonts w:ascii="Arial" w:hAnsi="Arial"/>
                <w:b w:val="0"/>
                <w:color w:val="1A1A1A"/>
                <w:sz w:val="17"/>
              </w:rPr>
              <w:t>3058</w:t>
            </w:r>
          </w:p>
        </w:tc>
        <w:tc>
          <w:tcPr>
            <w:tcW w:type="dxa" w:w="1191"/>
          </w:tcPr>
          <w:p>
            <w:r/>
            <w:r>
              <w:rPr>
                <w:rFonts w:ascii="Arial" w:hAnsi="Arial"/>
                <w:b w:val="0"/>
                <w:color w:val="1A1A1A"/>
                <w:sz w:val="17"/>
              </w:rPr>
              <w:t>Google</w:t>
            </w:r>
          </w:p>
        </w:tc>
      </w:tr>
      <w:tr>
        <w:tc>
          <w:tcPr>
            <w:tcW w:type="dxa" w:w="567"/>
          </w:tcPr>
          <w:p>
            <w:r/>
            <w:r>
              <w:rPr>
                <w:rFonts w:ascii="Arial" w:hAnsi="Arial"/>
                <w:b w:val="0"/>
                <w:color w:val="1A1A1A"/>
                <w:sz w:val="17"/>
              </w:rPr>
              <w:t>5</w:t>
            </w:r>
          </w:p>
        </w:tc>
        <w:tc>
          <w:tcPr>
            <w:tcW w:type="dxa" w:w="2381"/>
          </w:tcPr>
          <w:p>
            <w:r/>
            <w:r>
              <w:rPr>
                <w:rFonts w:ascii="Arial" w:hAnsi="Arial"/>
                <w:b w:val="0"/>
                <w:color w:val="1A1A1A"/>
                <w:sz w:val="17"/>
              </w:rPr>
              <w:t>ORO Italian Restaurant</w:t>
            </w:r>
          </w:p>
        </w:tc>
        <w:tc>
          <w:tcPr>
            <w:tcW w:type="dxa" w:w="2041"/>
          </w:tcPr>
          <w:p>
            <w:r/>
            <w:r>
              <w:rPr>
                <w:rFonts w:ascii="Arial" w:hAnsi="Arial"/>
                <w:b w:val="0"/>
                <w:color w:val="1A1A1A"/>
                <w:sz w:val="17"/>
              </w:rPr>
              <w:t>Italian</w:t>
            </w:r>
          </w:p>
        </w:tc>
        <w:tc>
          <w:tcPr>
            <w:tcW w:type="dxa" w:w="907"/>
          </w:tcPr>
          <w:p>
            <w:r/>
            <w:r>
              <w:rPr>
                <w:rFonts w:ascii="Arial" w:hAnsi="Arial"/>
                <w:b w:val="0"/>
                <w:color w:val="1A1A1A"/>
                <w:sz w:val="17"/>
              </w:rPr>
              <w:t>4,8</w:t>
            </w:r>
          </w:p>
        </w:tc>
        <w:tc>
          <w:tcPr>
            <w:tcW w:type="dxa" w:w="1134"/>
          </w:tcPr>
          <w:p>
            <w:r/>
            <w:r>
              <w:rPr>
                <w:rFonts w:ascii="Arial" w:hAnsi="Arial"/>
                <w:b w:val="0"/>
                <w:color w:val="1A1A1A"/>
                <w:sz w:val="17"/>
              </w:rPr>
              <w:t>1467</w:t>
            </w:r>
          </w:p>
        </w:tc>
        <w:tc>
          <w:tcPr>
            <w:tcW w:type="dxa" w:w="1191"/>
          </w:tcPr>
          <w:p>
            <w:r/>
            <w:r>
              <w:rPr>
                <w:rFonts w:ascii="Arial" w:hAnsi="Arial"/>
                <w:b w:val="0"/>
                <w:color w:val="1A1A1A"/>
                <w:sz w:val="17"/>
              </w:rPr>
              <w:t>Google</w:t>
            </w:r>
          </w:p>
        </w:tc>
      </w:tr>
      <w:tr>
        <w:tc>
          <w:tcPr>
            <w:tcW w:type="dxa" w:w="567"/>
          </w:tcPr>
          <w:p>
            <w:r/>
            <w:r>
              <w:rPr>
                <w:rFonts w:ascii="Arial" w:hAnsi="Arial"/>
                <w:b w:val="0"/>
                <w:color w:val="1A1A1A"/>
                <w:sz w:val="17"/>
              </w:rPr>
              <w:t>6</w:t>
            </w:r>
          </w:p>
        </w:tc>
        <w:tc>
          <w:tcPr>
            <w:tcW w:type="dxa" w:w="2381"/>
          </w:tcPr>
          <w:p>
            <w:r/>
            <w:r>
              <w:rPr>
                <w:rFonts w:ascii="Arial" w:hAnsi="Arial"/>
                <w:b w:val="0"/>
                <w:color w:val="1A1A1A"/>
                <w:sz w:val="17"/>
              </w:rPr>
              <w:t>Emilia Cucina Italiana</w:t>
            </w:r>
          </w:p>
        </w:tc>
        <w:tc>
          <w:tcPr>
            <w:tcW w:type="dxa" w:w="2041"/>
          </w:tcPr>
          <w:p>
            <w:r/>
            <w:r>
              <w:rPr>
                <w:rFonts w:ascii="Arial" w:hAnsi="Arial"/>
                <w:b w:val="0"/>
                <w:color w:val="1A1A1A"/>
                <w:sz w:val="17"/>
              </w:rPr>
              <w:t>Italian</w:t>
            </w:r>
          </w:p>
        </w:tc>
        <w:tc>
          <w:tcPr>
            <w:tcW w:type="dxa" w:w="907"/>
          </w:tcPr>
          <w:p>
            <w:r/>
            <w:r>
              <w:rPr>
                <w:rFonts w:ascii="Arial" w:hAnsi="Arial"/>
                <w:b w:val="0"/>
                <w:color w:val="1A1A1A"/>
                <w:sz w:val="17"/>
              </w:rPr>
              <w:t>4,8</w:t>
            </w:r>
          </w:p>
        </w:tc>
        <w:tc>
          <w:tcPr>
            <w:tcW w:type="dxa" w:w="1134"/>
          </w:tcPr>
          <w:p>
            <w:r/>
            <w:r>
              <w:rPr>
                <w:rFonts w:ascii="Arial" w:hAnsi="Arial"/>
                <w:b w:val="0"/>
                <w:color w:val="1A1A1A"/>
                <w:sz w:val="17"/>
              </w:rPr>
              <w:t>4776</w:t>
            </w:r>
          </w:p>
        </w:tc>
        <w:tc>
          <w:tcPr>
            <w:tcW w:type="dxa" w:w="1191"/>
          </w:tcPr>
          <w:p>
            <w:r/>
            <w:r>
              <w:rPr>
                <w:rFonts w:ascii="Arial" w:hAnsi="Arial"/>
                <w:b w:val="0"/>
                <w:color w:val="1A1A1A"/>
                <w:sz w:val="17"/>
              </w:rPr>
              <w:t>Google</w:t>
            </w:r>
          </w:p>
        </w:tc>
      </w:tr>
    </w:tbl>
    <w:p>
      <w:pPr>
        <w:spacing w:after="40"/>
      </w:pPr>
    </w:p>
    <w:p>
      <w:pPr>
        <w:spacing w:after="160" w:before="0" w:line="276" w:lineRule="auto"/>
        <w:jc w:val="left"/>
      </w:pPr>
      <w:r>
        <w:rPr>
          <w:rFonts w:ascii="Arial" w:hAnsi="Arial"/>
          <w:b w:val="0"/>
          <w:i/>
          <w:color w:val="555555"/>
          <w:sz w:val="17"/>
        </w:rPr>
        <w:t>Sumber: berkas deliverable data-restoran-GCI-jakarta.tsv (84 baris kurasi).</w:t>
      </w:r>
    </w:p>
    <w:p>
      <w:pPr>
        <w:spacing w:after="60" w:before="80" w:line="276" w:lineRule="auto"/>
        <w:jc w:val="left"/>
      </w:pPr>
      <w:r>
        <w:rPr>
          <w:rFonts w:ascii="Arial" w:hAnsi="Arial"/>
          <w:b/>
          <w:i w:val="0"/>
          <w:color w:val="1A1A1A"/>
          <w:sz w:val="21"/>
        </w:rPr>
        <w:t>Cuplikan dataset pertunjukan (deliverable 2025):</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1596"/>
        <w:gridCol w:w="1596"/>
        <w:gridCol w:w="1596"/>
        <w:gridCol w:w="1596"/>
        <w:gridCol w:w="1596"/>
        <w:gridCol w:w="1596"/>
      </w:tblGrid>
      <w:tr>
        <w:tc>
          <w:tcPr>
            <w:tcW w:type="dxa" w:w="510"/>
            <w:shd w:val="clear" w:color="auto" w:fill="d9d9d9"/>
          </w:tcPr>
          <w:p>
            <w:r/>
            <w:r>
              <w:rPr>
                <w:rFonts w:ascii="Arial" w:hAnsi="Arial"/>
                <w:b/>
                <w:color w:val="1A1A1A"/>
                <w:sz w:val="17"/>
              </w:rPr>
              <w:t>No.</w:t>
            </w:r>
          </w:p>
        </w:tc>
        <w:tc>
          <w:tcPr>
            <w:tcW w:type="dxa" w:w="1531"/>
            <w:shd w:val="clear" w:color="auto" w:fill="d9d9d9"/>
          </w:tcPr>
          <w:p>
            <w:r/>
            <w:r>
              <w:rPr>
                <w:rFonts w:ascii="Arial" w:hAnsi="Arial"/>
                <w:b/>
                <w:color w:val="1A1A1A"/>
                <w:sz w:val="17"/>
              </w:rPr>
              <w:t>Penyelenggara</w:t>
            </w:r>
          </w:p>
        </w:tc>
        <w:tc>
          <w:tcPr>
            <w:tcW w:type="dxa" w:w="2211"/>
            <w:shd w:val="clear" w:color="auto" w:fill="d9d9d9"/>
          </w:tcPr>
          <w:p>
            <w:r/>
            <w:r>
              <w:rPr>
                <w:rFonts w:ascii="Arial" w:hAnsi="Arial"/>
                <w:b/>
                <w:color w:val="1A1A1A"/>
                <w:sz w:val="17"/>
              </w:rPr>
              <w:t>Nama Pertunjukan</w:t>
            </w:r>
          </w:p>
        </w:tc>
        <w:tc>
          <w:tcPr>
            <w:tcW w:type="dxa" w:w="1077"/>
            <w:shd w:val="clear" w:color="auto" w:fill="d9d9d9"/>
          </w:tcPr>
          <w:p>
            <w:r/>
            <w:r>
              <w:rPr>
                <w:rFonts w:ascii="Arial" w:hAnsi="Arial"/>
                <w:b/>
                <w:color w:val="1A1A1A"/>
                <w:sz w:val="17"/>
              </w:rPr>
              <w:t>Tanggal</w:t>
            </w:r>
          </w:p>
        </w:tc>
        <w:tc>
          <w:tcPr>
            <w:tcW w:type="dxa" w:w="1701"/>
            <w:shd w:val="clear" w:color="auto" w:fill="d9d9d9"/>
          </w:tcPr>
          <w:p>
            <w:r/>
            <w:r>
              <w:rPr>
                <w:rFonts w:ascii="Arial" w:hAnsi="Arial"/>
                <w:b/>
                <w:color w:val="1A1A1A"/>
                <w:sz w:val="17"/>
              </w:rPr>
              <w:t>Tempat</w:t>
            </w:r>
          </w:p>
        </w:tc>
        <w:tc>
          <w:tcPr>
            <w:tcW w:type="dxa" w:w="1757"/>
            <w:shd w:val="clear" w:color="auto" w:fill="d9d9d9"/>
          </w:tcPr>
          <w:p>
            <w:r/>
            <w:r>
              <w:rPr>
                <w:rFonts w:ascii="Arial" w:hAnsi="Arial"/>
                <w:b/>
                <w:color w:val="1A1A1A"/>
                <w:sz w:val="17"/>
              </w:rPr>
              <w:t>Jenis</w:t>
            </w:r>
          </w:p>
        </w:tc>
      </w:tr>
      <w:tr>
        <w:tc>
          <w:tcPr>
            <w:tcW w:type="dxa" w:w="510"/>
          </w:tcPr>
          <w:p>
            <w:r/>
            <w:r>
              <w:rPr>
                <w:rFonts w:ascii="Arial" w:hAnsi="Arial"/>
                <w:b w:val="0"/>
                <w:color w:val="1A1A1A"/>
                <w:sz w:val="17"/>
              </w:rPr>
              <w:t>1</w:t>
            </w:r>
          </w:p>
        </w:tc>
        <w:tc>
          <w:tcPr>
            <w:tcW w:type="dxa" w:w="1531"/>
          </w:tcPr>
          <w:p>
            <w:r/>
            <w:r>
              <w:rPr>
                <w:rFonts w:ascii="Arial" w:hAnsi="Arial"/>
                <w:b w:val="0"/>
                <w:color w:val="1A1A1A"/>
                <w:sz w:val="17"/>
              </w:rPr>
              <w:t>Expoindo</w:t>
            </w:r>
          </w:p>
        </w:tc>
        <w:tc>
          <w:tcPr>
            <w:tcW w:type="dxa" w:w="2211"/>
          </w:tcPr>
          <w:p>
            <w:r/>
            <w:r>
              <w:rPr>
                <w:rFonts w:ascii="Arial" w:hAnsi="Arial"/>
                <w:b w:val="0"/>
                <w:color w:val="1A1A1A"/>
                <w:sz w:val="17"/>
              </w:rPr>
              <w:t>Pasar Malam Empat Satoe Slank (HUT ke-41)</w:t>
            </w:r>
          </w:p>
        </w:tc>
        <w:tc>
          <w:tcPr>
            <w:tcW w:type="dxa" w:w="1077"/>
          </w:tcPr>
          <w:p>
            <w:r/>
            <w:r>
              <w:rPr>
                <w:rFonts w:ascii="Arial" w:hAnsi="Arial"/>
                <w:b w:val="0"/>
                <w:color w:val="1A1A1A"/>
                <w:sz w:val="17"/>
              </w:rPr>
              <w:t>2025-01-04</w:t>
            </w:r>
          </w:p>
        </w:tc>
        <w:tc>
          <w:tcPr>
            <w:tcW w:type="dxa" w:w="1701"/>
          </w:tcPr>
          <w:p>
            <w:r/>
            <w:r>
              <w:rPr>
                <w:rFonts w:ascii="Arial" w:hAnsi="Arial"/>
                <w:b w:val="0"/>
                <w:color w:val="1A1A1A"/>
                <w:sz w:val="17"/>
              </w:rPr>
              <w:t>JIExpo Kemayoran, Jakarta</w:t>
            </w:r>
          </w:p>
        </w:tc>
        <w:tc>
          <w:tcPr>
            <w:tcW w:type="dxa" w:w="1757"/>
          </w:tcPr>
          <w:p>
            <w:r/>
            <w:r>
              <w:rPr>
                <w:rFonts w:ascii="Arial" w:hAnsi="Arial"/>
                <w:b w:val="0"/>
                <w:color w:val="1A1A1A"/>
                <w:sz w:val="17"/>
              </w:rPr>
              <w:t>Konser Musik Nasional (Rock/Pop)</w:t>
            </w:r>
          </w:p>
        </w:tc>
      </w:tr>
      <w:tr>
        <w:tc>
          <w:tcPr>
            <w:tcW w:type="dxa" w:w="510"/>
          </w:tcPr>
          <w:p>
            <w:r/>
            <w:r>
              <w:rPr>
                <w:rFonts w:ascii="Arial" w:hAnsi="Arial"/>
                <w:b w:val="0"/>
                <w:color w:val="1A1A1A"/>
                <w:sz w:val="17"/>
              </w:rPr>
              <w:t>2</w:t>
            </w:r>
          </w:p>
        </w:tc>
        <w:tc>
          <w:tcPr>
            <w:tcW w:type="dxa" w:w="1531"/>
          </w:tcPr>
          <w:p>
            <w:r/>
            <w:r>
              <w:rPr>
                <w:rFonts w:ascii="Arial" w:hAnsi="Arial"/>
                <w:b w:val="0"/>
                <w:color w:val="1A1A1A"/>
                <w:sz w:val="17"/>
              </w:rPr>
              <w:t>Front Row Asia</w:t>
            </w:r>
          </w:p>
        </w:tc>
        <w:tc>
          <w:tcPr>
            <w:tcW w:type="dxa" w:w="2211"/>
          </w:tcPr>
          <w:p>
            <w:r/>
            <w:r>
              <w:rPr>
                <w:rFonts w:ascii="Arial" w:hAnsi="Arial"/>
                <w:b w:val="0"/>
                <w:color w:val="1A1A1A"/>
                <w:sz w:val="17"/>
              </w:rPr>
              <w:t>Boney M. 50th Anniversary Tour Live in Jakarta</w:t>
            </w:r>
          </w:p>
        </w:tc>
        <w:tc>
          <w:tcPr>
            <w:tcW w:type="dxa" w:w="1077"/>
          </w:tcPr>
          <w:p>
            <w:r/>
            <w:r>
              <w:rPr>
                <w:rFonts w:ascii="Arial" w:hAnsi="Arial"/>
                <w:b w:val="0"/>
                <w:color w:val="1A1A1A"/>
                <w:sz w:val="17"/>
              </w:rPr>
              <w:t>2025-01-10</w:t>
            </w:r>
          </w:p>
        </w:tc>
        <w:tc>
          <w:tcPr>
            <w:tcW w:type="dxa" w:w="1701"/>
          </w:tcPr>
          <w:p>
            <w:r/>
            <w:r>
              <w:rPr>
                <w:rFonts w:ascii="Arial" w:hAnsi="Arial"/>
                <w:b w:val="0"/>
                <w:color w:val="1A1A1A"/>
                <w:sz w:val="17"/>
              </w:rPr>
              <w:t>Grand Ballroom Pullman Jakarta Central Park</w:t>
            </w:r>
          </w:p>
        </w:tc>
        <w:tc>
          <w:tcPr>
            <w:tcW w:type="dxa" w:w="1757"/>
          </w:tcPr>
          <w:p>
            <w:r/>
            <w:r>
              <w:rPr>
                <w:rFonts w:ascii="Arial" w:hAnsi="Arial"/>
                <w:b w:val="0"/>
                <w:color w:val="1A1A1A"/>
                <w:sz w:val="17"/>
              </w:rPr>
              <w:t>Konser Musik Internasional (Disco/Pop)</w:t>
            </w:r>
          </w:p>
        </w:tc>
      </w:tr>
      <w:tr>
        <w:tc>
          <w:tcPr>
            <w:tcW w:type="dxa" w:w="510"/>
          </w:tcPr>
          <w:p>
            <w:r/>
            <w:r>
              <w:rPr>
                <w:rFonts w:ascii="Arial" w:hAnsi="Arial"/>
                <w:b w:val="0"/>
                <w:color w:val="1A1A1A"/>
                <w:sz w:val="17"/>
              </w:rPr>
              <w:t>3</w:t>
            </w:r>
          </w:p>
        </w:tc>
        <w:tc>
          <w:tcPr>
            <w:tcW w:type="dxa" w:w="1531"/>
          </w:tcPr>
          <w:p>
            <w:r/>
            <w:r>
              <w:rPr>
                <w:rFonts w:ascii="Arial" w:hAnsi="Arial"/>
                <w:b w:val="0"/>
                <w:color w:val="1A1A1A"/>
                <w:sz w:val="17"/>
              </w:rPr>
              <w:t>Live Nation, TEM Presents, PK Entertainment</w:t>
            </w:r>
          </w:p>
        </w:tc>
        <w:tc>
          <w:tcPr>
            <w:tcW w:type="dxa" w:w="2211"/>
          </w:tcPr>
          <w:p>
            <w:r/>
            <w:r>
              <w:rPr>
                <w:rFonts w:ascii="Arial" w:hAnsi="Arial"/>
                <w:b w:val="0"/>
                <w:color w:val="1A1A1A"/>
                <w:sz w:val="17"/>
              </w:rPr>
              <w:t>Cigarettes After Sex - X's World Tour 2025 Live in Jakarta</w:t>
            </w:r>
          </w:p>
        </w:tc>
        <w:tc>
          <w:tcPr>
            <w:tcW w:type="dxa" w:w="1077"/>
          </w:tcPr>
          <w:p>
            <w:r/>
            <w:r>
              <w:rPr>
                <w:rFonts w:ascii="Arial" w:hAnsi="Arial"/>
                <w:b w:val="0"/>
                <w:color w:val="1A1A1A"/>
                <w:sz w:val="17"/>
              </w:rPr>
              <w:t>2025-01-17</w:t>
            </w:r>
          </w:p>
        </w:tc>
        <w:tc>
          <w:tcPr>
            <w:tcW w:type="dxa" w:w="1701"/>
          </w:tcPr>
          <w:p>
            <w:r/>
            <w:r>
              <w:rPr>
                <w:rFonts w:ascii="Arial" w:hAnsi="Arial"/>
                <w:b w:val="0"/>
                <w:color w:val="1A1A1A"/>
                <w:sz w:val="17"/>
              </w:rPr>
              <w:t>Beach City International Stadium (BCIS) Ancol</w:t>
            </w:r>
          </w:p>
        </w:tc>
        <w:tc>
          <w:tcPr>
            <w:tcW w:type="dxa" w:w="1757"/>
          </w:tcPr>
          <w:p>
            <w:r/>
            <w:r>
              <w:rPr>
                <w:rFonts w:ascii="Arial" w:hAnsi="Arial"/>
                <w:b w:val="0"/>
                <w:color w:val="1A1A1A"/>
                <w:sz w:val="17"/>
              </w:rPr>
              <w:t>Konser Musik Internasional (Dream Pop/Indie)</w:t>
            </w:r>
          </w:p>
        </w:tc>
      </w:tr>
      <w:tr>
        <w:tc>
          <w:tcPr>
            <w:tcW w:type="dxa" w:w="510"/>
          </w:tcPr>
          <w:p>
            <w:r/>
            <w:r>
              <w:rPr>
                <w:rFonts w:ascii="Arial" w:hAnsi="Arial"/>
                <w:b w:val="0"/>
                <w:color w:val="1A1A1A"/>
                <w:sz w:val="17"/>
              </w:rPr>
              <w:t>4</w:t>
            </w:r>
          </w:p>
        </w:tc>
        <w:tc>
          <w:tcPr>
            <w:tcW w:type="dxa" w:w="1531"/>
          </w:tcPr>
          <w:p>
            <w:r/>
            <w:r>
              <w:rPr>
                <w:rFonts w:ascii="Arial" w:hAnsi="Arial"/>
                <w:b w:val="0"/>
                <w:color w:val="1A1A1A"/>
                <w:sz w:val="17"/>
              </w:rPr>
              <w:t>Bank Mandiri</w:t>
            </w:r>
          </w:p>
        </w:tc>
        <w:tc>
          <w:tcPr>
            <w:tcW w:type="dxa" w:w="2211"/>
          </w:tcPr>
          <w:p>
            <w:r/>
            <w:r>
              <w:rPr>
                <w:rFonts w:ascii="Arial" w:hAnsi="Arial"/>
                <w:b w:val="0"/>
                <w:color w:val="1A1A1A"/>
                <w:sz w:val="17"/>
              </w:rPr>
              <w:t>Konser Super Diva</w:t>
            </w:r>
          </w:p>
        </w:tc>
        <w:tc>
          <w:tcPr>
            <w:tcW w:type="dxa" w:w="1077"/>
          </w:tcPr>
          <w:p>
            <w:r/>
            <w:r>
              <w:rPr>
                <w:rFonts w:ascii="Arial" w:hAnsi="Arial"/>
                <w:b w:val="0"/>
                <w:color w:val="1A1A1A"/>
                <w:sz w:val="17"/>
              </w:rPr>
              <w:t>2025-01-17</w:t>
            </w:r>
          </w:p>
        </w:tc>
        <w:tc>
          <w:tcPr>
            <w:tcW w:type="dxa" w:w="1701"/>
          </w:tcPr>
          <w:p>
            <w:r/>
            <w:r>
              <w:rPr>
                <w:rFonts w:ascii="Arial" w:hAnsi="Arial"/>
                <w:b w:val="0"/>
                <w:color w:val="1A1A1A"/>
                <w:sz w:val="17"/>
              </w:rPr>
              <w:t>Indonesia Arena, GBK Senayan, Jakarta</w:t>
            </w:r>
          </w:p>
        </w:tc>
        <w:tc>
          <w:tcPr>
            <w:tcW w:type="dxa" w:w="1757"/>
          </w:tcPr>
          <w:p>
            <w:r/>
            <w:r>
              <w:rPr>
                <w:rFonts w:ascii="Arial" w:hAnsi="Arial"/>
                <w:b w:val="0"/>
                <w:color w:val="1A1A1A"/>
                <w:sz w:val="17"/>
              </w:rPr>
              <w:t>Konser Musik Nasional (Pop)</w:t>
            </w:r>
          </w:p>
        </w:tc>
      </w:tr>
      <w:tr>
        <w:tc>
          <w:tcPr>
            <w:tcW w:type="dxa" w:w="510"/>
          </w:tcPr>
          <w:p>
            <w:r/>
            <w:r>
              <w:rPr>
                <w:rFonts w:ascii="Arial" w:hAnsi="Arial"/>
                <w:b w:val="0"/>
                <w:color w:val="1A1A1A"/>
                <w:sz w:val="17"/>
              </w:rPr>
              <w:t>5</w:t>
            </w:r>
          </w:p>
        </w:tc>
        <w:tc>
          <w:tcPr>
            <w:tcW w:type="dxa" w:w="1531"/>
          </w:tcPr>
          <w:p>
            <w:r/>
            <w:r>
              <w:rPr>
                <w:rFonts w:ascii="Arial" w:hAnsi="Arial"/>
                <w:b w:val="0"/>
                <w:color w:val="1A1A1A"/>
                <w:sz w:val="17"/>
              </w:rPr>
            </w:r>
          </w:p>
        </w:tc>
        <w:tc>
          <w:tcPr>
            <w:tcW w:type="dxa" w:w="2211"/>
          </w:tcPr>
          <w:p>
            <w:r/>
            <w:r>
              <w:rPr>
                <w:rFonts w:ascii="Arial" w:hAnsi="Arial"/>
                <w:b w:val="0"/>
                <w:color w:val="1A1A1A"/>
                <w:sz w:val="17"/>
              </w:rPr>
              <w:t>INFINITE 15th Anniversary Concert: Limited Edition in Jakarta</w:t>
            </w:r>
          </w:p>
        </w:tc>
        <w:tc>
          <w:tcPr>
            <w:tcW w:type="dxa" w:w="1077"/>
          </w:tcPr>
          <w:p>
            <w:r/>
            <w:r>
              <w:rPr>
                <w:rFonts w:ascii="Arial" w:hAnsi="Arial"/>
                <w:b w:val="0"/>
                <w:color w:val="1A1A1A"/>
                <w:sz w:val="17"/>
              </w:rPr>
              <w:t>2025-01-18</w:t>
            </w:r>
          </w:p>
        </w:tc>
        <w:tc>
          <w:tcPr>
            <w:tcW w:type="dxa" w:w="1701"/>
          </w:tcPr>
          <w:p>
            <w:r/>
            <w:r>
              <w:rPr>
                <w:rFonts w:ascii="Arial" w:hAnsi="Arial"/>
                <w:b w:val="0"/>
                <w:color w:val="1A1A1A"/>
                <w:sz w:val="17"/>
              </w:rPr>
              <w:t>Tennis Indoor Senayan</w:t>
            </w:r>
          </w:p>
        </w:tc>
        <w:tc>
          <w:tcPr>
            <w:tcW w:type="dxa" w:w="1757"/>
          </w:tcPr>
          <w:p>
            <w:r/>
            <w:r>
              <w:rPr>
                <w:rFonts w:ascii="Arial" w:hAnsi="Arial"/>
                <w:b w:val="0"/>
                <w:color w:val="1A1A1A"/>
                <w:sz w:val="17"/>
              </w:rPr>
              <w:t>Konser Musik Internasional (K-pop)</w:t>
            </w:r>
          </w:p>
        </w:tc>
      </w:tr>
      <w:tr>
        <w:tc>
          <w:tcPr>
            <w:tcW w:type="dxa" w:w="510"/>
          </w:tcPr>
          <w:p>
            <w:r/>
            <w:r>
              <w:rPr>
                <w:rFonts w:ascii="Arial" w:hAnsi="Arial"/>
                <w:b w:val="0"/>
                <w:color w:val="1A1A1A"/>
                <w:sz w:val="17"/>
              </w:rPr>
              <w:t>6</w:t>
            </w:r>
          </w:p>
        </w:tc>
        <w:tc>
          <w:tcPr>
            <w:tcW w:type="dxa" w:w="1531"/>
          </w:tcPr>
          <w:p>
            <w:r/>
            <w:r>
              <w:rPr>
                <w:rFonts w:ascii="Arial" w:hAnsi="Arial"/>
                <w:b w:val="0"/>
                <w:color w:val="1A1A1A"/>
                <w:sz w:val="17"/>
              </w:rPr>
            </w:r>
          </w:p>
        </w:tc>
        <w:tc>
          <w:tcPr>
            <w:tcW w:type="dxa" w:w="2211"/>
          </w:tcPr>
          <w:p>
            <w:r/>
            <w:r>
              <w:rPr>
                <w:rFonts w:ascii="Arial" w:hAnsi="Arial"/>
                <w:b w:val="0"/>
                <w:color w:val="1A1A1A"/>
                <w:sz w:val="17"/>
              </w:rPr>
              <w:t>TAEYANG 2025 TOUR [THE LIGHT YEAR] in Jakarta</w:t>
            </w:r>
          </w:p>
        </w:tc>
        <w:tc>
          <w:tcPr>
            <w:tcW w:type="dxa" w:w="1077"/>
          </w:tcPr>
          <w:p>
            <w:r/>
            <w:r>
              <w:rPr>
                <w:rFonts w:ascii="Arial" w:hAnsi="Arial"/>
                <w:b w:val="0"/>
                <w:color w:val="1A1A1A"/>
                <w:sz w:val="17"/>
              </w:rPr>
              <w:t>2025-01-25</w:t>
            </w:r>
          </w:p>
        </w:tc>
        <w:tc>
          <w:tcPr>
            <w:tcW w:type="dxa" w:w="1701"/>
          </w:tcPr>
          <w:p>
            <w:r/>
            <w:r>
              <w:rPr>
                <w:rFonts w:ascii="Arial" w:hAnsi="Arial"/>
                <w:b w:val="0"/>
                <w:color w:val="1A1A1A"/>
                <w:sz w:val="17"/>
              </w:rPr>
              <w:t>Beach City International Stadium (BCIS) Ancol</w:t>
            </w:r>
          </w:p>
        </w:tc>
        <w:tc>
          <w:tcPr>
            <w:tcW w:type="dxa" w:w="1757"/>
          </w:tcPr>
          <w:p>
            <w:r/>
            <w:r>
              <w:rPr>
                <w:rFonts w:ascii="Arial" w:hAnsi="Arial"/>
                <w:b w:val="0"/>
                <w:color w:val="1A1A1A"/>
                <w:sz w:val="17"/>
              </w:rPr>
              <w:t>Konser Musik Internasional (K-pop)</w:t>
            </w:r>
          </w:p>
        </w:tc>
      </w:tr>
    </w:tbl>
    <w:p>
      <w:pPr>
        <w:spacing w:after="40"/>
      </w:pPr>
    </w:p>
    <w:p>
      <w:pPr>
        <w:spacing w:after="160" w:before="0" w:line="276" w:lineRule="auto"/>
        <w:jc w:val="left"/>
      </w:pPr>
      <w:r>
        <w:rPr>
          <w:rFonts w:ascii="Arial" w:hAnsi="Arial"/>
          <w:b w:val="0"/>
          <w:i/>
          <w:color w:val="555555"/>
          <w:sz w:val="17"/>
        </w:rPr>
        <w:t>Sumber: berkas deliverable data-pertunjukan-GCI-jakarta-2025.tsv (170 baris, 2025).</w:t>
      </w:r>
    </w:p>
    <w:p>
      <w:pPr>
        <w:spacing w:before="120" w:after="40"/>
        <w:jc w:val="center"/>
      </w:pPr>
      <w:r>
        <w:drawing>
          <wp:inline xmlns:a="http://schemas.openxmlformats.org/drawingml/2006/main" xmlns:pic="http://schemas.openxmlformats.org/drawingml/2006/picture">
            <wp:extent cx="5580000" cy="5283507"/>
            <wp:docPr id="1" name="Picture 1"/>
            <wp:cNvGraphicFramePr>
              <a:graphicFrameLocks noChangeAspect="1"/>
            </wp:cNvGraphicFramePr>
            <a:graphic>
              <a:graphicData uri="http://schemas.openxmlformats.org/drawingml/2006/picture">
                <pic:pic>
                  <pic:nvPicPr>
                    <pic:cNvPr id="0" name="events-viewport.png"/>
                    <pic:cNvPicPr/>
                  </pic:nvPicPr>
                  <pic:blipFill>
                    <a:blip r:embed="rId9"/>
                    <a:stretch>
                      <a:fillRect/>
                    </a:stretch>
                  </pic:blipFill>
                  <pic:spPr>
                    <a:xfrm>
                      <a:off x="0" y="0"/>
                      <a:ext cx="5580000" cy="5283507"/>
                    </a:xfrm>
                    <a:prstGeom prst="rect"/>
                  </pic:spPr>
                </pic:pic>
              </a:graphicData>
            </a:graphic>
          </wp:inline>
        </w:drawing>
      </w:r>
    </w:p>
    <w:p>
      <w:pPr>
        <w:spacing w:after="200"/>
        <w:jc w:val="center"/>
      </w:pPr>
      <w:r>
        <w:rPr>
          <w:rFonts w:ascii="Arial" w:hAnsi="Arial"/>
          <w:i/>
          <w:color w:val="555555"/>
          <w:sz w:val="18"/>
        </w:rPr>
        <w:t>Gambar 1. Rekap indikator pertunjukan pada dashboard, konsisten dengan dataset deliverable.</w:t>
      </w:r>
    </w:p>
    <w:p>
      <w:pPr>
        <w:keepNext/>
        <w:spacing w:before="240" w:after="80"/>
      </w:pPr>
      <w:r>
        <w:rPr>
          <w:rFonts w:ascii="Arial" w:hAnsi="Arial"/>
          <w:b/>
          <w:color w:val="1A1A1A"/>
          <w:sz w:val="24"/>
        </w:rPr>
        <w:t>V.  RENCANA TINDAK LANJUT — PENGEMBANGAN PLATFORM AI-DATA</w:t>
      </w:r>
    </w:p>
    <w:p>
      <w:pPr>
        <w:spacing w:after="120" w:before="0" w:line="276" w:lineRule="auto"/>
        <w:jc w:val="both"/>
      </w:pPr>
      <w:r>
        <w:rPr>
          <w:rFonts w:ascii="Arial" w:hAnsi="Arial"/>
          <w:b w:val="0"/>
          <w:i w:val="0"/>
          <w:color w:val="1A1A1A"/>
          <w:sz w:val="22"/>
        </w:rPr>
        <w:t>Sebagai kelanjutan pekerjaan, tim mengusulkan pengembangan Jakarta Tourism Intelligence Platform, yaitu satu fondasi AI-Data yang menggabungkan lima kemampuan inti: Data Gathering (pengumpulan data dari web, database, file, dokumen, survei &amp; sumber publik), Lakehouse Making (penyusunan data menjadi lapisan raw, clean, dan business data mart), Dashboarding (visualisasi indikator strategis), AI Analyst (bertanya langsung kepada data dengan bahasa natural, jawaban tetap dapat diaudit), dan Policy Insight Layer (fondasi analisis dampak, nowcasting &amp; simulasi kebijakan). Platform ini menjadi wadah agar pekerjaan data yang saat ini masih dilakukan secara manual dapat berjalan terintegrasi, berkelanjutan, dan mendukung posisi Jakarta sebagai kota global.</w:t>
      </w:r>
    </w:p>
    <w:p>
      <w:pPr>
        <w:spacing w:after="120" w:before="0" w:line="276" w:lineRule="auto"/>
        <w:jc w:val="both"/>
      </w:pPr>
      <w:r>
        <w:rPr>
          <w:rFonts w:ascii="Arial" w:hAnsi="Arial"/>
          <w:b w:val="0"/>
          <w:i w:val="0"/>
          <w:color w:val="1A1A1A"/>
          <w:sz w:val="22"/>
        </w:rPr>
        <w:t>Pada pengembangan platform, Data Analyst berperan memanfaatkan Business Data Mart dan AI Analyst untuk mempercepat penyusunan laporan rutin dan ad-hoc, sekaligus menjaga agar setiap angka yang dilaporkan tetap terhubung ke data, metrik, dan query yang dapat diaudit.</w:t>
      </w:r>
    </w:p>
    <w:p>
      <w:pPr>
        <w:keepNext/>
        <w:spacing w:before="240" w:after="80"/>
      </w:pPr>
      <w:r>
        <w:rPr>
          <w:rFonts w:ascii="Arial" w:hAnsi="Arial"/>
          <w:b/>
          <w:color w:val="1A1A1A"/>
          <w:sz w:val="24"/>
        </w:rPr>
        <w:t>VI.  PENUTUP</w:t>
      </w:r>
    </w:p>
    <w:p>
      <w:pPr>
        <w:spacing w:after="120" w:before="0" w:line="276" w:lineRule="auto"/>
        <w:jc w:val="both"/>
      </w:pPr>
      <w:r>
        <w:rPr>
          <w:rFonts w:ascii="Arial" w:hAnsi="Arial"/>
          <w:b w:val="0"/>
          <w:i w:val="0"/>
          <w:color w:val="1A1A1A"/>
          <w:sz w:val="22"/>
        </w:rPr>
        <w:t>Dua dataset deliverable telah disiapkan, diverifikasi, dan direkap menjadi indikator. Tahap berikutnya adalah membakukan laporan rutin di atas data mart platform.</w:t>
      </w:r>
    </w:p>
    <w:p>
      <w:pPr>
        <w:spacing w:after="120"/>
      </w:pPr>
    </w:p>
    <w:tbl>
      <w:tblPr>
        <w:tblW w:type="auto" w:w="0"/>
        <w:tblLook w:firstColumn="1" w:firstRow="1" w:lastColumn="0" w:lastRow="0" w:noHBand="0" w:noVBand="1" w:val="04A0"/>
      </w:tblPr>
      <w:tblGrid>
        <w:gridCol w:w="4788"/>
        <w:gridCol w:w="4788"/>
      </w:tblGrid>
      <w:tr>
        <w:tc>
          <w:tcPr>
            <w:tcW w:type="dxa" w:w="4788"/>
          </w:tcPr>
          <w:p>
            <w:pPr>
              <w:jc w:val="center"/>
            </w:pPr>
            <w:r/>
            <w:r>
              <w:rPr>
                <w:rFonts w:ascii="Arial" w:hAnsi="Arial"/>
                <w:b w:val="0"/>
                <w:color w:val="1A1A1A"/>
                <w:sz w:val="21"/>
              </w:rPr>
              <w:t>Mengetahui,</w:t>
              <w:br/>
              <w:t>Pejabat Pembuat Komitmen</w:t>
            </w:r>
          </w:p>
        </w:tc>
        <w:tc>
          <w:tcPr>
            <w:tcW w:type="dxa" w:w="4788"/>
          </w:tcPr>
          <w:p>
            <w:pPr>
              <w:jc w:val="center"/>
            </w:pPr>
            <w:r/>
            <w:r>
              <w:rPr>
                <w:rFonts w:ascii="Arial" w:hAnsi="Arial"/>
                <w:b w:val="0"/>
                <w:color w:val="1A1A1A"/>
                <w:sz w:val="21"/>
              </w:rPr>
              <w:t>Jakarta, ......................... 2026</w:t>
              <w:br/>
              <w:t>Tenaga Ahli yang bersangkutan</w:t>
            </w:r>
          </w:p>
        </w:tc>
      </w:tr>
      <w:tr>
        <w:tc>
          <w:tcPr>
            <w:tcW w:type="dxa" w:w="4788"/>
          </w:tcPr>
          <w:p/>
        </w:tc>
        <w:tc>
          <w:tcPr>
            <w:tcW w:type="dxa" w:w="4788"/>
          </w:tcPr>
          <w:p/>
        </w:tc>
      </w:tr>
      <w:tr>
        <w:tc>
          <w:tcPr>
            <w:tcW w:type="dxa" w:w="4788"/>
          </w:tcPr>
          <w:p/>
        </w:tc>
        <w:tc>
          <w:tcPr>
            <w:tcW w:type="dxa" w:w="4788"/>
          </w:tcPr>
          <w:p/>
        </w:tc>
      </w:tr>
      <w:tr>
        <w:tc>
          <w:tcPr>
            <w:tcW w:type="dxa" w:w="4788"/>
          </w:tcPr>
          <w:p/>
        </w:tc>
        <w:tc>
          <w:tcPr>
            <w:tcW w:type="dxa" w:w="4788"/>
          </w:tcPr>
          <w:p/>
        </w:tc>
      </w:tr>
      <w:tr>
        <w:tc>
          <w:tcPr>
            <w:tcW w:type="dxa" w:w="4788"/>
          </w:tcPr>
          <w:p/>
        </w:tc>
        <w:tc>
          <w:tcPr>
            <w:tcW w:type="dxa" w:w="4788"/>
          </w:tcPr>
          <w:p/>
        </w:tc>
      </w:tr>
      <w:tr>
        <w:tc>
          <w:tcPr>
            <w:tcW w:type="dxa" w:w="4788"/>
          </w:tcPr>
          <w:p>
            <w:pPr>
              <w:jc w:val="center"/>
            </w:pPr>
            <w:r/>
            <w:r>
              <w:rPr>
                <w:rFonts w:ascii="Arial" w:hAnsi="Arial"/>
                <w:b/>
                <w:color w:val="1A1A1A"/>
                <w:sz w:val="21"/>
              </w:rPr>
              <w:t>(  Bima Agung  )</w:t>
            </w:r>
          </w:p>
        </w:tc>
        <w:tc>
          <w:tcPr>
            <w:tcW w:type="dxa" w:w="4788"/>
          </w:tcPr>
          <w:p>
            <w:pPr>
              <w:jc w:val="center"/>
            </w:pPr>
            <w:r/>
            <w:r>
              <w:rPr>
                <w:rFonts w:ascii="Arial" w:hAnsi="Arial"/>
                <w:b/>
                <w:color w:val="1A1A1A"/>
                <w:sz w:val="21"/>
              </w:rPr>
              <w:t>(  [Nama Tenaga Ahli]  )</w:t>
            </w:r>
          </w:p>
        </w:tc>
      </w:tr>
      <w:tr>
        <w:tc>
          <w:tcPr>
            <w:tcW w:type="dxa" w:w="4788"/>
          </w:tcPr>
          <w:p>
            <w:pPr>
              <w:jc w:val="center"/>
            </w:pPr>
            <w:r/>
            <w:r>
              <w:rPr>
                <w:rFonts w:ascii="Arial" w:hAnsi="Arial"/>
                <w:b w:val="0"/>
                <w:color w:val="555555"/>
                <w:sz w:val="19"/>
              </w:rPr>
              <w:t>NIP. 197907162011011008</w:t>
            </w:r>
          </w:p>
        </w:tc>
        <w:tc>
          <w:tcPr>
            <w:tcW w:type="dxa" w:w="4788"/>
          </w:tcPr>
          <w:p>
            <w:pPr>
              <w:jc w:val="center"/>
            </w:pPr>
            <w:r/>
            <w:r>
              <w:rPr>
                <w:rFonts w:ascii="Arial" w:hAnsi="Arial"/>
                <w:b w:val="0"/>
                <w:color w:val="555555"/>
                <w:sz w:val="19"/>
              </w:rPr>
              <w:t>Tenaga Ahli Data Analyst (Intermediate)</w:t>
            </w:r>
          </w:p>
        </w:tc>
      </w:tr>
    </w:tbl>
    <w:sectPr w:rsidR="00FC693F" w:rsidRPr="0006063C" w:rsidSect="00034616">
      <w:pgSz w:w="12240" w:h="15840"/>
      <w:pgMar w:top="1247" w:right="124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