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Master Data Management (MDM) Specialist (Senior)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Komputer/Statistik, pengalaman minimal 7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MDM Specialist, tenaga ahli bertanggung jawab membentuk dan menjaga data induk entitas pariwisata serta memastikan setiap nilai yang masuk ke lapisan penyaji telah melewati pemeriksaan mutu — pada bulan ini diwujudkan sebagai gerbang mutu otomatis yang berjalan harian, lengkap dengan mekanisme karantina bagi baris yang belum layak dipakai.</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Mengidentifikasi entitas master data pariwisata Jakarta dan menyusun struktur data master;</w:t>
      </w:r>
    </w:p>
    <w:p>
      <w:pPr>
        <w:spacing w:after="60" w:line="269" w:lineRule="auto"/>
        <w:ind w:left="510"/>
      </w:pPr>
      <w:r>
        <w:rPr>
          <w:rFonts w:ascii="Arial" w:hAnsi="Arial"/>
          <w:b/>
          <w:sz w:val="22"/>
        </w:rPr>
        <w:t xml:space="preserve">b.  </w:t>
      </w:r>
      <w:r>
        <w:rPr>
          <w:rFonts w:ascii="Arial" w:hAnsi="Arial"/>
          <w:color w:val="1A1A1A"/>
          <w:sz w:val="22"/>
        </w:rPr>
        <w:t>Menyusun kebijakan dan prosedur MDM (data ownership, data stewardship, alur perubahan, persetujuan, dan audit);</w:t>
      </w:r>
    </w:p>
    <w:p>
      <w:pPr>
        <w:spacing w:after="60" w:line="269" w:lineRule="auto"/>
        <w:ind w:left="510"/>
      </w:pPr>
      <w:r>
        <w:rPr>
          <w:rFonts w:ascii="Arial" w:hAnsi="Arial"/>
          <w:b/>
          <w:sz w:val="22"/>
        </w:rPr>
        <w:t xml:space="preserve">c.  </w:t>
      </w:r>
      <w:r>
        <w:rPr>
          <w:rFonts w:ascii="Arial" w:hAnsi="Arial"/>
          <w:color w:val="1A1A1A"/>
          <w:sz w:val="22"/>
        </w:rPr>
        <w:t>Melaksanakan pembentukan master data melalui konsolidasi, deduplikasi, verifikasi, dan validasi data dari berbagai sumber;</w:t>
      </w:r>
    </w:p>
    <w:p>
      <w:pPr>
        <w:spacing w:after="60" w:line="269" w:lineRule="auto"/>
        <w:ind w:left="510"/>
      </w:pPr>
      <w:r>
        <w:rPr>
          <w:rFonts w:ascii="Arial" w:hAnsi="Arial"/>
          <w:b/>
          <w:sz w:val="22"/>
        </w:rPr>
        <w:t xml:space="preserve">d.  </w:t>
      </w:r>
      <w:r>
        <w:rPr>
          <w:rFonts w:ascii="Arial" w:hAnsi="Arial"/>
          <w:color w:val="1A1A1A"/>
          <w:sz w:val="22"/>
        </w:rPr>
        <w:t>Menyusun mekanisme pemeliharaan dan pemutakhiran master data secara berkala;</w:t>
      </w:r>
    </w:p>
    <w:p>
      <w:pPr>
        <w:spacing w:after="60" w:line="269" w:lineRule="auto"/>
        <w:ind w:left="510"/>
      </w:pPr>
      <w:r>
        <w:rPr>
          <w:rFonts w:ascii="Arial" w:hAnsi="Arial"/>
          <w:b/>
          <w:sz w:val="22"/>
        </w:rPr>
        <w:t xml:space="preserve">e.  </w:t>
      </w:r>
      <w:r>
        <w:rPr>
          <w:rFonts w:ascii="Arial" w:hAnsi="Arial"/>
          <w:color w:val="1A1A1A"/>
          <w:sz w:val="22"/>
        </w:rPr>
        <w:t>Memastikan integrasi master data ke dalam database dan ketersediaannya bagi Dashboard melalui metadata.</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pekerjaan MDM berpindah dari perbaikan manual per dataset menjadi aturan mutu yang dijalankan mesin setiap hari: setiap kolom diperiksa, baris yang nilainya tidak dapat dibaca sebagai angka atau tanggal dikarantina, dan penurunan jumlah baris yang mencurigakan ditandai sebagai anomali. Dimensi bersama (negara asal, bulan) dibakukan agar penamaan seragam lintas dataset.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Struktur master &amp; dimensi bersama</w:t>
            </w:r>
          </w:p>
        </w:tc>
        <w:tc>
          <w:tcPr>
            <w:tcW w:type="dxa" w:w="5102"/>
          </w:tcPr>
          <w:p>
            <w:r/>
            <w:r>
              <w:rPr>
                <w:rFonts w:ascii="Arial" w:hAnsi="Arial"/>
                <w:b w:val="0"/>
                <w:color w:val="1A1A1A"/>
                <w:sz w:val="19"/>
              </w:rPr>
              <w:t>Membakukan dimensi bersama pada lake house: dimensi negara asal (menyatukan 61 varian penulisan menjadi 23 nama kanonik) dan dimensi bulan (menyeragamkan penulisan nama bulan), sehingga penggabungan antar-dataset tidak lagi pecah karena beda ejaan.</w:t>
            </w:r>
          </w:p>
        </w:tc>
      </w:tr>
      <w:tr>
        <w:tc>
          <w:tcPr>
            <w:tcW w:type="dxa" w:w="3742"/>
          </w:tcPr>
          <w:p>
            <w:r/>
            <w:r>
              <w:rPr>
                <w:rFonts w:ascii="Arial" w:hAnsi="Arial"/>
                <w:b w:val="0"/>
                <w:color w:val="1A1A1A"/>
                <w:sz w:val="19"/>
              </w:rPr>
              <w:t>Kebijakan &amp; prosedur stewardship</w:t>
            </w:r>
          </w:p>
        </w:tc>
        <w:tc>
          <w:tcPr>
            <w:tcW w:type="dxa" w:w="5102"/>
          </w:tcPr>
          <w:p>
            <w:r/>
            <w:r>
              <w:rPr>
                <w:rFonts w:ascii="Arial" w:hAnsi="Arial"/>
                <w:b w:val="0"/>
                <w:color w:val="1A1A1A"/>
                <w:sz w:val="19"/>
              </w:rPr>
              <w:t>Menetapkan aturan tegas: nilai yang tidak lolos konversi tidak dibuang dan tidak pula dipakai — dipindahkan ke karantina beserta alasan dan contoh nilainya, agar dapat ditagihkan perbaikannya ke pemilik data.</w:t>
            </w:r>
          </w:p>
        </w:tc>
      </w:tr>
      <w:tr>
        <w:tc>
          <w:tcPr>
            <w:tcW w:type="dxa" w:w="3742"/>
          </w:tcPr>
          <w:p>
            <w:r/>
            <w:r>
              <w:rPr>
                <w:rFonts w:ascii="Arial" w:hAnsi="Arial"/>
                <w:b w:val="0"/>
                <w:color w:val="1A1A1A"/>
                <w:sz w:val="19"/>
              </w:rPr>
              <w:t>Pemeriksaan mutu otomatis harian</w:t>
            </w:r>
          </w:p>
        </w:tc>
        <w:tc>
          <w:tcPr>
            <w:tcW w:type="dxa" w:w="5102"/>
          </w:tcPr>
          <w:p>
            <w:r/>
            <w:r>
              <w:rPr>
                <w:rFonts w:ascii="Arial" w:hAnsi="Arial"/>
                <w:b w:val="0"/>
                <w:color w:val="1A1A1A"/>
                <w:sz w:val="19"/>
              </w:rPr>
              <w:t>Mengoperasikan gerbang mutu di antara lapisan bersih dan lapisan penyaji; pada 26 Agustus 2026 tercatat 223 pemeriksaan lolos, 42 peringatan, dan 83 kegagalan yang seluruh barisnya dikarantina sebelum menyentuh dashboard.</w:t>
            </w:r>
          </w:p>
        </w:tc>
      </w:tr>
      <w:tr>
        <w:tc>
          <w:tcPr>
            <w:tcW w:type="dxa" w:w="3742"/>
          </w:tcPr>
          <w:p>
            <w:r/>
            <w:r>
              <w:rPr>
                <w:rFonts w:ascii="Arial" w:hAnsi="Arial"/>
                <w:b w:val="0"/>
                <w:color w:val="1A1A1A"/>
                <w:sz w:val="19"/>
              </w:rPr>
              <w:t>Deteksi anomali &amp; keterlacakan</w:t>
            </w:r>
          </w:p>
        </w:tc>
        <w:tc>
          <w:tcPr>
            <w:tcW w:type="dxa" w:w="5102"/>
          </w:tcPr>
          <w:p>
            <w:r/>
            <w:r>
              <w:rPr>
                <w:rFonts w:ascii="Arial" w:hAnsi="Arial"/>
                <w:b w:val="0"/>
                <w:color w:val="1A1A1A"/>
                <w:sz w:val="19"/>
              </w:rPr>
              <w:t>Menyimpan riwayat jumlah baris setiap tabel (3.130 catatan) untuk mendeteksi data yang tiba-tiba anjlok lebih dari 50%, serta menyimpan seluruh hasil pemeriksaan agar mutu data dapat ditelusuri per tanggal.</w:t>
            </w:r>
          </w:p>
        </w:tc>
      </w:tr>
      <w:tr>
        <w:tc>
          <w:tcPr>
            <w:tcW w:type="dxa" w:w="3742"/>
          </w:tcPr>
          <w:p>
            <w:r/>
            <w:r>
              <w:rPr>
                <w:rFonts w:ascii="Arial" w:hAnsi="Arial"/>
                <w:b w:val="0"/>
                <w:color w:val="1A1A1A"/>
                <w:sz w:val="19"/>
              </w:rPr>
              <w:t>Ketersediaan master bagi dashboard</w:t>
            </w:r>
          </w:p>
        </w:tc>
        <w:tc>
          <w:tcPr>
            <w:tcW w:type="dxa" w:w="5102"/>
          </w:tcPr>
          <w:p>
            <w:r/>
            <w:r>
              <w:rPr>
                <w:rFonts w:ascii="Arial" w:hAnsi="Arial"/>
                <w:b w:val="0"/>
                <w:color w:val="1A1A1A"/>
                <w:sz w:val="19"/>
              </w:rPr>
              <w:t>Memastikan metadata dataset (nama, penanggung jawab, frekuensi, sumber, kamus kolom) ikut tersimpan di lake house sehingga katalog dan dashboard membaca keterangan yang sama dengan datanya.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hasil gerbang mutu harian dan isi karantina yang menahan baris bermasalah agar tidak menyesatkan indikator.</w:t>
      </w:r>
    </w:p>
    <w:p>
      <w:pPr>
        <w:spacing w:after="60" w:before="80" w:line="276" w:lineRule="auto"/>
        <w:jc w:val="left"/>
      </w:pPr>
      <w:r>
        <w:rPr>
          <w:rFonts w:ascii="Arial" w:hAnsi="Arial"/>
          <w:b/>
          <w:i w:val="0"/>
          <w:color w:val="1A1A1A"/>
          <w:sz w:val="21"/>
        </w:rPr>
        <w:t>Hasil gerbang mutu otomatis (contoh satu hari penuh,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788"/>
        <w:gridCol w:w="4788"/>
      </w:tblGrid>
      <w:tr>
        <w:tc>
          <w:tcPr>
            <w:tcW w:type="dxa" w:w="5329"/>
            <w:shd w:val="clear" w:color="auto" w:fill="d9d9d9"/>
          </w:tcPr>
          <w:p>
            <w:r/>
            <w:r>
              <w:rPr>
                <w:rFonts w:ascii="Arial" w:hAnsi="Arial"/>
                <w:b/>
                <w:color w:val="1A1A1A"/>
                <w:sz w:val="17"/>
              </w:rPr>
              <w:t>Pemeriksaan (gerbang mutu harian)</w:t>
            </w:r>
          </w:p>
        </w:tc>
        <w:tc>
          <w:tcPr>
            <w:tcW w:type="dxa" w:w="3515"/>
            <w:shd w:val="clear" w:color="auto" w:fill="d9d9d9"/>
          </w:tcPr>
          <w:p>
            <w:r/>
            <w:r>
              <w:rPr>
                <w:rFonts w:ascii="Arial" w:hAnsi="Arial"/>
                <w:b/>
                <w:color w:val="1A1A1A"/>
                <w:sz w:val="17"/>
              </w:rPr>
              <w:t>Hasil 26 Agu 2026</w:t>
            </w:r>
          </w:p>
        </w:tc>
      </w:tr>
      <w:tr>
        <w:tc>
          <w:tcPr>
            <w:tcW w:type="dxa" w:w="5329"/>
          </w:tcPr>
          <w:p>
            <w:r/>
            <w:r>
              <w:rPr>
                <w:rFonts w:ascii="Arial" w:hAnsi="Arial"/>
                <w:b w:val="0"/>
                <w:color w:val="1A1A1A"/>
                <w:sz w:val="17"/>
              </w:rPr>
              <w:t>Lolos (pass)</w:t>
            </w:r>
          </w:p>
        </w:tc>
        <w:tc>
          <w:tcPr>
            <w:tcW w:type="dxa" w:w="3515"/>
          </w:tcPr>
          <w:p>
            <w:r/>
            <w:r>
              <w:rPr>
                <w:rFonts w:ascii="Arial" w:hAnsi="Arial"/>
                <w:b w:val="0"/>
                <w:color w:val="1A1A1A"/>
                <w:sz w:val="17"/>
              </w:rPr>
              <w:t>223 pemeriksaan</w:t>
            </w:r>
          </w:p>
        </w:tc>
      </w:tr>
      <w:tr>
        <w:tc>
          <w:tcPr>
            <w:tcW w:type="dxa" w:w="5329"/>
          </w:tcPr>
          <w:p>
            <w:r/>
            <w:r>
              <w:rPr>
                <w:rFonts w:ascii="Arial" w:hAnsi="Arial"/>
                <w:b w:val="0"/>
                <w:color w:val="1A1A1A"/>
                <w:sz w:val="17"/>
              </w:rPr>
              <w:t>Peringatan (warn) — nilai gagal konversi di bawah ambang</w:t>
            </w:r>
          </w:p>
        </w:tc>
        <w:tc>
          <w:tcPr>
            <w:tcW w:type="dxa" w:w="3515"/>
          </w:tcPr>
          <w:p>
            <w:r/>
            <w:r>
              <w:rPr>
                <w:rFonts w:ascii="Arial" w:hAnsi="Arial"/>
                <w:b w:val="0"/>
                <w:color w:val="1A1A1A"/>
                <w:sz w:val="17"/>
              </w:rPr>
              <w:t>42 pemeriksaan</w:t>
            </w:r>
          </w:p>
        </w:tc>
      </w:tr>
      <w:tr>
        <w:tc>
          <w:tcPr>
            <w:tcW w:type="dxa" w:w="5329"/>
          </w:tcPr>
          <w:p>
            <w:r/>
            <w:r>
              <w:rPr>
                <w:rFonts w:ascii="Arial" w:hAnsi="Arial"/>
                <w:b w:val="0"/>
                <w:color w:val="1A1A1A"/>
                <w:sz w:val="17"/>
              </w:rPr>
              <w:t>Gagal (fail) — kolom melewati ambang, barisnya dikarantina</w:t>
            </w:r>
          </w:p>
        </w:tc>
        <w:tc>
          <w:tcPr>
            <w:tcW w:type="dxa" w:w="3515"/>
          </w:tcPr>
          <w:p>
            <w:r/>
            <w:r>
              <w:rPr>
                <w:rFonts w:ascii="Arial" w:hAnsi="Arial"/>
                <w:b w:val="0"/>
                <w:color w:val="1A1A1A"/>
                <w:sz w:val="17"/>
              </w:rPr>
              <w:t>83 pemeriksaan</w:t>
            </w:r>
          </w:p>
        </w:tc>
      </w:tr>
      <w:tr>
        <w:tc>
          <w:tcPr>
            <w:tcW w:type="dxa" w:w="5329"/>
          </w:tcPr>
          <w:p>
            <w:r/>
            <w:r>
              <w:rPr>
                <w:rFonts w:ascii="Arial" w:hAnsi="Arial"/>
                <w:b w:val="0"/>
                <w:color w:val="1A1A1A"/>
                <w:sz w:val="17"/>
              </w:rPr>
              <w:t>Baris masuk karantina (tidak ikut ke lapisan penyaji)</w:t>
            </w:r>
          </w:p>
        </w:tc>
        <w:tc>
          <w:tcPr>
            <w:tcW w:type="dxa" w:w="3515"/>
          </w:tcPr>
          <w:p>
            <w:r/>
            <w:r>
              <w:rPr>
                <w:rFonts w:ascii="Arial" w:hAnsi="Arial"/>
                <w:b w:val="0"/>
                <w:color w:val="1A1A1A"/>
                <w:sz w:val="17"/>
              </w:rPr>
              <w:t>124 kelompok temuan</w:t>
            </w:r>
          </w:p>
        </w:tc>
      </w:tr>
      <w:tr>
        <w:tc>
          <w:tcPr>
            <w:tcW w:type="dxa" w:w="5329"/>
          </w:tcPr>
          <w:p>
            <w:r/>
            <w:r>
              <w:rPr>
                <w:rFonts w:ascii="Arial" w:hAnsi="Arial"/>
                <w:b w:val="0"/>
                <w:color w:val="1A1A1A"/>
                <w:sz w:val="17"/>
              </w:rPr>
              <w:t>Riwayat jumlah baris tersimpan (deteksi data anjlok)</w:t>
            </w:r>
          </w:p>
        </w:tc>
        <w:tc>
          <w:tcPr>
            <w:tcW w:type="dxa" w:w="3515"/>
          </w:tcPr>
          <w:p>
            <w:r/>
            <w:r>
              <w:rPr>
                <w:rFonts w:ascii="Arial" w:hAnsi="Arial"/>
                <w:b w:val="0"/>
                <w:color w:val="1A1A1A"/>
                <w:sz w:val="17"/>
              </w:rPr>
              <w:t>3.130 catatan</w:t>
            </w:r>
          </w:p>
        </w:tc>
      </w:tr>
    </w:tbl>
    <w:p>
      <w:pPr>
        <w:spacing w:after="40"/>
      </w:pPr>
    </w:p>
    <w:p>
      <w:pPr>
        <w:spacing w:after="160" w:before="0" w:line="276" w:lineRule="auto"/>
        <w:jc w:val="left"/>
      </w:pPr>
      <w:r>
        <w:rPr>
          <w:rFonts w:ascii="Arial" w:hAnsi="Arial"/>
          <w:b w:val="0"/>
          <w:i/>
          <w:color w:val="555555"/>
          <w:sz w:val="17"/>
        </w:rPr>
        <w:t>Sumber: gerbang mutu (quality gate) yang berjalan otomatis setiap hari antara lapisan Silver dan Gold; hasil pemeriksaan tersimpan dan dapat ditelusuri per tanggal.</w:t>
      </w:r>
    </w:p>
    <w:p>
      <w:pPr>
        <w:spacing w:after="60" w:before="80" w:line="276" w:lineRule="auto"/>
        <w:jc w:val="left"/>
      </w:pPr>
      <w:r>
        <w:rPr>
          <w:rFonts w:ascii="Arial" w:hAnsi="Arial"/>
          <w:b/>
          <w:i w:val="0"/>
          <w:color w:val="1A1A1A"/>
          <w:sz w:val="21"/>
        </w:rPr>
        <w:t>Isi karantina — baris yang ditahan beserta alasannya:</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92"/>
        <w:gridCol w:w="3192"/>
        <w:gridCol w:w="3192"/>
      </w:tblGrid>
      <w:tr>
        <w:tc>
          <w:tcPr>
            <w:tcW w:type="dxa" w:w="4195"/>
            <w:shd w:val="clear" w:color="auto" w:fill="d9d9d9"/>
          </w:tcPr>
          <w:p>
            <w:r/>
            <w:r>
              <w:rPr>
                <w:rFonts w:ascii="Arial" w:hAnsi="Arial"/>
                <w:b/>
                <w:color w:val="1A1A1A"/>
                <w:sz w:val="17"/>
              </w:rPr>
              <w:t>Alasan karantina</w:t>
            </w:r>
          </w:p>
        </w:tc>
        <w:tc>
          <w:tcPr>
            <w:tcW w:type="dxa" w:w="2268"/>
            <w:shd w:val="clear" w:color="auto" w:fill="d9d9d9"/>
          </w:tcPr>
          <w:p>
            <w:r/>
            <w:r>
              <w:rPr>
                <w:rFonts w:ascii="Arial" w:hAnsi="Arial"/>
                <w:b/>
                <w:color w:val="1A1A1A"/>
                <w:sz w:val="17"/>
              </w:rPr>
              <w:t>Kolom terdampak</w:t>
            </w:r>
          </w:p>
        </w:tc>
        <w:tc>
          <w:tcPr>
            <w:tcW w:type="dxa" w:w="2381"/>
            <w:shd w:val="clear" w:color="auto" w:fill="d9d9d9"/>
          </w:tcPr>
          <w:p>
            <w:r/>
            <w:r>
              <w:rPr>
                <w:rFonts w:ascii="Arial" w:hAnsi="Arial"/>
                <w:b/>
                <w:color w:val="1A1A1A"/>
                <w:sz w:val="17"/>
              </w:rPr>
              <w:t>Nilai gagal konversi</w:t>
            </w:r>
          </w:p>
        </w:tc>
      </w:tr>
      <w:tr>
        <w:tc>
          <w:tcPr>
            <w:tcW w:type="dxa" w:w="4195"/>
          </w:tcPr>
          <w:p>
            <w:r/>
            <w:r>
              <w:rPr>
                <w:rFonts w:ascii="Arial" w:hAnsi="Arial"/>
                <w:b w:val="0"/>
                <w:color w:val="1A1A1A"/>
                <w:sz w:val="17"/>
              </w:rPr>
              <w:t>Nilai bukan angka pada kolom jumlah</w:t>
            </w:r>
          </w:p>
        </w:tc>
        <w:tc>
          <w:tcPr>
            <w:tcW w:type="dxa" w:w="2268"/>
          </w:tcPr>
          <w:p>
            <w:r/>
            <w:r>
              <w:rPr>
                <w:rFonts w:ascii="Arial" w:hAnsi="Arial"/>
                <w:b w:val="0"/>
                <w:color w:val="1A1A1A"/>
                <w:sz w:val="17"/>
              </w:rPr>
              <w:t>9 tabel</w:t>
            </w:r>
          </w:p>
        </w:tc>
        <w:tc>
          <w:tcPr>
            <w:tcW w:type="dxa" w:w="2381"/>
          </w:tcPr>
          <w:p>
            <w:r/>
            <w:r>
              <w:rPr>
                <w:rFonts w:ascii="Arial" w:hAnsi="Arial"/>
                <w:b w:val="0"/>
                <w:color w:val="1A1A1A"/>
                <w:sz w:val="17"/>
              </w:rPr>
              <w:t>52.735</w:t>
            </w:r>
          </w:p>
        </w:tc>
      </w:tr>
      <w:tr>
        <w:tc>
          <w:tcPr>
            <w:tcW w:type="dxa" w:w="4195"/>
          </w:tcPr>
          <w:p>
            <w:r/>
            <w:r>
              <w:rPr>
                <w:rFonts w:ascii="Arial" w:hAnsi="Arial"/>
                <w:b w:val="0"/>
                <w:color w:val="1A1A1A"/>
                <w:sz w:val="17"/>
              </w:rPr>
              <w:t>Nilai bukan angka pada kolom lon (bujur)</w:t>
            </w:r>
          </w:p>
        </w:tc>
        <w:tc>
          <w:tcPr>
            <w:tcW w:type="dxa" w:w="2268"/>
          </w:tcPr>
          <w:p>
            <w:r/>
            <w:r>
              <w:rPr>
                <w:rFonts w:ascii="Arial" w:hAnsi="Arial"/>
                <w:b w:val="0"/>
                <w:color w:val="1A1A1A"/>
                <w:sz w:val="17"/>
              </w:rPr>
              <w:t>7 tabel</w:t>
            </w:r>
          </w:p>
        </w:tc>
        <w:tc>
          <w:tcPr>
            <w:tcW w:type="dxa" w:w="2381"/>
          </w:tcPr>
          <w:p>
            <w:r/>
            <w:r>
              <w:rPr>
                <w:rFonts w:ascii="Arial" w:hAnsi="Arial"/>
                <w:b w:val="0"/>
                <w:color w:val="1A1A1A"/>
                <w:sz w:val="17"/>
              </w:rPr>
              <w:t>195</w:t>
            </w:r>
          </w:p>
        </w:tc>
      </w:tr>
      <w:tr>
        <w:tc>
          <w:tcPr>
            <w:tcW w:type="dxa" w:w="4195"/>
          </w:tcPr>
          <w:p>
            <w:r/>
            <w:r>
              <w:rPr>
                <w:rFonts w:ascii="Arial" w:hAnsi="Arial"/>
                <w:b w:val="0"/>
                <w:color w:val="1A1A1A"/>
                <w:sz w:val="17"/>
              </w:rPr>
              <w:t>Nilai bukan angka pada kolom lat (lintang)</w:t>
            </w:r>
          </w:p>
        </w:tc>
        <w:tc>
          <w:tcPr>
            <w:tcW w:type="dxa" w:w="2268"/>
          </w:tcPr>
          <w:p>
            <w:r/>
            <w:r>
              <w:rPr>
                <w:rFonts w:ascii="Arial" w:hAnsi="Arial"/>
                <w:b w:val="0"/>
                <w:color w:val="1A1A1A"/>
                <w:sz w:val="17"/>
              </w:rPr>
              <w:t>7 tabel</w:t>
            </w:r>
          </w:p>
        </w:tc>
        <w:tc>
          <w:tcPr>
            <w:tcW w:type="dxa" w:w="2381"/>
          </w:tcPr>
          <w:p>
            <w:r/>
            <w:r>
              <w:rPr>
                <w:rFonts w:ascii="Arial" w:hAnsi="Arial"/>
                <w:b w:val="0"/>
                <w:color w:val="1A1A1A"/>
                <w:sz w:val="17"/>
              </w:rPr>
              <w:t>195</w:t>
            </w:r>
          </w:p>
        </w:tc>
      </w:tr>
      <w:tr>
        <w:tc>
          <w:tcPr>
            <w:tcW w:type="dxa" w:w="4195"/>
          </w:tcPr>
          <w:p>
            <w:r/>
            <w:r>
              <w:rPr>
                <w:rFonts w:ascii="Arial" w:hAnsi="Arial"/>
                <w:b w:val="0"/>
                <w:color w:val="1A1A1A"/>
                <w:sz w:val="17"/>
              </w:rPr>
              <w:t>Nilai bukan angka pada kolom jumlah_ulasan</w:t>
            </w:r>
          </w:p>
        </w:tc>
        <w:tc>
          <w:tcPr>
            <w:tcW w:type="dxa" w:w="2268"/>
          </w:tcPr>
          <w:p>
            <w:r/>
            <w:r>
              <w:rPr>
                <w:rFonts w:ascii="Arial" w:hAnsi="Arial"/>
                <w:b w:val="0"/>
                <w:color w:val="1A1A1A"/>
                <w:sz w:val="17"/>
              </w:rPr>
              <w:t>4 tabel</w:t>
            </w:r>
          </w:p>
        </w:tc>
        <w:tc>
          <w:tcPr>
            <w:tcW w:type="dxa" w:w="2381"/>
          </w:tcPr>
          <w:p>
            <w:r/>
            <w:r>
              <w:rPr>
                <w:rFonts w:ascii="Arial" w:hAnsi="Arial"/>
                <w:b w:val="0"/>
                <w:color w:val="1A1A1A"/>
                <w:sz w:val="17"/>
              </w:rPr>
              <w:t>86</w:t>
            </w:r>
          </w:p>
        </w:tc>
      </w:tr>
      <w:tr>
        <w:tc>
          <w:tcPr>
            <w:tcW w:type="dxa" w:w="4195"/>
          </w:tcPr>
          <w:p>
            <w:r/>
            <w:r>
              <w:rPr>
                <w:rFonts w:ascii="Arial" w:hAnsi="Arial"/>
                <w:b w:val="0"/>
                <w:color w:val="1A1A1A"/>
                <w:sz w:val="17"/>
              </w:rPr>
              <w:t>Nilai bukan angka pada kolom rating</w:t>
            </w:r>
          </w:p>
        </w:tc>
        <w:tc>
          <w:tcPr>
            <w:tcW w:type="dxa" w:w="2268"/>
          </w:tcPr>
          <w:p>
            <w:r/>
            <w:r>
              <w:rPr>
                <w:rFonts w:ascii="Arial" w:hAnsi="Arial"/>
                <w:b w:val="0"/>
                <w:color w:val="1A1A1A"/>
                <w:sz w:val="17"/>
              </w:rPr>
              <w:t>3 tabel</w:t>
            </w:r>
          </w:p>
        </w:tc>
        <w:tc>
          <w:tcPr>
            <w:tcW w:type="dxa" w:w="2381"/>
          </w:tcPr>
          <w:p>
            <w:r/>
            <w:r>
              <w:rPr>
                <w:rFonts w:ascii="Arial" w:hAnsi="Arial"/>
                <w:b w:val="0"/>
                <w:color w:val="1A1A1A"/>
                <w:sz w:val="17"/>
              </w:rPr>
              <w:t>81</w:t>
            </w:r>
          </w:p>
        </w:tc>
      </w:tr>
    </w:tbl>
    <w:p>
      <w:pPr>
        <w:spacing w:after="40"/>
      </w:pPr>
    </w:p>
    <w:p>
      <w:pPr>
        <w:spacing w:after="160" w:before="0" w:line="276" w:lineRule="auto"/>
        <w:jc w:val="left"/>
      </w:pPr>
      <w:r>
        <w:rPr>
          <w:rFonts w:ascii="Arial" w:hAnsi="Arial"/>
          <w:b w:val="0"/>
          <w:i/>
          <w:color w:val="555555"/>
          <w:sz w:val="17"/>
        </w:rPr>
        <w:t>Sumber: tabel karantina lakehouse. Baris yang nilainya tidak dapat dikonversi tidak dibuang dan tidak pula dipakai — disimpan terpisah agar dapat diperbaiki di sumbernya.</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2-lake-pipelines.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Alur pemutakhiran data terjadwal — pemuatan harian dan pemeliharaan/pencadangan, keduanya berstatus selesai.</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1-lake-catalog.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Katalog data induk beserta kepemilikan dan pembagian ruang nama pada lake house.</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MDM Specialist berperan menaikkan mutu dari sekadar terdeteksi menjadi tertagih: menyusun daftar temuan karantina per pemilik data sebagai bahan surat/nota dinas, serta menyiapkan silsilah data (lineage) agar setiap angka pada dashboard dapat ditelusuri sampai ke baris sumbernya.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Pemeriksaan mutu data kini berjalan otomatis setiap hari dengan mekanisme karantina yang tercatat dan dapat ditelusuri. Tahap berikutnya adalah menindaklanjuti temuan karantina kepada pemilik data dan melengkapi silsilah data.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Master Data Management (MDM) Specialist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