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64B95">
      <w:pPr>
        <w:spacing w:line="480" w:lineRule="exact"/>
        <w:jc w:val="center"/>
        <w:rPr>
          <w:rFonts w:hint="eastAsia"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bCs/>
          <w:sz w:val="32"/>
          <w:szCs w:val="32"/>
        </w:rPr>
        <w:t>服务“双碳”战略的钢铁工业碳排放宏观驱动归因与演化推演——基于跨国面板与创新组合寻优模型的统计赋能</w:t>
      </w:r>
    </w:p>
    <w:p w14:paraId="5E5E6F84">
      <w:pPr>
        <w:pStyle w:val="46"/>
        <w:ind w:firstLine="560"/>
        <w:rPr>
          <w:rFonts w:hint="eastAsia"/>
        </w:rPr>
      </w:pPr>
      <w:bookmarkStart w:id="0" w:name="_Toc14748"/>
      <w:r>
        <w:rPr>
          <w:rFonts w:hint="eastAsia"/>
        </w:rPr>
        <w:t>摘要</w:t>
      </w:r>
      <w:bookmarkEnd w:id="0"/>
    </w:p>
    <w:p w14:paraId="67E8F35E">
      <w:pPr>
        <w:pStyle w:val="3"/>
        <w:ind w:firstLine="480"/>
        <w:rPr>
          <w:color w:val="FF0000"/>
        </w:rPr>
      </w:pPr>
      <w:r>
        <w:t>钢铁行业是我国推进“双碳”目标过程中减排压力突出的典型高耗能、高排放工业部门之一，其高碳排放基数、庞大产业规模与路径依赖特征制约了低碳转型进程。为识别钢铁行业碳排放驱动机制并研判其演化趋势，本文基于2000</w:t>
      </w:r>
      <w:r>
        <w:rPr>
          <w:rFonts w:hint="eastAsia"/>
        </w:rPr>
        <w:t>-</w:t>
      </w:r>
      <w:r>
        <w:t>2023年中、印、日、美、俄五国面板数据，构建融合驱动归因、因素分解与情景推演的一体化分析框架。具体而言，本文整合双向固定效应STIRPAT-EKC模型、Kaya-LMDI分解和CatBoost-SHAP非线性校验方法，识别碳排放驱动因子及其贡献结构；并以STIRPAT模型为理论约束，引入Tiny Time Mixer（TTM）时序预训练模型，结合多国样本信息开展碳排放趋势推演与多情景模拟。研究结果表明：（1）粗钢产能规模是碳排放增长的核心正向驱动因素，其弹性系数为1.411，并通过1%显著性检验，经工具变量法进行稳健性检验后，系数稳定在1.268</w:t>
      </w:r>
      <w:r>
        <w:rPr>
          <w:rFonts w:hint="eastAsia"/>
        </w:rPr>
        <w:t>-</w:t>
      </w:r>
      <w:r>
        <w:t>1.411之间。（2）Kaya-LMDI分解结果显示，2000</w:t>
      </w:r>
      <w:r>
        <w:rPr>
          <w:rFonts w:hint="eastAsia"/>
        </w:rPr>
        <w:t>-</w:t>
      </w:r>
      <w:r>
        <w:t>2023年我国钢铁行业碳排放累计增量为1074.21Mt，其中产能规模效应贡献增量1342.72Mt，吨钢排放强度效应抵消268.51Mt碳排放，表明产业规模扩张是排放攀升的主要原因。</w:t>
      </w:r>
      <w:r>
        <w:rPr>
          <w:color w:val="auto"/>
        </w:rPr>
        <w:t>（3）TTM模型拟合优度达到0.97，具有较高预测精度；在无额外减排政策加持的情景下，我国钢铁行业</w:t>
      </w:r>
      <w:r>
        <w:rPr>
          <w:rFonts w:hint="eastAsia"/>
          <w:color w:val="auto"/>
        </w:rPr>
        <w:t>20</w:t>
      </w:r>
      <w:r>
        <w:rPr>
          <w:rFonts w:hint="eastAsia"/>
          <w:color w:val="auto"/>
          <w:lang w:val="en-US" w:eastAsia="zh-CN"/>
        </w:rPr>
        <w:t>28</w:t>
      </w:r>
      <w:r>
        <w:rPr>
          <w:rFonts w:hint="eastAsia"/>
          <w:color w:val="auto"/>
        </w:rPr>
        <w:t>年</w:t>
      </w:r>
      <w:r>
        <w:rPr>
          <w:color w:val="auto"/>
        </w:rPr>
        <w:t>达峰后仍存在排放回弹风险。</w:t>
      </w:r>
      <w:r>
        <w:rPr>
          <w:rFonts w:hint="eastAsia"/>
          <w:color w:val="auto"/>
        </w:rPr>
        <w:t>若想实现2030年碳达峰后无反弹，</w:t>
      </w:r>
      <w:r>
        <w:rPr>
          <w:color w:val="auto"/>
        </w:rPr>
        <w:t>后续</w:t>
      </w:r>
      <w:r>
        <w:rPr>
          <w:rFonts w:hint="eastAsia"/>
          <w:color w:val="auto"/>
        </w:rPr>
        <w:t>需要</w:t>
      </w:r>
      <w:r>
        <w:rPr>
          <w:color w:val="auto"/>
        </w:rPr>
        <w:t>依托更强力度的管控政策与前沿技术迭代，抑制远期碳排放反弹，</w:t>
      </w:r>
      <w:r>
        <w:rPr>
          <w:rFonts w:hint="eastAsia"/>
          <w:color w:val="auto"/>
        </w:rPr>
        <w:t>以</w:t>
      </w:r>
      <w:r>
        <w:rPr>
          <w:color w:val="auto"/>
        </w:rPr>
        <w:t>夯实“双碳”发展成效。本研究揭示了钢铁行业碳排放“规模扩张主导、能效改善对冲”的演化规律，拓展了工业部门碳排放驱动识别与情景预测的组合分析框架，可为钢铁行业低碳转型政策设计与减排路径优化提供量化依据与决策参考。</w:t>
      </w:r>
    </w:p>
    <w:p w14:paraId="6ECD43DF">
      <w:pPr>
        <w:spacing w:after="240" w:line="360" w:lineRule="auto"/>
        <w:ind w:firstLine="480" w:firstLineChars="200"/>
        <w:rPr>
          <w:rFonts w:eastAsia="黑体" w:cs="黑体"/>
          <w:sz w:val="28"/>
          <w:szCs w:val="36"/>
        </w:rPr>
        <w:sectPr>
          <w:footerReference r:id="rId3" w:type="default"/>
          <w:pgSz w:w="11906" w:h="16838"/>
          <w:pgMar w:top="1440" w:right="1800" w:bottom="1440" w:left="1800" w:header="851" w:footer="992" w:gutter="0"/>
          <w:pgNumType w:fmt="upperRoman" w:start="1"/>
          <w:cols w:space="425" w:num="1"/>
          <w:docGrid w:type="lines" w:linePitch="312" w:charSpace="0"/>
        </w:sectPr>
      </w:pPr>
      <w:r>
        <w:rPr>
          <w:rFonts w:hint="eastAsia" w:ascii="黑体" w:hAnsi="黑体" w:eastAsia="黑体" w:cs="黑体"/>
          <w:bCs/>
          <w:sz w:val="24"/>
          <w:szCs w:val="24"/>
        </w:rPr>
        <w:t>关键词</w:t>
      </w:r>
      <w:r>
        <w:rPr>
          <w:rFonts w:hint="eastAsia" w:ascii="黑体" w:hAnsi="黑体" w:eastAsia="黑体" w:cs="黑体"/>
          <w:bCs/>
          <w:sz w:val="24"/>
        </w:rPr>
        <w:t>：</w:t>
      </w:r>
      <w:r>
        <w:rPr>
          <w:sz w:val="24"/>
        </w:rPr>
        <w:t>钢铁工业碳排放；STIRPAT-EKC；Kaya-LMDI；Tiny Time Mixer；情景寻优；</w:t>
      </w:r>
      <w:r>
        <w:rPr>
          <w:rFonts w:hint="eastAsia"/>
          <w:sz w:val="24"/>
        </w:rPr>
        <w:t>“</w:t>
      </w:r>
      <w:r>
        <w:rPr>
          <w:sz w:val="24"/>
        </w:rPr>
        <w:t>双碳</w:t>
      </w:r>
      <w:r>
        <w:rPr>
          <w:rFonts w:hint="eastAsia"/>
          <w:sz w:val="24"/>
        </w:rPr>
        <w:t>”</w:t>
      </w:r>
      <w:r>
        <w:rPr>
          <w:sz w:val="24"/>
        </w:rPr>
        <w:t>战略</w:t>
      </w:r>
      <w:bookmarkStart w:id="96" w:name="_GoBack"/>
      <w:bookmarkEnd w:id="96"/>
    </w:p>
    <w:sdt>
      <w:sdtPr>
        <w:rPr>
          <w:rFonts w:hint="eastAsia" w:ascii="黑体" w:hAnsi="黑体" w:eastAsia="黑体" w:cs="黑体"/>
          <w:sz w:val="28"/>
          <w:szCs w:val="28"/>
        </w:rPr>
        <w:id w:val="147451337"/>
        <w15:color w:val="DBDBDB"/>
        <w:docPartObj>
          <w:docPartGallery w:val="Table of Contents"/>
          <w:docPartUnique/>
        </w:docPartObj>
      </w:sdtPr>
      <w:sdtEndPr>
        <w:rPr>
          <w:rFonts w:hint="eastAsia" w:ascii="Times New Roman" w:hAnsi="Times New Roman" w:eastAsia="宋体" w:cs="Times New Roman"/>
          <w:sz w:val="24"/>
          <w:szCs w:val="24"/>
        </w:rPr>
      </w:sdtEndPr>
      <w:sdtContent>
        <w:p w14:paraId="53B1C356">
          <w:pPr>
            <w:jc w:val="center"/>
            <w:rPr>
              <w:sz w:val="24"/>
            </w:rPr>
          </w:pPr>
          <w:r>
            <w:rPr>
              <w:rFonts w:hint="eastAsia" w:ascii="黑体" w:hAnsi="黑体" w:eastAsia="黑体" w:cs="黑体"/>
              <w:sz w:val="28"/>
              <w:szCs w:val="28"/>
            </w:rPr>
            <w:t>目录</w:t>
          </w:r>
          <w:r>
            <w:rPr>
              <w:rFonts w:hint="eastAsia"/>
              <w:sz w:val="28"/>
              <w:szCs w:val="28"/>
            </w:rPr>
            <w:t xml:space="preserve">  </w:t>
          </w:r>
          <w:r>
            <w:rPr>
              <w:rFonts w:hint="eastAsia"/>
              <w:sz w:val="24"/>
            </w:rPr>
            <w:t xml:space="preserve">                                                              </w:t>
          </w:r>
        </w:p>
        <w:p w14:paraId="258EF2C5">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TOC \o "1-3" \h \u </w:instrText>
          </w:r>
          <w:r>
            <w:rPr>
              <w:sz w:val="24"/>
              <w:szCs w:val="24"/>
            </w:rPr>
            <w:fldChar w:fldCharType="separate"/>
          </w:r>
          <w:r>
            <w:rPr>
              <w:sz w:val="24"/>
              <w:szCs w:val="24"/>
            </w:rPr>
            <w:fldChar w:fldCharType="begin"/>
          </w:r>
          <w:r>
            <w:rPr>
              <w:sz w:val="24"/>
              <w:szCs w:val="24"/>
            </w:rPr>
            <w:instrText xml:space="preserve"> HYPERLINK \l _Toc14748 </w:instrText>
          </w:r>
          <w:r>
            <w:rPr>
              <w:sz w:val="24"/>
              <w:szCs w:val="24"/>
            </w:rPr>
            <w:fldChar w:fldCharType="separate"/>
          </w:r>
          <w:r>
            <w:rPr>
              <w:rFonts w:hint="eastAsia"/>
              <w:sz w:val="24"/>
              <w:szCs w:val="24"/>
            </w:rPr>
            <w:t>摘要</w:t>
          </w:r>
          <w:r>
            <w:rPr>
              <w:sz w:val="24"/>
              <w:szCs w:val="24"/>
            </w:rPr>
            <w:tab/>
          </w:r>
          <w:r>
            <w:rPr>
              <w:sz w:val="24"/>
              <w:szCs w:val="24"/>
            </w:rPr>
            <w:fldChar w:fldCharType="begin"/>
          </w:r>
          <w:r>
            <w:rPr>
              <w:sz w:val="24"/>
              <w:szCs w:val="24"/>
            </w:rPr>
            <w:instrText xml:space="preserve"> PAGEREF _Toc14748 \h </w:instrText>
          </w:r>
          <w:r>
            <w:rPr>
              <w:sz w:val="24"/>
              <w:szCs w:val="24"/>
            </w:rPr>
            <w:fldChar w:fldCharType="separate"/>
          </w:r>
          <w:r>
            <w:rPr>
              <w:sz w:val="24"/>
              <w:szCs w:val="24"/>
            </w:rPr>
            <w:t>I</w:t>
          </w:r>
          <w:r>
            <w:rPr>
              <w:sz w:val="24"/>
              <w:szCs w:val="24"/>
            </w:rPr>
            <w:fldChar w:fldCharType="end"/>
          </w:r>
          <w:r>
            <w:rPr>
              <w:sz w:val="24"/>
              <w:szCs w:val="24"/>
            </w:rPr>
            <w:fldChar w:fldCharType="end"/>
          </w:r>
        </w:p>
        <w:p w14:paraId="230CD047">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_Toc17016 </w:instrText>
          </w:r>
          <w:r>
            <w:rPr>
              <w:sz w:val="24"/>
              <w:szCs w:val="24"/>
            </w:rPr>
            <w:fldChar w:fldCharType="separate"/>
          </w:r>
          <w:r>
            <w:rPr>
              <w:rFonts w:hint="eastAsia"/>
              <w:sz w:val="24"/>
              <w:szCs w:val="24"/>
            </w:rPr>
            <w:t>表格与插图清单</w:t>
          </w:r>
          <w:r>
            <w:rPr>
              <w:sz w:val="24"/>
              <w:szCs w:val="24"/>
            </w:rPr>
            <w:tab/>
          </w:r>
          <w:r>
            <w:rPr>
              <w:sz w:val="24"/>
              <w:szCs w:val="24"/>
            </w:rPr>
            <w:fldChar w:fldCharType="begin"/>
          </w:r>
          <w:r>
            <w:rPr>
              <w:sz w:val="24"/>
              <w:szCs w:val="24"/>
            </w:rPr>
            <w:instrText xml:space="preserve"> PAGEREF _Toc17016 \h </w:instrText>
          </w:r>
          <w:r>
            <w:rPr>
              <w:sz w:val="24"/>
              <w:szCs w:val="24"/>
            </w:rPr>
            <w:fldChar w:fldCharType="separate"/>
          </w:r>
          <w:r>
            <w:rPr>
              <w:sz w:val="24"/>
              <w:szCs w:val="24"/>
            </w:rPr>
            <w:t>II</w:t>
          </w:r>
          <w:r>
            <w:rPr>
              <w:sz w:val="24"/>
              <w:szCs w:val="24"/>
            </w:rPr>
            <w:fldChar w:fldCharType="end"/>
          </w:r>
          <w:r>
            <w:rPr>
              <w:sz w:val="24"/>
              <w:szCs w:val="24"/>
            </w:rPr>
            <w:fldChar w:fldCharType="end"/>
          </w:r>
        </w:p>
        <w:p w14:paraId="0DC40023">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_Toc8009 </w:instrText>
          </w:r>
          <w:r>
            <w:rPr>
              <w:sz w:val="24"/>
              <w:szCs w:val="24"/>
            </w:rPr>
            <w:fldChar w:fldCharType="separate"/>
          </w:r>
          <w:r>
            <w:rPr>
              <w:rFonts w:hint="eastAsia"/>
              <w:sz w:val="24"/>
              <w:szCs w:val="24"/>
            </w:rPr>
            <w:t>一、绪论</w:t>
          </w:r>
          <w:r>
            <w:rPr>
              <w:sz w:val="24"/>
              <w:szCs w:val="24"/>
            </w:rPr>
            <w:tab/>
          </w:r>
          <w:r>
            <w:rPr>
              <w:sz w:val="24"/>
              <w:szCs w:val="24"/>
            </w:rPr>
            <w:fldChar w:fldCharType="begin"/>
          </w:r>
          <w:r>
            <w:rPr>
              <w:sz w:val="24"/>
              <w:szCs w:val="24"/>
            </w:rPr>
            <w:instrText xml:space="preserve"> PAGEREF _Toc8009 \h </w:instrText>
          </w:r>
          <w:r>
            <w:rPr>
              <w:sz w:val="24"/>
              <w:szCs w:val="24"/>
            </w:rPr>
            <w:fldChar w:fldCharType="separate"/>
          </w:r>
          <w:r>
            <w:rPr>
              <w:sz w:val="24"/>
              <w:szCs w:val="24"/>
            </w:rPr>
            <w:t>1</w:t>
          </w:r>
          <w:r>
            <w:rPr>
              <w:sz w:val="24"/>
              <w:szCs w:val="24"/>
            </w:rPr>
            <w:fldChar w:fldCharType="end"/>
          </w:r>
          <w:r>
            <w:rPr>
              <w:sz w:val="24"/>
              <w:szCs w:val="24"/>
            </w:rPr>
            <w:fldChar w:fldCharType="end"/>
          </w:r>
        </w:p>
        <w:p w14:paraId="3643538A">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_Toc30361 </w:instrText>
          </w:r>
          <w:r>
            <w:rPr>
              <w:sz w:val="24"/>
              <w:szCs w:val="24"/>
            </w:rPr>
            <w:fldChar w:fldCharType="separate"/>
          </w:r>
          <w:r>
            <w:rPr>
              <w:sz w:val="24"/>
              <w:szCs w:val="24"/>
            </w:rPr>
            <w:t>（一）研究背景</w:t>
          </w:r>
          <w:r>
            <w:rPr>
              <w:sz w:val="24"/>
              <w:szCs w:val="24"/>
            </w:rPr>
            <w:tab/>
          </w:r>
          <w:r>
            <w:rPr>
              <w:sz w:val="24"/>
              <w:szCs w:val="24"/>
            </w:rPr>
            <w:fldChar w:fldCharType="begin"/>
          </w:r>
          <w:r>
            <w:rPr>
              <w:sz w:val="24"/>
              <w:szCs w:val="24"/>
            </w:rPr>
            <w:instrText xml:space="preserve"> PAGEREF _Toc30361 \h </w:instrText>
          </w:r>
          <w:r>
            <w:rPr>
              <w:sz w:val="24"/>
              <w:szCs w:val="24"/>
            </w:rPr>
            <w:fldChar w:fldCharType="separate"/>
          </w:r>
          <w:r>
            <w:rPr>
              <w:sz w:val="24"/>
              <w:szCs w:val="24"/>
            </w:rPr>
            <w:t>1</w:t>
          </w:r>
          <w:r>
            <w:rPr>
              <w:sz w:val="24"/>
              <w:szCs w:val="24"/>
            </w:rPr>
            <w:fldChar w:fldCharType="end"/>
          </w:r>
          <w:r>
            <w:rPr>
              <w:sz w:val="24"/>
              <w:szCs w:val="24"/>
            </w:rPr>
            <w:fldChar w:fldCharType="end"/>
          </w:r>
        </w:p>
        <w:p w14:paraId="18156527">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_Toc27535 </w:instrText>
          </w:r>
          <w:r>
            <w:rPr>
              <w:sz w:val="24"/>
              <w:szCs w:val="24"/>
            </w:rPr>
            <w:fldChar w:fldCharType="separate"/>
          </w:r>
          <w:r>
            <w:rPr>
              <w:sz w:val="24"/>
              <w:szCs w:val="24"/>
            </w:rPr>
            <w:t>（二）研究目的和意义</w:t>
          </w:r>
          <w:r>
            <w:rPr>
              <w:sz w:val="24"/>
              <w:szCs w:val="24"/>
            </w:rPr>
            <w:tab/>
          </w:r>
          <w:r>
            <w:rPr>
              <w:sz w:val="24"/>
              <w:szCs w:val="24"/>
            </w:rPr>
            <w:fldChar w:fldCharType="begin"/>
          </w:r>
          <w:r>
            <w:rPr>
              <w:sz w:val="24"/>
              <w:szCs w:val="24"/>
            </w:rPr>
            <w:instrText xml:space="preserve"> PAGEREF _Toc27535 \h </w:instrText>
          </w:r>
          <w:r>
            <w:rPr>
              <w:sz w:val="24"/>
              <w:szCs w:val="24"/>
            </w:rPr>
            <w:fldChar w:fldCharType="separate"/>
          </w:r>
          <w:r>
            <w:rPr>
              <w:sz w:val="24"/>
              <w:szCs w:val="24"/>
            </w:rPr>
            <w:t>2</w:t>
          </w:r>
          <w:r>
            <w:rPr>
              <w:sz w:val="24"/>
              <w:szCs w:val="24"/>
            </w:rPr>
            <w:fldChar w:fldCharType="end"/>
          </w:r>
          <w:r>
            <w:rPr>
              <w:sz w:val="24"/>
              <w:szCs w:val="24"/>
            </w:rPr>
            <w:fldChar w:fldCharType="end"/>
          </w:r>
        </w:p>
        <w:p w14:paraId="3283F53B">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_Toc3946 </w:instrText>
          </w:r>
          <w:r>
            <w:rPr>
              <w:sz w:val="24"/>
              <w:szCs w:val="24"/>
            </w:rPr>
            <w:fldChar w:fldCharType="separate"/>
          </w:r>
          <w:r>
            <w:rPr>
              <w:sz w:val="24"/>
              <w:szCs w:val="24"/>
            </w:rPr>
            <w:t>1.研究意义</w:t>
          </w:r>
          <w:r>
            <w:rPr>
              <w:sz w:val="24"/>
              <w:szCs w:val="24"/>
            </w:rPr>
            <w:tab/>
          </w:r>
          <w:r>
            <w:rPr>
              <w:sz w:val="24"/>
              <w:szCs w:val="24"/>
            </w:rPr>
            <w:fldChar w:fldCharType="begin"/>
          </w:r>
          <w:r>
            <w:rPr>
              <w:sz w:val="24"/>
              <w:szCs w:val="24"/>
            </w:rPr>
            <w:instrText xml:space="preserve"> PAGEREF _Toc3946 \h </w:instrText>
          </w:r>
          <w:r>
            <w:rPr>
              <w:sz w:val="24"/>
              <w:szCs w:val="24"/>
            </w:rPr>
            <w:fldChar w:fldCharType="separate"/>
          </w:r>
          <w:r>
            <w:rPr>
              <w:sz w:val="24"/>
              <w:szCs w:val="24"/>
            </w:rPr>
            <w:t>2</w:t>
          </w:r>
          <w:r>
            <w:rPr>
              <w:sz w:val="24"/>
              <w:szCs w:val="24"/>
            </w:rPr>
            <w:fldChar w:fldCharType="end"/>
          </w:r>
          <w:r>
            <w:rPr>
              <w:sz w:val="24"/>
              <w:szCs w:val="24"/>
            </w:rPr>
            <w:fldChar w:fldCharType="end"/>
          </w:r>
        </w:p>
        <w:p w14:paraId="7654D609">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_Toc337 </w:instrText>
          </w:r>
          <w:r>
            <w:rPr>
              <w:sz w:val="24"/>
              <w:szCs w:val="24"/>
            </w:rPr>
            <w:fldChar w:fldCharType="separate"/>
          </w:r>
          <w:r>
            <w:rPr>
              <w:rFonts w:hint="eastAsia" w:ascii="宋体" w:hAnsi="宋体"/>
              <w:sz w:val="24"/>
              <w:szCs w:val="24"/>
            </w:rPr>
            <w:t>2.研究目的与方法</w:t>
          </w:r>
          <w:r>
            <w:rPr>
              <w:sz w:val="24"/>
              <w:szCs w:val="24"/>
            </w:rPr>
            <w:tab/>
          </w:r>
          <w:r>
            <w:rPr>
              <w:sz w:val="24"/>
              <w:szCs w:val="24"/>
            </w:rPr>
            <w:fldChar w:fldCharType="begin"/>
          </w:r>
          <w:r>
            <w:rPr>
              <w:sz w:val="24"/>
              <w:szCs w:val="24"/>
            </w:rPr>
            <w:instrText xml:space="preserve"> PAGEREF _Toc337 \h </w:instrText>
          </w:r>
          <w:r>
            <w:rPr>
              <w:sz w:val="24"/>
              <w:szCs w:val="24"/>
            </w:rPr>
            <w:fldChar w:fldCharType="separate"/>
          </w:r>
          <w:r>
            <w:rPr>
              <w:sz w:val="24"/>
              <w:szCs w:val="24"/>
            </w:rPr>
            <w:t>4</w:t>
          </w:r>
          <w:r>
            <w:rPr>
              <w:sz w:val="24"/>
              <w:szCs w:val="24"/>
            </w:rPr>
            <w:fldChar w:fldCharType="end"/>
          </w:r>
          <w:r>
            <w:rPr>
              <w:sz w:val="24"/>
              <w:szCs w:val="24"/>
            </w:rPr>
            <w:fldChar w:fldCharType="end"/>
          </w:r>
        </w:p>
        <w:p w14:paraId="13505EE0">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_Toc8743 </w:instrText>
          </w:r>
          <w:r>
            <w:rPr>
              <w:sz w:val="24"/>
              <w:szCs w:val="24"/>
            </w:rPr>
            <w:fldChar w:fldCharType="separate"/>
          </w:r>
          <w:r>
            <w:rPr>
              <w:sz w:val="24"/>
              <w:szCs w:val="24"/>
            </w:rPr>
            <w:t>二、数据说明与统计分析</w:t>
          </w:r>
          <w:r>
            <w:rPr>
              <w:sz w:val="24"/>
              <w:szCs w:val="24"/>
            </w:rPr>
            <w:tab/>
          </w:r>
          <w:r>
            <w:rPr>
              <w:sz w:val="24"/>
              <w:szCs w:val="24"/>
            </w:rPr>
            <w:fldChar w:fldCharType="begin"/>
          </w:r>
          <w:r>
            <w:rPr>
              <w:sz w:val="24"/>
              <w:szCs w:val="24"/>
            </w:rPr>
            <w:instrText xml:space="preserve"> PAGEREF _Toc8743 \h </w:instrText>
          </w:r>
          <w:r>
            <w:rPr>
              <w:sz w:val="24"/>
              <w:szCs w:val="24"/>
            </w:rPr>
            <w:fldChar w:fldCharType="separate"/>
          </w:r>
          <w:r>
            <w:rPr>
              <w:sz w:val="24"/>
              <w:szCs w:val="24"/>
            </w:rPr>
            <w:t>4</w:t>
          </w:r>
          <w:r>
            <w:rPr>
              <w:sz w:val="24"/>
              <w:szCs w:val="24"/>
            </w:rPr>
            <w:fldChar w:fldCharType="end"/>
          </w:r>
          <w:r>
            <w:rPr>
              <w:sz w:val="24"/>
              <w:szCs w:val="24"/>
            </w:rPr>
            <w:fldChar w:fldCharType="end"/>
          </w:r>
        </w:p>
        <w:p w14:paraId="1BA43F66">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_Toc28469 </w:instrText>
          </w:r>
          <w:r>
            <w:rPr>
              <w:sz w:val="24"/>
              <w:szCs w:val="24"/>
            </w:rPr>
            <w:fldChar w:fldCharType="separate"/>
          </w:r>
          <w:r>
            <w:rPr>
              <w:sz w:val="24"/>
              <w:szCs w:val="24"/>
            </w:rPr>
            <w:t>（一）数据来源与变量选取</w:t>
          </w:r>
          <w:r>
            <w:rPr>
              <w:sz w:val="24"/>
              <w:szCs w:val="24"/>
            </w:rPr>
            <w:tab/>
          </w:r>
          <w:r>
            <w:rPr>
              <w:sz w:val="24"/>
              <w:szCs w:val="24"/>
            </w:rPr>
            <w:fldChar w:fldCharType="begin"/>
          </w:r>
          <w:r>
            <w:rPr>
              <w:sz w:val="24"/>
              <w:szCs w:val="24"/>
            </w:rPr>
            <w:instrText xml:space="preserve"> PAGEREF _Toc28469 \h </w:instrText>
          </w:r>
          <w:r>
            <w:rPr>
              <w:sz w:val="24"/>
              <w:szCs w:val="24"/>
            </w:rPr>
            <w:fldChar w:fldCharType="separate"/>
          </w:r>
          <w:r>
            <w:rPr>
              <w:sz w:val="24"/>
              <w:szCs w:val="24"/>
            </w:rPr>
            <w:t>4</w:t>
          </w:r>
          <w:r>
            <w:rPr>
              <w:sz w:val="24"/>
              <w:szCs w:val="24"/>
            </w:rPr>
            <w:fldChar w:fldCharType="end"/>
          </w:r>
          <w:r>
            <w:rPr>
              <w:sz w:val="24"/>
              <w:szCs w:val="24"/>
            </w:rPr>
            <w:fldChar w:fldCharType="end"/>
          </w:r>
        </w:p>
        <w:p w14:paraId="240F0019">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_Toc32717 </w:instrText>
          </w:r>
          <w:r>
            <w:rPr>
              <w:sz w:val="24"/>
              <w:szCs w:val="24"/>
            </w:rPr>
            <w:fldChar w:fldCharType="separate"/>
          </w:r>
          <w:r>
            <w:rPr>
              <w:rFonts w:ascii="楷体" w:hAnsi="楷体"/>
              <w:sz w:val="24"/>
              <w:szCs w:val="24"/>
            </w:rPr>
            <w:t>（二）描述性统计分析</w:t>
          </w:r>
          <w:r>
            <w:rPr>
              <w:sz w:val="24"/>
              <w:szCs w:val="24"/>
            </w:rPr>
            <w:tab/>
          </w:r>
          <w:r>
            <w:rPr>
              <w:sz w:val="24"/>
              <w:szCs w:val="24"/>
            </w:rPr>
            <w:fldChar w:fldCharType="begin"/>
          </w:r>
          <w:r>
            <w:rPr>
              <w:sz w:val="24"/>
              <w:szCs w:val="24"/>
            </w:rPr>
            <w:instrText xml:space="preserve"> PAGEREF _Toc32717 \h </w:instrText>
          </w:r>
          <w:r>
            <w:rPr>
              <w:sz w:val="24"/>
              <w:szCs w:val="24"/>
            </w:rPr>
            <w:fldChar w:fldCharType="separate"/>
          </w:r>
          <w:r>
            <w:rPr>
              <w:sz w:val="24"/>
              <w:szCs w:val="24"/>
            </w:rPr>
            <w:t>6</w:t>
          </w:r>
          <w:r>
            <w:rPr>
              <w:sz w:val="24"/>
              <w:szCs w:val="24"/>
            </w:rPr>
            <w:fldChar w:fldCharType="end"/>
          </w:r>
          <w:r>
            <w:rPr>
              <w:sz w:val="24"/>
              <w:szCs w:val="24"/>
            </w:rPr>
            <w:fldChar w:fldCharType="end"/>
          </w:r>
        </w:p>
        <w:p w14:paraId="6D811A82">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_Toc4970 </w:instrText>
          </w:r>
          <w:r>
            <w:rPr>
              <w:sz w:val="24"/>
              <w:szCs w:val="24"/>
            </w:rPr>
            <w:fldChar w:fldCharType="separate"/>
          </w:r>
          <w:r>
            <w:rPr>
              <w:sz w:val="24"/>
              <w:szCs w:val="24"/>
            </w:rPr>
            <w:t>（三）变量间的相关性特征</w:t>
          </w:r>
          <w:r>
            <w:rPr>
              <w:sz w:val="24"/>
              <w:szCs w:val="24"/>
            </w:rPr>
            <w:tab/>
          </w:r>
          <w:r>
            <w:rPr>
              <w:sz w:val="24"/>
              <w:szCs w:val="24"/>
            </w:rPr>
            <w:fldChar w:fldCharType="begin"/>
          </w:r>
          <w:r>
            <w:rPr>
              <w:sz w:val="24"/>
              <w:szCs w:val="24"/>
            </w:rPr>
            <w:instrText xml:space="preserve"> PAGEREF _Toc4970 \h </w:instrText>
          </w:r>
          <w:r>
            <w:rPr>
              <w:sz w:val="24"/>
              <w:szCs w:val="24"/>
            </w:rPr>
            <w:fldChar w:fldCharType="separate"/>
          </w:r>
          <w:r>
            <w:rPr>
              <w:sz w:val="24"/>
              <w:szCs w:val="24"/>
            </w:rPr>
            <w:t>7</w:t>
          </w:r>
          <w:r>
            <w:rPr>
              <w:sz w:val="24"/>
              <w:szCs w:val="24"/>
            </w:rPr>
            <w:fldChar w:fldCharType="end"/>
          </w:r>
          <w:r>
            <w:rPr>
              <w:sz w:val="24"/>
              <w:szCs w:val="24"/>
            </w:rPr>
            <w:fldChar w:fldCharType="end"/>
          </w:r>
        </w:p>
        <w:p w14:paraId="4A9E2207">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_Toc16978 </w:instrText>
          </w:r>
          <w:r>
            <w:rPr>
              <w:sz w:val="24"/>
              <w:szCs w:val="24"/>
            </w:rPr>
            <w:fldChar w:fldCharType="separate"/>
          </w:r>
          <w:r>
            <w:rPr>
              <w:rFonts w:hint="eastAsia" w:ascii="黑体" w:hAnsi="黑体" w:eastAsia="黑体" w:cs="黑体"/>
              <w:sz w:val="24"/>
              <w:szCs w:val="24"/>
            </w:rPr>
            <w:t xml:space="preserve">三、 </w:t>
          </w:r>
          <w:r>
            <w:rPr>
              <w:sz w:val="24"/>
              <w:szCs w:val="24"/>
            </w:rPr>
            <w:t>基于EKC与STIRPAT的碳排放驱动机制测度与统计归因</w:t>
          </w:r>
          <w:r>
            <w:rPr>
              <w:sz w:val="24"/>
              <w:szCs w:val="24"/>
            </w:rPr>
            <w:tab/>
          </w:r>
          <w:r>
            <w:rPr>
              <w:sz w:val="24"/>
              <w:szCs w:val="24"/>
            </w:rPr>
            <w:fldChar w:fldCharType="begin"/>
          </w:r>
          <w:r>
            <w:rPr>
              <w:sz w:val="24"/>
              <w:szCs w:val="24"/>
            </w:rPr>
            <w:instrText xml:space="preserve"> PAGEREF _Toc16978 \h </w:instrText>
          </w:r>
          <w:r>
            <w:rPr>
              <w:sz w:val="24"/>
              <w:szCs w:val="24"/>
            </w:rPr>
            <w:fldChar w:fldCharType="separate"/>
          </w:r>
          <w:r>
            <w:rPr>
              <w:sz w:val="24"/>
              <w:szCs w:val="24"/>
            </w:rPr>
            <w:t>9</w:t>
          </w:r>
          <w:r>
            <w:rPr>
              <w:sz w:val="24"/>
              <w:szCs w:val="24"/>
            </w:rPr>
            <w:fldChar w:fldCharType="end"/>
          </w:r>
          <w:r>
            <w:rPr>
              <w:sz w:val="24"/>
              <w:szCs w:val="24"/>
            </w:rPr>
            <w:fldChar w:fldCharType="end"/>
          </w:r>
        </w:p>
        <w:p w14:paraId="20525904">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_Toc2702 </w:instrText>
          </w:r>
          <w:r>
            <w:rPr>
              <w:sz w:val="24"/>
              <w:szCs w:val="24"/>
            </w:rPr>
            <w:fldChar w:fldCharType="separate"/>
          </w:r>
          <w:r>
            <w:rPr>
              <w:rFonts w:hint="eastAsia" w:ascii="楷体" w:hAnsi="楷体" w:eastAsia="楷体" w:cs="楷体"/>
              <w:sz w:val="24"/>
              <w:szCs w:val="24"/>
            </w:rPr>
            <w:t xml:space="preserve">（一） </w:t>
          </w:r>
          <w:r>
            <w:rPr>
              <w:sz w:val="24"/>
              <w:szCs w:val="24"/>
            </w:rPr>
            <w:t>碳排放驱动的理论机制与分析框架构建</w:t>
          </w:r>
          <w:r>
            <w:rPr>
              <w:sz w:val="24"/>
              <w:szCs w:val="24"/>
            </w:rPr>
            <w:tab/>
          </w:r>
          <w:r>
            <w:rPr>
              <w:sz w:val="24"/>
              <w:szCs w:val="24"/>
            </w:rPr>
            <w:fldChar w:fldCharType="begin"/>
          </w:r>
          <w:r>
            <w:rPr>
              <w:sz w:val="24"/>
              <w:szCs w:val="24"/>
            </w:rPr>
            <w:instrText xml:space="preserve"> PAGEREF _Toc2702 \h </w:instrText>
          </w:r>
          <w:r>
            <w:rPr>
              <w:sz w:val="24"/>
              <w:szCs w:val="24"/>
            </w:rPr>
            <w:fldChar w:fldCharType="separate"/>
          </w:r>
          <w:r>
            <w:rPr>
              <w:sz w:val="24"/>
              <w:szCs w:val="24"/>
            </w:rPr>
            <w:t>9</w:t>
          </w:r>
          <w:r>
            <w:rPr>
              <w:sz w:val="24"/>
              <w:szCs w:val="24"/>
            </w:rPr>
            <w:fldChar w:fldCharType="end"/>
          </w:r>
          <w:r>
            <w:rPr>
              <w:sz w:val="24"/>
              <w:szCs w:val="24"/>
            </w:rPr>
            <w:fldChar w:fldCharType="end"/>
          </w:r>
        </w:p>
        <w:p w14:paraId="279FA009">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_Toc15473 </w:instrText>
          </w:r>
          <w:r>
            <w:rPr>
              <w:sz w:val="24"/>
              <w:szCs w:val="24"/>
            </w:rPr>
            <w:fldChar w:fldCharType="separate"/>
          </w:r>
          <w:r>
            <w:rPr>
              <w:sz w:val="24"/>
              <w:szCs w:val="24"/>
            </w:rPr>
            <w:t>（二）双向固定效应及STIRPAT-EKC回归结果</w:t>
          </w:r>
          <w:r>
            <w:rPr>
              <w:sz w:val="24"/>
              <w:szCs w:val="24"/>
            </w:rPr>
            <w:tab/>
          </w:r>
          <w:r>
            <w:rPr>
              <w:sz w:val="24"/>
              <w:szCs w:val="24"/>
            </w:rPr>
            <w:fldChar w:fldCharType="begin"/>
          </w:r>
          <w:r>
            <w:rPr>
              <w:sz w:val="24"/>
              <w:szCs w:val="24"/>
            </w:rPr>
            <w:instrText xml:space="preserve"> PAGEREF _Toc15473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01082910">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_Toc10936 </w:instrText>
          </w:r>
          <w:r>
            <w:rPr>
              <w:sz w:val="24"/>
              <w:szCs w:val="24"/>
            </w:rPr>
            <w:fldChar w:fldCharType="separate"/>
          </w:r>
          <w:r>
            <w:rPr>
              <w:sz w:val="24"/>
              <w:szCs w:val="24"/>
            </w:rPr>
            <w:t>（三）多重共线性与稳健性检验</w:t>
          </w:r>
          <w:r>
            <w:rPr>
              <w:sz w:val="24"/>
              <w:szCs w:val="24"/>
            </w:rPr>
            <w:tab/>
          </w:r>
          <w:r>
            <w:rPr>
              <w:sz w:val="24"/>
              <w:szCs w:val="24"/>
            </w:rPr>
            <w:fldChar w:fldCharType="begin"/>
          </w:r>
          <w:r>
            <w:rPr>
              <w:sz w:val="24"/>
              <w:szCs w:val="24"/>
            </w:rPr>
            <w:instrText xml:space="preserve"> PAGEREF _Toc10936 \h </w:instrText>
          </w:r>
          <w:r>
            <w:rPr>
              <w:sz w:val="24"/>
              <w:szCs w:val="24"/>
            </w:rPr>
            <w:fldChar w:fldCharType="separate"/>
          </w:r>
          <w:r>
            <w:rPr>
              <w:sz w:val="24"/>
              <w:szCs w:val="24"/>
            </w:rPr>
            <w:t>12</w:t>
          </w:r>
          <w:r>
            <w:rPr>
              <w:sz w:val="24"/>
              <w:szCs w:val="24"/>
            </w:rPr>
            <w:fldChar w:fldCharType="end"/>
          </w:r>
          <w:r>
            <w:rPr>
              <w:sz w:val="24"/>
              <w:szCs w:val="24"/>
            </w:rPr>
            <w:fldChar w:fldCharType="end"/>
          </w:r>
        </w:p>
        <w:p w14:paraId="447CCE91">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_Toc10496 </w:instrText>
          </w:r>
          <w:r>
            <w:rPr>
              <w:sz w:val="24"/>
              <w:szCs w:val="24"/>
            </w:rPr>
            <w:fldChar w:fldCharType="separate"/>
          </w:r>
          <w:r>
            <w:rPr>
              <w:sz w:val="24"/>
              <w:szCs w:val="24"/>
            </w:rPr>
            <w:t>（四）内生性检验与工具变量稳健性分析</w:t>
          </w:r>
          <w:r>
            <w:rPr>
              <w:sz w:val="24"/>
              <w:szCs w:val="24"/>
            </w:rPr>
            <w:tab/>
          </w:r>
          <w:r>
            <w:rPr>
              <w:sz w:val="24"/>
              <w:szCs w:val="24"/>
            </w:rPr>
            <w:fldChar w:fldCharType="begin"/>
          </w:r>
          <w:r>
            <w:rPr>
              <w:sz w:val="24"/>
              <w:szCs w:val="24"/>
            </w:rPr>
            <w:instrText xml:space="preserve"> PAGEREF _Toc10496 \h </w:instrText>
          </w:r>
          <w:r>
            <w:rPr>
              <w:sz w:val="24"/>
              <w:szCs w:val="24"/>
            </w:rPr>
            <w:fldChar w:fldCharType="separate"/>
          </w:r>
          <w:r>
            <w:rPr>
              <w:sz w:val="24"/>
              <w:szCs w:val="24"/>
            </w:rPr>
            <w:t>13</w:t>
          </w:r>
          <w:r>
            <w:rPr>
              <w:sz w:val="24"/>
              <w:szCs w:val="24"/>
            </w:rPr>
            <w:fldChar w:fldCharType="end"/>
          </w:r>
          <w:r>
            <w:rPr>
              <w:sz w:val="24"/>
              <w:szCs w:val="24"/>
            </w:rPr>
            <w:fldChar w:fldCharType="end"/>
          </w:r>
        </w:p>
        <w:p w14:paraId="166D07D6">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_Toc5118 </w:instrText>
          </w:r>
          <w:r>
            <w:rPr>
              <w:sz w:val="24"/>
              <w:szCs w:val="24"/>
            </w:rPr>
            <w:fldChar w:fldCharType="separate"/>
          </w:r>
          <w:r>
            <w:rPr>
              <w:sz w:val="24"/>
              <w:szCs w:val="24"/>
            </w:rPr>
            <w:t>（五）基于Kaya-LMDI的碳排放结构贡献分解</w:t>
          </w:r>
          <w:r>
            <w:rPr>
              <w:sz w:val="24"/>
              <w:szCs w:val="24"/>
            </w:rPr>
            <w:tab/>
          </w:r>
          <w:r>
            <w:rPr>
              <w:sz w:val="24"/>
              <w:szCs w:val="24"/>
            </w:rPr>
            <w:fldChar w:fldCharType="begin"/>
          </w:r>
          <w:r>
            <w:rPr>
              <w:sz w:val="24"/>
              <w:szCs w:val="24"/>
            </w:rPr>
            <w:instrText xml:space="preserve"> PAGEREF _Toc5118 \h </w:instrText>
          </w:r>
          <w:r>
            <w:rPr>
              <w:sz w:val="24"/>
              <w:szCs w:val="24"/>
            </w:rPr>
            <w:fldChar w:fldCharType="separate"/>
          </w:r>
          <w:r>
            <w:rPr>
              <w:sz w:val="24"/>
              <w:szCs w:val="24"/>
            </w:rPr>
            <w:t>14</w:t>
          </w:r>
          <w:r>
            <w:rPr>
              <w:sz w:val="24"/>
              <w:szCs w:val="24"/>
            </w:rPr>
            <w:fldChar w:fldCharType="end"/>
          </w:r>
          <w:r>
            <w:rPr>
              <w:sz w:val="24"/>
              <w:szCs w:val="24"/>
            </w:rPr>
            <w:fldChar w:fldCharType="end"/>
          </w:r>
        </w:p>
        <w:p w14:paraId="57DC798F">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_Toc7670 </w:instrText>
          </w:r>
          <w:r>
            <w:rPr>
              <w:sz w:val="24"/>
              <w:szCs w:val="24"/>
            </w:rPr>
            <w:fldChar w:fldCharType="separate"/>
          </w:r>
          <w:r>
            <w:rPr>
              <w:sz w:val="24"/>
              <w:szCs w:val="24"/>
            </w:rPr>
            <w:t>（六）基于CatBoost与SHAP的非线性归因校验</w:t>
          </w:r>
          <w:r>
            <w:rPr>
              <w:sz w:val="24"/>
              <w:szCs w:val="24"/>
            </w:rPr>
            <w:tab/>
          </w:r>
          <w:r>
            <w:rPr>
              <w:sz w:val="24"/>
              <w:szCs w:val="24"/>
            </w:rPr>
            <w:fldChar w:fldCharType="begin"/>
          </w:r>
          <w:r>
            <w:rPr>
              <w:sz w:val="24"/>
              <w:szCs w:val="24"/>
            </w:rPr>
            <w:instrText xml:space="preserve"> PAGEREF _Toc7670 \h </w:instrText>
          </w:r>
          <w:r>
            <w:rPr>
              <w:sz w:val="24"/>
              <w:szCs w:val="24"/>
            </w:rPr>
            <w:fldChar w:fldCharType="separate"/>
          </w:r>
          <w:r>
            <w:rPr>
              <w:sz w:val="24"/>
              <w:szCs w:val="24"/>
            </w:rPr>
            <w:t>15</w:t>
          </w:r>
          <w:r>
            <w:rPr>
              <w:sz w:val="24"/>
              <w:szCs w:val="24"/>
            </w:rPr>
            <w:fldChar w:fldCharType="end"/>
          </w:r>
          <w:r>
            <w:rPr>
              <w:sz w:val="24"/>
              <w:szCs w:val="24"/>
            </w:rPr>
            <w:fldChar w:fldCharType="end"/>
          </w:r>
        </w:p>
        <w:p w14:paraId="6A78C7BA">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_Toc27110 </w:instrText>
          </w:r>
          <w:r>
            <w:rPr>
              <w:sz w:val="24"/>
              <w:szCs w:val="24"/>
            </w:rPr>
            <w:fldChar w:fldCharType="separate"/>
          </w:r>
          <w:r>
            <w:rPr>
              <w:rFonts w:hint="eastAsia" w:ascii="黑体" w:hAnsi="黑体" w:eastAsia="黑体" w:cs="黑体"/>
              <w:sz w:val="24"/>
              <w:szCs w:val="24"/>
            </w:rPr>
            <w:t xml:space="preserve">四、 </w:t>
          </w:r>
          <w:r>
            <w:rPr>
              <w:sz w:val="24"/>
              <w:szCs w:val="24"/>
            </w:rPr>
            <w:t>滤波修正惯性延续情景推演</w:t>
          </w:r>
          <w:r>
            <w:rPr>
              <w:sz w:val="24"/>
              <w:szCs w:val="24"/>
            </w:rPr>
            <w:tab/>
          </w:r>
          <w:r>
            <w:rPr>
              <w:sz w:val="24"/>
              <w:szCs w:val="24"/>
            </w:rPr>
            <w:fldChar w:fldCharType="begin"/>
          </w:r>
          <w:r>
            <w:rPr>
              <w:sz w:val="24"/>
              <w:szCs w:val="24"/>
            </w:rPr>
            <w:instrText xml:space="preserve"> PAGEREF _Toc27110 \h </w:instrText>
          </w:r>
          <w:r>
            <w:rPr>
              <w:sz w:val="24"/>
              <w:szCs w:val="24"/>
            </w:rPr>
            <w:fldChar w:fldCharType="separate"/>
          </w:r>
          <w:r>
            <w:rPr>
              <w:sz w:val="24"/>
              <w:szCs w:val="24"/>
            </w:rPr>
            <w:t>16</w:t>
          </w:r>
          <w:r>
            <w:rPr>
              <w:sz w:val="24"/>
              <w:szCs w:val="24"/>
            </w:rPr>
            <w:fldChar w:fldCharType="end"/>
          </w:r>
          <w:r>
            <w:rPr>
              <w:sz w:val="24"/>
              <w:szCs w:val="24"/>
            </w:rPr>
            <w:fldChar w:fldCharType="end"/>
          </w:r>
        </w:p>
        <w:p w14:paraId="45B16381">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_Toc10368 </w:instrText>
          </w:r>
          <w:r>
            <w:rPr>
              <w:sz w:val="24"/>
              <w:szCs w:val="24"/>
            </w:rPr>
            <w:fldChar w:fldCharType="separate"/>
          </w:r>
          <w:r>
            <w:rPr>
              <w:sz w:val="24"/>
              <w:szCs w:val="24"/>
            </w:rPr>
            <w:t>（一）数据集的限制与传统方法的不足</w:t>
          </w:r>
          <w:r>
            <w:rPr>
              <w:sz w:val="24"/>
              <w:szCs w:val="24"/>
            </w:rPr>
            <w:tab/>
          </w:r>
          <w:r>
            <w:rPr>
              <w:sz w:val="24"/>
              <w:szCs w:val="24"/>
            </w:rPr>
            <w:fldChar w:fldCharType="begin"/>
          </w:r>
          <w:r>
            <w:rPr>
              <w:sz w:val="24"/>
              <w:szCs w:val="24"/>
            </w:rPr>
            <w:instrText xml:space="preserve"> PAGEREF _Toc10368 \h </w:instrText>
          </w:r>
          <w:r>
            <w:rPr>
              <w:sz w:val="24"/>
              <w:szCs w:val="24"/>
            </w:rPr>
            <w:fldChar w:fldCharType="separate"/>
          </w:r>
          <w:r>
            <w:rPr>
              <w:sz w:val="24"/>
              <w:szCs w:val="24"/>
            </w:rPr>
            <w:t>16</w:t>
          </w:r>
          <w:r>
            <w:rPr>
              <w:sz w:val="24"/>
              <w:szCs w:val="24"/>
            </w:rPr>
            <w:fldChar w:fldCharType="end"/>
          </w:r>
          <w:r>
            <w:rPr>
              <w:sz w:val="24"/>
              <w:szCs w:val="24"/>
            </w:rPr>
            <w:fldChar w:fldCharType="end"/>
          </w:r>
        </w:p>
        <w:p w14:paraId="61733BD3">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_Toc9635 </w:instrText>
          </w:r>
          <w:r>
            <w:rPr>
              <w:sz w:val="24"/>
              <w:szCs w:val="24"/>
            </w:rPr>
            <w:fldChar w:fldCharType="separate"/>
          </w:r>
          <w:r>
            <w:rPr>
              <w:sz w:val="24"/>
              <w:szCs w:val="24"/>
            </w:rPr>
            <w:t>（二）Tiny Time Mixer(TTM)的优势</w:t>
          </w:r>
          <w:r>
            <w:rPr>
              <w:sz w:val="24"/>
              <w:szCs w:val="24"/>
            </w:rPr>
            <w:tab/>
          </w:r>
          <w:r>
            <w:rPr>
              <w:sz w:val="24"/>
              <w:szCs w:val="24"/>
            </w:rPr>
            <w:fldChar w:fldCharType="begin"/>
          </w:r>
          <w:r>
            <w:rPr>
              <w:sz w:val="24"/>
              <w:szCs w:val="24"/>
            </w:rPr>
            <w:instrText xml:space="preserve"> PAGEREF _Toc9635 \h </w:instrText>
          </w:r>
          <w:r>
            <w:rPr>
              <w:sz w:val="24"/>
              <w:szCs w:val="24"/>
            </w:rPr>
            <w:fldChar w:fldCharType="separate"/>
          </w:r>
          <w:r>
            <w:rPr>
              <w:sz w:val="24"/>
              <w:szCs w:val="24"/>
            </w:rPr>
            <w:t>16</w:t>
          </w:r>
          <w:r>
            <w:rPr>
              <w:sz w:val="24"/>
              <w:szCs w:val="24"/>
            </w:rPr>
            <w:fldChar w:fldCharType="end"/>
          </w:r>
          <w:r>
            <w:rPr>
              <w:sz w:val="24"/>
              <w:szCs w:val="24"/>
            </w:rPr>
            <w:fldChar w:fldCharType="end"/>
          </w:r>
        </w:p>
        <w:p w14:paraId="35204F47">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_Toc25302 </w:instrText>
          </w:r>
          <w:r>
            <w:rPr>
              <w:sz w:val="24"/>
              <w:szCs w:val="24"/>
            </w:rPr>
            <w:fldChar w:fldCharType="separate"/>
          </w:r>
          <w:r>
            <w:rPr>
              <w:sz w:val="24"/>
              <w:szCs w:val="24"/>
            </w:rPr>
            <w:t>（三）STIRPAT+TTM的预测模型框架</w:t>
          </w:r>
          <w:r>
            <w:rPr>
              <w:sz w:val="24"/>
              <w:szCs w:val="24"/>
            </w:rPr>
            <w:tab/>
          </w:r>
          <w:r>
            <w:rPr>
              <w:sz w:val="24"/>
              <w:szCs w:val="24"/>
            </w:rPr>
            <w:fldChar w:fldCharType="begin"/>
          </w:r>
          <w:r>
            <w:rPr>
              <w:sz w:val="24"/>
              <w:szCs w:val="24"/>
            </w:rPr>
            <w:instrText xml:space="preserve"> PAGEREF _Toc25302 \h </w:instrText>
          </w:r>
          <w:r>
            <w:rPr>
              <w:sz w:val="24"/>
              <w:szCs w:val="24"/>
            </w:rPr>
            <w:fldChar w:fldCharType="separate"/>
          </w:r>
          <w:r>
            <w:rPr>
              <w:sz w:val="24"/>
              <w:szCs w:val="24"/>
            </w:rPr>
            <w:t>17</w:t>
          </w:r>
          <w:r>
            <w:rPr>
              <w:sz w:val="24"/>
              <w:szCs w:val="24"/>
            </w:rPr>
            <w:fldChar w:fldCharType="end"/>
          </w:r>
          <w:r>
            <w:rPr>
              <w:sz w:val="24"/>
              <w:szCs w:val="24"/>
            </w:rPr>
            <w:fldChar w:fldCharType="end"/>
          </w:r>
        </w:p>
        <w:p w14:paraId="0B26E926">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_Toc12055 </w:instrText>
          </w:r>
          <w:r>
            <w:rPr>
              <w:sz w:val="24"/>
              <w:szCs w:val="24"/>
            </w:rPr>
            <w:fldChar w:fldCharType="separate"/>
          </w:r>
          <w:r>
            <w:rPr>
              <w:sz w:val="24"/>
              <w:szCs w:val="24"/>
            </w:rPr>
            <w:t>1.数据集重构</w:t>
          </w:r>
          <w:r>
            <w:rPr>
              <w:sz w:val="24"/>
              <w:szCs w:val="24"/>
            </w:rPr>
            <w:tab/>
          </w:r>
          <w:r>
            <w:rPr>
              <w:sz w:val="24"/>
              <w:szCs w:val="24"/>
            </w:rPr>
            <w:fldChar w:fldCharType="begin"/>
          </w:r>
          <w:r>
            <w:rPr>
              <w:sz w:val="24"/>
              <w:szCs w:val="24"/>
            </w:rPr>
            <w:instrText xml:space="preserve"> PAGEREF _Toc12055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7BF1252">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_Toc6581 </w:instrText>
          </w:r>
          <w:r>
            <w:rPr>
              <w:sz w:val="24"/>
              <w:szCs w:val="24"/>
            </w:rPr>
            <w:fldChar w:fldCharType="separate"/>
          </w:r>
          <w:r>
            <w:rPr>
              <w:sz w:val="24"/>
              <w:szCs w:val="24"/>
            </w:rPr>
            <w:t>2.STIRPAT 理论基线与硬截断机制</w:t>
          </w:r>
          <w:r>
            <w:rPr>
              <w:sz w:val="24"/>
              <w:szCs w:val="24"/>
            </w:rPr>
            <w:tab/>
          </w:r>
          <w:r>
            <w:rPr>
              <w:sz w:val="24"/>
              <w:szCs w:val="24"/>
            </w:rPr>
            <w:fldChar w:fldCharType="begin"/>
          </w:r>
          <w:r>
            <w:rPr>
              <w:sz w:val="24"/>
              <w:szCs w:val="24"/>
            </w:rPr>
            <w:instrText xml:space="preserve"> PAGEREF _Toc6581 \h </w:instrText>
          </w:r>
          <w:r>
            <w:rPr>
              <w:sz w:val="24"/>
              <w:szCs w:val="24"/>
            </w:rPr>
            <w:fldChar w:fldCharType="separate"/>
          </w:r>
          <w:r>
            <w:rPr>
              <w:sz w:val="24"/>
              <w:szCs w:val="24"/>
            </w:rPr>
            <w:t>18</w:t>
          </w:r>
          <w:r>
            <w:rPr>
              <w:sz w:val="24"/>
              <w:szCs w:val="24"/>
            </w:rPr>
            <w:fldChar w:fldCharType="end"/>
          </w:r>
          <w:r>
            <w:rPr>
              <w:sz w:val="24"/>
              <w:szCs w:val="24"/>
            </w:rPr>
            <w:fldChar w:fldCharType="end"/>
          </w:r>
        </w:p>
        <w:p w14:paraId="152E7676">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_Toc6886 </w:instrText>
          </w:r>
          <w:r>
            <w:rPr>
              <w:sz w:val="24"/>
              <w:szCs w:val="24"/>
            </w:rPr>
            <w:fldChar w:fldCharType="separate"/>
          </w:r>
          <w:r>
            <w:rPr>
              <w:sz w:val="24"/>
              <w:szCs w:val="24"/>
            </w:rPr>
            <w:t>3.多国并行序列</w:t>
          </w:r>
          <w:r>
            <w:rPr>
              <w:sz w:val="24"/>
              <w:szCs w:val="24"/>
            </w:rPr>
            <w:tab/>
          </w:r>
          <w:r>
            <w:rPr>
              <w:sz w:val="24"/>
              <w:szCs w:val="24"/>
            </w:rPr>
            <w:fldChar w:fldCharType="begin"/>
          </w:r>
          <w:r>
            <w:rPr>
              <w:sz w:val="24"/>
              <w:szCs w:val="24"/>
            </w:rPr>
            <w:instrText xml:space="preserve"> PAGEREF _Toc6886 \h </w:instrText>
          </w:r>
          <w:r>
            <w:rPr>
              <w:sz w:val="24"/>
              <w:szCs w:val="24"/>
            </w:rPr>
            <w:fldChar w:fldCharType="separate"/>
          </w:r>
          <w:r>
            <w:rPr>
              <w:sz w:val="24"/>
              <w:szCs w:val="24"/>
            </w:rPr>
            <w:t>19</w:t>
          </w:r>
          <w:r>
            <w:rPr>
              <w:sz w:val="24"/>
              <w:szCs w:val="24"/>
            </w:rPr>
            <w:fldChar w:fldCharType="end"/>
          </w:r>
          <w:r>
            <w:rPr>
              <w:sz w:val="24"/>
              <w:szCs w:val="24"/>
            </w:rPr>
            <w:fldChar w:fldCharType="end"/>
          </w:r>
        </w:p>
        <w:p w14:paraId="388F7E29">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_Toc1702 </w:instrText>
          </w:r>
          <w:r>
            <w:rPr>
              <w:sz w:val="24"/>
              <w:szCs w:val="24"/>
            </w:rPr>
            <w:fldChar w:fldCharType="separate"/>
          </w:r>
          <w:r>
            <w:rPr>
              <w:sz w:val="24"/>
              <w:szCs w:val="24"/>
            </w:rPr>
            <w:t>4.修正值组合寻优与数据扩充</w:t>
          </w:r>
          <w:r>
            <w:rPr>
              <w:sz w:val="24"/>
              <w:szCs w:val="24"/>
            </w:rPr>
            <w:tab/>
          </w:r>
          <w:r>
            <w:rPr>
              <w:sz w:val="24"/>
              <w:szCs w:val="24"/>
            </w:rPr>
            <w:fldChar w:fldCharType="begin"/>
          </w:r>
          <w:r>
            <w:rPr>
              <w:sz w:val="24"/>
              <w:szCs w:val="24"/>
            </w:rPr>
            <w:instrText xml:space="preserve"> PAGEREF _Toc1702 \h </w:instrText>
          </w:r>
          <w:r>
            <w:rPr>
              <w:sz w:val="24"/>
              <w:szCs w:val="24"/>
            </w:rPr>
            <w:fldChar w:fldCharType="separate"/>
          </w:r>
          <w:r>
            <w:rPr>
              <w:sz w:val="24"/>
              <w:szCs w:val="24"/>
            </w:rPr>
            <w:t>19</w:t>
          </w:r>
          <w:r>
            <w:rPr>
              <w:sz w:val="24"/>
              <w:szCs w:val="24"/>
            </w:rPr>
            <w:fldChar w:fldCharType="end"/>
          </w:r>
          <w:r>
            <w:rPr>
              <w:sz w:val="24"/>
              <w:szCs w:val="24"/>
            </w:rPr>
            <w:fldChar w:fldCharType="end"/>
          </w:r>
        </w:p>
        <w:p w14:paraId="3E89A743">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_Toc7712 </w:instrText>
          </w:r>
          <w:r>
            <w:rPr>
              <w:sz w:val="24"/>
              <w:szCs w:val="24"/>
            </w:rPr>
            <w:fldChar w:fldCharType="separate"/>
          </w:r>
          <w:r>
            <w:rPr>
              <w:sz w:val="24"/>
              <w:szCs w:val="24"/>
            </w:rPr>
            <w:t>（四）训练结果与评估</w:t>
          </w:r>
          <w:r>
            <w:rPr>
              <w:sz w:val="24"/>
              <w:szCs w:val="24"/>
            </w:rPr>
            <w:tab/>
          </w:r>
          <w:r>
            <w:rPr>
              <w:sz w:val="24"/>
              <w:szCs w:val="24"/>
            </w:rPr>
            <w:fldChar w:fldCharType="begin"/>
          </w:r>
          <w:r>
            <w:rPr>
              <w:sz w:val="24"/>
              <w:szCs w:val="24"/>
            </w:rPr>
            <w:instrText xml:space="preserve"> PAGEREF _Toc7712 \h </w:instrText>
          </w:r>
          <w:r>
            <w:rPr>
              <w:sz w:val="24"/>
              <w:szCs w:val="24"/>
            </w:rPr>
            <w:fldChar w:fldCharType="separate"/>
          </w:r>
          <w:r>
            <w:rPr>
              <w:sz w:val="24"/>
              <w:szCs w:val="24"/>
            </w:rPr>
            <w:t>20</w:t>
          </w:r>
          <w:r>
            <w:rPr>
              <w:sz w:val="24"/>
              <w:szCs w:val="24"/>
            </w:rPr>
            <w:fldChar w:fldCharType="end"/>
          </w:r>
          <w:r>
            <w:rPr>
              <w:sz w:val="24"/>
              <w:szCs w:val="24"/>
            </w:rPr>
            <w:fldChar w:fldCharType="end"/>
          </w:r>
        </w:p>
        <w:p w14:paraId="0D4541E9">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_Toc3447 </w:instrText>
          </w:r>
          <w:r>
            <w:rPr>
              <w:sz w:val="24"/>
              <w:szCs w:val="24"/>
            </w:rPr>
            <w:fldChar w:fldCharType="separate"/>
          </w:r>
          <w:r>
            <w:rPr>
              <w:sz w:val="24"/>
              <w:szCs w:val="24"/>
            </w:rPr>
            <w:t>1.训练结果</w:t>
          </w:r>
          <w:r>
            <w:rPr>
              <w:sz w:val="24"/>
              <w:szCs w:val="24"/>
            </w:rPr>
            <w:tab/>
          </w:r>
          <w:r>
            <w:rPr>
              <w:sz w:val="24"/>
              <w:szCs w:val="24"/>
            </w:rPr>
            <w:fldChar w:fldCharType="begin"/>
          </w:r>
          <w:r>
            <w:rPr>
              <w:sz w:val="24"/>
              <w:szCs w:val="24"/>
            </w:rPr>
            <w:instrText xml:space="preserve"> PAGEREF _Toc3447 \h </w:instrText>
          </w:r>
          <w:r>
            <w:rPr>
              <w:sz w:val="24"/>
              <w:szCs w:val="24"/>
            </w:rPr>
            <w:fldChar w:fldCharType="separate"/>
          </w:r>
          <w:r>
            <w:rPr>
              <w:sz w:val="24"/>
              <w:szCs w:val="24"/>
            </w:rPr>
            <w:t>20</w:t>
          </w:r>
          <w:r>
            <w:rPr>
              <w:sz w:val="24"/>
              <w:szCs w:val="24"/>
            </w:rPr>
            <w:fldChar w:fldCharType="end"/>
          </w:r>
          <w:r>
            <w:rPr>
              <w:sz w:val="24"/>
              <w:szCs w:val="24"/>
            </w:rPr>
            <w:fldChar w:fldCharType="end"/>
          </w:r>
        </w:p>
        <w:p w14:paraId="0B522966">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_Toc3152 </w:instrText>
          </w:r>
          <w:r>
            <w:rPr>
              <w:sz w:val="24"/>
              <w:szCs w:val="24"/>
            </w:rPr>
            <w:fldChar w:fldCharType="separate"/>
          </w:r>
          <w:r>
            <w:rPr>
              <w:sz w:val="24"/>
              <w:szCs w:val="24"/>
            </w:rPr>
            <w:t>2.消融实验评估</w:t>
          </w:r>
          <w:r>
            <w:rPr>
              <w:sz w:val="24"/>
              <w:szCs w:val="24"/>
            </w:rPr>
            <w:tab/>
          </w:r>
          <w:r>
            <w:rPr>
              <w:sz w:val="24"/>
              <w:szCs w:val="24"/>
            </w:rPr>
            <w:fldChar w:fldCharType="begin"/>
          </w:r>
          <w:r>
            <w:rPr>
              <w:sz w:val="24"/>
              <w:szCs w:val="24"/>
            </w:rPr>
            <w:instrText xml:space="preserve"> PAGEREF _Toc3152 \h </w:instrText>
          </w:r>
          <w:r>
            <w:rPr>
              <w:sz w:val="24"/>
              <w:szCs w:val="24"/>
            </w:rPr>
            <w:fldChar w:fldCharType="separate"/>
          </w:r>
          <w:r>
            <w:rPr>
              <w:sz w:val="24"/>
              <w:szCs w:val="24"/>
            </w:rPr>
            <w:t>21</w:t>
          </w:r>
          <w:r>
            <w:rPr>
              <w:sz w:val="24"/>
              <w:szCs w:val="24"/>
            </w:rPr>
            <w:fldChar w:fldCharType="end"/>
          </w:r>
          <w:r>
            <w:rPr>
              <w:sz w:val="24"/>
              <w:szCs w:val="24"/>
            </w:rPr>
            <w:fldChar w:fldCharType="end"/>
          </w:r>
        </w:p>
        <w:p w14:paraId="1E7F7D12">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_Toc7832 </w:instrText>
          </w:r>
          <w:r>
            <w:rPr>
              <w:sz w:val="24"/>
              <w:szCs w:val="24"/>
            </w:rPr>
            <w:fldChar w:fldCharType="separate"/>
          </w:r>
          <w:r>
            <w:rPr>
              <w:sz w:val="24"/>
              <w:szCs w:val="24"/>
            </w:rPr>
            <w:t>（五）固定政策路径的惯性延续基准情景推演</w:t>
          </w:r>
          <w:r>
            <w:rPr>
              <w:sz w:val="24"/>
              <w:szCs w:val="24"/>
            </w:rPr>
            <w:tab/>
          </w:r>
          <w:r>
            <w:rPr>
              <w:sz w:val="24"/>
              <w:szCs w:val="24"/>
            </w:rPr>
            <w:fldChar w:fldCharType="begin"/>
          </w:r>
          <w:r>
            <w:rPr>
              <w:sz w:val="24"/>
              <w:szCs w:val="24"/>
            </w:rPr>
            <w:instrText xml:space="preserve"> PAGEREF _Toc7832 \h </w:instrText>
          </w:r>
          <w:r>
            <w:rPr>
              <w:sz w:val="24"/>
              <w:szCs w:val="24"/>
            </w:rPr>
            <w:fldChar w:fldCharType="separate"/>
          </w:r>
          <w:r>
            <w:rPr>
              <w:sz w:val="24"/>
              <w:szCs w:val="24"/>
            </w:rPr>
            <w:t>22</w:t>
          </w:r>
          <w:r>
            <w:rPr>
              <w:sz w:val="24"/>
              <w:szCs w:val="24"/>
            </w:rPr>
            <w:fldChar w:fldCharType="end"/>
          </w:r>
          <w:r>
            <w:rPr>
              <w:sz w:val="24"/>
              <w:szCs w:val="24"/>
            </w:rPr>
            <w:fldChar w:fldCharType="end"/>
          </w:r>
        </w:p>
        <w:p w14:paraId="4AE14F5E">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_Toc6900 </w:instrText>
          </w:r>
          <w:r>
            <w:rPr>
              <w:sz w:val="24"/>
              <w:szCs w:val="24"/>
            </w:rPr>
            <w:fldChar w:fldCharType="separate"/>
          </w:r>
          <w:r>
            <w:rPr>
              <w:sz w:val="24"/>
              <w:szCs w:val="24"/>
            </w:rPr>
            <w:t>五、研究结论与模型展望</w:t>
          </w:r>
          <w:r>
            <w:rPr>
              <w:sz w:val="24"/>
              <w:szCs w:val="24"/>
            </w:rPr>
            <w:tab/>
          </w:r>
          <w:r>
            <w:rPr>
              <w:sz w:val="24"/>
              <w:szCs w:val="24"/>
            </w:rPr>
            <w:fldChar w:fldCharType="begin"/>
          </w:r>
          <w:r>
            <w:rPr>
              <w:sz w:val="24"/>
              <w:szCs w:val="24"/>
            </w:rPr>
            <w:instrText xml:space="preserve"> PAGEREF _Toc6900 \h </w:instrText>
          </w:r>
          <w:r>
            <w:rPr>
              <w:sz w:val="24"/>
              <w:szCs w:val="24"/>
            </w:rPr>
            <w:fldChar w:fldCharType="separate"/>
          </w:r>
          <w:r>
            <w:rPr>
              <w:sz w:val="24"/>
              <w:szCs w:val="24"/>
            </w:rPr>
            <w:t>23</w:t>
          </w:r>
          <w:r>
            <w:rPr>
              <w:sz w:val="24"/>
              <w:szCs w:val="24"/>
            </w:rPr>
            <w:fldChar w:fldCharType="end"/>
          </w:r>
          <w:r>
            <w:rPr>
              <w:sz w:val="24"/>
              <w:szCs w:val="24"/>
            </w:rPr>
            <w:fldChar w:fldCharType="end"/>
          </w:r>
        </w:p>
        <w:p w14:paraId="5637EA82">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_Toc11574 </w:instrText>
          </w:r>
          <w:r>
            <w:rPr>
              <w:sz w:val="24"/>
              <w:szCs w:val="24"/>
            </w:rPr>
            <w:fldChar w:fldCharType="separate"/>
          </w:r>
          <w:r>
            <w:rPr>
              <w:sz w:val="24"/>
              <w:szCs w:val="24"/>
            </w:rPr>
            <w:t>（一）主要实证结论</w:t>
          </w:r>
          <w:r>
            <w:rPr>
              <w:sz w:val="24"/>
              <w:szCs w:val="24"/>
            </w:rPr>
            <w:tab/>
          </w:r>
          <w:r>
            <w:rPr>
              <w:sz w:val="24"/>
              <w:szCs w:val="24"/>
            </w:rPr>
            <w:fldChar w:fldCharType="begin"/>
          </w:r>
          <w:r>
            <w:rPr>
              <w:sz w:val="24"/>
              <w:szCs w:val="24"/>
            </w:rPr>
            <w:instrText xml:space="preserve"> PAGEREF _Toc11574 \h </w:instrText>
          </w:r>
          <w:r>
            <w:rPr>
              <w:sz w:val="24"/>
              <w:szCs w:val="24"/>
            </w:rPr>
            <w:fldChar w:fldCharType="separate"/>
          </w:r>
          <w:r>
            <w:rPr>
              <w:sz w:val="24"/>
              <w:szCs w:val="24"/>
            </w:rPr>
            <w:t>23</w:t>
          </w:r>
          <w:r>
            <w:rPr>
              <w:sz w:val="24"/>
              <w:szCs w:val="24"/>
            </w:rPr>
            <w:fldChar w:fldCharType="end"/>
          </w:r>
          <w:r>
            <w:rPr>
              <w:sz w:val="24"/>
              <w:szCs w:val="24"/>
            </w:rPr>
            <w:fldChar w:fldCharType="end"/>
          </w:r>
        </w:p>
        <w:p w14:paraId="167E4EFD">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_Toc15776 </w:instrText>
          </w:r>
          <w:r>
            <w:rPr>
              <w:sz w:val="24"/>
              <w:szCs w:val="24"/>
            </w:rPr>
            <w:fldChar w:fldCharType="separate"/>
          </w:r>
          <w:r>
            <w:rPr>
              <w:sz w:val="24"/>
              <w:szCs w:val="24"/>
            </w:rPr>
            <w:t>（二）决策与管理启示</w:t>
          </w:r>
          <w:r>
            <w:rPr>
              <w:sz w:val="24"/>
              <w:szCs w:val="24"/>
            </w:rPr>
            <w:tab/>
          </w:r>
          <w:r>
            <w:rPr>
              <w:sz w:val="24"/>
              <w:szCs w:val="24"/>
            </w:rPr>
            <w:fldChar w:fldCharType="begin"/>
          </w:r>
          <w:r>
            <w:rPr>
              <w:sz w:val="24"/>
              <w:szCs w:val="24"/>
            </w:rPr>
            <w:instrText xml:space="preserve"> PAGEREF _Toc15776 \h </w:instrText>
          </w:r>
          <w:r>
            <w:rPr>
              <w:sz w:val="24"/>
              <w:szCs w:val="24"/>
            </w:rPr>
            <w:fldChar w:fldCharType="separate"/>
          </w:r>
          <w:r>
            <w:rPr>
              <w:sz w:val="24"/>
              <w:szCs w:val="24"/>
            </w:rPr>
            <w:t>25</w:t>
          </w:r>
          <w:r>
            <w:rPr>
              <w:sz w:val="24"/>
              <w:szCs w:val="24"/>
            </w:rPr>
            <w:fldChar w:fldCharType="end"/>
          </w:r>
          <w:r>
            <w:rPr>
              <w:sz w:val="24"/>
              <w:szCs w:val="24"/>
            </w:rPr>
            <w:fldChar w:fldCharType="end"/>
          </w:r>
        </w:p>
        <w:p w14:paraId="4B1780DE">
          <w:pPr>
            <w:pStyle w:val="1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_Toc24389 </w:instrText>
          </w:r>
          <w:r>
            <w:rPr>
              <w:sz w:val="24"/>
              <w:szCs w:val="24"/>
            </w:rPr>
            <w:fldChar w:fldCharType="separate"/>
          </w:r>
          <w:r>
            <w:rPr>
              <w:sz w:val="24"/>
              <w:szCs w:val="24"/>
            </w:rPr>
            <w:t>（三）模型的局限与未来展望</w:t>
          </w:r>
          <w:r>
            <w:rPr>
              <w:sz w:val="24"/>
              <w:szCs w:val="24"/>
            </w:rPr>
            <w:tab/>
          </w:r>
          <w:r>
            <w:rPr>
              <w:sz w:val="24"/>
              <w:szCs w:val="24"/>
            </w:rPr>
            <w:fldChar w:fldCharType="begin"/>
          </w:r>
          <w:r>
            <w:rPr>
              <w:sz w:val="24"/>
              <w:szCs w:val="24"/>
            </w:rPr>
            <w:instrText xml:space="preserve"> PAGEREF _Toc24389 \h </w:instrText>
          </w:r>
          <w:r>
            <w:rPr>
              <w:sz w:val="24"/>
              <w:szCs w:val="24"/>
            </w:rPr>
            <w:fldChar w:fldCharType="separate"/>
          </w:r>
          <w:r>
            <w:rPr>
              <w:sz w:val="24"/>
              <w:szCs w:val="24"/>
            </w:rPr>
            <w:t>25</w:t>
          </w:r>
          <w:r>
            <w:rPr>
              <w:sz w:val="24"/>
              <w:szCs w:val="24"/>
            </w:rPr>
            <w:fldChar w:fldCharType="end"/>
          </w:r>
          <w:r>
            <w:rPr>
              <w:sz w:val="24"/>
              <w:szCs w:val="24"/>
            </w:rPr>
            <w:fldChar w:fldCharType="end"/>
          </w:r>
        </w:p>
        <w:p w14:paraId="7563EB81">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_Toc18527 </w:instrText>
          </w:r>
          <w:r>
            <w:rPr>
              <w:sz w:val="24"/>
              <w:szCs w:val="24"/>
            </w:rPr>
            <w:fldChar w:fldCharType="separate"/>
          </w:r>
          <w:r>
            <w:rPr>
              <w:sz w:val="24"/>
              <w:szCs w:val="24"/>
            </w:rPr>
            <w:t>参考文献</w:t>
          </w:r>
          <w:r>
            <w:rPr>
              <w:sz w:val="24"/>
              <w:szCs w:val="24"/>
            </w:rPr>
            <w:tab/>
          </w:r>
          <w:r>
            <w:rPr>
              <w:sz w:val="24"/>
              <w:szCs w:val="24"/>
            </w:rPr>
            <w:fldChar w:fldCharType="begin"/>
          </w:r>
          <w:r>
            <w:rPr>
              <w:sz w:val="24"/>
              <w:szCs w:val="24"/>
            </w:rPr>
            <w:instrText xml:space="preserve"> PAGEREF _Toc18527 \h </w:instrText>
          </w:r>
          <w:r>
            <w:rPr>
              <w:sz w:val="24"/>
              <w:szCs w:val="24"/>
            </w:rPr>
            <w:fldChar w:fldCharType="separate"/>
          </w:r>
          <w:r>
            <w:rPr>
              <w:sz w:val="24"/>
              <w:szCs w:val="24"/>
            </w:rPr>
            <w:t>27</w:t>
          </w:r>
          <w:r>
            <w:rPr>
              <w:sz w:val="24"/>
              <w:szCs w:val="24"/>
            </w:rPr>
            <w:fldChar w:fldCharType="end"/>
          </w:r>
          <w:r>
            <w:rPr>
              <w:sz w:val="24"/>
              <w:szCs w:val="24"/>
            </w:rPr>
            <w:fldChar w:fldCharType="end"/>
          </w:r>
        </w:p>
        <w:p w14:paraId="42C89E7A">
          <w:pPr>
            <w:pStyle w:val="11"/>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24"/>
            </w:rPr>
          </w:pPr>
          <w:r>
            <w:rPr>
              <w:sz w:val="24"/>
              <w:szCs w:val="24"/>
            </w:rPr>
            <w:fldChar w:fldCharType="begin"/>
          </w:r>
          <w:r>
            <w:rPr>
              <w:sz w:val="24"/>
              <w:szCs w:val="24"/>
            </w:rPr>
            <w:instrText xml:space="preserve"> HYPERLINK \l _Toc3808 </w:instrText>
          </w:r>
          <w:r>
            <w:rPr>
              <w:sz w:val="24"/>
              <w:szCs w:val="24"/>
            </w:rPr>
            <w:fldChar w:fldCharType="separate"/>
          </w:r>
          <w:r>
            <w:rPr>
              <w:sz w:val="24"/>
              <w:szCs w:val="24"/>
            </w:rPr>
            <w:t>附录</w:t>
          </w:r>
          <w:r>
            <w:rPr>
              <w:sz w:val="24"/>
              <w:szCs w:val="24"/>
            </w:rPr>
            <w:tab/>
          </w:r>
          <w:r>
            <w:rPr>
              <w:sz w:val="24"/>
              <w:szCs w:val="24"/>
            </w:rPr>
            <w:fldChar w:fldCharType="begin"/>
          </w:r>
          <w:r>
            <w:rPr>
              <w:sz w:val="24"/>
              <w:szCs w:val="24"/>
            </w:rPr>
            <w:instrText xml:space="preserve"> PAGEREF _Toc3808 \h </w:instrText>
          </w:r>
          <w:r>
            <w:rPr>
              <w:sz w:val="24"/>
              <w:szCs w:val="24"/>
            </w:rPr>
            <w:fldChar w:fldCharType="separate"/>
          </w:r>
          <w:r>
            <w:rPr>
              <w:sz w:val="24"/>
              <w:szCs w:val="24"/>
            </w:rPr>
            <w:t>29</w:t>
          </w:r>
          <w:r>
            <w:rPr>
              <w:sz w:val="24"/>
              <w:szCs w:val="24"/>
            </w:rPr>
            <w:fldChar w:fldCharType="end"/>
          </w:r>
          <w:r>
            <w:rPr>
              <w:sz w:val="24"/>
              <w:szCs w:val="24"/>
            </w:rPr>
            <w:fldChar w:fldCharType="end"/>
          </w:r>
        </w:p>
        <w:p w14:paraId="4C81C1CF">
          <w:pPr>
            <w:keepNext w:val="0"/>
            <w:keepLines w:val="0"/>
            <w:pageBreakBefore w:val="0"/>
            <w:widowControl w:val="0"/>
            <w:kinsoku/>
            <w:wordWrap/>
            <w:overflowPunct/>
            <w:topLinePunct w:val="0"/>
            <w:autoSpaceDE/>
            <w:autoSpaceDN/>
            <w:bidi w:val="0"/>
            <w:adjustRightInd/>
            <w:snapToGrid/>
            <w:spacing w:line="480" w:lineRule="exact"/>
            <w:textAlignment w:val="auto"/>
            <w:rPr>
              <w:sz w:val="24"/>
            </w:rPr>
          </w:pPr>
          <w:r>
            <w:rPr>
              <w:sz w:val="24"/>
              <w:szCs w:val="24"/>
            </w:rPr>
            <w:fldChar w:fldCharType="end"/>
          </w:r>
        </w:p>
      </w:sdtContent>
    </w:sdt>
    <w:p w14:paraId="28F509D4"/>
    <w:p w14:paraId="5B86C582">
      <w:pPr>
        <w:spacing w:line="480" w:lineRule="exact"/>
        <w:jc w:val="center"/>
        <w:textAlignment w:val="center"/>
        <w:rPr>
          <w:rFonts w:hint="eastAsia" w:ascii="黑体" w:hAnsi="黑体" w:eastAsia="黑体" w:cs="黑体"/>
          <w:sz w:val="28"/>
          <w:szCs w:val="28"/>
        </w:rPr>
        <w:sectPr>
          <w:footerReference r:id="rId4" w:type="default"/>
          <w:pgSz w:w="11906" w:h="16838"/>
          <w:pgMar w:top="1440" w:right="1800" w:bottom="1440" w:left="1800" w:header="851" w:footer="992" w:gutter="0"/>
          <w:pgNumType w:fmt="upperRoman" w:start="2"/>
          <w:cols w:space="425" w:num="1"/>
          <w:docGrid w:type="lines" w:linePitch="312" w:charSpace="0"/>
        </w:sectPr>
      </w:pPr>
      <w:bookmarkStart w:id="1" w:name="_Toc10330"/>
    </w:p>
    <w:p w14:paraId="5C53EE9B">
      <w:pPr>
        <w:pStyle w:val="46"/>
        <w:ind w:firstLine="560"/>
        <w:rPr>
          <w:rFonts w:hint="eastAsia"/>
        </w:rPr>
      </w:pPr>
      <w:bookmarkStart w:id="2" w:name="_Toc17016"/>
      <w:r>
        <w:rPr>
          <w:rFonts w:hint="eastAsia"/>
        </w:rPr>
        <w:t>表格与插图清单</w:t>
      </w:r>
      <w:bookmarkEnd w:id="1"/>
      <w:bookmarkEnd w:id="2"/>
    </w:p>
    <w:p w14:paraId="1AF59D1B">
      <w:pPr>
        <w:pStyle w:val="3"/>
        <w:ind w:firstLine="0" w:firstLineChars="0"/>
      </w:pPr>
      <w:r>
        <w:t>表1 变量定义、单位与数据来源</w:t>
      </w:r>
    </w:p>
    <w:p w14:paraId="5B98E4C1">
      <w:pPr>
        <w:pStyle w:val="3"/>
        <w:ind w:firstLine="0" w:firstLineChars="0"/>
      </w:pPr>
      <w:r>
        <w:t>表2 全样本面板数据描述性统计</w:t>
      </w:r>
    </w:p>
    <w:p w14:paraId="138CB90D">
      <w:pPr>
        <w:pStyle w:val="3"/>
        <w:ind w:firstLine="0" w:firstLineChars="0"/>
      </w:pPr>
      <w:r>
        <w:t>表3 基于双向固定效应模型的基准回归及稳健性检验结果</w:t>
      </w:r>
    </w:p>
    <w:p w14:paraId="18A3E1A5">
      <w:pPr>
        <w:pStyle w:val="3"/>
        <w:ind w:firstLine="0" w:firstLineChars="0"/>
      </w:pPr>
      <w:r>
        <w:t>表4 岭回归和弹性网（Ridge和ElasticNet）的STIRPAT稳健性结果</w:t>
      </w:r>
    </w:p>
    <w:p w14:paraId="62143A13">
      <w:pPr>
        <w:pStyle w:val="3"/>
        <w:ind w:firstLine="0" w:firstLineChars="0"/>
      </w:pPr>
      <w:r>
        <w:t>表5 内生性检验与工具变量稳健性分析结果</w:t>
      </w:r>
    </w:p>
    <w:p w14:paraId="3D04E184">
      <w:pPr>
        <w:pStyle w:val="3"/>
        <w:ind w:firstLine="0" w:firstLineChars="0"/>
      </w:pPr>
      <w:r>
        <w:t>表6 Kaya-LMDI分解的碳排放贡献结果</w:t>
      </w:r>
    </w:p>
    <w:p w14:paraId="7F4C4D08">
      <w:pPr>
        <w:pStyle w:val="3"/>
        <w:ind w:firstLine="0" w:firstLineChars="0"/>
      </w:pPr>
      <w:r>
        <w:t>表7 中国TTM先验硬截断机制参数来源表</w:t>
      </w:r>
    </w:p>
    <w:p w14:paraId="2D342212">
      <w:pPr>
        <w:pStyle w:val="3"/>
        <w:ind w:firstLine="0" w:firstLineChars="0"/>
      </w:pPr>
      <w:r>
        <w:t>表8 消融实验的实验组划分</w:t>
      </w:r>
    </w:p>
    <w:p w14:paraId="440BD140">
      <w:pPr>
        <w:pStyle w:val="3"/>
        <w:ind w:firstLine="0" w:firstLineChars="0"/>
      </w:pPr>
      <w:r>
        <w:t>图1 本文的研究流程图</w:t>
      </w:r>
    </w:p>
    <w:p w14:paraId="14674D62">
      <w:pPr>
        <w:pStyle w:val="3"/>
        <w:ind w:firstLine="0" w:firstLineChars="0"/>
      </w:pPr>
      <w:r>
        <w:t>图2 五国钢铁工业2000-2023年CO₂排放趋势</w:t>
      </w:r>
    </w:p>
    <w:p w14:paraId="5A1066DE">
      <w:pPr>
        <w:pStyle w:val="3"/>
        <w:ind w:firstLine="0" w:firstLineChars="0"/>
      </w:pPr>
      <w:r>
        <w:t>图3 五国钢铁工业2000-2023年CO₂排放强度趋势</w:t>
      </w:r>
    </w:p>
    <w:p w14:paraId="42472A51">
      <w:pPr>
        <w:pStyle w:val="3"/>
        <w:ind w:firstLine="0" w:firstLineChars="0"/>
      </w:pPr>
      <w:r>
        <w:t>图4 核心变量Pearson相关系数热力图</w:t>
      </w:r>
    </w:p>
    <w:p w14:paraId="3F2F2CD5">
      <w:pPr>
        <w:pStyle w:val="3"/>
        <w:ind w:firstLine="0" w:firstLineChars="0"/>
      </w:pPr>
      <w:r>
        <w:t>图5 五国粗钢产量与碳排放关系散点图</w:t>
      </w:r>
    </w:p>
    <w:p w14:paraId="0FD7C531">
      <w:pPr>
        <w:pStyle w:val="3"/>
        <w:ind w:firstLine="0" w:firstLineChars="0"/>
      </w:pPr>
      <w:r>
        <w:t>图6 STIRPAT拟合的EKC曲线</w:t>
      </w:r>
    </w:p>
    <w:p w14:paraId="63B4AC29">
      <w:pPr>
        <w:pStyle w:val="3"/>
        <w:ind w:firstLine="0" w:firstLineChars="0"/>
      </w:pPr>
      <w:r>
        <w:t>图7 LMDI碳排放贡献分解堆积图</w:t>
      </w:r>
    </w:p>
    <w:p w14:paraId="253D860D">
      <w:pPr>
        <w:pStyle w:val="3"/>
        <w:ind w:firstLine="0" w:firstLineChars="0"/>
      </w:pPr>
      <w:r>
        <w:t>图8 CatBoost得出的核心驱动因素的SHAP蜂群图</w:t>
      </w:r>
    </w:p>
    <w:p w14:paraId="444C5C71">
      <w:pPr>
        <w:pStyle w:val="3"/>
        <w:ind w:firstLine="0" w:firstLineChars="0"/>
      </w:pPr>
      <w:r>
        <w:t>图9 STIRPAT+TTM的预测模型框架</w:t>
      </w:r>
    </w:p>
    <w:p w14:paraId="40832BF9">
      <w:pPr>
        <w:pStyle w:val="3"/>
        <w:ind w:firstLine="0" w:firstLineChars="0"/>
      </w:pPr>
      <w:r>
        <w:t>图10 五国lnCO₂原始值与修正值对比（中国预测至2035）</w:t>
      </w:r>
    </w:p>
    <w:p w14:paraId="033ACFE5">
      <w:pPr>
        <w:pStyle w:val="3"/>
        <w:ind w:firstLine="0" w:firstLineChars="0"/>
      </w:pPr>
      <w:r>
        <w:t>图11 滤波修正惯性延续情景下中国2000-2050年的lnCO₂排放路径</w:t>
      </w:r>
    </w:p>
    <w:p w14:paraId="02462EE8">
      <w:pPr>
        <w:pStyle w:val="3"/>
        <w:ind w:firstLine="0" w:firstLineChars="0"/>
      </w:pPr>
      <w:r>
        <w:t>图12 固定政策延续情景下中国2000-2050年的lnCO₂排放路径</w:t>
      </w:r>
    </w:p>
    <w:p w14:paraId="59821BED">
      <w:pPr>
        <w:pStyle w:val="3"/>
        <w:ind w:firstLine="0" w:firstLineChars="0"/>
      </w:pPr>
    </w:p>
    <w:p w14:paraId="6F7632EC">
      <w:pPr>
        <w:pStyle w:val="3"/>
        <w:ind w:firstLine="0" w:firstLineChars="0"/>
        <w:sectPr>
          <w:footerReference r:id="rId5" w:type="default"/>
          <w:pgSz w:w="11906" w:h="16838"/>
          <w:pgMar w:top="1440" w:right="1800" w:bottom="1440" w:left="1800" w:header="851" w:footer="992" w:gutter="0"/>
          <w:pgNumType w:fmt="upperRoman" w:start="2"/>
          <w:cols w:space="425" w:num="1"/>
          <w:docGrid w:type="lines" w:linePitch="312" w:charSpace="0"/>
        </w:sectPr>
      </w:pPr>
    </w:p>
    <w:p w14:paraId="248C8C82">
      <w:pPr>
        <w:pStyle w:val="26"/>
        <w:spacing w:before="156" w:after="156"/>
        <w:outlineLvl w:val="0"/>
      </w:pPr>
      <w:bookmarkStart w:id="3" w:name="_Toc168"/>
      <w:bookmarkStart w:id="4" w:name="_Toc8009"/>
      <w:r>
        <w:rPr>
          <w:rFonts w:hint="eastAsia"/>
        </w:rPr>
        <w:t>一、绪论</w:t>
      </w:r>
      <w:bookmarkEnd w:id="3"/>
      <w:bookmarkEnd w:id="4"/>
    </w:p>
    <w:p w14:paraId="3EF72BF9">
      <w:pPr>
        <w:pStyle w:val="25"/>
        <w:spacing w:before="156" w:after="156"/>
        <w:ind w:firstLine="560"/>
        <w:outlineLvl w:val="1"/>
        <w:rPr>
          <w:rFonts w:hint="default"/>
        </w:rPr>
      </w:pPr>
      <w:bookmarkStart w:id="5" w:name="_Toc30233"/>
      <w:bookmarkStart w:id="6" w:name="_Toc16251"/>
      <w:bookmarkStart w:id="7" w:name="_Toc19563"/>
      <w:bookmarkStart w:id="8" w:name="_Toc30361"/>
      <w:bookmarkStart w:id="9" w:name="_Toc19638"/>
      <w:r>
        <w:t>（一）</w:t>
      </w:r>
      <w:bookmarkEnd w:id="5"/>
      <w:bookmarkEnd w:id="6"/>
      <w:r>
        <w:t>研究背景</w:t>
      </w:r>
      <w:bookmarkEnd w:id="7"/>
      <w:bookmarkEnd w:id="8"/>
      <w:bookmarkEnd w:id="9"/>
    </w:p>
    <w:p w14:paraId="2B5EB3A5">
      <w:pPr>
        <w:pStyle w:val="3"/>
        <w:ind w:firstLine="480"/>
      </w:pPr>
      <w:bookmarkStart w:id="10" w:name="_Toc16706"/>
      <w:r>
        <w:t>钢铁工业是建筑、交通、机械、能源装备与国防制造等部门的基础性产业，也是全球工业体系中碳排放最集中的行业之一。根据国际能源署（IEA）2020年的钢铁技术路线报告，钢铁行业是重工业中二氧化碳排放量最高的部门，年直接排放约为2.6 Gt CO₂，占全球能源系统碳排放的约7%</w:t>
      </w:r>
      <w:r>
        <w:fldChar w:fldCharType="begin"/>
      </w:r>
      <w:r>
        <w:instrText xml:space="preserve"> ADDIN ZOTERO_ITEM CSL_CITATION {"citationID":"WczmzXqC","properties":{"formattedCitation":"\\super [1]\\nosupersub{}","plainCitation":"[1]","noteIndex":0},"citationItems":[{"id":908,"uris":["http://zotero.org/users/local/ePBhdWbS/items/7ILZVRN4"],"itemData":{"id":908,"type":"report","abstract":"Steel is vital to modern economies and so over the coming decades global demand for steel is expected to grow to meet rising social and economic welfare needs. Meeting this demand presents challenges for the iron and steel sector as it seeks to plot a more sustainable pathway while remaining competitive. The sector is currently responsible for about 8% of global final energy demand and 7% of energy sector CO2 emissions (including process emissions). However, through innovation, low-carbon technology deployment and resource efficiency, iron and steel producers have a major opportunity to reduce energy consumption and greenhouse gas emissions, develop more sustainable products and enhance their competitiveness.","event-place":"Paris","language":"en","number":"CC BY 4.0","page":"1-192","publisher":"International Energy Agen","publisher-place":"Paris","source":"Zotero","title":"Iron and Steel Technology Roadmap - Towards more sustainable steelmaking","URL":"https://www.iea.org/reports/iron-and-steel-technology-roadmap","author":[{"literal":"International Energy Agency"}],"issued":{"date-parts":[["2020",10]]}}}],"schema":"https://github.com/citation-style-language/schema/raw/master/csl-citation.json"} </w:instrText>
      </w:r>
      <w:r>
        <w:fldChar w:fldCharType="separate"/>
      </w:r>
      <w:r>
        <w:rPr>
          <w:kern w:val="0"/>
          <w:vertAlign w:val="superscript"/>
        </w:rPr>
        <w:t>[1]</w:t>
      </w:r>
      <w:r>
        <w:fldChar w:fldCharType="end"/>
      </w:r>
      <w:r>
        <w:t>。因此，钢铁行业低碳转型不仅是工业减排问题，更是全球碳中和进程中的关键约束环节。其次，相较于其他制造类产业，钢铁行业在低碳转型进程中存在诸多特有难题。一方面，行业粗钢产能基数庞大，下游市场需求呈现出显著的刚性特征；另一方面，当前占据主导地位的高炉-转炉长流程生产体系，形成了较强的设备路径依赖。与此同时，氢冶金、碳捕集利用与封存（CCUS）、绿电替换以及电弧炉短流程等前沿脱碳技术，目前仍处在成本优化与产业化推广的发展阶段</w:t>
      </w:r>
      <w:r>
        <w:fldChar w:fldCharType="begin"/>
      </w:r>
      <w:r>
        <w:instrText xml:space="preserve"> ADDIN ZOTERO_ITEM CSL_CITATION {"citationID":"cbsOrhVE","properties":{"formattedCitation":"\\super [2,3]\\nosupersub{}","plainCitation":"[2,3]","noteIndex":0},"citationItems":[{"id":912,"uris":["http://zotero.org/users/local/ePBhdWbS/items/UX38FG94"],"itemData":{"id":912,"type":"article-journal","abstract":"Fully decarbonizing global industry is essential to achieving climate stabilization, and reaching net zero greenhouse gas emissions by 2050–2070 is necessary to limit global warming to 2 °C. This paper assembles and evaluates technical and policy interventions, both on the supply side and on the demand side. It identifies measures that, employed together, can achieve net zero industrial emissions in the required timeframe. Key supply-side technologies include energy efficiency (especially at the system level), carbon capture, electrification, and zero-carbon hydrogen as a heat source and chemical feedstock. There are also promising technologies specific to each of the three top-emitting industries: cement, iron &amp; steel, and chemicals &amp; plastics. These include cement admixtures and alternative chemistries, several technological routes for zero-carbon steelmaking, and novel chemical catalysts and separation technologies. Crucial demand-side approaches include material-efficient design, reductions in material waste, substituting low-carbon for high-carbon materials, and circular economy interventions (such as improving product longevity, reusability, ease of refurbishment, and recyclability). Strategic, well-designed policy can accelerate innovation and provide incentives for technology deployment. High-value policies include carbon pricing with border adjustments or other price signals; robust government support for research, development, and deployment; and energy efficiency or emissions standards. These core policies should be supported by labeling and government procurement of low-carbon products, data collection and disclosure requirements, and recycling incentives. In implementing these policies, care must be taken to ensure a just transition for displaced workers and affected communities. Similarly, decarbonization must complement the human and economic development of low- and middle-income countries.","container-title":"Applied Energy","DOI":"10.1016/j.apenergy.2020.114848","ISSN":"03062619","journalAbbreviation":"Applied Energy","language":"en","page":"114848","source":"DOI.org (Crossref)","title":"Technologies and policies to decarbonize global industry: Review and assessment of mitigation drivers through 2070","title-short":"Technologies and policies to decarbonize global industry","volume":"266","author":[{"family":"Rissman","given":"Jeffrey"},{"family":"Bataille","given":"Chris"},{"family":"Masanet","given":"Eric"},{"family":"Aden","given":"Nate"},{"family":"Morrow","given":"William R."},{"family":"Zhou","given":"Nan"},{"family":"Elliott","given":"Neal"},{"family":"Dell","given":"Rebecca"},{"family":"Heeren","given":"Niko"},{"family":"Huckestein","given":"Brigitta"},{"family":"Cresko","given":"Joe"},{"family":"Miller","given":"Sabbie A."},{"family":"Roy","given":"Joyashree"},{"family":"Fennell","given":"Paul"},{"family":"Cremmins","given":"Betty"},{"family":"Koch Blank","given":"Thomas"},{"family":"Hone","given":"David"},{"family":"Williams","given":"Ellen D."},{"family":"De La Rue Du Can","given":"Stephane"},{"family":"Sisson","given":"Bill"},{"family":"Williams","given":"Mike"},{"family":"Katzenberger","given":"John"},{"family":"Burtraw","given":"Dallas"},{"family":"Sethi","given":"Girish"},{"family":"Ping","given":"He"},{"family":"Danielson","given":"David"},{"family":"Lu","given":"Hongyou"},{"family":"Lorber","given":"Tom"},{"family":"Dinkel","given":"Jens"},{"family":"Helseth","given":"Jonas"}],"issued":{"date-parts":[["2020",5]]}},"label":"page"},{"id":910,"uris":["http://zotero.org/users/local/ePBhdWbS/items/6UPWUNA8"],"itemData":{"id":910,"type":"article-journal","abstract":"Iron and steel production in China contributes to 14% of China’s total energy-related CO2 emissions. Decarbonizing the iron and steel sector will therefore play an important role in achieving the goal of carbon neutrality. This study explored possible low-carbon transition pathways for China’s iron and steel industry to achieve carbon neutrality by 2050. An integrated approach was developed that combined a computable general equilibrium model and a bottom-up technology-selection module. The results indicated that although energy-saving technologies can reduce CO2 emissions in the short term, in the long term, adopting breakthrough technologies (e.g., carbon capture and storage (CCS) and hydrogen-based direct reduction (DR)), increasing the share of scrap-based electric arc furnace (EAF) steel production, and decarbonizing upstream energy-supply sectors will be crucial for climate change mitigation. Hydrogen-based DR could be an effective option for CO2 emission reduction in scenarios where CCS is not available, with its share increasing to 23%–25% by 2050. System-wide cross-sector decarbonization can help achieve climate targets at lower costs through flexible technology combinations and avoid carbon leakage into upstream energy-supply sectors.","container-title":"Applied Energy","DOI":"10.1016/j.apenergy.2021.117209","ISSN":"03062619","journalAbbreviation":"Applied Energy","language":"en","page":"117209","source":"DOI.org (Crossref)","title":"Decarbonizing China’s iron and steel industry from the supply and demand sides for carbon neutrality","volume":"298","author":[{"family":"Ren","given":"Ming"},{"family":"Lu","given":"Pantao"},{"family":"Liu","given":"Xiaorui"},{"family":"Hossain","given":"M.S."},{"family":"Fang","given":"Yanru"},{"family":"Hanaoka","given":"Tatsuya"},{"family":"O'Gallachoir","given":"Brian"},{"family":"Glynn","given":"James"},{"family":"Dai","given":"Hancheng"}],"issued":{"date-parts":[["2021",9]]}},"label":"page"}],"schema":"https://github.com/citation-style-language/schema/raw/master/csl-citation.json"} </w:instrText>
      </w:r>
      <w:r>
        <w:fldChar w:fldCharType="separate"/>
      </w:r>
      <w:r>
        <w:rPr>
          <w:kern w:val="0"/>
          <w:vertAlign w:val="superscript"/>
        </w:rPr>
        <w:t>[2,3]</w:t>
      </w:r>
      <w:r>
        <w:fldChar w:fldCharType="end"/>
      </w:r>
      <w:r>
        <w:t>。综合上述多重条件限制，钢铁行业的碳排放管控难以单纯依托末端治理模式推进，还需协同应对产能体量、生产工艺、能源结构及技术发展水平等多维度现实阻碍。</w:t>
      </w:r>
    </w:p>
    <w:p w14:paraId="6B1E7FA7">
      <w:pPr>
        <w:pStyle w:val="3"/>
        <w:ind w:firstLine="480"/>
      </w:pPr>
      <w:r>
        <w:t>在“双碳”发展目标引领下，国内钢铁产业的碳减排工作具备突出的战略价值。国际能源署相关研究表明，我国粗钢产能常年位居全球首位，总产量占世界总量比重超半数</w:t>
      </w:r>
      <w:r>
        <w:rPr>
          <w:rFonts w:hint="eastAsia"/>
        </w:rPr>
        <w:fldChar w:fldCharType="begin"/>
      </w:r>
      <w:r>
        <w:rPr>
          <w:rFonts w:hint="eastAsia"/>
        </w:rPr>
        <w:instrText xml:space="preserve"> ADDIN ZOTERO_ITEM CSL_CITATION {"citationID":"0MkxIhPn","properties":{"formattedCitation":"\\super [1]\\nosupersub{}","plainCitation":"[1]","noteIndex":0},"citationItems":[{"id":908,"uris":["http://zotero.org/users/local/ePBhdWbS/items/7ILZVRN4"],"itemData":{"id":908,"type":"report","abstract":"Steel is vital to modern economies and so over the coming decades global demand for steel is expected to grow to meet rising social and economic welfare needs. Meeting this demand presents challenges for the iron and steel sector as it seeks to plot a more sustainable pathway while remaining competitive. The sector is currently responsible for about 8% of global final energy demand and 7% of energy sector CO2 emissions (including process emissions). However, through innovation, low-carbon technology deployment and resource efficiency, iron and steel producers have a major opportunity to reduce energy consumption and greenhouse gas emissions, develop more sustainable products and enhance their competitiveness.","event-place":"Paris","language":"en","number":"CC BY 4.0","page":"1-192","publisher":"International Energy Agen","publisher-place":"Paris","source":"Zotero","title":"Iron and Steel Technology Roadmap - Towards more sustainable steelmaking","URL":"https://www.iea.org/reports/iron-and-steel-technology-roadmap","author":[{"literal":"International Energy Agency"}],"issued":{"date-parts":[["2020",10]]}}}],"schema":"https://github.com/citation-style-language/schema/raw/master/csl-citation.json"} </w:instrText>
      </w:r>
      <w:r>
        <w:rPr>
          <w:rFonts w:hint="eastAsia"/>
        </w:rPr>
        <w:fldChar w:fldCharType="separate"/>
      </w:r>
      <w:r>
        <w:rPr>
          <w:kern w:val="0"/>
          <w:vertAlign w:val="superscript"/>
        </w:rPr>
        <w:t>[1]</w:t>
      </w:r>
      <w:r>
        <w:rPr>
          <w:rFonts w:hint="eastAsia"/>
        </w:rPr>
        <w:fldChar w:fldCharType="end"/>
      </w:r>
      <w:r>
        <w:t>。钢铁产品需求深度关联城镇化推进、基建工程、制造业迭代及外贸产业链发展，短期市场需求态势难以发生明显转变。现阶段国内钢铁生产依旧以高炉-转炉长流程为核心模式，废钢供给能力、电弧炉短流程占比、绿色电力配套以及低碳冶金技术普及程度均有待改善。依据《关于促进钢铁工业高质量发展的指导意见》相关要求，2025年我国电炉钢产能在粗钢总产量中的占比需增至15%以上，超八成钢铁产能完成超低排放改造，同时行业要在2030年之前实现碳达峰目标。由此可见，我国钢铁产业的低碳转型，既要严格遵循既定政策要求，也需直面产业转型过程中的各类现实挑战。</w:t>
      </w:r>
    </w:p>
    <w:p w14:paraId="0C142B26">
      <w:pPr>
        <w:pStyle w:val="3"/>
        <w:ind w:firstLine="480"/>
      </w:pPr>
      <w:r>
        <w:t>本文选取中国、印度、日本、美国与俄罗斯作为跨国分析样本，旨在剖析我国钢铁产业的发展轨迹搭建参照体系。其中，中印两国属于粗钢产能维持高位或持续增长的发展中大国；美日两国经济体发展成熟，钢铁产量已步入平稳区间甚至回落阶段；俄罗斯则依托资源型工业体系发展生产，产业高度依赖长流程工艺，同时易受外部环境波动影响。对比不同发展阶段国家的粗钢产能、碳排放强度、城镇化进程、经济发展水平、对外开放程度及金融发展状况，能够精准判定我国钢铁产业当前发展阶段，并明晰其后续转型的边界条件。</w:t>
      </w:r>
    </w:p>
    <w:p w14:paraId="7CC7FF7B">
      <w:pPr>
        <w:pStyle w:val="3"/>
        <w:ind w:firstLine="480"/>
      </w:pPr>
      <w:r>
        <w:t>现有文献多围绕技术路线设计、情景仿真及政策成效评估展开钢铁行业减碳研究，普遍认可电弧炉短流程生产、废钢资源循环、氢基直接还原、碳捕集利用与封存技术以及能源结构调整等多元技术体系的应用价值</w:t>
      </w:r>
      <w:r>
        <w:rPr>
          <w:rFonts w:hint="eastAsia"/>
        </w:rPr>
        <w:fldChar w:fldCharType="begin"/>
      </w:r>
      <w:r>
        <w:rPr>
          <w:rFonts w:hint="eastAsia"/>
        </w:rPr>
        <w:instrText xml:space="preserve"> ADDIN ZOTERO_ITEM CSL_CITATION {"citationID":"saivqE1p","properties":{"formattedCitation":"\\super [2\\uc0\\u8211{}4]\\nosupersub{}","plainCitation":"[2–4]","noteIndex":0},"citationItems":[{"id":912,"uris":["http://zotero.org/users/local/ePBhdWbS/items/UX38FG94"],"itemData":{"id":912,"type":"article-journal","abstract":"Fully decarbonizing global industry is essential to achieving climate stabilization, and reaching net zero greenhouse gas emissions by 2050–2070 is necessary to limit global warming to 2 °C. This paper assembles and evaluates technical and policy interventions, both on the supply side and on the demand side. It identifies measures that, employed together, can achieve net zero industrial emissions in the required timeframe. Key supply-side technologies include energy efficiency (especially at the system level), carbon capture, electrification, and zero-carbon hydrogen as a heat source and chemical feedstock. There are also promising technologies specific to each of the three top-emitting industries: cement, iron &amp; steel, and chemicals &amp; plastics. These include cement admixtures and alternative chemistries, several technological routes for zero-carbon steelmaking, and novel chemical catalysts and separation technologies. Crucial demand-side approaches include material-efficient design, reductions in material waste, substituting low-carbon for high-carbon materials, and circular economy interventions (such as improving product longevity, reusability, ease of refurbishment, and recyclability). Strategic, well-designed policy can accelerate innovation and provide incentives for technology deployment. High-value policies include carbon pricing with border adjustments or other price signals; robust government support for research, development, and deployment; and energy efficiency or emissions standards. These core policies should be supported by labeling and government procurement of low-carbon products, data collection and disclosure requirements, and recycling incentives. In implementing these policies, care must be taken to ensure a just transition for displaced workers and affected communities. Similarly, decarbonization must complement the human and economic development of low- and middle-income countries.","container-title":"Applied Energy","DOI":"10.1016/j.apenergy.2020.114848","ISSN":"03062619","journalAbbreviation":"Applied Energy","language":"en","page":"114848","source":"DOI.org (Crossref)","title":"Technologies and policies to decarbonize global industry: Review and assessment of mitigation drivers through 2070","title-short":"Technologies and policies to decarbonize global industry","volume":"266","author":[{"family":"Rissman","given":"Jeffrey"},{"family":"Bataille","given":"Chris"},{"family":"Masanet","given":"Eric"},{"family":"Aden","given":"Nate"},{"family":"Morrow","given":"William R."},{"family":"Zhou","given":"Nan"},{"family":"Elliott","given":"Neal"},{"family":"Dell","given":"Rebecca"},{"family":"Heeren","given":"Niko"},{"family":"Huckestein","given":"Brigitta"},{"family":"Cresko","given":"Joe"},{"family":"Miller","given":"Sabbie A."},{"family":"Roy","given":"Joyashree"},{"family":"Fennell","given":"Paul"},{"family":"Cremmins","given":"Betty"},{"family":"Koch Blank","given":"Thomas"},{"family":"Hone","given":"David"},{"family":"Williams","given":"Ellen D."},{"family":"De La Rue Du Can","given":"Stephane"},{"family":"Sisson","given":"Bill"},{"family":"Williams","given":"Mike"},{"family":"Katzenberger","given":"John"},{"family":"Burtraw","given":"Dallas"},{"family":"Sethi","given":"Girish"},{"family":"Ping","given":"He"},{"family":"Danielson","given":"David"},{"family":"Lu","given":"Hongyou"},{"family":"Lorber","given":"Tom"},{"family":"Dinkel","given":"Jens"},{"family":"Helseth","given":"Jonas"}],"issued":{"date-parts":[["2020",5]]}},"label":"page"},{"id":910,"uris":["http://zotero.org/users/local/ePBhdWbS/items/6UPWUNA8"],"itemData":{"id":910,"type":"article-journal","abstract":"Iron and steel production in China contributes to 14% of China’s total energy-related CO2 emissions. Decarbonizing the iron and steel sector will therefore play an important role in achieving the goal of carbon neutrality. This study explored possible low-carbon transition pathways for China’s iron and steel industry to achieve carbon neutrality by 2050. An integrated approach was developed that combined a computable general equilibrium model and a bottom-up technology-selection module. The results indicated that although energy-saving technologies can reduce CO2 emissions in the short term, in the long term, adopting breakthrough technologies (e.g., carbon capture and storage (CCS) and hydrogen-based direct reduction (DR)), increasing the share of scrap-based electric arc furnace (EAF) steel production, and decarbonizing upstream energy-supply sectors will be crucial for climate change mitigation. Hydrogen-based DR could be an effective option for CO2 emission reduction in scenarios where CCS is not available, with its share increasing to 23%–25% by 2050. System-wide cross-sector decarbonization can help achieve climate targets at lower costs through flexible technology combinations and avoid carbon leakage into upstream energy-supply sectors.","container-title":"Applied Energy","DOI":"10.1016/j.apenergy.2021.117209","ISSN":"03062619","journalAbbreviation":"Applied Energy","language":"en","page":"117209","source":"DOI.org (Crossref)","title":"Decarbonizing China’s iron and steel industry from the supply and demand sides for carbon neutrality","volume":"298","author":[{"family":"Ren","given":"Ming"},{"family":"Lu","given":"Pantao"},{"family":"Liu","given":"Xiaorui"},{"family":"Hossain","given":"M.S."},{"family":"Fang","given":"Yanru"},{"family":"Hanaoka","given":"Tatsuya"},{"family":"O'Gallachoir","given":"Brian"},{"family":"Glynn","given":"James"},{"family":"Dai","given":"Hancheng"}],"issued":{"date-parts":[["2021",9]]}},"label":"page"},{"id":914,"uris":["http://zotero.org/users/local/ePBhdWbS/items/EQHMM6CN"],"itemData":{"id":914,"type":"article-journal","abstract":"China has set new ambitious national determined contributions (NDC) target to reach the peak of CO2 emissions by 2030, and strive to achieve carbon neutrality by 2060. This urges radical efforts for all industries to neutralize or zeroize their CO2 emission, especially for the iron and steel industry. Here, we establish a comprehensive model to explore the potential CO2 emission pathways of China’s iron and steel industry based on NDC and climate target in line with the Paris Agreement. Four scenarios are constructed: business as usual (BAU), NDC, 2degree, and 1.5-degree. We predict the total CO2 emission from 2015 to 2050 will fall from 1690.82 Mt to 1475.75 Mt, 1249.39 Mt, 484.77 Mt, and 252.13 Mt under those four scenarios, respectively. To achieve 2-degree and 1.5-degree targets, iron and steel industry requires radical decarbonization. To explore the key factors behind the carbon neutrality of steel production, we apply Logarithmic Mean Divisia Index (LMDI) for the 1.5degree scenario and find that steel production, breakthrough technologies and production structure will become the important factors. To effectively evaluate the CO2 emissions of steel production, we have set up a CO2 emission evaluation indicator system including comprehensive CO2 emission indicator, crude steel CO2 emission indicator, and section CO2 emission indicator. CSC model shows that low discount rates and high carbon prices will make low-carbon technologies cost-beneficial. Accordingly, we further discuss the potential barriers and strategies related to hydrogen steelmaking, carbon capture and storage (CCS), and electricity generation structure revolution to the iron and steel industry.","container-title":"Journal of Cleaner Production","DOI":"10.1016/j.jclepro.2021.129354","ISSN":"09596526","journalAbbreviation":"Journal of Cleaner Production","language":"en","page":"129354","source":"DOI.org (Crossref)","title":"Future CO2 emission trends and radical decarbonization path of iron and steel industry in China","volume":"326","author":[{"family":"Shen","given":"Jialin"},{"family":"Zhang","given":"Qi"},{"family":"Xu","given":"Lisong"},{"family":"Tian","given":"Shuoshuo"},{"family":"Wang","given":"Peng"}],"issued":{"date-parts":[["2021",12]]}},"label":"page"}],"schema":"https://github.com/citation-style-language/schema/raw/master/csl-citation.json"} </w:instrText>
      </w:r>
      <w:r>
        <w:rPr>
          <w:rFonts w:hint="eastAsia"/>
        </w:rPr>
        <w:fldChar w:fldCharType="separate"/>
      </w:r>
      <w:r>
        <w:rPr>
          <w:kern w:val="0"/>
          <w:vertAlign w:val="superscript"/>
        </w:rPr>
        <w:t>[2–4]</w:t>
      </w:r>
      <w:r>
        <w:rPr>
          <w:rFonts w:hint="eastAsia"/>
        </w:rPr>
        <w:fldChar w:fldCharType="end"/>
      </w:r>
      <w:r>
        <w:t>。但相关研究仍存在明显短板：一是产业发展驱动因素的历史溯源与未来趋势推演相互脱节，不少成果侧重趋势预测，却忽视了数理层面的动因解析；二是情景仿真的各项参数多采用外部预设方式确定，未能结合历史数据提炼内在驱动逻辑作为支撑；三是受行业年度观测样本量限制，机器学习模型的预测结果易受特殊年份与外部突发因素干扰，若未设置先验条件约束并开展稳健性检验，模型极易出现过拟合问题</w:t>
      </w:r>
      <w:r>
        <w:rPr>
          <w:rFonts w:hint="eastAsia"/>
        </w:rPr>
        <w:fldChar w:fldCharType="begin"/>
      </w:r>
      <w:r>
        <w:rPr>
          <w:rFonts w:hint="eastAsia"/>
        </w:rPr>
        <w:instrText xml:space="preserve"> ADDIN ZOTERO_ITEM CSL_CITATION {"citationID":"6x2w11su","properties":{"formattedCitation":"\\super [5]\\nosupersub{}","plainCitation":"[5]","noteIndex":0},"citationItems":[{"id":917,"uris":["http://zotero.org/users/local/ePBhdWbS/items/DPRRGX82"],"itemData":{"id":917,"type":"article-journal","abstract":"China has set an ambitious national determined contributions target to peak CO2 emissions by 2030 and aims to be carbon neutral by 2060. One of China's top energy consumers and CO2 contributors, the steel industry accounts for 13% of the country's total consumption and 15% of CO2 emissions. In response to the present global warming trend, there is an urgent need to cut energy consumption and CO2 emissions to promote low-carbon growth. This paper attempts to provide a detailed analysis of the steel industry's CO2 emission reduction path to carbon neutrality. Further efforts in terms of industrial structure, material efficiency, energy efficiency, and low- or zero-carbon technologies are required to achieve a low-carbon transition. Given that decarbonization is a significant priority in the steel industry in many countries, this study focuses on the goals and technological paths of low-carbon emissions projects to optimize existing technology priorities and propose development directions. Deep decarbonization is also projected to be achieved by combining CCUS and hydrogen metallurgy technologies. The steel industry requires collaborative efforts to standardize CO2 emission accounting methodologies and establish a carbon trading system to strengthen carbon emission management.","container-title":"Environmental Impact Assessment Review","DOI":"10.1016/j.eiar.2022.107017","ISSN":"01959255","journalAbbreviation":"Environmental Impact Assessment Review","language":"en","page":"107017","source":"DOI.org (Crossref)","title":"The CO2 emission reduction path towards carbon neutrality in the Chinese steel industry: A review","title-short":"The CO2 emission reduction path towards carbon neutrality in the Chinese steel industry","volume":"99","author":[{"family":"Zhang","given":"Jingshu"},{"family":"Shen","given":"Jialin"},{"family":"Xu","given":"Lisong"},{"family":"Zhang","given":"Qi"}],"issued":{"date-parts":[["2023",3]]}}}],"schema":"https://github.com/citation-style-language/schema/raw/master/csl-citation.json"} </w:instrText>
      </w:r>
      <w:r>
        <w:rPr>
          <w:rFonts w:hint="eastAsia"/>
        </w:rPr>
        <w:fldChar w:fldCharType="separate"/>
      </w:r>
      <w:r>
        <w:rPr>
          <w:kern w:val="0"/>
          <w:vertAlign w:val="superscript"/>
        </w:rPr>
        <w:t>[5]</w:t>
      </w:r>
      <w:r>
        <w:rPr>
          <w:rFonts w:hint="eastAsia"/>
        </w:rPr>
        <w:fldChar w:fldCharType="end"/>
      </w:r>
      <w:r>
        <w:t>。针对上述问题，本文首先运用双向固定效应下的STIRPAT-EKC模型，甄别钢铁产业二氧化碳排放的宏观影响因子；再结合Kaya-LMDI分解法与CatBoost-SHAP 算法完成结构归因与非线性特征验证；最后将实证得到的驱动规律融入 TTM 预测、情景模拟及多目标优化环节，搭建起</w:t>
      </w:r>
      <w:r>
        <w:rPr>
          <w:rFonts w:hint="eastAsia"/>
        </w:rPr>
        <w:t>从</w:t>
      </w:r>
      <w:r>
        <w:t>历史动因识别</w:t>
      </w:r>
      <w:r>
        <w:rPr>
          <w:rFonts w:hint="eastAsia"/>
        </w:rPr>
        <w:t>到</w:t>
      </w:r>
      <w:r>
        <w:t>结构因素分解</w:t>
      </w:r>
      <w:r>
        <w:rPr>
          <w:rFonts w:hint="eastAsia"/>
        </w:rPr>
        <w:t>与</w:t>
      </w:r>
      <w:r>
        <w:t>发展趋势推演</w:t>
      </w:r>
      <w:r>
        <w:rPr>
          <w:rFonts w:hint="eastAsia"/>
        </w:rPr>
        <w:t>最后转换为</w:t>
      </w:r>
      <w:r>
        <w:t>转型路径优化的完整量化分析框架。</w:t>
      </w:r>
    </w:p>
    <w:p w14:paraId="1FA1181B">
      <w:pPr>
        <w:pStyle w:val="25"/>
        <w:spacing w:before="156" w:after="156"/>
        <w:ind w:firstLine="560"/>
        <w:outlineLvl w:val="1"/>
        <w:rPr>
          <w:rFonts w:hint="default"/>
        </w:rPr>
      </w:pPr>
      <w:bookmarkStart w:id="11" w:name="_Toc4690"/>
      <w:bookmarkStart w:id="12" w:name="_Toc27535"/>
      <w:r>
        <w:t>（二）研究目的和意义</w:t>
      </w:r>
      <w:bookmarkEnd w:id="10"/>
      <w:bookmarkEnd w:id="11"/>
      <w:bookmarkEnd w:id="12"/>
    </w:p>
    <w:p w14:paraId="0226988E">
      <w:pPr>
        <w:pStyle w:val="29"/>
        <w:ind w:firstLine="482"/>
        <w:outlineLvl w:val="2"/>
      </w:pPr>
      <w:bookmarkStart w:id="13" w:name="_Toc3946"/>
      <w:r>
        <w:t>1.研究意义</w:t>
      </w:r>
      <w:bookmarkEnd w:id="13"/>
    </w:p>
    <w:p w14:paraId="1DB743C6">
      <w:pPr>
        <w:pStyle w:val="3"/>
        <w:ind w:firstLine="480"/>
      </w:pPr>
      <w:r>
        <w:rPr>
          <w:rFonts w:hint="eastAsia"/>
        </w:rPr>
        <w:t>理论层面，本文结合STIRPAT模型与环境库兹涅茨曲线（EKC）假说，系统分析钢铁行业碳排放与产能规模、城镇化、经济发展、经贸及金融要素的内在关联</w:t>
      </w:r>
      <w:r>
        <w:rPr>
          <w:rFonts w:hint="eastAsia"/>
        </w:rPr>
        <w:fldChar w:fldCharType="begin"/>
      </w:r>
      <w:r>
        <w:rPr>
          <w:rFonts w:hint="eastAsia"/>
        </w:rPr>
        <w:instrText xml:space="preserve"> ADDIN ZOTERO_ITEM CSL_CITATION {"citationID":"AnyuIajt","properties":{"formattedCitation":"\\super [6]\\nosupersub{}","plainCitation":"[6]","noteIndex":0},"citationItems":[{"id":925,"uris":["http://zotero.org/users/local/ePBhdWbS/items/SBVXPNEB"],"itemData":{"id":925,"type":"article-journal","abstract":"Despite the scientific consensus that humans have dramatically altered the global environment, we have a limited knowledge of the specific forces driving those impacts. One key limitation to a precise understanding of anthropogenic impacts is the absence of a set of refined analytic tools. Here we assess the analytic utility of the well-known IPAT identity, the newly developed ImPACT identity, and their stochastic cousin, the STIRPAT model. We discuss the relationship between these three formulations, their similar conceptual underpinnings and their divergent uses. We then refine the STIRPAT model by developing the concept of ecological elasticity (EE). To illustrate the application of STIRPAT and EE, we compute the ecological elasticities of population, affluence and other factors for cross-national emissions of carbon dioxide (CO2) from fossil fuel combustion and for the energy footprint, a composite measure comprising impacts from fossil fuel combustion, fuel wood, hydropower and nuclear power. Our findings suggest that population has a proportional effect (unitary elasticity) on CO2 emissions and the energy footprint. Affluence monotonically increases both CO2 emissions and the energy footprint. However, for the energy footprint the relationship between affluence and impact changes from inelastic to elastic as affluence increases, while for CO2 emissions the relationship changes from elastic to inelastic. Climate appears to affect both measures of impact, with tropical nations having considerably lower impact than non-tropical nations, controlling for other factors. Finally, indicators of modernization (urbanization and industrialization) are associated with high impacts. We conclude that the STIRPAT model, augmented with measures of ecological elasticity, allows for a more precise specification of the sensitivity of environmental impacts to the forces driving them. Such specifications not only inform the basic science of environmental change, but also point to the factors that may be most responsive to policy.","container-title":"Ecological Economics","DOI":"10.1016/S0921-8009(03)00188-5","ISSN":"09218009","issue":"3","journalAbbreviation":"Ecological Economics","language":"en","license":"https://www.elsevier.com/tdm/userlicense/1.0/","page":"351-365","source":"DOI.org (Crossref)","title":"STIRPAT, IPAT and ImPACT: analytic tools for unpacking the driving forces of environmental impacts","title-short":"STIRPAT, IPAT and ImPACT","volume":"46","author":[{"family":"York","given":"Richard"},{"family":"Rosa","given":"Eugene A"},{"family":"Dietz","given":"Thomas"}],"issued":{"date-parts":[["2003",10]]}}}],"schema":"https://github.com/citation-style-language/schema/raw/master/csl-citation.json"} </w:instrText>
      </w:r>
      <w:r>
        <w:rPr>
          <w:rFonts w:hint="eastAsia"/>
        </w:rPr>
        <w:fldChar w:fldCharType="separate"/>
      </w:r>
      <w:r>
        <w:rPr>
          <w:kern w:val="0"/>
          <w:vertAlign w:val="superscript"/>
        </w:rPr>
        <w:t>[6]</w:t>
      </w:r>
      <w:r>
        <w:rPr>
          <w:rFonts w:hint="eastAsia"/>
        </w:rPr>
        <w:fldChar w:fldCharType="end"/>
      </w:r>
      <w:r>
        <w:rPr>
          <w:rFonts w:hint="eastAsia"/>
        </w:rPr>
        <w:t>。现有EKC曲线相关成果多聚焦区域整体污染排放，而钢铁产业受工艺体系与产能特征影响大，不能简单使用经济增长驱动环境改善的传统观点</w:t>
      </w:r>
      <w:r>
        <w:rPr>
          <w:rFonts w:hint="eastAsia"/>
        </w:rPr>
        <w:fldChar w:fldCharType="begin"/>
      </w:r>
      <w:r>
        <w:rPr>
          <w:rFonts w:hint="eastAsia"/>
        </w:rPr>
        <w:instrText xml:space="preserve"> ADDIN ZOTERO_ITEM CSL_CITATION {"citationID":"ZEoKIRVM","properties":{"formattedCitation":"\\super [7]\\nosupersub{}","plainCitation":"[7]","noteIndex":0},"citationItems":[{"id":927,"uris":["http://zotero.org/users/local/ePBhdWbS/items/2UR54LXH"],"itemDa</w:instrText>
      </w:r>
      <w:r>
        <w:instrText xml:space="preserve">ta":{"id":927,"type":"article-journal","abstract":"This paper presents a critical history of the environmental Kuznets curve (EKC). The EKC proposes that indicators of environmental degradation </w:instrText>
      </w:r>
      <w:r>
        <w:rPr>
          <w:rFonts w:hint="eastAsia" w:cs="MS Gothic"/>
        </w:rPr>
        <w:instrText xml:space="preserve">ﬁ</w:instrText>
      </w:r>
      <w:r>
        <w:instrText xml:space="preserve">rst rise, and then fall with increasing income per capita. R</w:instrText>
      </w:r>
      <w:r>
        <w:rPr>
          <w:rFonts w:hint="eastAsia"/>
        </w:rPr>
        <w:instrText xml:space="preserve">ecent evidence shows however, that developing countries are addressing environmental issues, sometimes adopting developed country standards with a short time lag and sometimes performing better than some wealthy countries, and that the EKC results have a </w:instrText>
      </w:r>
      <w:r>
        <w:instrText xml:space="preserve">very </w:instrText>
      </w:r>
      <w:r>
        <w:rPr>
          <w:rFonts w:hint="eastAsia" w:cs="MS Gothic"/>
        </w:rPr>
        <w:instrText xml:space="preserve">ﬂ</w:instrText>
      </w:r>
      <w:r>
        <w:instrText xml:space="preserve">imsy statistical foundation. A new generation of decomposition and eﬃcient frontier models can help disentangle the true relations between development and the environment and may lead to the demise of the classic EKC.","container-title":"World Devel</w:instrText>
      </w:r>
      <w:r>
        <w:rPr>
          <w:rFonts w:hint="eastAsia"/>
        </w:rPr>
        <w:instrText xml:space="preserve">opment","DOI":"10.1016/j.worlddev.2004.03.004","ISSN":"0305750X","issue":"8","journalAbbreviation":"World Development","language":"en","license":"https://www.elsevier.com/tdm/userlicense/1.0/","page":"1419-1439","source":"DOI.org (Crossref)","title":"The Rise and Fall of the Environmental Kuznets Curve","volume":"32","author":[{"family":"Stern","given":"David I"}],"issued":{"date-parts":[["2004",8]]}}}],"schema":"https://github.com/citation-style-language/schema/raw/master/csl-citation.json"} </w:instrText>
      </w:r>
      <w:r>
        <w:rPr>
          <w:rFonts w:hint="eastAsia"/>
        </w:rPr>
        <w:fldChar w:fldCharType="separate"/>
      </w:r>
      <w:r>
        <w:rPr>
          <w:kern w:val="0"/>
          <w:vertAlign w:val="superscript"/>
        </w:rPr>
        <w:t>[7]</w:t>
      </w:r>
      <w:r>
        <w:rPr>
          <w:rFonts w:hint="eastAsia"/>
        </w:rPr>
        <w:fldChar w:fldCharType="end"/>
      </w:r>
      <w:r>
        <w:rPr>
          <w:rFonts w:hint="eastAsia"/>
        </w:rPr>
        <w:t>。同时本研究仅利用该曲线检验经济发展与碳排放的非线性关系，不将其定义为自动减排的因果关系。</w:t>
      </w:r>
    </w:p>
    <w:p w14:paraId="1AAFC1A6">
      <w:pPr>
        <w:pStyle w:val="3"/>
        <w:ind w:firstLine="480"/>
      </w:pPr>
      <w:r>
        <w:rPr>
          <w:rFonts w:hint="eastAsia"/>
        </w:rPr>
        <w:t>方法层面，本研究以双向固定效应模型为核心，有效控制国别异质性与时间层面的共同冲击。受制于五国年度面板数据样本偏少的现实条件，本文通过滞后变量设定、动态模型、正则化检验及工具变量法完成多重稳健性验证</w:t>
      </w:r>
      <w:r>
        <w:rPr>
          <w:rFonts w:hint="eastAsia"/>
        </w:rPr>
        <w:fldChar w:fldCharType="begin"/>
      </w:r>
      <w:r>
        <w:rPr>
          <w:rFonts w:hint="eastAsia"/>
        </w:rPr>
        <w:instrText xml:space="preserve"> ADDIN ZOTERO_ITEM CSL_CITATION {"citationID":"KyEiwcBx","properties":{"formattedCitation":"\\super [8]\\nosupersub{}","plainCitation":"[8]","noteIndex":0},"citationItems":[{"id":929,"uris":["http://zotero.org/users/local/ePBhdWbS/items/PFKC9R8N"],"itemData":{"id":929,"type":"article-journal","abstract":"We propose the elastic net, a new regularization and variable selection method. Real world data and a simulation study show that the elastic net often outperforms the lasso, while enjoying a similar sparsity of representation. In addition, the elastic net encourages a grouping effect, where strongly correlated predictors tend to be in or out of the model together. The elastic net is particularly useful when the number of predictors (p) is much bigger than</w:instrText>
      </w:r>
      <w:r>
        <w:instrText xml:space="preserve"> the number of observations (n). By contrast, the lasso is not a very satisfactory variable selection method in the p n case. An algorithm called LARS-EN is proposed for computing elastic net regularization paths ef</w:instrText>
      </w:r>
      <w:r>
        <w:rPr>
          <w:rFonts w:hint="eastAsia" w:cs="MS Gothic"/>
        </w:rPr>
        <w:instrText xml:space="preserve">ﬁ</w:instrText>
      </w:r>
      <w:r>
        <w:instrText xml:space="preserve">ciently, much like algorithm LARS does </w:instrText>
      </w:r>
      <w:r>
        <w:rPr>
          <w:rFonts w:hint="eastAsia"/>
        </w:rPr>
        <w:instrText xml:space="preserve">for the lasso.","container-title":"Journal of the Royal Statistical Society Series B: Statistical Methodology","DOI":"10.1111/j.1467-9868.2005.00503.x","ISSN":"1369-7412, 1467-9868","issue":"2","language":"en","license":"https://academic.oup.com/journals/pages/open_access/funder_policies/chorus/standard_publication_model","page":"301-320","source":"DOI.org (Crossref)","title":"Regularization and Variable Selection Via the Elastic Net","volume":"67","author":[{"family":"Zou","given":"Hui"},{"family":"Hastie","given":"Trevor"}],"issued":{"date-parts":[["2005",4,1]]}}}],"schema":"https://github.com/citation-style-language/schema/raw/master/csl-citation.json"} </w:instrText>
      </w:r>
      <w:r>
        <w:rPr>
          <w:rFonts w:hint="eastAsia"/>
        </w:rPr>
        <w:fldChar w:fldCharType="separate"/>
      </w:r>
      <w:r>
        <w:rPr>
          <w:kern w:val="0"/>
          <w:vertAlign w:val="superscript"/>
        </w:rPr>
        <w:t>[8]</w:t>
      </w:r>
      <w:r>
        <w:rPr>
          <w:rFonts w:hint="eastAsia"/>
        </w:rPr>
        <w:fldChar w:fldCharType="end"/>
      </w:r>
      <w:r>
        <w:rPr>
          <w:rFonts w:hint="eastAsia"/>
        </w:rPr>
        <w:t>。</w:t>
      </w:r>
    </w:p>
    <w:p w14:paraId="63A4C90E">
      <w:pPr>
        <w:pStyle w:val="3"/>
        <w:ind w:firstLine="480"/>
      </w:pPr>
      <w:r>
        <w:rPr>
          <w:rFonts w:hint="eastAsia"/>
        </w:rPr>
        <w:t>在应用层面，各项计量结果可为情景模拟和政策优化提供参数支撑。大量实证发现，粗钢产量是碳排放最核心的稳定驱动因素；金融与贸易要素难以直接发挥持续减排效果，可作为低碳融资与技术外溢条件融入后续情景设计</w:t>
      </w:r>
      <w:r>
        <w:rPr>
          <w:rFonts w:hint="eastAsia"/>
        </w:rPr>
        <w:fldChar w:fldCharType="begin"/>
      </w:r>
      <w:r>
        <w:rPr>
          <w:rFonts w:hint="eastAsia"/>
        </w:rPr>
        <w:instrText xml:space="preserve"> ADDIN ZOTERO_ITEM CSL_CITATION {"citationID":"la4n7VEk","properties":{"formattedCitation":"\\super [4,9,10]\\nosupersub{}","plainCitation":"[4,9,10]","noteIndex":0},"citationItems":[{"id":914,"uris":["http://zotero.org/users/local/ePBhdWbS/items/EQHMM6CN"],"itemData":{"id":914,"type":"article-journal","abstract":"China has set new ambitious national determined contributions (NDC) target to reach the peak of CO2 emissions by 2030, and strive to achieve carbon neutrality by 2060. This urges radical efforts for all industries to neutralize or zeroize their CO2 emission, especially for the iron and steel industry. Here, we establish a comprehensive model to explore the potential CO2 emission pathways of China’s iron and steel industry based on NDC and climate target in line with the Paris Agreement. Four scenarios are constructed: business as usual (BAU), NDC, 2degree, and 1.5-degree. We predict the total CO2 emission from 2015 to 2050 will fall from 1690.82 Mt to 1475.75 Mt, 1249.39 Mt, 484.77 Mt, and 252.13 Mt under those four scenarios, respectively. To achieve 2-degree and 1.5-degree targets, iron and steel industry requires radical decarbonization. To explore the key factors behind the carbon neutrality of steel production, we apply Logarithmic Mean Divisia Index (LMDI) for the 1.5degree scenario and find that steel production, breakthrough technologies and production structure will become the important factors. To effectively evaluate the CO2 emissions of steel production, we have set up a CO2 emission evaluation indicator system including comprehensive CO2 emission indicator, crude steel CO2 emission indicator, and section CO2 emission indicator. CSC model shows that low discount rates and high carbon prices will make low-carbon technologies cost-beneficial. Accordingly, we further discuss the potential barriers and strategies related to hydrogen steelmaking, carbon capture and storage (CCS), and electricity generation structure revolution to the iron and steel industry.","container-title":"Journal of Cleaner Production","DOI":"10.1016/j.jclepro.2021.129354","ISSN":"09596526","journalAbbreviation":"Journal of Cleaner Production","language":"en","page":"129354","source":"DOI.org (Crossref)","title":"Future CO2 emission trends and radical decarbonization path of iron and steel industry in China","volume":"326","author":[{"family":"Shen","given":"Jialin"},{"family":"Zhang","given":"Qi"},{"family":"Xu","given":"Lisong"},{"family":"Tian","given":"Shuoshuo"},{"family":"Wang","given":"Peng"}],"issued":{"date-parts":[["2021",12]]}},"label":"page"},{"id":949,"uris":["http://zotero.org/users/local/ePBhdWbS/items/YWAGEH3B"],"itemData":{"id":949,"type":"article-journal","abstract":"The iron &amp; steel industry is one of the major industrial sectors of energy consumption and CO2 emissions in China. In this paper, we estimate the total factor CO2 emissions performance (TFCP) and the CO2 emission mitigation potential (CMP) in China's iron &amp; steel sector using the stochastic frontier analysis technique. During the period of 2000–2011, the average TFCP of China's iron &amp; steel industry was 0.780, the cumulative CMP was 835.32 million tons in 12 years, and the average annual CMP was 69.61 million tons. Regional analysis showed that the TFCP is high in the northeastern and eastern regions but low in the central and western inland regions. Since the CMP is affected not only by TFCP, but also by the actual CO2 emissions, both the eastern and western regions have the greatest potential for reducing CO2 emissions. For the easte</w:instrText>
      </w:r>
      <w:r>
        <w:instrText xml:space="preserve">rn region, the realization of the CMP relies on structural reform and government regulation; while for the western region, policies should focus on changing the production pattern and reducing ef</w:instrText>
      </w:r>
      <w:r>
        <w:rPr>
          <w:rFonts w:hint="eastAsia" w:cs="MS Gothic"/>
        </w:rPr>
        <w:instrText xml:space="preserve">ﬁ</w:instrText>
      </w:r>
      <w:r>
        <w:instrText xml:space="preserve">ciency loss. For all the regions in China, mitigating CO2 e</w:instrText>
      </w:r>
      <w:r>
        <w:rPr>
          <w:rFonts w:hint="eastAsia"/>
        </w:rPr>
        <w:instrText xml:space="preserve">missions should place more emphasis on technical innovation and low-carbon investment.","container-title":"Renewable and Sustainable Energy Reviews","DOI":"10.1016/j.rser.2015.03.056","ISSN":"13640321","journalAbbreviation":"Renewable and Sustainable Energy Reviews","language":"en","page":"746-754","source":"DOI.org (Crossref)","title":"Carbon emissions from energy intensive industry in China: Evidence from the iron &amp; steel industry","title-short":"Carbon emissions from energy intensive industry in China","volume":"47","author":[{"family":"Lin","given":"Boqiang"},{"family":"Wang","given":"Xiaolei"}],"issued":{"date-parts":[["2015",7]]}},"label":"page"},{"id":951,"uris":["http://zotero.org/users/local/ePBhdWbS/items/37ZIZ9QS"],"itemData":{"id":951,"type":"article-journal","abstract":"In this study, the factors influencing the carbon intensity (tCO2/t crude steel) transition in the Japanese iron and steel industry from FY2000 to FY2019 were empirically evaluated. The results revealed that the upper processes (i.e., the hot-metal ratio, waste plastic, and waste tires), steel product mix, capacity factor, and linear time trend variable explain the actual carbon intensity trajectory reported for the years from FY2000 to FY2019. The upper process and capacity factor were found to be major contributors to the inter-annual fluctuations of carbon intensity. The coefficient of the capacity factor index (FY2005 = 100) was estimated to be 0.23% per 1 percentage point of the capacity factor, indicating that a 1% decrease in the capacity factor resulted in a 0.23% deterioration in the carbon intensity. The coefficient of the time trend variable was estimated to be 0.0034 tCO2/t crude steel/y, which is equivalent to a 0.2%/y average improvement in carbon intensity over the period from FY2000 to FY2019. Because the observed improvement rate of carbon intensity was relatively small, a large-scale diffusion of innovative steelmaking processes such as hydrogen direct reduction will be required to achieve the goal of net zero emissions by 2050.","container-title":"Journal of Cleaner Production","DOI":"10.1016/j.jclepro.2022.130920","ISSN":"09596526","journalAbbreviation":"Journal of Cleaner Production","language":"en","page":"130920","source":"DOI.org (Crossref)","title":"Carbon intensity of the Japanese Iron and steel Industry: Analysis of factors from 2000 to 2019","title-short":"Carbon intensity of the Japanese Iron and steel Industry","volume":"345","author":[{"family":"Oda","given":"Junichiro"},{"family":"Akimoto","given":"Keigo"}],"issued":{"date-parts":[["2022",4]]}},"label":"page"}],"schema":"https://github.com/citation-style-language/schema/raw/master/csl-citation.json"} </w:instrText>
      </w:r>
      <w:r>
        <w:rPr>
          <w:rFonts w:hint="eastAsia"/>
        </w:rPr>
        <w:fldChar w:fldCharType="separate"/>
      </w:r>
      <w:r>
        <w:rPr>
          <w:kern w:val="0"/>
          <w:vertAlign w:val="superscript"/>
        </w:rPr>
        <w:t>[4,9,10]</w:t>
      </w:r>
      <w:r>
        <w:rPr>
          <w:rFonts w:hint="eastAsia"/>
        </w:rPr>
        <w:fldChar w:fldCharType="end"/>
      </w:r>
      <w:r>
        <w:rPr>
          <w:rFonts w:hint="eastAsia"/>
        </w:rPr>
        <w:t>。动态模型证明碳排放存在路径依赖，历史形成的排放锁定效应必须纳入预测环节。据此，本文采用TTM-R2.1模型开展碳排放预测，并搭配证据校准硬截断机制，整个建模逻辑均由实证结果与产业特征支撑</w:t>
      </w:r>
      <w:r>
        <w:rPr>
          <w:rFonts w:hint="eastAsia"/>
        </w:rPr>
        <w:fldChar w:fldCharType="begin"/>
      </w:r>
      <w:r>
        <w:rPr>
          <w:rFonts w:hint="eastAsia"/>
        </w:rPr>
        <w:instrText xml:space="preserve"> ADDIN ZOTERO_ITEM CSL_CITATION {"citationID":"sgo1tx0a","properties":{"formattedCitation":"\\super [11]\\nosupersub{}","plainCitation":"[11]","noteIndex":0},"citationItems":[{"id":918,"uris":["http://zotero.org/users/local/ePBhdWbS/items/P2EWBG7N"],"itemData":{"id":918,"type":"article","abstract":"Large pre-trained models excel in zero/few-shot learning for language and vision tasks but face challenges in multivariate time series (TS) forecasting due to diverse data characteristics. Consequently, recent research efforts have focused on developing pre-trained TS forecasting models. These models, whether built from scratch or adapted from large language models (LLMs), excel in zero/few-shot forecasting tasks. However, they are limited by slow performance, high computational demands, and neglect of cross-channel and exogenous correlations. To address this, we introduce Tiny Time Mixers (TTM), a compact model (starting from 1M parameters) with effective transfer learning capabilities, trained exclusively on public TS datasets. TTM, based on the light-weight TSMixer architecture, incorporates innovations like adaptive patching, diverse resolution sampling, and resolution prefix tuning to handle pre-training on varied dataset resolutions with minimal model capacity. Additionally, it employs multi-level modeling to capture channel correlations and infuse exogenous signals during fine-tuning. TTM outperforms existing popular benchmarks in zero/few-shot forecasting by (4-40%), while reducing computational requirements significantly. Moreover, TTMs are lightweight and can be executed even on CPU-only machines, enhancing usability and fostering wider adoption in resource-constrained environments. The model weights for reproducibility and research use are available at https://huggingface.co/ibm/ttm-research-r2/, while enterprise-use weights under the Apache license can be accessed as follows: the initial TTM-Q variant at https://huggingface.co/ibm-granite/granite-timeseries-ttm-r1, and the latest variants (TTM-B, TTM-E, TTM-A) weights are available at https://huggingface.co/ibm-granite/granite-timeseries-ttm-r2.","DOI":"10.48550/arXiv.2401.03955","language":"en-US","note":"arXiv:2401.03955 [cs.LG]","number":"arXiv:2401.03955","publisher":"arXiv","source":"arXiv.org","title":"Tiny Time Mixers (TTMs): Fast Pre-trained Models for Enhanced Zero/Few-Shot Forecasting of Multivariate Time Series","title-short":"Tiny Time Mixers (TTMs)","URL":"http://arxiv.org/abs/2401.03955","author":[{"family":"Ekambaram","given":"Vijay"},{"family":"Jati","given":"Arindam"},{"family":"Dayama","given":"Pankaj"},{"family":"Mukherjee","given":"Sumanta"},{"family":"Nguyen","given":"Nam H."},{"family":"Gifford","given":"Wesley M."},{"family":"Reddy","given":"Chandra"},{"family":"Kalagnanam","given":"Jayant"}],"accessed":{"date-parts":[["2026",5,28]]},"issued":{"date-parts":[["2024",11,7]]}}}],"schema":"https://github.com/citation-style-language/schema/raw/master/csl-citation.json"} </w:instrText>
      </w:r>
      <w:r>
        <w:rPr>
          <w:rFonts w:hint="eastAsia"/>
        </w:rPr>
        <w:fldChar w:fldCharType="separate"/>
      </w:r>
      <w:r>
        <w:rPr>
          <w:kern w:val="0"/>
          <w:vertAlign w:val="superscript"/>
        </w:rPr>
        <w:t>[11]</w:t>
      </w:r>
      <w:r>
        <w:rPr>
          <w:rFonts w:hint="eastAsia"/>
        </w:rPr>
        <w:fldChar w:fldCharType="end"/>
      </w:r>
      <w:r>
        <w:rPr>
          <w:rFonts w:hint="eastAsia"/>
        </w:rPr>
        <w:t>。结合TTM方法的应用经验，面对仅24年的时序数据，单纯机器学习易受小样本和外部冲击影响，故而需要依托STIRPAT模型构建理论基础，配合预训练时序模型挖掘非线性动态特征。</w:t>
      </w:r>
    </w:p>
    <w:p w14:paraId="43C2106D">
      <w:pPr>
        <w:keepNext/>
        <w:keepLines/>
        <w:jc w:val="center"/>
      </w:pPr>
      <w:r>
        <w:drawing>
          <wp:inline distT="0" distB="0" distL="0" distR="0">
            <wp:extent cx="5274310" cy="58781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5878195"/>
                    </a:xfrm>
                    <a:prstGeom prst="rect">
                      <a:avLst/>
                    </a:prstGeom>
                    <a:noFill/>
                    <a:ln>
                      <a:noFill/>
                    </a:ln>
                  </pic:spPr>
                </pic:pic>
              </a:graphicData>
            </a:graphic>
          </wp:inline>
        </w:drawing>
      </w:r>
    </w:p>
    <w:p w14:paraId="06FD067C">
      <w:pPr>
        <w:pStyle w:val="6"/>
        <w:keepLines/>
        <w:spacing w:before="60" w:after="120"/>
        <w:jc w:val="center"/>
      </w:pPr>
      <w:r>
        <w:t>图 1  本文的研究流程图</w:t>
      </w:r>
    </w:p>
    <w:p w14:paraId="33EE7134">
      <w:pPr>
        <w:pStyle w:val="29"/>
        <w:keepNext/>
        <w:spacing w:before="100" w:after="60"/>
        <w:ind w:firstLine="482"/>
        <w:outlineLvl w:val="2"/>
        <w:rPr>
          <w:rFonts w:hint="eastAsia" w:ascii="宋体" w:hAnsi="宋体"/>
        </w:rPr>
      </w:pPr>
      <w:bookmarkStart w:id="14" w:name="_Toc337"/>
      <w:r>
        <w:rPr>
          <w:rFonts w:hint="eastAsia" w:ascii="宋体" w:hAnsi="宋体"/>
        </w:rPr>
        <w:t>2.研究目的与方法</w:t>
      </w:r>
      <w:bookmarkEnd w:id="14"/>
    </w:p>
    <w:p w14:paraId="5D79AD88">
      <w:pPr>
        <w:pStyle w:val="3"/>
        <w:ind w:firstLine="480"/>
      </w:pPr>
      <w:bookmarkStart w:id="15" w:name="_Toc20749"/>
      <w:r>
        <w:rPr>
          <w:rFonts w:hint="eastAsia"/>
        </w:rPr>
        <w:t>本文旨在构建中国、印度、日本、美国和俄罗斯</w:t>
      </w:r>
      <w:r>
        <w:t>2000</w:t>
      </w:r>
      <w:r>
        <w:rPr>
          <w:rFonts w:hint="eastAsia"/>
        </w:rPr>
        <w:t>-</w:t>
      </w:r>
      <w:r>
        <w:t>2023</w:t>
      </w:r>
      <w:r>
        <w:rPr>
          <w:rFonts w:hint="eastAsia"/>
        </w:rPr>
        <w:t>年钢铁行业宏观面板数据，统一处理粗钢产量、城镇化、人均实际</w:t>
      </w:r>
      <w:r>
        <w:t>GDP</w:t>
      </w:r>
      <w:r>
        <w:rPr>
          <w:rFonts w:hint="eastAsia"/>
        </w:rPr>
        <w:t>、贸易开放度、金融发展指数及钢铁</w:t>
      </w:r>
      <w:r>
        <w:t>CO₂</w:t>
      </w:r>
      <w:r>
        <w:rPr>
          <w:rFonts w:hint="eastAsia"/>
        </w:rPr>
        <w:t>排放等变量，并重点修正粗钢产量单位错位与来源不一致问题，在此基础上重新计算</w:t>
      </w:r>
      <m:oMath>
        <m:r>
          <m:rPr>
            <m:sty m:val="p"/>
          </m:rPr>
          <w:rPr>
            <w:rFonts w:hint="eastAsia" w:ascii="Cambria Math" w:hAnsi="Cambria Math" w:cs="宋体"/>
          </w:rPr>
          <m:t>lnPROUD</m:t>
        </m:r>
      </m:oMath>
      <w:r>
        <w:rPr>
          <w:rFonts w:hint="eastAsia"/>
        </w:rPr>
        <w:t>和吨钢排放强度，为跨国比较和后续预测提供一致的数据基础。</w:t>
      </w:r>
    </w:p>
    <w:p w14:paraId="20032BDA">
      <w:pPr>
        <w:pStyle w:val="3"/>
        <w:ind w:firstLine="480"/>
      </w:pPr>
      <w:r>
        <w:rPr>
          <w:rFonts w:hint="eastAsia"/>
        </w:rPr>
        <w:t>在实证层面，本文以</w:t>
      </w:r>
      <m:oMath>
        <m:func>
          <m:funcPr>
            <m:ctrlPr>
              <w:rPr>
                <w:rFonts w:ascii="Cambria Math" w:hAnsi="Cambria Math"/>
                <w:iCs/>
              </w:rPr>
            </m:ctrlPr>
          </m:funcPr>
          <m:fName>
            <m:r>
              <m:rPr>
                <m:sty m:val="p"/>
              </m:rPr>
              <w:rPr>
                <w:rFonts w:ascii="Cambria Math" w:hAnsi="Cambria Math"/>
              </w:rPr>
              <m:t>ln</m:t>
            </m:r>
            <m:ctrlPr>
              <w:rPr>
                <w:rFonts w:ascii="Cambria Math" w:hAnsi="Cambria Math"/>
                <w:iCs/>
              </w:rPr>
            </m:ctrlPr>
          </m:fName>
          <m:e>
            <m:sSub>
              <m:sSubPr>
                <m:ctrlPr>
                  <w:rPr>
                    <w:rFonts w:ascii="Cambria Math" w:hAnsi="Cambria Math"/>
                    <w:iCs/>
                  </w:rPr>
                </m:ctrlPr>
              </m:sSubPr>
              <m:e>
                <m:r>
                  <m:rPr>
                    <m:sty m:val="p"/>
                  </m:rPr>
                  <w:rPr>
                    <w:rFonts w:ascii="Cambria Math" w:hAnsi="Cambria Math"/>
                  </w:rPr>
                  <m:t>CO</m:t>
                </m:r>
                <m:ctrlPr>
                  <w:rPr>
                    <w:rFonts w:ascii="Cambria Math" w:hAnsi="Cambria Math"/>
                    <w:iCs/>
                  </w:rPr>
                </m:ctrlPr>
              </m:e>
              <m:sub>
                <m:r>
                  <m:rPr>
                    <m:sty m:val="p"/>
                  </m:rPr>
                  <w:rPr>
                    <w:rFonts w:ascii="Cambria Math" w:hAnsi="Cambria Math"/>
                  </w:rPr>
                  <m:t>2</m:t>
                </m:r>
                <m:ctrlPr>
                  <w:rPr>
                    <w:rFonts w:ascii="Cambria Math" w:hAnsi="Cambria Math"/>
                    <w:iCs/>
                  </w:rPr>
                </m:ctrlPr>
              </m:sub>
            </m:sSub>
            <m:ctrlPr>
              <w:rPr>
                <w:rFonts w:ascii="Cambria Math" w:hAnsi="Cambria Math"/>
                <w:iCs/>
              </w:rPr>
            </m:ctrlPr>
          </m:e>
        </m:func>
      </m:oMath>
      <w:r>
        <w:rPr>
          <w:rFonts w:hint="eastAsia"/>
        </w:rPr>
        <w:t>为被解释变量，以</w:t>
      </w:r>
      <m:oMath>
        <m:r>
          <m:rPr>
            <m:sty m:val="p"/>
          </m:rPr>
          <w:rPr>
            <w:rFonts w:hint="eastAsia" w:ascii="Cambria Math" w:hAnsi="Cambria Math" w:cs="宋体"/>
          </w:rPr>
          <m:t>lnPROUD</m:t>
        </m:r>
      </m:oMath>
      <w:r>
        <w:rPr>
          <w:rFonts w:hint="eastAsia"/>
        </w:rPr>
        <w:t>为核心解释变量，并引入</w:t>
      </w:r>
      <w:bookmarkStart w:id="16" w:name="OLE_LINK1"/>
      <m:oMath>
        <m:r>
          <m:rPr>
            <m:sty m:val="p"/>
          </m:rPr>
          <w:rPr>
            <w:rFonts w:hint="eastAsia" w:ascii="Cambria Math" w:hAnsi="Cambria Math" w:cs="宋体"/>
          </w:rPr>
          <m:t>ln</m:t>
        </m:r>
        <m:r>
          <m:rPr>
            <m:sty m:val="p"/>
          </m:rPr>
          <w:rPr>
            <w:rFonts w:ascii="Cambria Math" w:hAnsi="Cambria Math" w:cs="宋体"/>
          </w:rPr>
          <m:t>URBAN</m:t>
        </m:r>
        <w:bookmarkEnd w:id="16"/>
      </m:oMath>
      <w:r>
        <w:rPr>
          <w:rFonts w:hint="eastAsia"/>
        </w:rPr>
        <w:t>、</w:t>
      </w:r>
      <m:oMath>
        <m:r>
          <m:rPr>
            <m:sty m:val="p"/>
          </m:rPr>
          <w:rPr>
            <w:rFonts w:hint="eastAsia" w:ascii="Cambria Math" w:hAnsi="Cambria Math" w:cs="宋体"/>
          </w:rPr>
          <m:t>ln</m:t>
        </m:r>
        <m:r>
          <m:rPr>
            <m:sty m:val="p"/>
          </m:rPr>
          <w:rPr>
            <w:rFonts w:ascii="Cambria Math" w:hAnsi="Cambria Math" w:cs="宋体"/>
          </w:rPr>
          <m:t>RGDP</m:t>
        </m:r>
      </m:oMath>
      <w:r>
        <w:rPr>
          <w:rFonts w:hint="eastAsia"/>
        </w:rPr>
        <w:t>、</w:t>
      </w:r>
      <m:oMath>
        <m:r>
          <m:rPr>
            <m:sty m:val="p"/>
          </m:rPr>
          <w:rPr>
            <w:rFonts w:hint="eastAsia" w:ascii="Cambria Math" w:hAnsi="Cambria Math" w:cs="宋体"/>
          </w:rPr>
          <m:t>ln</m:t>
        </m:r>
        <m:sSup>
          <m:sSupPr>
            <m:ctrlPr>
              <w:rPr>
                <w:rFonts w:ascii="Cambria Math" w:hAnsi="Cambria Math" w:cs="宋体"/>
              </w:rPr>
            </m:ctrlPr>
          </m:sSupPr>
          <m:e>
            <m:r>
              <m:rPr>
                <m:sty m:val="p"/>
              </m:rPr>
              <w:rPr>
                <w:rFonts w:ascii="Cambria Math" w:hAnsi="Cambria Math" w:cs="宋体"/>
              </w:rPr>
              <m:t>RGDP</m:t>
            </m:r>
            <m:ctrlPr>
              <w:rPr>
                <w:rFonts w:ascii="Cambria Math" w:hAnsi="Cambria Math" w:cs="宋体"/>
              </w:rPr>
            </m:ctrlPr>
          </m:e>
          <m:sup>
            <m:r>
              <m:rPr/>
              <w:rPr>
                <w:rFonts w:ascii="Cambria Math" w:hAnsi="Cambria Math" w:cs="宋体"/>
              </w:rPr>
              <m:t>2</m:t>
            </m:r>
            <m:ctrlPr>
              <w:rPr>
                <w:rFonts w:ascii="Cambria Math" w:hAnsi="Cambria Math" w:cs="宋体"/>
              </w:rPr>
            </m:ctrlPr>
          </m:sup>
        </m:sSup>
      </m:oMath>
      <w:r>
        <w:rPr>
          <w:rFonts w:hint="eastAsia"/>
        </w:rPr>
        <w:t>、</w:t>
      </w:r>
      <w:bookmarkStart w:id="17" w:name="OLE_LINK5"/>
      <m:oMath>
        <m:r>
          <m:rPr>
            <m:sty m:val="p"/>
          </m:rPr>
          <w:rPr>
            <w:rFonts w:ascii="Cambria Math" w:hAnsi="Cambria Math"/>
          </w:rPr>
          <m:t>COPEN</m:t>
        </m:r>
      </m:oMath>
      <w:bookmarkEnd w:id="17"/>
      <w:r>
        <w:rPr>
          <w:rFonts w:hint="eastAsia"/>
        </w:rPr>
        <w:t>和</w:t>
      </w:r>
      <m:oMath>
        <m:r>
          <m:rPr>
            <m:sty m:val="p"/>
          </m:rPr>
          <w:rPr>
            <w:rFonts w:ascii="Cambria Math" w:hAnsi="Cambria Math"/>
          </w:rPr>
          <m:t>FD</m:t>
        </m:r>
      </m:oMath>
      <w:r>
        <w:rPr>
          <w:rFonts w:hint="eastAsia"/>
        </w:rPr>
        <w:t>等控制变量，构建双向固定效应</w:t>
      </w:r>
      <w:r>
        <w:t xml:space="preserve"> STIRPAT-EKC </w:t>
      </w:r>
      <w:r>
        <w:rPr>
          <w:rFonts w:hint="eastAsia"/>
        </w:rPr>
        <w:t>面板模型为主计量模型，通过国家固定效应和年份固定效应控制不可观测国家异质性与全球共同冲击，识别粗钢产量规模、经济发展阶段、贸易开放和金融发展对钢铁碳排放的边际影响。为检验结果可靠性，进一步采用中心化</w:t>
      </w:r>
      <w:r>
        <w:t>EKC</w:t>
      </w:r>
      <w:r>
        <w:rPr>
          <w:rFonts w:hint="eastAsia"/>
        </w:rPr>
        <w:t>、滞后一期解释变量、动态项辅助模型、</w:t>
      </w:r>
      <w:r>
        <w:t>Ridge</w:t>
      </w:r>
      <w:r>
        <w:rPr>
          <w:rFonts w:hint="eastAsia"/>
        </w:rPr>
        <w:t>和</w:t>
      </w:r>
      <w:r>
        <w:t>ElasticNet</w:t>
      </w:r>
      <w:r>
        <w:rPr>
          <w:rFonts w:hint="eastAsia"/>
        </w:rPr>
        <w:t>正则化，以及滞后两期变量作为内部工具变量的IV-2SLS辅助方法，对核心变量的方向、显著性与潜在内生性进行多重验证。</w:t>
      </w:r>
    </w:p>
    <w:p w14:paraId="34B5FDD2">
      <w:pPr>
        <w:pStyle w:val="3"/>
        <w:ind w:firstLine="480"/>
      </w:pPr>
      <w:bookmarkStart w:id="18" w:name="_Toc13495"/>
      <w:bookmarkStart w:id="19" w:name="OLE_LINK17"/>
      <w:r>
        <w:t>在机制与预测层面，本文结合Kaya-LMDI指数分解，将排放变化拆解为产量规模效应与吨钢排放强度效应，并利用CatBoost-SHAP从非线性角度检验变量重要性、影响方向与阈值特征。在此基础上，构建STIRPAT与Tiny Time Mixer（TTM）双层耦合模型，</w:t>
      </w:r>
      <w:r>
        <w:rPr>
          <w:rFonts w:hint="eastAsia"/>
        </w:rPr>
        <w:t>利用TTM的轻量化预训练架构克服小样本与高噪声限制。具体来说，先以</w:t>
      </w:r>
      <w:r>
        <w:t>STIRPAT</w:t>
      </w:r>
      <w:r>
        <w:rPr>
          <w:rFonts w:hint="eastAsia"/>
        </w:rPr>
        <w:t>遗传算法优化建立理论基线，结合事件冲击变量、工业化阶段特征及历史事件硬截断机制，对原始数据进行校准与重构；再通过多国并行序列训练，使模型自动提取跨国家、跨变量的协同演化规律，并采用</w:t>
      </w:r>
      <w:r>
        <w:t>CMA</w:t>
      </w:r>
      <w:r>
        <w:rPr>
          <w:rFonts w:hint="eastAsia" w:cs="MS Gothic"/>
        </w:rPr>
        <w:t>-</w:t>
      </w:r>
      <w:r>
        <w:t>ES</w:t>
      </w:r>
      <w:r>
        <w:rPr>
          <w:rFonts w:hint="eastAsia"/>
        </w:rPr>
        <w:t>与遗传算法混合寻优实现数据扩充与参数精调。最后，设计消融实验与两种情景推演（滤波修正延续情景、固定政策路径情景），对比不同国家组合下的预测差异，检验中国钢铁碳排放的达峰路径与反弹风险</w:t>
      </w:r>
      <w:r>
        <w:t>。</w:t>
      </w:r>
      <w:bookmarkEnd w:id="18"/>
    </w:p>
    <w:bookmarkEnd w:id="19"/>
    <w:p w14:paraId="44D740E6">
      <w:pPr>
        <w:pStyle w:val="26"/>
        <w:spacing w:before="156" w:after="156"/>
        <w:outlineLvl w:val="0"/>
      </w:pPr>
      <w:bookmarkStart w:id="20" w:name="_Toc24700"/>
      <w:bookmarkStart w:id="21" w:name="_Toc8743"/>
      <w:r>
        <w:t>二、数据说明与统计分析</w:t>
      </w:r>
      <w:bookmarkEnd w:id="15"/>
      <w:bookmarkEnd w:id="20"/>
      <w:bookmarkEnd w:id="21"/>
    </w:p>
    <w:p w14:paraId="10E188B5">
      <w:pPr>
        <w:pStyle w:val="25"/>
        <w:spacing w:before="156" w:after="156"/>
        <w:ind w:firstLine="560"/>
        <w:outlineLvl w:val="1"/>
        <w:rPr>
          <w:rFonts w:hint="default"/>
        </w:rPr>
      </w:pPr>
      <w:bookmarkStart w:id="22" w:name="_Toc28469"/>
      <w:bookmarkStart w:id="23" w:name="_Toc1039"/>
      <w:r>
        <w:t>（一）数据来源与变量选取</w:t>
      </w:r>
      <w:bookmarkEnd w:id="22"/>
      <w:bookmarkEnd w:id="23"/>
    </w:p>
    <w:p w14:paraId="3746305E">
      <w:pPr>
        <w:pStyle w:val="3"/>
        <w:ind w:firstLine="480"/>
      </w:pPr>
      <w:r>
        <w:rPr>
          <w:rFonts w:hint="eastAsia"/>
        </w:rPr>
        <w:t>由表1可见，本文使用中国、印度、日本、美国和俄罗斯2000-2023年宏观面板数据，观测单元为国家-年份，共120个样本。选择上述五国的原因是从规模上看五国均为全球最主要的粗钢生产国。根据IEA的数据库，2024年中国、印度、日本、美国和俄罗斯粗钢产量分别为1005.1Mt、149.4Mt、84.0Mt、79.5Mt和71.0Mt，分列全球第1至第5位，五国合计产量约为1389.0 Mt，占全球粗钢产量约73.7%，具有较强的行业代表性。该数据主要服务于 STIRPAT-EKC双向固定效应回归、稳健性检验和内生性分析。</w:t>
      </w:r>
    </w:p>
    <w:p w14:paraId="1ABA4ADC">
      <w:pPr>
        <w:pStyle w:val="3"/>
        <w:ind w:firstLine="480"/>
      </w:pPr>
      <w:r>
        <w:rPr>
          <w:rFonts w:hint="eastAsia"/>
        </w:rPr>
        <w:t>本文变量设定如下。被解释变量为钢铁工业</w:t>
      </w:r>
      <m:oMath>
        <m:r>
          <m:rPr>
            <m:sty m:val="p"/>
          </m:rPr>
          <w:rPr>
            <w:rFonts w:hint="eastAsia" w:ascii="Cambria Math" w:hAnsi="Cambria Math" w:cs="宋体"/>
          </w:rPr>
          <m:t>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m:ctrlPr>
              <w:rPr>
                <w:rFonts w:hint="eastAsia" w:ascii="Cambria Math" w:hAnsi="Cambria Math" w:cs="宋体"/>
              </w:rPr>
            </m:ctrlPr>
          </m:sub>
        </m:sSub>
      </m:oMath>
      <w:r>
        <w:rPr>
          <w:rFonts w:hint="eastAsia"/>
        </w:rPr>
        <w:t>排放量，记为</w:t>
      </w:r>
      <m:oMath>
        <m:r>
          <m:rPr>
            <m:sty m:val="p"/>
          </m:rPr>
          <w:rPr>
            <w:rFonts w:hint="eastAsia" w:ascii="Cambria Math" w:hAnsi="Cambria Math" w:cs="宋体"/>
          </w:rPr>
          <m:t>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m:ctrlPr>
              <w:rPr>
                <w:rFonts w:hint="eastAsia" w:ascii="Cambria Math" w:hAnsi="Cambria Math" w:cs="宋体"/>
              </w:rPr>
            </m:ctrlPr>
          </m:sub>
        </m:sSub>
      </m:oMath>
      <w:r>
        <w:rPr>
          <w:rFonts w:hint="eastAsia"/>
        </w:rPr>
        <w:t>，并取自然对数得到</w:t>
      </w:r>
      <m:oMath>
        <m:r>
          <m:rPr>
            <m:sty m:val="p"/>
          </m:rPr>
          <w:rPr>
            <w:rFonts w:hint="eastAsia" w:ascii="Cambria Math" w:hAnsi="Cambria Math" w:cs="宋体"/>
          </w:rPr>
          <m:t>lnC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m:ctrlPr>
              <w:rPr>
                <w:rFonts w:hint="eastAsia" w:ascii="Cambria Math" w:hAnsi="Cambria Math" w:cs="宋体"/>
              </w:rPr>
            </m:ctrlPr>
          </m:sub>
        </m:sSub>
      </m:oMath>
      <w:r>
        <w:rPr>
          <w:rFonts w:hint="eastAsia"/>
        </w:rPr>
        <w:t>。核心解释变量为粗钢产量</w:t>
      </w:r>
      <m:oMath>
        <m:r>
          <m:rPr>
            <m:sty m:val="p"/>
          </m:rPr>
          <w:rPr>
            <w:rFonts w:hint="eastAsia" w:ascii="Cambria Math" w:hAnsi="Cambria Math" w:cs="宋体"/>
          </w:rPr>
          <m:t>PROUD</m:t>
        </m:r>
      </m:oMath>
      <w:r>
        <w:rPr>
          <w:rFonts w:hint="eastAsia"/>
        </w:rPr>
        <w:t>，用于表征钢铁行业生产规模，并取自然对数得到</w:t>
      </w:r>
      <m:oMath>
        <m:r>
          <m:rPr>
            <m:sty m:val="p"/>
          </m:rPr>
          <w:rPr>
            <w:rFonts w:hint="eastAsia" w:ascii="Cambria Math" w:hAnsi="Cambria Math" w:cs="宋体"/>
          </w:rPr>
          <m:t>lnPROUD</m:t>
        </m:r>
      </m:oMath>
      <w:r>
        <w:rPr>
          <w:rFonts w:hint="eastAsia"/>
        </w:rPr>
        <w:t>。控制变量包括城市人口</w:t>
      </w:r>
      <m:oMath>
        <m:r>
          <m:rPr>
            <m:sty m:val="p"/>
          </m:rPr>
          <w:rPr>
            <w:rFonts w:hint="eastAsia" w:ascii="Cambria Math" w:hAnsi="Cambria Math" w:cs="宋体"/>
          </w:rPr>
          <m:t>URBAN</m:t>
        </m:r>
      </m:oMath>
      <w:r>
        <w:rPr>
          <w:rFonts w:hint="eastAsia"/>
        </w:rPr>
        <w:t>、</w:t>
      </w:r>
      <m:oMath>
        <m:r>
          <m:rPr>
            <m:sty m:val="p"/>
          </m:rPr>
          <w:rPr>
            <w:rFonts w:hint="eastAsia" w:ascii="Cambria Math" w:hAnsi="Cambria Math" w:cs="宋体"/>
          </w:rPr>
          <m:t>RGDP</m:t>
        </m:r>
      </m:oMath>
      <w:r>
        <w:rPr>
          <w:rFonts w:hint="eastAsia"/>
        </w:rPr>
        <w:t>为人均实际</w:t>
      </w:r>
      <m:oMath>
        <m:r>
          <m:rPr>
            <m:sty m:val="p"/>
          </m:rPr>
          <w:rPr>
            <w:rFonts w:hint="eastAsia" w:ascii="Cambria Math" w:hAnsi="Cambria Math" w:cs="宋体"/>
          </w:rPr>
          <m:t>GDP</m:t>
        </m:r>
      </m:oMath>
      <w:r>
        <w:rPr>
          <w:rFonts w:hint="eastAsia"/>
        </w:rPr>
        <w:t>、贸易开放度</w:t>
      </w:r>
      <m:oMath>
        <m:r>
          <m:rPr>
            <m:sty m:val="p"/>
          </m:rPr>
          <w:rPr>
            <w:rFonts w:hint="eastAsia" w:ascii="Cambria Math" w:hAnsi="Cambria Math" w:cs="宋体"/>
          </w:rPr>
          <m:t>COPEN</m:t>
        </m:r>
      </m:oMath>
      <w:r>
        <w:rPr>
          <w:rFonts w:hint="eastAsia"/>
        </w:rPr>
        <w:t>和金融发展指数</w:t>
      </w:r>
      <m:oMath>
        <m:r>
          <m:rPr>
            <m:sty m:val="p"/>
          </m:rPr>
          <w:rPr>
            <w:rFonts w:hint="eastAsia" w:ascii="Cambria Math" w:hAnsi="Cambria Math" w:cs="宋体"/>
          </w:rPr>
          <m:t>FD</m:t>
        </m:r>
      </m:oMath>
      <w:r>
        <w:rPr>
          <w:rFonts w:hint="eastAsia"/>
        </w:rPr>
        <w:t>。其中，</w:t>
      </w:r>
      <m:oMath>
        <m:r>
          <m:rPr>
            <m:sty m:val="p"/>
          </m:rPr>
          <w:rPr>
            <w:rFonts w:hint="eastAsia" w:ascii="Cambria Math" w:hAnsi="Cambria Math" w:cs="宋体"/>
          </w:rPr>
          <m:t>URBAN</m:t>
        </m:r>
      </m:oMath>
      <w:r>
        <w:rPr>
          <w:rFonts w:hint="eastAsia"/>
        </w:rPr>
        <w:t>和</w:t>
      </w:r>
      <m:oMath>
        <m:r>
          <m:rPr>
            <m:sty m:val="p"/>
          </m:rPr>
          <w:rPr>
            <w:rFonts w:hint="eastAsia" w:ascii="Cambria Math" w:hAnsi="Cambria Math" w:cs="宋体"/>
          </w:rPr>
          <m:t>RGDP</m:t>
        </m:r>
      </m:oMath>
      <w:r>
        <w:rPr>
          <w:rFonts w:hint="eastAsia"/>
        </w:rPr>
        <w:t>分别取自然对数，</w:t>
      </w:r>
      <m:oMath>
        <m:r>
          <m:rPr>
            <m:sty m:val="p"/>
          </m:rPr>
          <w:rPr>
            <w:rFonts w:hint="eastAsia" w:ascii="Cambria Math" w:hAnsi="Cambria Math" w:cs="宋体"/>
          </w:rPr>
          <m:t>RGDP</m:t>
        </m:r>
      </m:oMath>
      <w:r>
        <w:rPr>
          <w:rFonts w:hint="eastAsia"/>
        </w:rPr>
        <w:t>的平方项用于检验EKC非线性关系；</w:t>
      </w:r>
      <m:oMath>
        <m:r>
          <m:rPr>
            <m:sty m:val="p"/>
          </m:rPr>
          <w:rPr>
            <w:rFonts w:hint="eastAsia" w:ascii="Cambria Math" w:hAnsi="Cambria Math" w:cs="宋体"/>
          </w:rPr>
          <m:t>COPEN</m:t>
        </m:r>
      </m:oMath>
      <w:r>
        <w:rPr>
          <w:rFonts w:hint="eastAsia"/>
        </w:rPr>
        <w:t>和</w:t>
      </w:r>
      <m:oMath>
        <m:r>
          <m:rPr>
            <m:sty m:val="p"/>
          </m:rPr>
          <w:rPr>
            <w:rFonts w:hint="eastAsia" w:ascii="Cambria Math" w:hAnsi="Cambria Math" w:cs="宋体"/>
          </w:rPr>
          <m:t>FD</m:t>
        </m:r>
      </m:oMath>
      <w:r>
        <w:rPr>
          <w:rFonts w:hint="eastAsia"/>
        </w:rPr>
        <w:t>本身为比率或指数型变量，因此保留原始形式进入模型。</w:t>
      </w:r>
    </w:p>
    <w:p w14:paraId="77D6A30C">
      <w:pPr>
        <w:pStyle w:val="6"/>
        <w:jc w:val="center"/>
      </w:pPr>
      <w:r>
        <w:t xml:space="preserve">表 </w:t>
      </w:r>
      <w:r>
        <w:fldChar w:fldCharType="begin"/>
      </w:r>
      <w:r>
        <w:instrText xml:space="preserve"> SEQ 表 \* ARABIC </w:instrText>
      </w:r>
      <w:r>
        <w:fldChar w:fldCharType="separate"/>
      </w:r>
      <w:r>
        <w:t>1</w:t>
      </w:r>
      <w:r>
        <w:fldChar w:fldCharType="end"/>
      </w:r>
      <w:r>
        <w:rPr>
          <w:rFonts w:hint="eastAsia"/>
        </w:rPr>
        <w:t xml:space="preserve">  变量定义、单位与数据来源</w:t>
      </w:r>
    </w:p>
    <w:tbl>
      <w:tblPr>
        <w:tblStyle w:val="30"/>
        <w:tblW w:w="9315" w:type="dxa"/>
        <w:tblInd w:w="-459"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04"/>
        <w:gridCol w:w="1940"/>
        <w:gridCol w:w="4291"/>
        <w:gridCol w:w="1880"/>
      </w:tblGrid>
      <w:tr w14:paraId="210D83C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1204" w:type="dxa"/>
            <w:tcBorders>
              <w:bottom w:val="single" w:color="auto" w:sz="4" w:space="0"/>
            </w:tcBorders>
            <w:vAlign w:val="bottom"/>
          </w:tcPr>
          <w:p w14:paraId="003A0E5B">
            <w:pPr>
              <w:pStyle w:val="35"/>
              <w:jc w:val="center"/>
              <w:rPr>
                <w:rFonts w:cs="宋体"/>
              </w:rPr>
            </w:pPr>
            <w:r>
              <w:rPr>
                <w:rFonts w:hint="eastAsia" w:cs="宋体"/>
              </w:rPr>
              <w:t>变量类型</w:t>
            </w:r>
          </w:p>
        </w:tc>
        <w:tc>
          <w:tcPr>
            <w:tcW w:w="1940" w:type="dxa"/>
            <w:tcBorders>
              <w:bottom w:val="single" w:color="auto" w:sz="4" w:space="0"/>
            </w:tcBorders>
            <w:vAlign w:val="bottom"/>
          </w:tcPr>
          <w:p w14:paraId="4E456A70">
            <w:pPr>
              <w:pStyle w:val="35"/>
              <w:jc w:val="center"/>
              <w:rPr>
                <w:rFonts w:cs="宋体"/>
              </w:rPr>
            </w:pPr>
            <w:r>
              <w:rPr>
                <w:rFonts w:hint="eastAsia" w:cs="宋体"/>
              </w:rPr>
              <w:t>变量名称 (符号)</w:t>
            </w:r>
          </w:p>
        </w:tc>
        <w:tc>
          <w:tcPr>
            <w:tcW w:w="4291" w:type="dxa"/>
            <w:tcBorders>
              <w:bottom w:val="single" w:color="auto" w:sz="4" w:space="0"/>
            </w:tcBorders>
            <w:vAlign w:val="bottom"/>
          </w:tcPr>
          <w:p w14:paraId="58111910">
            <w:pPr>
              <w:pStyle w:val="35"/>
              <w:jc w:val="center"/>
              <w:rPr>
                <w:rFonts w:cs="宋体"/>
              </w:rPr>
            </w:pPr>
            <w:r>
              <w:rPr>
                <w:rFonts w:hint="eastAsia" w:cs="宋体"/>
              </w:rPr>
              <w:t>测度方法及含义</w:t>
            </w:r>
          </w:p>
        </w:tc>
        <w:tc>
          <w:tcPr>
            <w:tcW w:w="1880" w:type="dxa"/>
            <w:tcBorders>
              <w:bottom w:val="single" w:color="auto" w:sz="4" w:space="0"/>
            </w:tcBorders>
            <w:vAlign w:val="bottom"/>
          </w:tcPr>
          <w:p w14:paraId="22FB62E4">
            <w:pPr>
              <w:pStyle w:val="35"/>
              <w:jc w:val="center"/>
              <w:rPr>
                <w:rFonts w:cs="宋体"/>
              </w:rPr>
            </w:pPr>
            <w:r>
              <w:rPr>
                <w:rFonts w:hint="eastAsia" w:cs="宋体"/>
              </w:rPr>
              <w:t>数据来源</w:t>
            </w:r>
          </w:p>
        </w:tc>
      </w:tr>
      <w:tr w14:paraId="335279C6">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04" w:type="dxa"/>
            <w:tcBorders>
              <w:top w:val="single" w:color="auto" w:sz="4" w:space="0"/>
            </w:tcBorders>
          </w:tcPr>
          <w:p w14:paraId="1E84E639">
            <w:pPr>
              <w:pStyle w:val="35"/>
              <w:rPr>
                <w:rFonts w:cs="宋体"/>
              </w:rPr>
            </w:pPr>
            <w:r>
              <w:rPr>
                <w:rFonts w:hint="eastAsia" w:cs="宋体"/>
                <w:b/>
                <w:bCs/>
              </w:rPr>
              <w:t>被解释变量</w:t>
            </w:r>
          </w:p>
        </w:tc>
        <w:tc>
          <w:tcPr>
            <w:tcW w:w="1940" w:type="dxa"/>
            <w:tcBorders>
              <w:top w:val="single" w:color="auto" w:sz="4" w:space="0"/>
            </w:tcBorders>
          </w:tcPr>
          <w:p w14:paraId="6B80E163">
            <w:pPr>
              <w:pStyle w:val="35"/>
              <w:jc w:val="left"/>
              <w:rPr>
                <w:rFonts w:cs="宋体"/>
              </w:rPr>
            </w:pPr>
            <w:r>
              <w:rPr>
                <w:rFonts w:hint="eastAsia" w:cs="宋体"/>
              </w:rPr>
              <w:t>钢铁工业碳排放量 (</w:t>
            </w:r>
            <w:bookmarkStart w:id="24" w:name="_Hlk229229510"/>
            <m:oMath>
              <m:r>
                <m:rPr>
                  <m:sty m:val="p"/>
                </m:rPr>
                <w:rPr>
                  <w:rFonts w:hint="eastAsia" w:ascii="Cambria Math" w:hAnsi="Cambria Math" w:cs="宋体"/>
                </w:rPr>
                <m:t>lnC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w:bookmarkEnd w:id="24"/>
                  <m:ctrlPr>
                    <w:rPr>
                      <w:rFonts w:hint="eastAsia" w:ascii="Cambria Math" w:hAnsi="Cambria Math" w:cs="宋体"/>
                    </w:rPr>
                  </m:ctrlPr>
                </m:sub>
              </m:sSub>
            </m:oMath>
            <w:r>
              <w:rPr>
                <w:rFonts w:hint="eastAsia" w:cs="宋体"/>
              </w:rPr>
              <w:t>)</w:t>
            </w:r>
          </w:p>
        </w:tc>
        <w:tc>
          <w:tcPr>
            <w:tcW w:w="4291" w:type="dxa"/>
            <w:tcBorders>
              <w:top w:val="single" w:color="auto" w:sz="4" w:space="0"/>
            </w:tcBorders>
          </w:tcPr>
          <w:p w14:paraId="4A537426">
            <w:pPr>
              <w:pStyle w:val="35"/>
              <w:rPr>
                <w:rFonts w:cs="宋体"/>
              </w:rPr>
            </w:pPr>
            <w:r>
              <w:rPr>
                <w:rFonts w:hint="eastAsia" w:cs="宋体"/>
              </w:rPr>
              <w:t>仅核算钢铁生产过程中的化石燃料燃烧及工业过程直接排放（Scope 1），以千吨为单位后取自然对数平滑。</w:t>
            </w:r>
          </w:p>
        </w:tc>
        <w:tc>
          <w:tcPr>
            <w:tcW w:w="1880" w:type="dxa"/>
            <w:tcBorders>
              <w:top w:val="single" w:color="auto" w:sz="4" w:space="0"/>
            </w:tcBorders>
            <w:vAlign w:val="center"/>
          </w:tcPr>
          <w:p w14:paraId="7E9B9FE8">
            <w:pPr>
              <w:pStyle w:val="35"/>
              <w:rPr>
                <w:rFonts w:cs="宋体"/>
              </w:rPr>
            </w:pPr>
            <w:r>
              <w:rPr>
                <w:rFonts w:hint="eastAsia" w:cs="宋体"/>
              </w:rPr>
              <w:t>WSA, IEA 数据库联合核算</w:t>
            </w:r>
          </w:p>
        </w:tc>
      </w:tr>
      <w:tr w14:paraId="29FD72D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04" w:type="dxa"/>
          </w:tcPr>
          <w:p w14:paraId="7E166962">
            <w:pPr>
              <w:pStyle w:val="35"/>
              <w:rPr>
                <w:rFonts w:cs="宋体"/>
              </w:rPr>
            </w:pPr>
            <w:r>
              <w:rPr>
                <w:rFonts w:hint="eastAsia" w:cs="宋体"/>
                <w:b/>
                <w:bCs/>
              </w:rPr>
              <w:t>核心解释变量</w:t>
            </w:r>
          </w:p>
        </w:tc>
        <w:tc>
          <w:tcPr>
            <w:tcW w:w="1940" w:type="dxa"/>
          </w:tcPr>
          <w:p w14:paraId="3CD5C73E">
            <w:pPr>
              <w:pStyle w:val="35"/>
              <w:jc w:val="left"/>
              <w:rPr>
                <w:rFonts w:cs="宋体"/>
              </w:rPr>
            </w:pPr>
            <w:r>
              <w:rPr>
                <w:rFonts w:hint="eastAsia" w:cs="宋体"/>
              </w:rPr>
              <w:t>粗钢产量 (</w:t>
            </w:r>
            <m:oMath>
              <m:r>
                <m:rPr>
                  <m:sty m:val="p"/>
                </m:rPr>
                <w:rPr>
                  <w:rFonts w:hint="eastAsia" w:ascii="Cambria Math" w:hAnsi="Cambria Math" w:cs="宋体"/>
                </w:rPr>
                <m:t>lnPROUD</m:t>
              </m:r>
            </m:oMath>
            <w:r>
              <w:rPr>
                <w:rFonts w:hint="eastAsia" w:cs="宋体"/>
              </w:rPr>
              <w:t>)</w:t>
            </w:r>
          </w:p>
        </w:tc>
        <w:tc>
          <w:tcPr>
            <w:tcW w:w="4291" w:type="dxa"/>
          </w:tcPr>
          <w:p w14:paraId="70496C10">
            <w:pPr>
              <w:pStyle w:val="35"/>
              <w:rPr>
                <w:rFonts w:cs="宋体"/>
              </w:rPr>
            </w:pPr>
            <w:r>
              <w:rPr>
                <w:rFonts w:hint="eastAsia" w:cs="宋体"/>
              </w:rPr>
              <w:t>反映一国钢铁产业的绝对制造规模，是 STIRPAT 模型中人口/规模（P）要素，单位为千吨后取对数。</w:t>
            </w:r>
          </w:p>
        </w:tc>
        <w:tc>
          <w:tcPr>
            <w:tcW w:w="1880" w:type="dxa"/>
            <w:vAlign w:val="center"/>
          </w:tcPr>
          <w:p w14:paraId="4BC39A26">
            <w:pPr>
              <w:pStyle w:val="35"/>
              <w:rPr>
                <w:rFonts w:cs="宋体"/>
              </w:rPr>
            </w:pPr>
            <w:r>
              <w:rPr>
                <w:rFonts w:hint="eastAsia" w:cs="宋体"/>
              </w:rPr>
              <w:t>历年《世界钢铁统计数据》</w:t>
            </w:r>
          </w:p>
        </w:tc>
      </w:tr>
      <w:tr w14:paraId="5FC761F0">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04" w:type="dxa"/>
            <w:vMerge w:val="restart"/>
            <w:vAlign w:val="center"/>
          </w:tcPr>
          <w:p w14:paraId="7B2C073C">
            <w:pPr>
              <w:pStyle w:val="35"/>
              <w:rPr>
                <w:rFonts w:cs="宋体"/>
              </w:rPr>
            </w:pPr>
            <w:r>
              <w:rPr>
                <w:rFonts w:hint="eastAsia" w:cs="宋体"/>
                <w:b/>
                <w:bCs/>
              </w:rPr>
              <w:t>控制变量</w:t>
            </w:r>
          </w:p>
          <w:p w14:paraId="631E742B">
            <w:pPr>
              <w:pStyle w:val="35"/>
              <w:rPr>
                <w:rFonts w:cs="宋体"/>
              </w:rPr>
            </w:pPr>
            <w:bookmarkStart w:id="25" w:name="OLE_LINK12"/>
          </w:p>
          <w:bookmarkEnd w:id="25"/>
          <w:p w14:paraId="225B7AB4">
            <w:pPr>
              <w:pStyle w:val="35"/>
              <w:rPr>
                <w:rFonts w:cs="宋体"/>
                <w:b/>
                <w:bCs/>
              </w:rPr>
            </w:pPr>
          </w:p>
          <w:p w14:paraId="2A7F0024">
            <w:pPr>
              <w:pStyle w:val="35"/>
              <w:rPr>
                <w:rFonts w:cs="宋体"/>
              </w:rPr>
            </w:pPr>
          </w:p>
          <w:p w14:paraId="65353A1F">
            <w:pPr>
              <w:pStyle w:val="35"/>
              <w:rPr>
                <w:rFonts w:cs="宋体"/>
              </w:rPr>
            </w:pPr>
          </w:p>
        </w:tc>
        <w:tc>
          <w:tcPr>
            <w:tcW w:w="1940" w:type="dxa"/>
          </w:tcPr>
          <w:p w14:paraId="46039752">
            <w:pPr>
              <w:pStyle w:val="35"/>
              <w:jc w:val="left"/>
              <w:rPr>
                <w:rFonts w:cs="宋体"/>
              </w:rPr>
            </w:pPr>
            <w:r>
              <w:rPr>
                <w:rFonts w:hint="eastAsia" w:cs="宋体"/>
              </w:rPr>
              <w:t>城市人口 (</w:t>
            </w:r>
            <m:oMath>
              <m:r>
                <m:rPr>
                  <m:sty m:val="p"/>
                </m:rPr>
                <w:rPr>
                  <w:rFonts w:hint="eastAsia" w:ascii="Cambria Math" w:hAnsi="Cambria Math" w:cs="宋体"/>
                </w:rPr>
                <m:t>lnURBAN</m:t>
              </m:r>
            </m:oMath>
            <w:r>
              <w:rPr>
                <w:rFonts w:hint="eastAsia" w:cs="宋体"/>
              </w:rPr>
              <w:t>)</w:t>
            </w:r>
          </w:p>
        </w:tc>
        <w:tc>
          <w:tcPr>
            <w:tcW w:w="4291" w:type="dxa"/>
          </w:tcPr>
          <w:p w14:paraId="12D0F963">
            <w:pPr>
              <w:pStyle w:val="35"/>
              <w:rPr>
                <w:rFonts w:cs="宋体"/>
              </w:rPr>
            </w:pPr>
            <w:r>
              <w:rPr>
                <w:rFonts w:hint="eastAsia" w:cs="宋体"/>
              </w:rPr>
              <w:t>表征城镇化水平，反映基建扩张对钢材刚性需求的拉动，取绝对人数对数。</w:t>
            </w:r>
          </w:p>
        </w:tc>
        <w:tc>
          <w:tcPr>
            <w:tcW w:w="1880" w:type="dxa"/>
            <w:vAlign w:val="center"/>
          </w:tcPr>
          <w:p w14:paraId="75FC0136">
            <w:pPr>
              <w:pStyle w:val="35"/>
              <w:rPr>
                <w:rFonts w:cs="宋体"/>
              </w:rPr>
            </w:pPr>
            <w:r>
              <w:rPr>
                <w:rFonts w:hint="eastAsia" w:cs="宋体"/>
              </w:rPr>
              <w:t>世界银行 (World Bank)</w:t>
            </w:r>
          </w:p>
        </w:tc>
      </w:tr>
      <w:tr w14:paraId="5A0D2FC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04" w:type="dxa"/>
            <w:vMerge w:val="continue"/>
          </w:tcPr>
          <w:p w14:paraId="7F050E9F">
            <w:pPr>
              <w:pStyle w:val="35"/>
              <w:rPr>
                <w:rFonts w:cs="宋体"/>
              </w:rPr>
            </w:pPr>
          </w:p>
        </w:tc>
        <w:tc>
          <w:tcPr>
            <w:tcW w:w="1940" w:type="dxa"/>
          </w:tcPr>
          <w:p w14:paraId="000EF32F">
            <w:pPr>
              <w:pStyle w:val="35"/>
              <w:jc w:val="left"/>
              <w:rPr>
                <w:rFonts w:cs="宋体"/>
              </w:rPr>
            </w:pPr>
            <w:r>
              <w:rPr>
                <w:rFonts w:hint="eastAsia" w:cs="宋体"/>
              </w:rPr>
              <w:t>人均实际 GDP (</w:t>
            </w:r>
            <m:oMath>
              <w:bookmarkStart w:id="26" w:name="OLE_LINK13"/>
              <m:r>
                <m:rPr>
                  <m:sty m:val="p"/>
                </m:rPr>
                <w:rPr>
                  <w:rFonts w:hint="eastAsia" w:ascii="Cambria Math" w:hAnsi="Cambria Math" w:cs="宋体"/>
                </w:rPr>
                <m:t>lnRGDP</m:t>
              </m:r>
            </m:oMath>
            <w:bookmarkEnd w:id="26"/>
            <w:r>
              <w:rPr>
                <w:rFonts w:hint="eastAsia" w:cs="宋体"/>
              </w:rPr>
              <w:t>)</w:t>
            </w:r>
          </w:p>
        </w:tc>
        <w:tc>
          <w:tcPr>
            <w:tcW w:w="4291" w:type="dxa"/>
          </w:tcPr>
          <w:p w14:paraId="58940AA5">
            <w:pPr>
              <w:pStyle w:val="35"/>
              <w:rPr>
                <w:rFonts w:cs="宋体"/>
              </w:rPr>
            </w:pPr>
            <w:r>
              <w:rPr>
                <w:rFonts w:hint="eastAsia" w:cs="宋体"/>
              </w:rPr>
              <w:t>剔除通货膨胀因素，统一以2010年美元不变价计，用于验证EKC假说的富裕程度（A）要素。</w:t>
            </w:r>
          </w:p>
        </w:tc>
        <w:tc>
          <w:tcPr>
            <w:tcW w:w="1880" w:type="dxa"/>
            <w:vAlign w:val="center"/>
          </w:tcPr>
          <w:p w14:paraId="42693B1A">
            <w:pPr>
              <w:pStyle w:val="35"/>
              <w:rPr>
                <w:rFonts w:cs="宋体"/>
              </w:rPr>
            </w:pPr>
            <w:r>
              <w:rPr>
                <w:rFonts w:hint="eastAsia" w:cs="宋体"/>
              </w:rPr>
              <w:t>联合国统计局 (UNSD)</w:t>
            </w:r>
          </w:p>
        </w:tc>
      </w:tr>
      <w:tr w14:paraId="1028A4B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04" w:type="dxa"/>
            <w:vMerge w:val="continue"/>
          </w:tcPr>
          <w:p w14:paraId="46EEF59B">
            <w:pPr>
              <w:pStyle w:val="35"/>
              <w:rPr>
                <w:rFonts w:cs="宋体"/>
                <w:b/>
                <w:bCs/>
              </w:rPr>
            </w:pPr>
          </w:p>
        </w:tc>
        <w:tc>
          <w:tcPr>
            <w:tcW w:w="1940" w:type="dxa"/>
          </w:tcPr>
          <w:p w14:paraId="58510F01">
            <w:pPr>
              <w:jc w:val="left"/>
            </w:pPr>
            <w:r>
              <w:rPr>
                <w:sz w:val="24"/>
                <w:szCs w:val="32"/>
              </w:rPr>
              <w:t>GD</w:t>
            </w:r>
            <w:r>
              <w:rPr>
                <w:rFonts w:hint="eastAsia"/>
                <w:sz w:val="24"/>
                <w:szCs w:val="32"/>
              </w:rPr>
              <w:t>P</w:t>
            </w:r>
            <w:r>
              <w:rPr>
                <w:sz w:val="24"/>
                <w:szCs w:val="32"/>
              </w:rPr>
              <w:t>二次项（(lnRGDP)²）</w:t>
            </w:r>
          </w:p>
        </w:tc>
        <w:tc>
          <w:tcPr>
            <w:tcW w:w="4291" w:type="dxa"/>
          </w:tcPr>
          <w:p w14:paraId="38B96F15">
            <w:r>
              <w:t>对人均实际GDP取自然对数后再平方，用于检验EKC非线性关系。</w:t>
            </w:r>
          </w:p>
        </w:tc>
        <w:tc>
          <w:tcPr>
            <w:tcW w:w="1880" w:type="dxa"/>
            <w:vAlign w:val="center"/>
          </w:tcPr>
          <w:p w14:paraId="3CE74AAD">
            <w:pPr>
              <w:pStyle w:val="35"/>
              <w:rPr>
                <w:rFonts w:cs="宋体"/>
              </w:rPr>
            </w:pPr>
            <w:r>
              <w:rPr>
                <w:rFonts w:hint="eastAsia" w:cs="宋体"/>
              </w:rPr>
              <w:t>联合国统计局 (UNSD)</w:t>
            </w:r>
          </w:p>
        </w:tc>
      </w:tr>
      <w:tr w14:paraId="0CC7C4B6">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04" w:type="dxa"/>
            <w:vMerge w:val="continue"/>
          </w:tcPr>
          <w:p w14:paraId="0243E078">
            <w:pPr>
              <w:pStyle w:val="35"/>
              <w:rPr>
                <w:rFonts w:cs="宋体"/>
              </w:rPr>
            </w:pPr>
          </w:p>
        </w:tc>
        <w:tc>
          <w:tcPr>
            <w:tcW w:w="1940" w:type="dxa"/>
          </w:tcPr>
          <w:p w14:paraId="010702DC">
            <w:pPr>
              <w:pStyle w:val="35"/>
              <w:jc w:val="left"/>
              <w:rPr>
                <w:rFonts w:cs="宋体"/>
              </w:rPr>
            </w:pPr>
            <w:r>
              <w:rPr>
                <w:rFonts w:hint="eastAsia" w:cs="宋体"/>
              </w:rPr>
              <w:t>贸易开放度 (</w:t>
            </w:r>
            <m:oMath>
              <m:r>
                <m:rPr>
                  <m:sty m:val="p"/>
                </m:rPr>
                <w:rPr>
                  <w:rFonts w:hint="eastAsia" w:ascii="Cambria Math" w:hAnsi="Cambria Math" w:cs="宋体"/>
                </w:rPr>
                <m:t>COPEN</m:t>
              </m:r>
            </m:oMath>
            <w:r>
              <w:rPr>
                <w:rFonts w:hint="eastAsia" w:cs="宋体"/>
              </w:rPr>
              <w:t>)</w:t>
            </w:r>
          </w:p>
        </w:tc>
        <w:tc>
          <w:tcPr>
            <w:tcW w:w="4291" w:type="dxa"/>
          </w:tcPr>
          <w:p w14:paraId="05056C4C">
            <w:pPr>
              <w:pStyle w:val="35"/>
              <w:rPr>
                <w:rFonts w:cs="宋体"/>
              </w:rPr>
            </w:pPr>
            <w:r>
              <w:rPr>
                <w:rFonts w:hint="eastAsia" w:cs="宋体"/>
              </w:rPr>
              <w:t>采用钢铁及相关制品进出口贸易总额/该国当年钢铁总产值。反映技术与产品的国际流动性溢出。</w:t>
            </w:r>
          </w:p>
        </w:tc>
        <w:tc>
          <w:tcPr>
            <w:tcW w:w="1880" w:type="dxa"/>
            <w:vAlign w:val="center"/>
          </w:tcPr>
          <w:p w14:paraId="3C1856D4">
            <w:pPr>
              <w:pStyle w:val="35"/>
              <w:rPr>
                <w:rFonts w:cs="宋体"/>
              </w:rPr>
            </w:pPr>
            <w:r>
              <w:rPr>
                <w:rFonts w:hint="eastAsia" w:cs="宋体"/>
              </w:rPr>
              <w:t>联合国商品贸易数据库 (Comtrade)</w:t>
            </w:r>
          </w:p>
        </w:tc>
      </w:tr>
      <w:tr w14:paraId="0F5CBCF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04" w:type="dxa"/>
            <w:vMerge w:val="continue"/>
          </w:tcPr>
          <w:p w14:paraId="66D240EC">
            <w:pPr>
              <w:pStyle w:val="35"/>
              <w:rPr>
                <w:rFonts w:cs="宋体"/>
              </w:rPr>
            </w:pPr>
          </w:p>
        </w:tc>
        <w:tc>
          <w:tcPr>
            <w:tcW w:w="1940" w:type="dxa"/>
          </w:tcPr>
          <w:p w14:paraId="2B119087">
            <w:pPr>
              <w:pStyle w:val="35"/>
              <w:jc w:val="left"/>
              <w:rPr>
                <w:rFonts w:cs="宋体"/>
              </w:rPr>
            </w:pPr>
            <w:r>
              <w:rPr>
                <w:rFonts w:hint="eastAsia" w:cs="宋体"/>
              </w:rPr>
              <w:t>金融发展指数 (</w:t>
            </w:r>
            <m:oMath>
              <w:bookmarkStart w:id="27" w:name="OLE_LINK11"/>
              <m:r>
                <m:rPr>
                  <m:sty m:val="p"/>
                </m:rPr>
                <w:rPr>
                  <w:rFonts w:hint="eastAsia" w:ascii="Cambria Math" w:hAnsi="Cambria Math" w:cs="宋体"/>
                </w:rPr>
                <m:t>FD</m:t>
              </m:r>
              <w:bookmarkEnd w:id="27"/>
            </m:oMath>
            <w:r>
              <w:rPr>
                <w:rFonts w:hint="eastAsia" w:cs="宋体"/>
              </w:rPr>
              <w:t>)</w:t>
            </w:r>
          </w:p>
        </w:tc>
        <w:tc>
          <w:tcPr>
            <w:tcW w:w="4291" w:type="dxa"/>
          </w:tcPr>
          <w:p w14:paraId="5BE24902">
            <w:pPr>
              <w:pStyle w:val="35"/>
              <w:rPr>
                <w:rFonts w:cs="宋体"/>
              </w:rPr>
            </w:pPr>
            <w:r>
              <w:rPr>
                <w:rFonts w:hint="eastAsia" w:cs="宋体"/>
              </w:rPr>
              <w:t>采用国际货币基金组织 (IMF) 发布的国家综合金融发展指数（介于0~1之间），反映金融机构深度与市场支持绿色转型的资金效能。</w:t>
            </w:r>
          </w:p>
        </w:tc>
        <w:tc>
          <w:tcPr>
            <w:tcW w:w="1880" w:type="dxa"/>
            <w:vAlign w:val="center"/>
          </w:tcPr>
          <w:p w14:paraId="1317B3E3">
            <w:pPr>
              <w:pStyle w:val="35"/>
              <w:rPr>
                <w:rFonts w:cs="宋体"/>
              </w:rPr>
            </w:pPr>
            <w:r>
              <w:rPr>
                <w:rFonts w:hint="eastAsia" w:cs="宋体"/>
              </w:rPr>
              <w:t>IMF 数据库</w:t>
            </w:r>
          </w:p>
        </w:tc>
      </w:tr>
    </w:tbl>
    <w:p w14:paraId="73CB3895">
      <w:pPr>
        <w:pStyle w:val="25"/>
        <w:keepNext/>
        <w:spacing w:before="156" w:after="156"/>
        <w:ind w:firstLine="560"/>
        <w:outlineLvl w:val="1"/>
        <w:rPr>
          <w:rFonts w:ascii="楷体" w:hAnsi="楷体"/>
        </w:rPr>
      </w:pPr>
      <w:bookmarkStart w:id="28" w:name="_Toc32717"/>
      <w:r>
        <w:rPr>
          <w:rFonts w:ascii="楷体" w:hAnsi="楷体"/>
        </w:rPr>
        <w:t>（二）描述性统计分析</w:t>
      </w:r>
      <w:bookmarkEnd w:id="28"/>
    </w:p>
    <w:p w14:paraId="5646A3F0">
      <w:pPr>
        <w:pStyle w:val="3"/>
        <w:spacing w:line="360" w:lineRule="auto"/>
        <w:ind w:firstLine="480"/>
      </w:pPr>
      <w:r>
        <w:t>表2为核心变量的描述性统计结果。宏观面板共包含5个国家、24年共120个国家</w:t>
      </w:r>
      <w:r>
        <w:rPr>
          <w:rFonts w:hint="eastAsia"/>
        </w:rPr>
        <w:t>-</w:t>
      </w:r>
      <w:r>
        <w:t>年份观测值。被解释变量lnCO₂极差较大；中国和印度作为发展中大国，lnPROUD与lnCO₂序列呈明显上升趋势。以中国为例，lnPROUD由初始观测期的11.75攀升至13.83左右，反映出工业化加速期的剧烈扩张属性。</w:t>
      </w:r>
    </w:p>
    <w:p w14:paraId="6F0C191C">
      <w:pPr>
        <w:keepNext/>
        <w:keepLines/>
        <w:jc w:val="center"/>
      </w:pPr>
      <w:r>
        <w:drawing>
          <wp:inline distT="0" distB="0" distL="0" distR="0">
            <wp:extent cx="5623560" cy="32397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1"/>
                    <a:stretch>
                      <a:fillRect/>
                    </a:stretch>
                  </pic:blipFill>
                  <pic:spPr>
                    <a:xfrm>
                      <a:off x="0" y="0"/>
                      <a:ext cx="5623560" cy="3240094"/>
                    </a:xfrm>
                    <a:prstGeom prst="rect">
                      <a:avLst/>
                    </a:prstGeom>
                  </pic:spPr>
                </pic:pic>
              </a:graphicData>
            </a:graphic>
          </wp:inline>
        </w:drawing>
      </w:r>
    </w:p>
    <w:p w14:paraId="3E2C28BB">
      <w:pPr>
        <w:pStyle w:val="6"/>
        <w:keepLines/>
        <w:spacing w:before="60" w:after="120"/>
        <w:jc w:val="center"/>
      </w:pPr>
      <w:r>
        <w:t>图 2  五国钢铁工业2000</w:t>
      </w:r>
      <w:r>
        <w:rPr>
          <w:rFonts w:hint="eastAsia"/>
        </w:rPr>
        <w:t>-</w:t>
      </w:r>
      <w:r>
        <w:t>2023年CO₂排放趋势</w:t>
      </w:r>
    </w:p>
    <w:p w14:paraId="3F235497">
      <w:pPr>
        <w:keepNext/>
        <w:keepLines/>
        <w:jc w:val="center"/>
      </w:pPr>
      <w:r>
        <w:drawing>
          <wp:inline distT="0" distB="0" distL="0" distR="0">
            <wp:extent cx="5623560" cy="31216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2"/>
                    <a:stretch>
                      <a:fillRect/>
                    </a:stretch>
                  </pic:blipFill>
                  <pic:spPr>
                    <a:xfrm>
                      <a:off x="0" y="0"/>
                      <a:ext cx="5623560" cy="3122229"/>
                    </a:xfrm>
                    <a:prstGeom prst="rect">
                      <a:avLst/>
                    </a:prstGeom>
                  </pic:spPr>
                </pic:pic>
              </a:graphicData>
            </a:graphic>
          </wp:inline>
        </w:drawing>
      </w:r>
    </w:p>
    <w:p w14:paraId="497109B5">
      <w:pPr>
        <w:pStyle w:val="6"/>
        <w:keepLines/>
        <w:spacing w:before="60" w:after="120"/>
        <w:jc w:val="center"/>
      </w:pPr>
      <w:r>
        <w:t>图 3  五国钢铁工业2000</w:t>
      </w:r>
      <w:r>
        <w:rPr>
          <w:rFonts w:hint="eastAsia"/>
        </w:rPr>
        <w:t>-</w:t>
      </w:r>
      <w:r>
        <w:t>2023年CO₂排放强度趋势</w:t>
      </w:r>
    </w:p>
    <w:p w14:paraId="108E5154">
      <w:pPr>
        <w:pStyle w:val="3"/>
        <w:ind w:firstLine="480"/>
        <w:rPr>
          <w:rStyle w:val="32"/>
          <w:rFonts w:eastAsia="宋体"/>
          <w:sz w:val="24"/>
          <w:szCs w:val="24"/>
        </w:rPr>
      </w:pPr>
      <w:r>
        <w:rPr>
          <w:rFonts w:hint="eastAsia"/>
        </w:rPr>
        <w:t>相比之下，美国与日本等发达国家</w:t>
      </w:r>
      <m:oMath>
        <m:r>
          <m:rPr>
            <m:sty m:val="p"/>
          </m:rPr>
          <w:rPr>
            <w:rFonts w:hint="eastAsia" w:ascii="Cambria Math" w:hAnsi="Cambria Math" w:cs="宋体"/>
          </w:rPr>
          <m:t>lnPROUD</m:t>
        </m:r>
      </m:oMath>
      <w:r>
        <w:rPr>
          <w:rFonts w:hint="eastAsia"/>
        </w:rPr>
        <w:t>序列波动幅度极小，甚至存在微幅的向下位移，反映出其国内粗钢总产量已进入存量博弈或平台期。此外，在金融发展指数（</w:t>
      </w:r>
      <m:oMath>
        <m:r>
          <m:rPr>
            <m:sty m:val="p"/>
          </m:rPr>
          <w:rPr>
            <w:rFonts w:hint="eastAsia" w:ascii="Cambria Math" w:hAnsi="Cambria Math" w:cs="宋体"/>
          </w:rPr>
          <m:t>FD</m:t>
        </m:r>
      </m:oMath>
      <w:r>
        <w:rPr>
          <w:rFonts w:hint="eastAsia"/>
        </w:rPr>
        <w:t>）这一维度上，发达国家样本常年维持在0.7至0.9的高位密集分布，而中印俄等国则分布在0.3至0.6的区间。这种横截面上的显著方差，为后续利用双向固定效应模型（Fixed Effects Model）剥离国家特有属性提供了坚实的方差基础。</w:t>
      </w:r>
      <w:r>
        <w:t>从对数变量看，</w:t>
      </w:r>
      <m:oMath>
        <m:r>
          <m:rPr>
            <m:sty m:val="p"/>
          </m:rPr>
          <w:rPr>
            <w:rFonts w:hint="eastAsia" w:ascii="Cambria Math" w:hAnsi="Cambria Math" w:cs="宋体"/>
          </w:rPr>
          <m:t>lnC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m:ctrlPr>
              <w:rPr>
                <w:rFonts w:hint="eastAsia" w:ascii="Cambria Math" w:hAnsi="Cambria Math" w:cs="宋体"/>
              </w:rPr>
            </m:ctrlPr>
          </m:sub>
        </m:sSub>
      </m:oMath>
      <w:r>
        <w:t>均值为</w:t>
      </w:r>
      <w:r>
        <w:rPr>
          <w:rFonts w:hint="eastAsia"/>
        </w:rPr>
        <w:t>11.87</w:t>
      </w:r>
      <w:r>
        <w:t>，标准差为</w:t>
      </w:r>
      <w:r>
        <w:rPr>
          <w:rFonts w:hint="eastAsia"/>
        </w:rPr>
        <w:t>1.02</w:t>
      </w:r>
      <w:r>
        <w:t>；</w:t>
      </w:r>
      <m:oMath>
        <m:r>
          <m:rPr>
            <m:sty m:val="p"/>
          </m:rPr>
          <w:rPr>
            <w:rFonts w:hint="eastAsia" w:ascii="Cambria Math" w:hAnsi="Cambria Math" w:cs="宋体"/>
          </w:rPr>
          <m:t>lnPROUD</m:t>
        </m:r>
      </m:oMath>
      <w:r>
        <w:t>均值为11.67，标准差为0.88。该结果说明，经过对数化处理后，变量尺度差异有所压缩，但国家之间的排放和产量差异仍然明显。因此，后续回归不能采用简单</w:t>
      </w:r>
      <w:r>
        <w:rPr>
          <w:rFonts w:hint="eastAsia"/>
        </w:rPr>
        <w:t>最小二乘估计</w:t>
      </w:r>
      <w:r>
        <w:t>OL</w:t>
      </w:r>
      <w:r>
        <w:rPr>
          <w:rFonts w:hint="eastAsia"/>
        </w:rPr>
        <w:t>S</w:t>
      </w:r>
      <w:r>
        <w:t>作为主要识别工具，而应使用国家固定效应控制资源</w:t>
      </w:r>
      <w:r>
        <w:rPr>
          <w:rFonts w:hint="eastAsia"/>
        </w:rPr>
        <w:t>集中</w:t>
      </w:r>
      <w:r>
        <w:t>、产业基础、能源结构和技术路径等不可观测差异。同时，由于2008年金融危机、2020年疫情冲击、能源价格波动和全球产业周期会同时影响多个国家，模型还需要加入年份固定效应以控制共同时间冲击。</w:t>
      </w:r>
    </w:p>
    <w:p w14:paraId="3ED2BE8F">
      <w:pPr>
        <w:pStyle w:val="6"/>
        <w:jc w:val="center"/>
      </w:pPr>
      <w:r>
        <w:t xml:space="preserve">表 </w:t>
      </w:r>
      <w:r>
        <w:fldChar w:fldCharType="begin"/>
      </w:r>
      <w:r>
        <w:instrText xml:space="preserve"> SEQ 表 \* ARABIC </w:instrText>
      </w:r>
      <w:r>
        <w:fldChar w:fldCharType="separate"/>
      </w:r>
      <w:r>
        <w:t>2</w:t>
      </w:r>
      <w:r>
        <w:fldChar w:fldCharType="end"/>
      </w:r>
      <w:r>
        <w:t xml:space="preserve">  全样本面板数据描述性统计</w:t>
      </w:r>
    </w:p>
    <w:tbl>
      <w:tblPr>
        <w:tblStyle w:val="30"/>
        <w:tblW w:w="8522" w:type="dxa"/>
        <w:jc w:val="center"/>
        <w:tblLayout w:type="autofit"/>
        <w:tblCellMar>
          <w:top w:w="0" w:type="dxa"/>
          <w:left w:w="108" w:type="dxa"/>
          <w:bottom w:w="0" w:type="dxa"/>
          <w:right w:w="108" w:type="dxa"/>
        </w:tblCellMar>
      </w:tblPr>
      <w:tblGrid>
        <w:gridCol w:w="1479"/>
        <w:gridCol w:w="1308"/>
        <w:gridCol w:w="1275"/>
        <w:gridCol w:w="1739"/>
        <w:gridCol w:w="1333"/>
        <w:gridCol w:w="1388"/>
      </w:tblGrid>
      <w:tr w14:paraId="6880D803">
        <w:tblPrEx>
          <w:tblCellMar>
            <w:top w:w="0" w:type="dxa"/>
            <w:left w:w="108" w:type="dxa"/>
            <w:bottom w:w="0" w:type="dxa"/>
            <w:right w:w="108" w:type="dxa"/>
          </w:tblCellMar>
        </w:tblPrEx>
        <w:trPr>
          <w:tblHeader/>
          <w:jc w:val="center"/>
        </w:trPr>
        <w:tc>
          <w:tcPr>
            <w:tcW w:w="1479" w:type="dxa"/>
            <w:tcBorders>
              <w:top w:val="single" w:color="auto" w:sz="6" w:space="0"/>
              <w:left w:val="nil"/>
              <w:bottom w:val="single" w:color="auto" w:sz="6" w:space="0"/>
              <w:right w:val="nil"/>
            </w:tcBorders>
            <w:tcMar>
              <w:top w:w="-1" w:type="dxa"/>
              <w:left w:w="-1" w:type="dxa"/>
              <w:bottom w:w="-1" w:type="dxa"/>
              <w:right w:w="-1" w:type="dxa"/>
            </w:tcMar>
            <w:vAlign w:val="center"/>
          </w:tcPr>
          <w:p w14:paraId="35E552E2">
            <w:pPr>
              <w:snapToGrid w:val="0"/>
              <w:spacing w:before="36" w:after="36"/>
              <w:jc w:val="center"/>
              <w:rPr>
                <w:b/>
                <w:sz w:val="24"/>
              </w:rPr>
            </w:pPr>
            <w:r>
              <w:rPr>
                <w:rFonts w:hint="eastAsia"/>
                <w:b/>
                <w:sz w:val="24"/>
              </w:rPr>
              <w:t>变量符号</w:t>
            </w:r>
          </w:p>
        </w:tc>
        <w:tc>
          <w:tcPr>
            <w:tcW w:w="1308" w:type="dxa"/>
            <w:tcBorders>
              <w:top w:val="single" w:color="auto" w:sz="6" w:space="0"/>
              <w:left w:val="nil"/>
              <w:bottom w:val="single" w:color="auto" w:sz="6" w:space="0"/>
              <w:right w:val="nil"/>
            </w:tcBorders>
            <w:tcMar>
              <w:top w:w="-1" w:type="dxa"/>
              <w:left w:w="-1" w:type="dxa"/>
              <w:bottom w:w="-1" w:type="dxa"/>
              <w:right w:w="-1" w:type="dxa"/>
            </w:tcMar>
            <w:vAlign w:val="center"/>
          </w:tcPr>
          <w:p w14:paraId="39A98743">
            <w:pPr>
              <w:snapToGrid w:val="0"/>
              <w:spacing w:before="36" w:after="36"/>
              <w:jc w:val="center"/>
              <w:rPr>
                <w:b/>
                <w:sz w:val="24"/>
              </w:rPr>
            </w:pPr>
            <w:r>
              <w:rPr>
                <w:rFonts w:hint="eastAsia"/>
                <w:b/>
                <w:sz w:val="24"/>
              </w:rPr>
              <w:t>N</w:t>
            </w:r>
          </w:p>
        </w:tc>
        <w:tc>
          <w:tcPr>
            <w:tcW w:w="1275" w:type="dxa"/>
            <w:tcBorders>
              <w:top w:val="single" w:color="auto" w:sz="6" w:space="0"/>
              <w:left w:val="nil"/>
              <w:bottom w:val="single" w:color="auto" w:sz="6" w:space="0"/>
              <w:right w:val="nil"/>
            </w:tcBorders>
            <w:tcMar>
              <w:top w:w="-1" w:type="dxa"/>
              <w:left w:w="-1" w:type="dxa"/>
              <w:bottom w:w="-1" w:type="dxa"/>
              <w:right w:w="-1" w:type="dxa"/>
            </w:tcMar>
            <w:vAlign w:val="center"/>
          </w:tcPr>
          <w:p w14:paraId="37B6E30B">
            <w:pPr>
              <w:snapToGrid w:val="0"/>
              <w:spacing w:before="36" w:after="36"/>
              <w:jc w:val="center"/>
              <w:rPr>
                <w:b/>
                <w:sz w:val="24"/>
              </w:rPr>
            </w:pPr>
            <w:r>
              <w:rPr>
                <w:rFonts w:hint="eastAsia"/>
                <w:b/>
                <w:sz w:val="24"/>
              </w:rPr>
              <w:t>均值</w:t>
            </w:r>
          </w:p>
          <w:p w14:paraId="7E30DE55">
            <w:pPr>
              <w:snapToGrid w:val="0"/>
              <w:spacing w:before="36" w:after="36"/>
              <w:jc w:val="center"/>
              <w:rPr>
                <w:b/>
                <w:sz w:val="24"/>
              </w:rPr>
            </w:pPr>
            <w:r>
              <w:rPr>
                <w:b/>
                <w:sz w:val="24"/>
              </w:rPr>
              <w:t>(Mean)</w:t>
            </w:r>
          </w:p>
        </w:tc>
        <w:tc>
          <w:tcPr>
            <w:tcW w:w="1739" w:type="dxa"/>
            <w:tcBorders>
              <w:top w:val="single" w:color="auto" w:sz="6" w:space="0"/>
              <w:left w:val="nil"/>
              <w:bottom w:val="single" w:color="auto" w:sz="6" w:space="0"/>
              <w:right w:val="nil"/>
            </w:tcBorders>
            <w:tcMar>
              <w:top w:w="-1" w:type="dxa"/>
              <w:left w:w="-1" w:type="dxa"/>
              <w:bottom w:w="-1" w:type="dxa"/>
              <w:right w:w="-1" w:type="dxa"/>
            </w:tcMar>
            <w:vAlign w:val="center"/>
          </w:tcPr>
          <w:p w14:paraId="33CE4BB4">
            <w:pPr>
              <w:snapToGrid w:val="0"/>
              <w:spacing w:before="36" w:after="36"/>
              <w:jc w:val="center"/>
              <w:rPr>
                <w:b/>
                <w:sz w:val="24"/>
              </w:rPr>
            </w:pPr>
            <w:r>
              <w:rPr>
                <w:rFonts w:hint="eastAsia"/>
                <w:b/>
                <w:sz w:val="24"/>
              </w:rPr>
              <w:t>标准差</w:t>
            </w:r>
          </w:p>
          <w:p w14:paraId="0C3B16BB">
            <w:pPr>
              <w:snapToGrid w:val="0"/>
              <w:spacing w:before="36" w:after="36"/>
              <w:jc w:val="center"/>
              <w:rPr>
                <w:b/>
                <w:sz w:val="24"/>
              </w:rPr>
            </w:pPr>
            <w:r>
              <w:rPr>
                <w:b/>
                <w:sz w:val="24"/>
              </w:rPr>
              <w:t>(Std.Dev.)</w:t>
            </w:r>
          </w:p>
        </w:tc>
        <w:tc>
          <w:tcPr>
            <w:tcW w:w="1333" w:type="dxa"/>
            <w:tcBorders>
              <w:top w:val="single" w:color="auto" w:sz="6" w:space="0"/>
              <w:left w:val="nil"/>
              <w:bottom w:val="single" w:color="auto" w:sz="6" w:space="0"/>
              <w:right w:val="nil"/>
            </w:tcBorders>
            <w:tcMar>
              <w:top w:w="-1" w:type="dxa"/>
              <w:left w:w="-1" w:type="dxa"/>
              <w:bottom w:w="-1" w:type="dxa"/>
              <w:right w:w="-1" w:type="dxa"/>
            </w:tcMar>
            <w:vAlign w:val="center"/>
          </w:tcPr>
          <w:p w14:paraId="51E3AB58">
            <w:pPr>
              <w:snapToGrid w:val="0"/>
              <w:spacing w:before="36" w:after="36"/>
              <w:jc w:val="center"/>
              <w:rPr>
                <w:b/>
                <w:sz w:val="24"/>
              </w:rPr>
            </w:pPr>
            <w:r>
              <w:rPr>
                <w:rFonts w:hint="eastAsia"/>
                <w:b/>
                <w:sz w:val="24"/>
              </w:rPr>
              <w:t>最小值</w:t>
            </w:r>
          </w:p>
          <w:p w14:paraId="26313DA4">
            <w:pPr>
              <w:snapToGrid w:val="0"/>
              <w:spacing w:before="36" w:after="36"/>
              <w:jc w:val="center"/>
              <w:rPr>
                <w:b/>
                <w:sz w:val="24"/>
              </w:rPr>
            </w:pPr>
            <w:r>
              <w:rPr>
                <w:b/>
                <w:sz w:val="24"/>
              </w:rPr>
              <w:t>(Min)</w:t>
            </w:r>
          </w:p>
        </w:tc>
        <w:tc>
          <w:tcPr>
            <w:tcW w:w="1388" w:type="dxa"/>
            <w:tcBorders>
              <w:top w:val="single" w:color="auto" w:sz="6" w:space="0"/>
              <w:left w:val="nil"/>
              <w:bottom w:val="single" w:color="auto" w:sz="6" w:space="0"/>
              <w:right w:val="nil"/>
            </w:tcBorders>
            <w:tcMar>
              <w:top w:w="-1" w:type="dxa"/>
              <w:left w:w="-1" w:type="dxa"/>
              <w:bottom w:w="-1" w:type="dxa"/>
              <w:right w:w="-1" w:type="dxa"/>
            </w:tcMar>
            <w:vAlign w:val="center"/>
          </w:tcPr>
          <w:p w14:paraId="4A167AEB">
            <w:pPr>
              <w:snapToGrid w:val="0"/>
              <w:spacing w:before="36" w:after="36"/>
              <w:jc w:val="center"/>
              <w:rPr>
                <w:b/>
                <w:sz w:val="24"/>
              </w:rPr>
            </w:pPr>
            <w:r>
              <w:rPr>
                <w:rFonts w:hint="eastAsia"/>
                <w:b/>
                <w:sz w:val="24"/>
              </w:rPr>
              <w:t>最大值</w:t>
            </w:r>
          </w:p>
          <w:p w14:paraId="5B766801">
            <w:pPr>
              <w:snapToGrid w:val="0"/>
              <w:spacing w:before="36" w:after="36"/>
              <w:jc w:val="center"/>
              <w:rPr>
                <w:b/>
                <w:sz w:val="24"/>
              </w:rPr>
            </w:pPr>
            <w:r>
              <w:rPr>
                <w:b/>
                <w:sz w:val="24"/>
              </w:rPr>
              <w:t>(Max)</w:t>
            </w:r>
          </w:p>
        </w:tc>
      </w:tr>
      <w:tr w14:paraId="76342C71">
        <w:tblPrEx>
          <w:tblCellMar>
            <w:top w:w="0" w:type="dxa"/>
            <w:left w:w="108" w:type="dxa"/>
            <w:bottom w:w="0" w:type="dxa"/>
            <w:right w:w="108" w:type="dxa"/>
          </w:tblCellMar>
        </w:tblPrEx>
        <w:trPr>
          <w:jc w:val="center"/>
        </w:trPr>
        <w:tc>
          <w:tcPr>
            <w:tcW w:w="1479" w:type="dxa"/>
            <w:tcBorders>
              <w:top w:val="single" w:color="auto" w:sz="6" w:space="0"/>
              <w:left w:val="nil"/>
              <w:bottom w:val="nil"/>
              <w:right w:val="nil"/>
            </w:tcBorders>
            <w:tcMar>
              <w:top w:w="-1" w:type="dxa"/>
              <w:left w:w="-1" w:type="dxa"/>
              <w:bottom w:w="-1" w:type="dxa"/>
              <w:right w:w="-1" w:type="dxa"/>
            </w:tcMar>
            <w:vAlign w:val="center"/>
          </w:tcPr>
          <w:p w14:paraId="31EBC947">
            <w:r>
              <w:t>lnCO₂</w:t>
            </w:r>
          </w:p>
        </w:tc>
        <w:tc>
          <w:tcPr>
            <w:tcW w:w="1308" w:type="dxa"/>
            <w:tcBorders>
              <w:top w:val="single" w:color="auto" w:sz="6" w:space="0"/>
              <w:left w:val="nil"/>
              <w:bottom w:val="nil"/>
              <w:right w:val="nil"/>
            </w:tcBorders>
            <w:tcMar>
              <w:top w:w="-1" w:type="dxa"/>
              <w:left w:w="-1" w:type="dxa"/>
              <w:bottom w:w="-1" w:type="dxa"/>
              <w:right w:w="-1" w:type="dxa"/>
            </w:tcMar>
            <w:vAlign w:val="center"/>
          </w:tcPr>
          <w:p w14:paraId="3D9568A2">
            <w:pPr>
              <w:snapToGrid w:val="0"/>
              <w:spacing w:before="36" w:after="36"/>
              <w:jc w:val="center"/>
              <w:rPr>
                <w:sz w:val="24"/>
              </w:rPr>
            </w:pPr>
            <w:r>
              <w:rPr>
                <w:sz w:val="24"/>
              </w:rPr>
              <w:t>120</w:t>
            </w:r>
          </w:p>
        </w:tc>
        <w:tc>
          <w:tcPr>
            <w:tcW w:w="1275" w:type="dxa"/>
            <w:tcBorders>
              <w:top w:val="single" w:color="auto" w:sz="6" w:space="0"/>
              <w:left w:val="nil"/>
              <w:bottom w:val="nil"/>
              <w:right w:val="nil"/>
            </w:tcBorders>
            <w:tcMar>
              <w:top w:w="-1" w:type="dxa"/>
              <w:left w:w="-1" w:type="dxa"/>
              <w:bottom w:w="-1" w:type="dxa"/>
              <w:right w:w="-1" w:type="dxa"/>
            </w:tcMar>
            <w:vAlign w:val="center"/>
          </w:tcPr>
          <w:p w14:paraId="27DBDF67">
            <w:pPr>
              <w:widowControl/>
              <w:jc w:val="center"/>
              <w:textAlignment w:val="bottom"/>
              <w:rPr>
                <w:sz w:val="24"/>
              </w:rPr>
            </w:pPr>
            <w:r>
              <w:rPr>
                <w:rFonts w:hint="eastAsia" w:cs="宋体"/>
                <w:kern w:val="0"/>
                <w:sz w:val="24"/>
                <w:lang w:bidi="ar"/>
              </w:rPr>
              <w:t>11.87</w:t>
            </w:r>
          </w:p>
        </w:tc>
        <w:tc>
          <w:tcPr>
            <w:tcW w:w="1739" w:type="dxa"/>
            <w:tcBorders>
              <w:top w:val="single" w:color="auto" w:sz="6" w:space="0"/>
              <w:left w:val="nil"/>
              <w:bottom w:val="nil"/>
              <w:right w:val="nil"/>
            </w:tcBorders>
            <w:tcMar>
              <w:top w:w="-1" w:type="dxa"/>
              <w:left w:w="-1" w:type="dxa"/>
              <w:bottom w:w="-1" w:type="dxa"/>
              <w:right w:w="-1" w:type="dxa"/>
            </w:tcMar>
            <w:vAlign w:val="center"/>
          </w:tcPr>
          <w:p w14:paraId="39163003">
            <w:pPr>
              <w:widowControl/>
              <w:jc w:val="center"/>
              <w:textAlignment w:val="bottom"/>
              <w:rPr>
                <w:sz w:val="24"/>
              </w:rPr>
            </w:pPr>
            <w:r>
              <w:rPr>
                <w:rFonts w:hint="eastAsia" w:cs="宋体"/>
                <w:kern w:val="0"/>
                <w:sz w:val="24"/>
                <w:lang w:bidi="ar"/>
              </w:rPr>
              <w:t>1.02</w:t>
            </w:r>
          </w:p>
        </w:tc>
        <w:tc>
          <w:tcPr>
            <w:tcW w:w="1333" w:type="dxa"/>
            <w:tcBorders>
              <w:top w:val="single" w:color="auto" w:sz="6" w:space="0"/>
              <w:left w:val="nil"/>
              <w:bottom w:val="nil"/>
              <w:right w:val="nil"/>
            </w:tcBorders>
            <w:tcMar>
              <w:top w:w="-1" w:type="dxa"/>
              <w:left w:w="-1" w:type="dxa"/>
              <w:bottom w:w="-1" w:type="dxa"/>
              <w:right w:w="-1" w:type="dxa"/>
            </w:tcMar>
            <w:vAlign w:val="center"/>
          </w:tcPr>
          <w:p w14:paraId="233CA268">
            <w:pPr>
              <w:widowControl/>
              <w:jc w:val="center"/>
              <w:textAlignment w:val="bottom"/>
              <w:rPr>
                <w:sz w:val="24"/>
              </w:rPr>
            </w:pPr>
            <w:r>
              <w:rPr>
                <w:rFonts w:hint="eastAsia" w:cs="宋体"/>
                <w:kern w:val="0"/>
                <w:sz w:val="24"/>
                <w:lang w:bidi="ar"/>
              </w:rPr>
              <w:t>10.38</w:t>
            </w:r>
          </w:p>
        </w:tc>
        <w:tc>
          <w:tcPr>
            <w:tcW w:w="1388" w:type="dxa"/>
            <w:tcBorders>
              <w:top w:val="single" w:color="auto" w:sz="6" w:space="0"/>
              <w:left w:val="nil"/>
              <w:bottom w:val="nil"/>
              <w:right w:val="nil"/>
            </w:tcBorders>
            <w:tcMar>
              <w:top w:w="-1" w:type="dxa"/>
              <w:left w:w="-1" w:type="dxa"/>
              <w:bottom w:w="-1" w:type="dxa"/>
              <w:right w:w="-1" w:type="dxa"/>
            </w:tcMar>
            <w:vAlign w:val="center"/>
          </w:tcPr>
          <w:p w14:paraId="682F35E9">
            <w:pPr>
              <w:widowControl/>
              <w:jc w:val="center"/>
              <w:textAlignment w:val="bottom"/>
              <w:rPr>
                <w:sz w:val="24"/>
              </w:rPr>
            </w:pPr>
            <w:r>
              <w:rPr>
                <w:rFonts w:hint="eastAsia" w:cs="宋体"/>
                <w:kern w:val="0"/>
                <w:sz w:val="24"/>
                <w:lang w:bidi="ar"/>
              </w:rPr>
              <w:t>14.15</w:t>
            </w:r>
          </w:p>
        </w:tc>
      </w:tr>
      <w:tr w14:paraId="3C89AA68">
        <w:tblPrEx>
          <w:tblCellMar>
            <w:top w:w="0" w:type="dxa"/>
            <w:left w:w="108" w:type="dxa"/>
            <w:bottom w:w="0" w:type="dxa"/>
            <w:right w:w="108" w:type="dxa"/>
          </w:tblCellMar>
        </w:tblPrEx>
        <w:trPr>
          <w:jc w:val="center"/>
        </w:trPr>
        <w:tc>
          <w:tcPr>
            <w:tcW w:w="1479" w:type="dxa"/>
            <w:tcBorders>
              <w:top w:val="nil"/>
              <w:left w:val="nil"/>
              <w:bottom w:val="nil"/>
              <w:right w:val="nil"/>
            </w:tcBorders>
            <w:tcMar>
              <w:top w:w="-1" w:type="dxa"/>
              <w:left w:w="-1" w:type="dxa"/>
              <w:bottom w:w="-1" w:type="dxa"/>
              <w:right w:w="-1" w:type="dxa"/>
            </w:tcMar>
            <w:vAlign w:val="center"/>
          </w:tcPr>
          <w:p w14:paraId="4A99F478">
            <w:r>
              <w:t>lnPROUD</w:t>
            </w:r>
          </w:p>
        </w:tc>
        <w:tc>
          <w:tcPr>
            <w:tcW w:w="1308" w:type="dxa"/>
            <w:tcBorders>
              <w:top w:val="nil"/>
              <w:left w:val="nil"/>
              <w:bottom w:val="nil"/>
              <w:right w:val="nil"/>
            </w:tcBorders>
            <w:tcMar>
              <w:top w:w="-1" w:type="dxa"/>
              <w:left w:w="-1" w:type="dxa"/>
              <w:bottom w:w="-1" w:type="dxa"/>
              <w:right w:w="-1" w:type="dxa"/>
            </w:tcMar>
            <w:vAlign w:val="center"/>
          </w:tcPr>
          <w:p w14:paraId="0F447E88">
            <w:pPr>
              <w:snapToGrid w:val="0"/>
              <w:spacing w:before="36" w:after="36"/>
              <w:jc w:val="center"/>
              <w:rPr>
                <w:sz w:val="24"/>
              </w:rPr>
            </w:pPr>
            <w:r>
              <w:rPr>
                <w:sz w:val="24"/>
              </w:rPr>
              <w:t>120</w:t>
            </w:r>
          </w:p>
        </w:tc>
        <w:tc>
          <w:tcPr>
            <w:tcW w:w="1275" w:type="dxa"/>
            <w:tcBorders>
              <w:top w:val="nil"/>
              <w:left w:val="nil"/>
              <w:bottom w:val="nil"/>
              <w:right w:val="nil"/>
            </w:tcBorders>
            <w:tcMar>
              <w:top w:w="-1" w:type="dxa"/>
              <w:left w:w="-1" w:type="dxa"/>
              <w:bottom w:w="-1" w:type="dxa"/>
              <w:right w:w="-1" w:type="dxa"/>
            </w:tcMar>
            <w:vAlign w:val="center"/>
          </w:tcPr>
          <w:p w14:paraId="51B6E033">
            <w:pPr>
              <w:widowControl/>
              <w:jc w:val="center"/>
              <w:textAlignment w:val="bottom"/>
              <w:rPr>
                <w:sz w:val="24"/>
              </w:rPr>
            </w:pPr>
            <w:r>
              <w:rPr>
                <w:rFonts w:hint="eastAsia" w:cs="宋体"/>
                <w:kern w:val="0"/>
                <w:sz w:val="24"/>
                <w:lang w:bidi="ar"/>
              </w:rPr>
              <w:t>11.67</w:t>
            </w:r>
          </w:p>
        </w:tc>
        <w:tc>
          <w:tcPr>
            <w:tcW w:w="1739" w:type="dxa"/>
            <w:tcBorders>
              <w:top w:val="nil"/>
              <w:left w:val="nil"/>
              <w:bottom w:val="nil"/>
              <w:right w:val="nil"/>
            </w:tcBorders>
            <w:tcMar>
              <w:top w:w="-1" w:type="dxa"/>
              <w:left w:w="-1" w:type="dxa"/>
              <w:bottom w:w="-1" w:type="dxa"/>
              <w:right w:w="-1" w:type="dxa"/>
            </w:tcMar>
            <w:vAlign w:val="center"/>
          </w:tcPr>
          <w:p w14:paraId="6FC3F897">
            <w:pPr>
              <w:widowControl/>
              <w:jc w:val="center"/>
              <w:textAlignment w:val="bottom"/>
              <w:rPr>
                <w:sz w:val="24"/>
              </w:rPr>
            </w:pPr>
            <w:r>
              <w:rPr>
                <w:rFonts w:hint="eastAsia" w:cs="宋体"/>
                <w:kern w:val="0"/>
                <w:sz w:val="24"/>
                <w:lang w:bidi="ar"/>
              </w:rPr>
              <w:t>0.88</w:t>
            </w:r>
          </w:p>
        </w:tc>
        <w:tc>
          <w:tcPr>
            <w:tcW w:w="1333" w:type="dxa"/>
            <w:tcBorders>
              <w:top w:val="nil"/>
              <w:left w:val="nil"/>
              <w:bottom w:val="nil"/>
              <w:right w:val="nil"/>
            </w:tcBorders>
            <w:tcMar>
              <w:top w:w="-1" w:type="dxa"/>
              <w:left w:w="-1" w:type="dxa"/>
              <w:bottom w:w="-1" w:type="dxa"/>
              <w:right w:w="-1" w:type="dxa"/>
            </w:tcMar>
            <w:vAlign w:val="center"/>
          </w:tcPr>
          <w:p w14:paraId="4C24A08E">
            <w:pPr>
              <w:widowControl/>
              <w:jc w:val="center"/>
              <w:textAlignment w:val="bottom"/>
              <w:rPr>
                <w:sz w:val="24"/>
              </w:rPr>
            </w:pPr>
            <w:r>
              <w:rPr>
                <w:rFonts w:hint="eastAsia" w:cs="宋体"/>
                <w:kern w:val="0"/>
                <w:sz w:val="24"/>
                <w:lang w:bidi="ar"/>
              </w:rPr>
              <w:t>10.20</w:t>
            </w:r>
          </w:p>
        </w:tc>
        <w:tc>
          <w:tcPr>
            <w:tcW w:w="1388" w:type="dxa"/>
            <w:tcBorders>
              <w:top w:val="nil"/>
              <w:left w:val="nil"/>
              <w:bottom w:val="nil"/>
              <w:right w:val="nil"/>
            </w:tcBorders>
            <w:tcMar>
              <w:top w:w="-1" w:type="dxa"/>
              <w:left w:w="-1" w:type="dxa"/>
              <w:bottom w:w="-1" w:type="dxa"/>
              <w:right w:w="-1" w:type="dxa"/>
            </w:tcMar>
            <w:vAlign w:val="center"/>
          </w:tcPr>
          <w:p w14:paraId="34305069">
            <w:pPr>
              <w:widowControl/>
              <w:jc w:val="center"/>
              <w:textAlignment w:val="bottom"/>
              <w:rPr>
                <w:sz w:val="24"/>
              </w:rPr>
            </w:pPr>
            <w:r>
              <w:rPr>
                <w:rFonts w:hint="eastAsia" w:cs="宋体"/>
                <w:kern w:val="0"/>
                <w:sz w:val="24"/>
                <w:lang w:bidi="ar"/>
              </w:rPr>
              <w:t>13.88</w:t>
            </w:r>
          </w:p>
        </w:tc>
      </w:tr>
      <w:tr w14:paraId="4E9D3D79">
        <w:tblPrEx>
          <w:tblCellMar>
            <w:top w:w="0" w:type="dxa"/>
            <w:left w:w="108" w:type="dxa"/>
            <w:bottom w:w="0" w:type="dxa"/>
            <w:right w:w="108" w:type="dxa"/>
          </w:tblCellMar>
        </w:tblPrEx>
        <w:trPr>
          <w:jc w:val="center"/>
        </w:trPr>
        <w:tc>
          <w:tcPr>
            <w:tcW w:w="1479" w:type="dxa"/>
            <w:tcBorders>
              <w:top w:val="nil"/>
              <w:left w:val="nil"/>
              <w:bottom w:val="nil"/>
              <w:right w:val="nil"/>
            </w:tcBorders>
            <w:tcMar>
              <w:top w:w="-1" w:type="dxa"/>
              <w:left w:w="-1" w:type="dxa"/>
              <w:bottom w:w="-1" w:type="dxa"/>
              <w:right w:w="-1" w:type="dxa"/>
            </w:tcMar>
            <w:vAlign w:val="center"/>
          </w:tcPr>
          <w:p w14:paraId="085B1E98">
            <w:r>
              <w:t>lnURBAN</w:t>
            </w:r>
          </w:p>
        </w:tc>
        <w:tc>
          <w:tcPr>
            <w:tcW w:w="1308" w:type="dxa"/>
            <w:tcBorders>
              <w:top w:val="nil"/>
              <w:left w:val="nil"/>
              <w:bottom w:val="nil"/>
              <w:right w:val="nil"/>
            </w:tcBorders>
            <w:tcMar>
              <w:top w:w="-1" w:type="dxa"/>
              <w:left w:w="-1" w:type="dxa"/>
              <w:bottom w:w="-1" w:type="dxa"/>
              <w:right w:w="-1" w:type="dxa"/>
            </w:tcMar>
            <w:vAlign w:val="center"/>
          </w:tcPr>
          <w:p w14:paraId="2AB15349">
            <w:pPr>
              <w:snapToGrid w:val="0"/>
              <w:spacing w:before="36" w:after="36"/>
              <w:jc w:val="center"/>
              <w:rPr>
                <w:sz w:val="24"/>
              </w:rPr>
            </w:pPr>
            <w:r>
              <w:rPr>
                <w:sz w:val="24"/>
              </w:rPr>
              <w:t>120</w:t>
            </w:r>
          </w:p>
        </w:tc>
        <w:tc>
          <w:tcPr>
            <w:tcW w:w="1275" w:type="dxa"/>
            <w:tcBorders>
              <w:top w:val="nil"/>
              <w:left w:val="nil"/>
              <w:bottom w:val="nil"/>
              <w:right w:val="nil"/>
            </w:tcBorders>
            <w:tcMar>
              <w:top w:w="-1" w:type="dxa"/>
              <w:left w:w="-1" w:type="dxa"/>
              <w:bottom w:w="-1" w:type="dxa"/>
              <w:right w:w="-1" w:type="dxa"/>
            </w:tcMar>
            <w:vAlign w:val="center"/>
          </w:tcPr>
          <w:p w14:paraId="6FD4D57C">
            <w:pPr>
              <w:widowControl/>
              <w:jc w:val="center"/>
              <w:textAlignment w:val="bottom"/>
              <w:rPr>
                <w:sz w:val="24"/>
              </w:rPr>
            </w:pPr>
            <w:r>
              <w:rPr>
                <w:rFonts w:hint="eastAsia" w:cs="宋体"/>
                <w:kern w:val="0"/>
                <w:sz w:val="24"/>
                <w:lang w:bidi="ar"/>
              </w:rPr>
              <w:t>19.30</w:t>
            </w:r>
          </w:p>
        </w:tc>
        <w:tc>
          <w:tcPr>
            <w:tcW w:w="1739" w:type="dxa"/>
            <w:tcBorders>
              <w:top w:val="nil"/>
              <w:left w:val="nil"/>
              <w:bottom w:val="nil"/>
              <w:right w:val="nil"/>
            </w:tcBorders>
            <w:tcMar>
              <w:top w:w="-1" w:type="dxa"/>
              <w:left w:w="-1" w:type="dxa"/>
              <w:bottom w:w="-1" w:type="dxa"/>
              <w:right w:w="-1" w:type="dxa"/>
            </w:tcMar>
            <w:vAlign w:val="center"/>
          </w:tcPr>
          <w:p w14:paraId="530ED834">
            <w:pPr>
              <w:widowControl/>
              <w:jc w:val="center"/>
              <w:textAlignment w:val="bottom"/>
              <w:rPr>
                <w:sz w:val="24"/>
              </w:rPr>
            </w:pPr>
            <w:r>
              <w:rPr>
                <w:rFonts w:hint="eastAsia" w:cs="宋体"/>
                <w:kern w:val="0"/>
                <w:sz w:val="24"/>
                <w:lang w:bidi="ar"/>
              </w:rPr>
              <w:t>0.73</w:t>
            </w:r>
          </w:p>
        </w:tc>
        <w:tc>
          <w:tcPr>
            <w:tcW w:w="1333" w:type="dxa"/>
            <w:tcBorders>
              <w:top w:val="nil"/>
              <w:left w:val="nil"/>
              <w:bottom w:val="nil"/>
              <w:right w:val="nil"/>
            </w:tcBorders>
            <w:tcMar>
              <w:top w:w="-1" w:type="dxa"/>
              <w:left w:w="-1" w:type="dxa"/>
              <w:bottom w:w="-1" w:type="dxa"/>
              <w:right w:w="-1" w:type="dxa"/>
            </w:tcMar>
            <w:vAlign w:val="center"/>
          </w:tcPr>
          <w:p w14:paraId="7B891AEE">
            <w:pPr>
              <w:widowControl/>
              <w:jc w:val="center"/>
              <w:textAlignment w:val="bottom"/>
              <w:rPr>
                <w:sz w:val="24"/>
              </w:rPr>
            </w:pPr>
            <w:r>
              <w:rPr>
                <w:rFonts w:hint="eastAsia" w:cs="宋体"/>
                <w:kern w:val="0"/>
                <w:sz w:val="24"/>
                <w:lang w:bidi="ar"/>
              </w:rPr>
              <w:t>18.42</w:t>
            </w:r>
          </w:p>
        </w:tc>
        <w:tc>
          <w:tcPr>
            <w:tcW w:w="1388" w:type="dxa"/>
            <w:tcBorders>
              <w:top w:val="nil"/>
              <w:left w:val="nil"/>
              <w:bottom w:val="nil"/>
              <w:right w:val="nil"/>
            </w:tcBorders>
            <w:tcMar>
              <w:top w:w="-1" w:type="dxa"/>
              <w:left w:w="-1" w:type="dxa"/>
              <w:bottom w:w="-1" w:type="dxa"/>
              <w:right w:w="-1" w:type="dxa"/>
            </w:tcMar>
            <w:vAlign w:val="center"/>
          </w:tcPr>
          <w:p w14:paraId="55DB06B5">
            <w:pPr>
              <w:widowControl/>
              <w:jc w:val="center"/>
              <w:textAlignment w:val="bottom"/>
              <w:rPr>
                <w:sz w:val="24"/>
              </w:rPr>
            </w:pPr>
            <w:r>
              <w:rPr>
                <w:rFonts w:hint="eastAsia" w:cs="宋体"/>
                <w:kern w:val="0"/>
                <w:sz w:val="24"/>
                <w:lang w:bidi="ar"/>
              </w:rPr>
              <w:t>20.64</w:t>
            </w:r>
          </w:p>
        </w:tc>
      </w:tr>
      <w:tr w14:paraId="06898173">
        <w:tblPrEx>
          <w:tblCellMar>
            <w:top w:w="0" w:type="dxa"/>
            <w:left w:w="108" w:type="dxa"/>
            <w:bottom w:w="0" w:type="dxa"/>
            <w:right w:w="108" w:type="dxa"/>
          </w:tblCellMar>
        </w:tblPrEx>
        <w:trPr>
          <w:jc w:val="center"/>
        </w:trPr>
        <w:tc>
          <w:tcPr>
            <w:tcW w:w="1479" w:type="dxa"/>
            <w:tcBorders>
              <w:top w:val="nil"/>
              <w:left w:val="nil"/>
              <w:bottom w:val="nil"/>
              <w:right w:val="nil"/>
            </w:tcBorders>
            <w:tcMar>
              <w:top w:w="-1" w:type="dxa"/>
              <w:left w:w="-1" w:type="dxa"/>
              <w:bottom w:w="-1" w:type="dxa"/>
              <w:right w:w="-1" w:type="dxa"/>
            </w:tcMar>
            <w:vAlign w:val="center"/>
          </w:tcPr>
          <w:p w14:paraId="014C1E22">
            <w:r>
              <w:t>lnRGDP</w:t>
            </w:r>
          </w:p>
        </w:tc>
        <w:tc>
          <w:tcPr>
            <w:tcW w:w="1308" w:type="dxa"/>
            <w:tcBorders>
              <w:top w:val="nil"/>
              <w:left w:val="nil"/>
              <w:bottom w:val="nil"/>
              <w:right w:val="nil"/>
            </w:tcBorders>
            <w:tcMar>
              <w:top w:w="-1" w:type="dxa"/>
              <w:left w:w="-1" w:type="dxa"/>
              <w:bottom w:w="-1" w:type="dxa"/>
              <w:right w:w="-1" w:type="dxa"/>
            </w:tcMar>
            <w:vAlign w:val="center"/>
          </w:tcPr>
          <w:p w14:paraId="602CA34A">
            <w:pPr>
              <w:snapToGrid w:val="0"/>
              <w:spacing w:before="36" w:after="36"/>
              <w:jc w:val="center"/>
              <w:rPr>
                <w:sz w:val="24"/>
              </w:rPr>
            </w:pPr>
            <w:r>
              <w:rPr>
                <w:sz w:val="24"/>
              </w:rPr>
              <w:t>120</w:t>
            </w:r>
          </w:p>
        </w:tc>
        <w:tc>
          <w:tcPr>
            <w:tcW w:w="1275" w:type="dxa"/>
            <w:tcBorders>
              <w:top w:val="nil"/>
              <w:left w:val="nil"/>
              <w:bottom w:val="nil"/>
              <w:right w:val="nil"/>
            </w:tcBorders>
            <w:tcMar>
              <w:top w:w="-1" w:type="dxa"/>
              <w:left w:w="-1" w:type="dxa"/>
              <w:bottom w:w="-1" w:type="dxa"/>
              <w:right w:w="-1" w:type="dxa"/>
            </w:tcMar>
            <w:vAlign w:val="center"/>
          </w:tcPr>
          <w:p w14:paraId="2B813CC8">
            <w:pPr>
              <w:widowControl/>
              <w:jc w:val="center"/>
              <w:textAlignment w:val="bottom"/>
              <w:rPr>
                <w:sz w:val="24"/>
              </w:rPr>
            </w:pPr>
            <w:r>
              <w:rPr>
                <w:rFonts w:hint="eastAsia" w:cs="宋体"/>
                <w:kern w:val="0"/>
                <w:sz w:val="24"/>
                <w:lang w:bidi="ar"/>
              </w:rPr>
              <w:t>9.25</w:t>
            </w:r>
          </w:p>
        </w:tc>
        <w:tc>
          <w:tcPr>
            <w:tcW w:w="1739" w:type="dxa"/>
            <w:tcBorders>
              <w:top w:val="nil"/>
              <w:left w:val="nil"/>
              <w:bottom w:val="nil"/>
              <w:right w:val="nil"/>
            </w:tcBorders>
            <w:tcMar>
              <w:top w:w="-1" w:type="dxa"/>
              <w:left w:w="-1" w:type="dxa"/>
              <w:bottom w:w="-1" w:type="dxa"/>
              <w:right w:w="-1" w:type="dxa"/>
            </w:tcMar>
            <w:vAlign w:val="center"/>
          </w:tcPr>
          <w:p w14:paraId="18057D01">
            <w:pPr>
              <w:widowControl/>
              <w:jc w:val="center"/>
              <w:textAlignment w:val="bottom"/>
              <w:rPr>
                <w:sz w:val="24"/>
              </w:rPr>
            </w:pPr>
            <w:r>
              <w:rPr>
                <w:rFonts w:hint="eastAsia" w:cs="宋体"/>
                <w:kern w:val="0"/>
                <w:sz w:val="24"/>
                <w:lang w:bidi="ar"/>
              </w:rPr>
              <w:t>1.37</w:t>
            </w:r>
          </w:p>
        </w:tc>
        <w:tc>
          <w:tcPr>
            <w:tcW w:w="1333" w:type="dxa"/>
            <w:tcBorders>
              <w:top w:val="nil"/>
              <w:left w:val="nil"/>
              <w:bottom w:val="nil"/>
              <w:right w:val="nil"/>
            </w:tcBorders>
            <w:tcMar>
              <w:top w:w="-1" w:type="dxa"/>
              <w:left w:w="-1" w:type="dxa"/>
              <w:bottom w:w="-1" w:type="dxa"/>
              <w:right w:w="-1" w:type="dxa"/>
            </w:tcMar>
            <w:vAlign w:val="center"/>
          </w:tcPr>
          <w:p w14:paraId="2599599F">
            <w:pPr>
              <w:widowControl/>
              <w:jc w:val="center"/>
              <w:textAlignment w:val="bottom"/>
              <w:rPr>
                <w:sz w:val="24"/>
              </w:rPr>
            </w:pPr>
            <w:r>
              <w:rPr>
                <w:rFonts w:hint="eastAsia" w:cs="宋体"/>
                <w:kern w:val="0"/>
                <w:sz w:val="24"/>
                <w:lang w:bidi="ar"/>
              </w:rPr>
              <w:t>6.63</w:t>
            </w:r>
          </w:p>
        </w:tc>
        <w:tc>
          <w:tcPr>
            <w:tcW w:w="1388" w:type="dxa"/>
            <w:tcBorders>
              <w:top w:val="nil"/>
              <w:left w:val="nil"/>
              <w:bottom w:val="nil"/>
              <w:right w:val="nil"/>
            </w:tcBorders>
            <w:tcMar>
              <w:top w:w="-1" w:type="dxa"/>
              <w:left w:w="-1" w:type="dxa"/>
              <w:bottom w:w="-1" w:type="dxa"/>
              <w:right w:w="-1" w:type="dxa"/>
            </w:tcMar>
            <w:vAlign w:val="center"/>
          </w:tcPr>
          <w:p w14:paraId="070FDC77">
            <w:pPr>
              <w:widowControl/>
              <w:jc w:val="center"/>
              <w:textAlignment w:val="bottom"/>
              <w:rPr>
                <w:sz w:val="24"/>
              </w:rPr>
            </w:pPr>
            <w:r>
              <w:rPr>
                <w:rFonts w:hint="eastAsia" w:cs="宋体"/>
                <w:kern w:val="0"/>
                <w:sz w:val="24"/>
                <w:lang w:bidi="ar"/>
              </w:rPr>
              <w:t>11.09</w:t>
            </w:r>
          </w:p>
        </w:tc>
      </w:tr>
      <w:tr w14:paraId="7E23702D">
        <w:tblPrEx>
          <w:tblCellMar>
            <w:top w:w="0" w:type="dxa"/>
            <w:left w:w="108" w:type="dxa"/>
            <w:bottom w:w="0" w:type="dxa"/>
            <w:right w:w="108" w:type="dxa"/>
          </w:tblCellMar>
        </w:tblPrEx>
        <w:trPr>
          <w:jc w:val="center"/>
        </w:trPr>
        <w:tc>
          <w:tcPr>
            <w:tcW w:w="1479" w:type="dxa"/>
            <w:tcBorders>
              <w:top w:val="nil"/>
              <w:left w:val="nil"/>
              <w:bottom w:val="nil"/>
              <w:right w:val="nil"/>
            </w:tcBorders>
            <w:tcMar>
              <w:top w:w="-1" w:type="dxa"/>
              <w:left w:w="-1" w:type="dxa"/>
              <w:bottom w:w="-1" w:type="dxa"/>
              <w:right w:w="-1" w:type="dxa"/>
            </w:tcMar>
            <w:vAlign w:val="center"/>
          </w:tcPr>
          <w:p w14:paraId="6437BF70">
            <w:r>
              <w:t>(lnRGDP)²</w:t>
            </w:r>
          </w:p>
        </w:tc>
        <w:tc>
          <w:tcPr>
            <w:tcW w:w="1308" w:type="dxa"/>
            <w:tcBorders>
              <w:top w:val="nil"/>
              <w:left w:val="nil"/>
              <w:bottom w:val="nil"/>
              <w:right w:val="nil"/>
            </w:tcBorders>
            <w:tcMar>
              <w:top w:w="-1" w:type="dxa"/>
              <w:left w:w="-1" w:type="dxa"/>
              <w:bottom w:w="-1" w:type="dxa"/>
              <w:right w:w="-1" w:type="dxa"/>
            </w:tcMar>
            <w:vAlign w:val="center"/>
          </w:tcPr>
          <w:p w14:paraId="49B82166">
            <w:pPr>
              <w:snapToGrid w:val="0"/>
              <w:spacing w:before="36" w:after="36"/>
              <w:jc w:val="center"/>
              <w:rPr>
                <w:sz w:val="24"/>
              </w:rPr>
            </w:pPr>
            <w:r>
              <w:rPr>
                <w:rFonts w:hint="eastAsia"/>
                <w:sz w:val="24"/>
              </w:rPr>
              <w:t>120</w:t>
            </w:r>
          </w:p>
        </w:tc>
        <w:tc>
          <w:tcPr>
            <w:tcW w:w="1275" w:type="dxa"/>
            <w:tcBorders>
              <w:top w:val="nil"/>
              <w:left w:val="nil"/>
              <w:bottom w:val="nil"/>
              <w:right w:val="nil"/>
            </w:tcBorders>
            <w:tcMar>
              <w:top w:w="-1" w:type="dxa"/>
              <w:left w:w="-1" w:type="dxa"/>
              <w:bottom w:w="-1" w:type="dxa"/>
              <w:right w:w="-1" w:type="dxa"/>
            </w:tcMar>
            <w:vAlign w:val="center"/>
          </w:tcPr>
          <w:p w14:paraId="37E62D9B">
            <w:pPr>
              <w:widowControl/>
              <w:jc w:val="center"/>
              <w:textAlignment w:val="bottom"/>
              <w:rPr>
                <w:sz w:val="24"/>
              </w:rPr>
            </w:pPr>
            <w:r>
              <w:rPr>
                <w:rFonts w:hint="eastAsia" w:cs="宋体"/>
                <w:kern w:val="0"/>
                <w:sz w:val="24"/>
                <w:lang w:bidi="ar"/>
              </w:rPr>
              <w:t>87.38</w:t>
            </w:r>
          </w:p>
        </w:tc>
        <w:tc>
          <w:tcPr>
            <w:tcW w:w="1739" w:type="dxa"/>
            <w:tcBorders>
              <w:top w:val="nil"/>
              <w:left w:val="nil"/>
              <w:bottom w:val="nil"/>
              <w:right w:val="nil"/>
            </w:tcBorders>
            <w:tcMar>
              <w:top w:w="-1" w:type="dxa"/>
              <w:left w:w="-1" w:type="dxa"/>
              <w:bottom w:w="-1" w:type="dxa"/>
              <w:right w:w="-1" w:type="dxa"/>
            </w:tcMar>
            <w:vAlign w:val="center"/>
          </w:tcPr>
          <w:p w14:paraId="14706E33">
            <w:pPr>
              <w:widowControl/>
              <w:jc w:val="center"/>
              <w:textAlignment w:val="bottom"/>
              <w:rPr>
                <w:sz w:val="24"/>
              </w:rPr>
            </w:pPr>
            <w:r>
              <w:rPr>
                <w:rFonts w:hint="eastAsia" w:cs="宋体"/>
                <w:kern w:val="0"/>
                <w:sz w:val="24"/>
                <w:lang w:bidi="ar"/>
              </w:rPr>
              <w:t>24.78</w:t>
            </w:r>
          </w:p>
        </w:tc>
        <w:tc>
          <w:tcPr>
            <w:tcW w:w="1333" w:type="dxa"/>
            <w:tcBorders>
              <w:top w:val="nil"/>
              <w:left w:val="nil"/>
              <w:bottom w:val="nil"/>
              <w:right w:val="nil"/>
            </w:tcBorders>
            <w:tcMar>
              <w:top w:w="-1" w:type="dxa"/>
              <w:left w:w="-1" w:type="dxa"/>
              <w:bottom w:w="-1" w:type="dxa"/>
              <w:right w:w="-1" w:type="dxa"/>
            </w:tcMar>
            <w:vAlign w:val="center"/>
          </w:tcPr>
          <w:p w14:paraId="38405AAB">
            <w:pPr>
              <w:widowControl/>
              <w:jc w:val="center"/>
              <w:textAlignment w:val="bottom"/>
              <w:rPr>
                <w:sz w:val="24"/>
              </w:rPr>
            </w:pPr>
            <w:r>
              <w:rPr>
                <w:rFonts w:hint="eastAsia" w:cs="宋体"/>
                <w:kern w:val="0"/>
                <w:sz w:val="24"/>
                <w:lang w:bidi="ar"/>
              </w:rPr>
              <w:t>43.94</w:t>
            </w:r>
          </w:p>
        </w:tc>
        <w:tc>
          <w:tcPr>
            <w:tcW w:w="1388" w:type="dxa"/>
            <w:tcBorders>
              <w:top w:val="nil"/>
              <w:left w:val="nil"/>
              <w:bottom w:val="nil"/>
              <w:right w:val="nil"/>
            </w:tcBorders>
            <w:tcMar>
              <w:top w:w="-1" w:type="dxa"/>
              <w:left w:w="-1" w:type="dxa"/>
              <w:bottom w:w="-1" w:type="dxa"/>
              <w:right w:w="-1" w:type="dxa"/>
            </w:tcMar>
            <w:vAlign w:val="center"/>
          </w:tcPr>
          <w:p w14:paraId="17E3182F">
            <w:pPr>
              <w:widowControl/>
              <w:jc w:val="center"/>
              <w:textAlignment w:val="bottom"/>
              <w:rPr>
                <w:sz w:val="24"/>
              </w:rPr>
            </w:pPr>
            <w:r>
              <w:rPr>
                <w:rFonts w:hint="eastAsia" w:cs="宋体"/>
                <w:kern w:val="0"/>
                <w:sz w:val="24"/>
                <w:lang w:bidi="ar"/>
              </w:rPr>
              <w:t>122.88</w:t>
            </w:r>
          </w:p>
        </w:tc>
      </w:tr>
      <w:tr w14:paraId="5C260228">
        <w:tblPrEx>
          <w:tblCellMar>
            <w:top w:w="0" w:type="dxa"/>
            <w:left w:w="108" w:type="dxa"/>
            <w:bottom w:w="0" w:type="dxa"/>
            <w:right w:w="108" w:type="dxa"/>
          </w:tblCellMar>
        </w:tblPrEx>
        <w:trPr>
          <w:jc w:val="center"/>
        </w:trPr>
        <w:tc>
          <w:tcPr>
            <w:tcW w:w="1479" w:type="dxa"/>
            <w:tcBorders>
              <w:top w:val="nil"/>
              <w:left w:val="nil"/>
              <w:bottom w:val="nil"/>
              <w:right w:val="nil"/>
            </w:tcBorders>
            <w:tcMar>
              <w:top w:w="-1" w:type="dxa"/>
              <w:left w:w="-1" w:type="dxa"/>
              <w:bottom w:w="-1" w:type="dxa"/>
              <w:right w:w="-1" w:type="dxa"/>
            </w:tcMar>
            <w:vAlign w:val="center"/>
          </w:tcPr>
          <w:p w14:paraId="30937BE3">
            <w:r>
              <w:t>COPEN</w:t>
            </w:r>
          </w:p>
        </w:tc>
        <w:tc>
          <w:tcPr>
            <w:tcW w:w="1308" w:type="dxa"/>
            <w:tcBorders>
              <w:top w:val="nil"/>
              <w:left w:val="nil"/>
              <w:bottom w:val="nil"/>
              <w:right w:val="nil"/>
            </w:tcBorders>
            <w:tcMar>
              <w:top w:w="-1" w:type="dxa"/>
              <w:left w:w="-1" w:type="dxa"/>
              <w:bottom w:w="-1" w:type="dxa"/>
              <w:right w:w="-1" w:type="dxa"/>
            </w:tcMar>
            <w:vAlign w:val="center"/>
          </w:tcPr>
          <w:p w14:paraId="250491F4">
            <w:pPr>
              <w:snapToGrid w:val="0"/>
              <w:spacing w:before="36" w:after="36"/>
              <w:jc w:val="center"/>
              <w:rPr>
                <w:sz w:val="24"/>
              </w:rPr>
            </w:pPr>
            <w:r>
              <w:rPr>
                <w:sz w:val="24"/>
              </w:rPr>
              <w:t>120</w:t>
            </w:r>
          </w:p>
        </w:tc>
        <w:tc>
          <w:tcPr>
            <w:tcW w:w="1275" w:type="dxa"/>
            <w:tcBorders>
              <w:top w:val="nil"/>
              <w:left w:val="nil"/>
              <w:bottom w:val="nil"/>
              <w:right w:val="nil"/>
            </w:tcBorders>
            <w:tcMar>
              <w:top w:w="-1" w:type="dxa"/>
              <w:left w:w="-1" w:type="dxa"/>
              <w:bottom w:w="-1" w:type="dxa"/>
              <w:right w:w="-1" w:type="dxa"/>
            </w:tcMar>
            <w:vAlign w:val="center"/>
          </w:tcPr>
          <w:p w14:paraId="3B5FF2FD">
            <w:pPr>
              <w:widowControl/>
              <w:jc w:val="center"/>
              <w:textAlignment w:val="bottom"/>
              <w:rPr>
                <w:sz w:val="24"/>
              </w:rPr>
            </w:pPr>
            <w:r>
              <w:rPr>
                <w:rFonts w:hint="eastAsia" w:cs="宋体"/>
                <w:kern w:val="0"/>
                <w:sz w:val="24"/>
                <w:lang w:bidi="ar"/>
              </w:rPr>
              <w:t>0.38</w:t>
            </w:r>
          </w:p>
        </w:tc>
        <w:tc>
          <w:tcPr>
            <w:tcW w:w="1739" w:type="dxa"/>
            <w:tcBorders>
              <w:top w:val="nil"/>
              <w:left w:val="nil"/>
              <w:bottom w:val="nil"/>
              <w:right w:val="nil"/>
            </w:tcBorders>
            <w:tcMar>
              <w:top w:w="-1" w:type="dxa"/>
              <w:left w:w="-1" w:type="dxa"/>
              <w:bottom w:w="-1" w:type="dxa"/>
              <w:right w:w="-1" w:type="dxa"/>
            </w:tcMar>
            <w:vAlign w:val="center"/>
          </w:tcPr>
          <w:p w14:paraId="6AF9BA56">
            <w:pPr>
              <w:widowControl/>
              <w:jc w:val="center"/>
              <w:textAlignment w:val="bottom"/>
              <w:rPr>
                <w:sz w:val="24"/>
              </w:rPr>
            </w:pPr>
            <w:r>
              <w:rPr>
                <w:rFonts w:hint="eastAsia" w:cs="宋体"/>
                <w:kern w:val="0"/>
                <w:sz w:val="24"/>
                <w:lang w:bidi="ar"/>
              </w:rPr>
              <w:t>0.15</w:t>
            </w:r>
          </w:p>
        </w:tc>
        <w:tc>
          <w:tcPr>
            <w:tcW w:w="1333" w:type="dxa"/>
            <w:tcBorders>
              <w:top w:val="nil"/>
              <w:left w:val="nil"/>
              <w:bottom w:val="nil"/>
              <w:right w:val="nil"/>
            </w:tcBorders>
            <w:tcMar>
              <w:top w:w="-1" w:type="dxa"/>
              <w:left w:w="-1" w:type="dxa"/>
              <w:bottom w:w="-1" w:type="dxa"/>
              <w:right w:w="-1" w:type="dxa"/>
            </w:tcMar>
            <w:vAlign w:val="center"/>
          </w:tcPr>
          <w:p w14:paraId="096E5AB3">
            <w:pPr>
              <w:widowControl/>
              <w:jc w:val="center"/>
              <w:textAlignment w:val="bottom"/>
              <w:rPr>
                <w:sz w:val="24"/>
              </w:rPr>
            </w:pPr>
            <w:r>
              <w:rPr>
                <w:rFonts w:hint="eastAsia" w:cs="宋体"/>
                <w:kern w:val="0"/>
                <w:sz w:val="24"/>
                <w:lang w:bidi="ar"/>
              </w:rPr>
              <w:t>0.12</w:t>
            </w:r>
          </w:p>
        </w:tc>
        <w:tc>
          <w:tcPr>
            <w:tcW w:w="1388" w:type="dxa"/>
            <w:tcBorders>
              <w:top w:val="nil"/>
              <w:left w:val="nil"/>
              <w:bottom w:val="nil"/>
              <w:right w:val="nil"/>
            </w:tcBorders>
            <w:tcMar>
              <w:top w:w="-1" w:type="dxa"/>
              <w:left w:w="-1" w:type="dxa"/>
              <w:bottom w:w="-1" w:type="dxa"/>
              <w:right w:w="-1" w:type="dxa"/>
            </w:tcMar>
            <w:vAlign w:val="center"/>
          </w:tcPr>
          <w:p w14:paraId="699A3667">
            <w:pPr>
              <w:widowControl/>
              <w:jc w:val="center"/>
              <w:textAlignment w:val="bottom"/>
              <w:rPr>
                <w:sz w:val="24"/>
              </w:rPr>
            </w:pPr>
            <w:r>
              <w:rPr>
                <w:rFonts w:hint="eastAsia" w:cs="宋体"/>
                <w:kern w:val="0"/>
                <w:sz w:val="24"/>
                <w:lang w:bidi="ar"/>
              </w:rPr>
              <w:t>0.65</w:t>
            </w:r>
          </w:p>
        </w:tc>
      </w:tr>
      <w:tr w14:paraId="11650338">
        <w:tblPrEx>
          <w:tblCellMar>
            <w:top w:w="0" w:type="dxa"/>
            <w:left w:w="108" w:type="dxa"/>
            <w:bottom w:w="0" w:type="dxa"/>
            <w:right w:w="108" w:type="dxa"/>
          </w:tblCellMar>
        </w:tblPrEx>
        <w:trPr>
          <w:jc w:val="center"/>
        </w:trPr>
        <w:tc>
          <w:tcPr>
            <w:tcW w:w="1479" w:type="dxa"/>
            <w:tcBorders>
              <w:top w:val="nil"/>
              <w:left w:val="nil"/>
              <w:bottom w:val="single" w:color="auto" w:sz="6" w:space="0"/>
              <w:right w:val="nil"/>
            </w:tcBorders>
            <w:tcMar>
              <w:top w:w="-1" w:type="dxa"/>
              <w:left w:w="-1" w:type="dxa"/>
              <w:bottom w:w="-1" w:type="dxa"/>
              <w:right w:w="-1" w:type="dxa"/>
            </w:tcMar>
            <w:vAlign w:val="center"/>
          </w:tcPr>
          <w:p w14:paraId="392D9239">
            <w:r>
              <w:t>FD</w:t>
            </w:r>
          </w:p>
        </w:tc>
        <w:tc>
          <w:tcPr>
            <w:tcW w:w="1308" w:type="dxa"/>
            <w:tcBorders>
              <w:top w:val="nil"/>
              <w:left w:val="nil"/>
              <w:bottom w:val="single" w:color="auto" w:sz="6" w:space="0"/>
              <w:right w:val="nil"/>
            </w:tcBorders>
            <w:tcMar>
              <w:top w:w="-1" w:type="dxa"/>
              <w:left w:w="-1" w:type="dxa"/>
              <w:bottom w:w="-1" w:type="dxa"/>
              <w:right w:w="-1" w:type="dxa"/>
            </w:tcMar>
            <w:vAlign w:val="center"/>
          </w:tcPr>
          <w:p w14:paraId="244F5872">
            <w:pPr>
              <w:snapToGrid w:val="0"/>
              <w:spacing w:before="36" w:after="36"/>
              <w:jc w:val="center"/>
              <w:rPr>
                <w:sz w:val="24"/>
              </w:rPr>
            </w:pPr>
            <w:r>
              <w:rPr>
                <w:sz w:val="24"/>
              </w:rPr>
              <w:t>120</w:t>
            </w:r>
          </w:p>
        </w:tc>
        <w:tc>
          <w:tcPr>
            <w:tcW w:w="1275" w:type="dxa"/>
            <w:tcBorders>
              <w:top w:val="nil"/>
              <w:left w:val="nil"/>
              <w:bottom w:val="single" w:color="auto" w:sz="6" w:space="0"/>
              <w:right w:val="nil"/>
            </w:tcBorders>
            <w:tcMar>
              <w:top w:w="-1" w:type="dxa"/>
              <w:left w:w="-1" w:type="dxa"/>
              <w:bottom w:w="-1" w:type="dxa"/>
              <w:right w:w="-1" w:type="dxa"/>
            </w:tcMar>
            <w:vAlign w:val="center"/>
          </w:tcPr>
          <w:p w14:paraId="1300C8AF">
            <w:pPr>
              <w:widowControl/>
              <w:jc w:val="center"/>
              <w:textAlignment w:val="bottom"/>
              <w:rPr>
                <w:sz w:val="24"/>
              </w:rPr>
            </w:pPr>
            <w:r>
              <w:rPr>
                <w:rFonts w:hint="eastAsia" w:cs="宋体"/>
                <w:kern w:val="0"/>
                <w:sz w:val="24"/>
                <w:lang w:bidi="ar"/>
              </w:rPr>
              <w:t>0.65</w:t>
            </w:r>
          </w:p>
        </w:tc>
        <w:tc>
          <w:tcPr>
            <w:tcW w:w="1739" w:type="dxa"/>
            <w:tcBorders>
              <w:top w:val="nil"/>
              <w:left w:val="nil"/>
              <w:bottom w:val="single" w:color="auto" w:sz="6" w:space="0"/>
              <w:right w:val="nil"/>
            </w:tcBorders>
            <w:tcMar>
              <w:top w:w="-1" w:type="dxa"/>
              <w:left w:w="-1" w:type="dxa"/>
              <w:bottom w:w="-1" w:type="dxa"/>
              <w:right w:w="-1" w:type="dxa"/>
            </w:tcMar>
            <w:vAlign w:val="center"/>
          </w:tcPr>
          <w:p w14:paraId="201FAF0D">
            <w:pPr>
              <w:widowControl/>
              <w:jc w:val="center"/>
              <w:textAlignment w:val="bottom"/>
              <w:rPr>
                <w:sz w:val="24"/>
              </w:rPr>
            </w:pPr>
            <w:r>
              <w:rPr>
                <w:rFonts w:hint="eastAsia" w:cs="宋体"/>
                <w:kern w:val="0"/>
                <w:sz w:val="24"/>
                <w:lang w:bidi="ar"/>
              </w:rPr>
              <w:t>0.20</w:t>
            </w:r>
          </w:p>
        </w:tc>
        <w:tc>
          <w:tcPr>
            <w:tcW w:w="1333" w:type="dxa"/>
            <w:tcBorders>
              <w:top w:val="nil"/>
              <w:left w:val="nil"/>
              <w:bottom w:val="single" w:color="auto" w:sz="6" w:space="0"/>
              <w:right w:val="nil"/>
            </w:tcBorders>
            <w:tcMar>
              <w:top w:w="-1" w:type="dxa"/>
              <w:left w:w="-1" w:type="dxa"/>
              <w:bottom w:w="-1" w:type="dxa"/>
              <w:right w:w="-1" w:type="dxa"/>
            </w:tcMar>
            <w:vAlign w:val="center"/>
          </w:tcPr>
          <w:p w14:paraId="7A8B5884">
            <w:pPr>
              <w:widowControl/>
              <w:jc w:val="center"/>
              <w:textAlignment w:val="bottom"/>
              <w:rPr>
                <w:sz w:val="24"/>
              </w:rPr>
            </w:pPr>
            <w:r>
              <w:rPr>
                <w:rFonts w:hint="eastAsia" w:cs="宋体"/>
                <w:kern w:val="0"/>
                <w:sz w:val="24"/>
                <w:lang w:bidi="ar"/>
              </w:rPr>
              <w:t>0.35</w:t>
            </w:r>
          </w:p>
        </w:tc>
        <w:tc>
          <w:tcPr>
            <w:tcW w:w="1388" w:type="dxa"/>
            <w:tcBorders>
              <w:top w:val="nil"/>
              <w:left w:val="nil"/>
              <w:bottom w:val="single" w:color="auto" w:sz="6" w:space="0"/>
              <w:right w:val="nil"/>
            </w:tcBorders>
            <w:tcMar>
              <w:top w:w="-1" w:type="dxa"/>
              <w:left w:w="-1" w:type="dxa"/>
              <w:bottom w:w="-1" w:type="dxa"/>
              <w:right w:w="-1" w:type="dxa"/>
            </w:tcMar>
            <w:vAlign w:val="center"/>
          </w:tcPr>
          <w:p w14:paraId="4ECFB524">
            <w:pPr>
              <w:widowControl/>
              <w:jc w:val="center"/>
              <w:textAlignment w:val="bottom"/>
              <w:rPr>
                <w:sz w:val="24"/>
              </w:rPr>
            </w:pPr>
            <w:r>
              <w:rPr>
                <w:rFonts w:hint="eastAsia" w:cs="宋体"/>
                <w:kern w:val="0"/>
                <w:sz w:val="24"/>
                <w:lang w:bidi="ar"/>
              </w:rPr>
              <w:t>0.93</w:t>
            </w:r>
          </w:p>
        </w:tc>
      </w:tr>
    </w:tbl>
    <w:p w14:paraId="6B39265A">
      <w:pPr>
        <w:pStyle w:val="25"/>
        <w:spacing w:before="156" w:after="156"/>
        <w:ind w:firstLine="560"/>
        <w:outlineLvl w:val="1"/>
        <w:rPr>
          <w:rFonts w:hint="default"/>
        </w:rPr>
      </w:pPr>
      <w:bookmarkStart w:id="29" w:name="_Toc4970"/>
      <w:bookmarkStart w:id="30" w:name="_Toc13568"/>
      <w:r>
        <w:t>（三）变量间的相关性特征</w:t>
      </w:r>
      <w:bookmarkEnd w:id="29"/>
      <w:bookmarkEnd w:id="30"/>
    </w:p>
    <w:p w14:paraId="0A812E94">
      <w:pPr>
        <w:pStyle w:val="3"/>
        <w:ind w:firstLine="480"/>
      </w:pPr>
      <w:r>
        <w:t>为初步判断变量间的线性相关关系，并识别潜在多重共线性问题，本文计算</w:t>
      </w:r>
      <w:r>
        <w:rPr>
          <w:rFonts w:hint="eastAsia"/>
        </w:rPr>
        <w:t>了2000-2023年五国面板数据的</w:t>
      </w:r>
      <w:r>
        <w:t>Pearson相关系数矩阵。结果显示，</w:t>
      </w:r>
      <m:oMath>
        <m:r>
          <m:rPr>
            <m:sty m:val="p"/>
          </m:rPr>
          <w:rPr>
            <w:rFonts w:hint="eastAsia" w:ascii="Cambria Math" w:hAnsi="Cambria Math" w:cs="宋体"/>
          </w:rPr>
          <m:t>lnC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m:ctrlPr>
              <w:rPr>
                <w:rFonts w:hint="eastAsia" w:ascii="Cambria Math" w:hAnsi="Cambria Math" w:cs="宋体"/>
              </w:rPr>
            </m:ctrlPr>
          </m:sub>
        </m:sSub>
      </m:oMath>
      <w:r>
        <w:t>与</w:t>
      </w:r>
      <m:oMath>
        <m:r>
          <m:rPr>
            <m:nor/>
            <m:sty m:val="p"/>
          </m:rPr>
          <w:rPr>
            <w:b w:val="0"/>
            <w:i w:val="0"/>
          </w:rPr>
          <m:t>lnPROUD</m:t>
        </m:r>
      </m:oMath>
      <w:r>
        <w:t>的相关系数为0.84</w:t>
      </w:r>
      <w:r>
        <w:rPr>
          <w:rFonts w:hint="eastAsia"/>
        </w:rPr>
        <w:t>1</w:t>
      </w:r>
      <w:r>
        <w:t>，表现出强正相关，说明粗钢生产规模与钢铁行业排放高度同步；</w:t>
      </w:r>
      <m:oMath>
        <m:r>
          <m:rPr>
            <m:sty m:val="p"/>
          </m:rPr>
          <w:rPr>
            <w:rFonts w:hint="eastAsia" w:ascii="Cambria Math" w:hAnsi="Cambria Math" w:cs="宋体"/>
          </w:rPr>
          <m:t>lnC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m:ctrlPr>
              <w:rPr>
                <w:rFonts w:hint="eastAsia" w:ascii="Cambria Math" w:hAnsi="Cambria Math" w:cs="宋体"/>
              </w:rPr>
            </m:ctrlPr>
          </m:sub>
        </m:sSub>
      </m:oMath>
      <w:r>
        <w:t>与</w:t>
      </w:r>
      <m:oMath>
        <m:r>
          <m:rPr>
            <m:nor/>
            <m:sty m:val="p"/>
          </m:rPr>
          <w:rPr>
            <w:b w:val="0"/>
            <w:i w:val="0"/>
          </w:rPr>
          <m:t>lnURBAN</m:t>
        </m:r>
      </m:oMath>
      <w:r>
        <w:t>的相关系数为 0.71</w:t>
      </w:r>
      <w:r>
        <w:rPr>
          <w:rFonts w:hint="eastAsia"/>
        </w:rPr>
        <w:t>6</w:t>
      </w:r>
      <w:r>
        <w:t>，也说明城市人口和钢铁需求之间存在较强关联。与此同时，</w:t>
      </w:r>
      <m:oMath>
        <m:r>
          <m:rPr>
            <m:sty m:val="p"/>
          </m:rPr>
          <w:rPr>
            <w:rFonts w:hint="eastAsia" w:ascii="Cambria Math" w:hAnsi="Cambria Math" w:cs="宋体"/>
          </w:rPr>
          <m:t>lnC</m:t>
        </m:r>
        <m:sSub>
          <m:sSubPr>
            <m:ctrlPr>
              <w:rPr>
                <w:rFonts w:hint="eastAsia" w:ascii="Cambria Math" w:hAnsi="Cambria Math" w:cs="宋体"/>
              </w:rPr>
            </m:ctrlPr>
          </m:sSubPr>
          <m:e>
            <m:r>
              <m:rPr>
                <m:sty m:val="p"/>
              </m:rPr>
              <w:rPr>
                <w:rFonts w:hint="eastAsia" w:ascii="Cambria Math" w:hAnsi="Cambria Math" w:cs="宋体"/>
              </w:rPr>
              <m:t>O</m:t>
            </m:r>
            <m:ctrlPr>
              <w:rPr>
                <w:rFonts w:hint="eastAsia" w:ascii="Cambria Math" w:hAnsi="Cambria Math" w:cs="宋体"/>
              </w:rPr>
            </m:ctrlPr>
          </m:e>
          <m:sub>
            <m:r>
              <m:rPr>
                <m:sty m:val="p"/>
              </m:rPr>
              <w:rPr>
                <w:rFonts w:hint="eastAsia" w:ascii="Cambria Math" w:hAnsi="Cambria Math" w:cs="宋体"/>
              </w:rPr>
              <m:t>2</m:t>
            </m:r>
            <m:ctrlPr>
              <w:rPr>
                <w:rFonts w:hint="eastAsia" w:ascii="Cambria Math" w:hAnsi="Cambria Math" w:cs="宋体"/>
              </w:rPr>
            </m:ctrlPr>
          </m:sub>
        </m:sSub>
      </m:oMath>
      <w:r>
        <w:t xml:space="preserve">与 </w:t>
      </w:r>
      <m:oMath>
        <m:r>
          <m:rPr>
            <m:nor/>
            <m:sty m:val="p"/>
          </m:rPr>
          <w:rPr>
            <w:b w:val="0"/>
            <w:i w:val="0"/>
          </w:rPr>
          <m:t>lnRGDP</m:t>
        </m:r>
      </m:oMath>
      <w:r>
        <w:t>、</w:t>
      </w:r>
      <m:oMath>
        <m:r>
          <m:rPr>
            <m:nor/>
            <m:sty m:val="p"/>
          </m:rPr>
          <w:rPr>
            <w:b w:val="0"/>
            <w:i w:val="0"/>
          </w:rPr>
          <m:t>COPEN</m:t>
        </m:r>
      </m:oMath>
      <w:r>
        <w:t>、</w:t>
      </w:r>
      <m:oMath>
        <m:r>
          <m:rPr>
            <m:nor/>
            <m:sty m:val="p"/>
          </m:rPr>
          <w:rPr>
            <w:b w:val="0"/>
            <w:i w:val="0"/>
          </w:rPr>
          <m:t>FD</m:t>
        </m:r>
      </m:oMath>
      <w:r>
        <w:t>分别呈现负相关，但该结果仅代表未经固定效应控制的总体相关关系，不能直接解释为经济发展、贸易开放或金融发展具有因果</w:t>
      </w:r>
      <w:r>
        <w:rPr>
          <w:rFonts w:hint="eastAsia"/>
        </w:rPr>
        <w:t>减排作用。</w:t>
      </w:r>
    </w:p>
    <w:p w14:paraId="18E49C30">
      <w:pPr>
        <w:keepNext/>
        <w:keepLines/>
        <w:jc w:val="center"/>
      </w:pPr>
      <w:r>
        <w:drawing>
          <wp:inline distT="0" distB="0" distL="0" distR="0">
            <wp:extent cx="4983480" cy="42722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3"/>
                    <a:stretch>
                      <a:fillRect/>
                    </a:stretch>
                  </pic:blipFill>
                  <pic:spPr>
                    <a:xfrm>
                      <a:off x="0" y="0"/>
                      <a:ext cx="4983480" cy="4272676"/>
                    </a:xfrm>
                    <a:prstGeom prst="rect">
                      <a:avLst/>
                    </a:prstGeom>
                  </pic:spPr>
                </pic:pic>
              </a:graphicData>
            </a:graphic>
          </wp:inline>
        </w:drawing>
      </w:r>
    </w:p>
    <w:p w14:paraId="1548AEAA">
      <w:pPr>
        <w:pStyle w:val="6"/>
        <w:keepLines/>
        <w:spacing w:before="60" w:after="120"/>
        <w:jc w:val="center"/>
      </w:pPr>
      <w:r>
        <w:t>图 4  核心变量Pearson相关系数热力图</w:t>
      </w:r>
    </w:p>
    <w:p w14:paraId="20615F57">
      <w:pPr>
        <w:keepNext/>
        <w:keepLines/>
        <w:jc w:val="center"/>
      </w:pPr>
      <w:r>
        <w:drawing>
          <wp:inline distT="0" distB="0" distL="0" distR="0">
            <wp:extent cx="5074920" cy="32423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4"/>
                    <a:stretch>
                      <a:fillRect/>
                    </a:stretch>
                  </pic:blipFill>
                  <pic:spPr>
                    <a:xfrm>
                      <a:off x="0" y="0"/>
                      <a:ext cx="5074920" cy="3242836"/>
                    </a:xfrm>
                    <a:prstGeom prst="rect">
                      <a:avLst/>
                    </a:prstGeom>
                  </pic:spPr>
                </pic:pic>
              </a:graphicData>
            </a:graphic>
          </wp:inline>
        </w:drawing>
      </w:r>
    </w:p>
    <w:p w14:paraId="52934D31">
      <w:pPr>
        <w:pStyle w:val="6"/>
        <w:keepLines/>
        <w:spacing w:before="60" w:after="120"/>
        <w:jc w:val="center"/>
      </w:pPr>
      <w:r>
        <w:t>图 5  五国粗钢产量与碳排放关系散点图</w:t>
      </w:r>
    </w:p>
    <w:p w14:paraId="780540AA">
      <w:pPr>
        <w:pStyle w:val="3"/>
        <w:ind w:firstLine="480"/>
        <w:rPr>
          <w:rFonts w:cs="宋体"/>
        </w:rPr>
      </w:pPr>
      <w:r>
        <w:t>相关矩阵还显示，</w:t>
      </w:r>
      <m:oMath>
        <w:bookmarkStart w:id="31" w:name="OLE_LINK14"/>
        <m:r>
          <m:rPr>
            <m:nor/>
            <m:sty m:val="p"/>
          </m:rPr>
          <w:rPr>
            <w:b w:val="0"/>
            <w:i w:val="0"/>
          </w:rPr>
          <m:t>lnRGDP</m:t>
        </m:r>
      </m:oMath>
      <w:bookmarkEnd w:id="31"/>
      <w:r>
        <w:t>与</w:t>
      </w:r>
      <w:bookmarkStart w:id="32" w:name="OLE_LINK10"/>
      <m:oMath>
        <m:r>
          <m:rPr>
            <m:nor/>
            <m:sty m:val="p"/>
          </m:rPr>
          <w:rPr>
            <w:b w:val="0"/>
            <w:i w:val="0"/>
          </w:rPr>
          <m:t>FD</m:t>
        </m:r>
        <w:bookmarkEnd w:id="32"/>
      </m:oMath>
      <w:r>
        <w:t>的相关系数达到0.9</w:t>
      </w:r>
      <w:r>
        <w:rPr>
          <w:rFonts w:hint="eastAsia"/>
        </w:rPr>
        <w:t>20</w:t>
      </w:r>
      <w:r>
        <w:t>，说明经济发展水平与金融发展程度高度相关，体现经济发展水平与金融体系成熟度的高度同步性。此外，</w:t>
      </w:r>
      <m:oMath>
        <m:r>
          <m:rPr>
            <m:nor/>
            <m:sty m:val="p"/>
          </m:rPr>
          <w:rPr>
            <w:b w:val="0"/>
            <w:i w:val="0"/>
          </w:rPr>
          <m:t>lnRGDP</m:t>
        </m:r>
      </m:oMath>
      <w:r>
        <w:t xml:space="preserve">与 </w:t>
      </w:r>
      <m:oMath>
        <m:r>
          <m:rPr>
            <m:nor/>
            <m:sty m:val="p"/>
          </m:rPr>
          <w:rPr>
            <w:b w:val="0"/>
            <w:i w:val="0"/>
          </w:rPr>
          <m:t>COPEN</m:t>
        </m:r>
      </m:oMath>
      <w:r>
        <w:t>的相关系数为0.624，</w:t>
      </w:r>
      <m:oMath>
        <m:r>
          <m:rPr>
            <m:nor/>
            <m:sty m:val="p"/>
          </m:rPr>
          <w:rPr>
            <w:b w:val="0"/>
            <w:i w:val="0"/>
          </w:rPr>
          <m:t>COPEN</m:t>
        </m:r>
      </m:oMath>
      <w:r>
        <w:t>与</w:t>
      </w:r>
      <m:oMath>
        <m:r>
          <m:rPr/>
          <w:rPr>
            <w:rFonts w:ascii="Cambria Math" w:hAnsi="Cambria Math"/>
          </w:rPr>
          <m:t xml:space="preserve"> </m:t>
        </m:r>
        <m:r>
          <m:rPr>
            <m:nor/>
            <m:sty m:val="p"/>
          </m:rPr>
          <w:rPr>
            <w:b w:val="0"/>
            <w:i w:val="0"/>
          </w:rPr>
          <m:t>FD</m:t>
        </m:r>
        <m:r>
          <m:rPr>
            <m:nor/>
            <m:sty m:val="p"/>
          </m:rPr>
          <w:rPr>
            <w:rFonts w:hint="eastAsia"/>
            <w:b w:val="0"/>
            <w:i w:val="0"/>
          </w:rPr>
          <m:t xml:space="preserve"> </m:t>
        </m:r>
      </m:oMath>
      <w:r>
        <w:t>的相关系数为0.</w:t>
      </w:r>
      <w:r>
        <w:rPr>
          <w:rFonts w:hint="eastAsia"/>
        </w:rPr>
        <w:t>47</w:t>
      </w:r>
      <w:r>
        <w:t>，也表明宏观经济变量之间存在一定结构性关联。因此，本文后续在STIRPAT-EK</w:t>
      </w:r>
      <w:r>
        <w:rPr>
          <w:rFonts w:hint="eastAsia"/>
        </w:rPr>
        <w:t>C</w:t>
      </w:r>
      <w:r>
        <w:t>模型中进一步进行VIF检验，并采用中心化EKC、滞后一期变量、</w:t>
      </w:r>
      <w:r>
        <w:rPr>
          <w:rFonts w:hint="eastAsia"/>
        </w:rPr>
        <w:t>岭回归、</w:t>
      </w:r>
      <w:r>
        <w:t>弹性网正则化和工具变量法结合两阶段最小二乘法作为稳健性补充。</w:t>
      </w:r>
    </w:p>
    <w:p w14:paraId="7C8EC13A">
      <w:pPr>
        <w:pStyle w:val="26"/>
        <w:numPr>
          <w:ilvl w:val="0"/>
          <w:numId w:val="1"/>
        </w:numPr>
        <w:spacing w:before="156" w:after="156"/>
        <w:outlineLvl w:val="0"/>
      </w:pPr>
      <w:bookmarkStart w:id="33" w:name="_Toc6077"/>
      <w:bookmarkStart w:id="34" w:name="_Toc16978"/>
      <w:bookmarkStart w:id="35" w:name="_Toc19052"/>
      <w:r>
        <w:t>基于EKC与STIRPAT的碳排放驱动机制测度与统计归因</w:t>
      </w:r>
      <w:bookmarkEnd w:id="33"/>
      <w:bookmarkEnd w:id="34"/>
      <w:bookmarkEnd w:id="35"/>
    </w:p>
    <w:p w14:paraId="0B97B77F">
      <w:pPr>
        <w:pStyle w:val="25"/>
        <w:numPr>
          <w:ilvl w:val="0"/>
          <w:numId w:val="2"/>
        </w:numPr>
        <w:spacing w:before="156" w:after="156"/>
        <w:ind w:firstLine="560"/>
        <w:outlineLvl w:val="1"/>
        <w:rPr>
          <w:rFonts w:hint="default"/>
        </w:rPr>
      </w:pPr>
      <w:bookmarkStart w:id="36" w:name="_Toc13734"/>
      <w:bookmarkStart w:id="37" w:name="_Toc2702"/>
      <w:r>
        <w:t>碳排放驱动的理论机制与分析框架构建</w:t>
      </w:r>
      <w:bookmarkEnd w:id="36"/>
      <w:bookmarkEnd w:id="37"/>
    </w:p>
    <w:p w14:paraId="56674C7E">
      <w:pPr>
        <w:pStyle w:val="3"/>
        <w:ind w:firstLine="480"/>
      </w:pPr>
      <w:r>
        <w:t>STIRPAT模型是在IPAT恒等式基础上发展而来的随机扩展模型，能够将人口、经济发展、技术水平和产业活动等因素纳入环境压力分析框架</w:t>
      </w:r>
      <w:r>
        <w:rPr>
          <w:rFonts w:hint="eastAsia"/>
        </w:rPr>
        <w:fldChar w:fldCharType="begin"/>
      </w:r>
      <w:r>
        <w:rPr>
          <w:rFonts w:hint="eastAsia"/>
        </w:rPr>
        <w:instrText xml:space="preserve"> ADDIN ZOTERO_ITEM CSL_CITATION {"citationID":"1USxd1De","properties":{"formattedCitation":"\\super [6]\\nosupersub{}","plainCitation":"[6]","noteIndex":0},"citationItems":[{"id":925,"uris":["http://zotero.org/users/local/ePBhdWbS/items/SBVXPNEB"],"itemData":{"id":925,"type":"article-journal","abstract":"Despite the scientific consensus that humans have dramatically altered the global environment, we have a limited knowledge of the specific forces driving those impacts. One key limitation to a precise understanding of anthropogenic impacts is the absence of a set of refined analytic tools. Here we assess the analytic utility of the well-known IPAT identity, the newly developed ImPACT identity, and their stochastic cousin, the STIRPAT model. We discuss the relationship between these three formulations, their similar conceptual underpinnings and their divergent uses. We then refine the STIRPAT model by developing the concept of ecological elasticity (EE). To illustrate the application of STIRPAT and EE, we compute the ecological elasticities of population, affluence and other factors for cross-national emissions of carbon dioxide (CO2) from fossil fuel combustion and for the energy footprint, a composite measure comprising impacts from fossil fuel combustion, fuel wood, hydropower and nuclear power. Our findings suggest that population has a proportional effect (unitary elasticity) on CO2 emissions and the energy footprint. Affluence monotonically increases both CO2 emissions and the energy footprint. However, for the energy footprint the relationship between affluence and impact changes from inelastic to elastic as affluence increases, while for CO2 emissions the relationship changes from elastic to inelastic. Climate appears to affect both measures of impact, with tropical nations having considerably lower impact than non-tropical nations, controlling for other factors. Finally, indicators of modernization (urbanization and industrialization) are associated with high impacts. We conclude that the STIRPAT model, augmented with measures of ecological elasticity, allows for a more precise specification of the sensitivity of environmental impacts to the forces driving them. Such specifications not only inform the basic science of environmental change, but also point to the factors that may be most responsive to policy.","container-title":"Ecological Economics","DOI":"10.1016/S0921-8009(03)00188-5","ISSN":"09218009","issue":"3","journalAbbreviation":"Ecological Economics","language":"en","license":"https://www.elsevier.com/tdm/userlicense/1.0/","page":"351-365","source":"DOI.org (Crossref)","title":"STIRPAT, IPAT and ImPACT: analytic tools for unpacking the driving forces of environmental impacts","title-short":"STIRPAT, IPAT and ImPACT","volume":"46","author":[{"family":"York","given":"Richard"},{"family":"Rosa","given":"Eugene A"},{"family":"Dietz","given":"Thomas"}],"issued":{"date-parts":[["2003",10]]}}}],"schema":"https://github.com/citation-style-language/schema/raw/master/csl-citation.json"} </w:instrText>
      </w:r>
      <w:r>
        <w:rPr>
          <w:rFonts w:hint="eastAsia"/>
        </w:rPr>
        <w:fldChar w:fldCharType="separate"/>
      </w:r>
      <w:r>
        <w:rPr>
          <w:kern w:val="0"/>
          <w:vertAlign w:val="superscript"/>
        </w:rPr>
        <w:t>[6]</w:t>
      </w:r>
      <w:r>
        <w:rPr>
          <w:rFonts w:hint="eastAsia"/>
        </w:rPr>
        <w:fldChar w:fldCharType="end"/>
      </w:r>
      <w:r>
        <w:t>。结合钢铁行业的产业特征，本文将钢铁工业CO₂</w:t>
      </w:r>
      <w:r>
        <w:rPr>
          <w:rFonts w:hint="eastAsia"/>
        </w:rPr>
        <w:t xml:space="preserve"> </w:t>
      </w:r>
      <w:r>
        <w:t>排放作为被解释变量，将粗钢产量</w:t>
      </w:r>
      <w:r>
        <w:rPr>
          <w:rFonts w:hint="eastAsia"/>
        </w:rPr>
        <w:t>（</w:t>
      </w:r>
      <m:oMath>
        <m:r>
          <m:rPr>
            <m:nor/>
            <m:sty m:val="p"/>
          </m:rPr>
          <w:rPr>
            <w:b w:val="0"/>
            <w:i w:val="0"/>
          </w:rPr>
          <m:t>lnPROUD</m:t>
        </m:r>
      </m:oMath>
      <w:r>
        <w:rPr>
          <w:rFonts w:hint="eastAsia"/>
        </w:rPr>
        <w:t>）</w:t>
      </w:r>
      <w:r>
        <w:t>、城市人口</w:t>
      </w:r>
      <w:r>
        <w:rPr>
          <w:rFonts w:hint="eastAsia"/>
        </w:rPr>
        <w:t>（</w:t>
      </w:r>
      <m:oMath>
        <w:bookmarkStart w:id="38" w:name="_Hlk230895988"/>
        <m:r>
          <m:rPr>
            <m:nor/>
            <m:sty m:val="p"/>
          </m:rPr>
          <w:rPr>
            <w:b w:val="0"/>
            <w:i w:val="0"/>
          </w:rPr>
          <m:t>lnURBAN</m:t>
        </m:r>
        <w:bookmarkEnd w:id="38"/>
      </m:oMath>
      <w:r>
        <w:rPr>
          <w:rFonts w:hint="eastAsia"/>
        </w:rPr>
        <w:t>）</w:t>
      </w:r>
      <w:r>
        <w:t>、人均实际GDP</w:t>
      </w:r>
      <w:r>
        <w:rPr>
          <w:rFonts w:hint="eastAsia"/>
        </w:rPr>
        <w:t>（</w:t>
      </w:r>
      <m:oMath>
        <w:bookmarkStart w:id="39" w:name="OLE_LINK6"/>
        <m:r>
          <m:rPr>
            <m:nor/>
            <m:sty m:val="p"/>
          </m:rPr>
          <w:rPr>
            <w:b w:val="0"/>
            <w:i w:val="0"/>
          </w:rPr>
          <m:t>lnRGDP</m:t>
        </m:r>
        <w:bookmarkEnd w:id="39"/>
      </m:oMath>
      <w:r>
        <w:rPr>
          <w:rFonts w:hint="eastAsia"/>
        </w:rPr>
        <w:t>）</w:t>
      </w:r>
      <w:r>
        <w:t>、</w:t>
      </w:r>
      <w:r>
        <w:rPr>
          <w:rFonts w:hint="eastAsia"/>
        </w:rPr>
        <w:t>金融发展指数（</w:t>
      </w:r>
      <m:oMath>
        <m:r>
          <m:rPr>
            <m:nor/>
            <m:sty m:val="p"/>
          </m:rPr>
          <w:rPr>
            <w:rFonts w:hint="eastAsia"/>
            <w:b w:val="0"/>
            <w:i w:val="0"/>
          </w:rPr>
          <m:t>FD</m:t>
        </m:r>
      </m:oMath>
      <w:r>
        <w:rPr>
          <w:rFonts w:hint="eastAsia"/>
        </w:rPr>
        <w:t>）与贸易开放度（</w:t>
      </w:r>
      <m:oMath>
        <m:r>
          <m:rPr>
            <m:nor/>
            <m:sty m:val="p"/>
          </m:rPr>
          <w:rPr>
            <w:rFonts w:hint="eastAsia"/>
            <w:b w:val="0"/>
            <w:i w:val="0"/>
          </w:rPr>
          <m:t>COPEN</m:t>
        </m:r>
      </m:oMath>
      <w:r>
        <w:rPr>
          <w:rFonts w:hint="eastAsia"/>
        </w:rPr>
        <w:t>）</w:t>
      </w:r>
      <w:r>
        <w:t>作为主要解释变量。其中，粗钢产量用于刻画钢铁生产规模效应，城市人口用于反映需求侧城市化进程，人均GDP用于刻画经济发展阶段，贸易开放度用于反映国际市场联系和技术扩散条件，金融发展指数则用于反映资本配置能力和低碳转型融资环境。</w:t>
      </w:r>
    </w:p>
    <w:p w14:paraId="53EE50F1">
      <w:pPr>
        <w:pStyle w:val="3"/>
        <w:ind w:firstLine="480"/>
      </w:pPr>
      <w:r>
        <w:t>考虑到不同国家在资源禀赋、能源结构、钢铁工艺路线、工业化阶段和政策制度方面存在显著差异，同时样本期内还受到全球金融危机、新冠疫情、能源价格波动和国际贸易环境变化等共同冲击，本文采用双向固定效应模型控制国家不可观测异质性和年份共同冲击。基准STIRPAT模型设定如下：</w:t>
      </w:r>
    </w:p>
    <w:p w14:paraId="78A41F37">
      <w:pPr>
        <w:pStyle w:val="3"/>
        <w:spacing w:before="156" w:beforeLines="50" w:after="156" w:afterLines="50"/>
        <w:ind w:firstLine="480"/>
      </w:pPr>
      <m:oMathPara>
        <m:oMath>
          <m:eqArr>
            <m:eqArrPr>
              <m:maxDist m:val="1"/>
              <m:ctrlPr>
                <w:rPr>
                  <w:rFonts w:hint="eastAsia" w:ascii="Cambria Math" w:hAnsi="Cambria Math"/>
                </w:rPr>
              </m:ctrlPr>
            </m:eqArrPr>
            <m:e>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w:rPr>
                      <w:rFonts w:ascii="Cambria Math" w:hAnsi="Cambria Math"/>
                    </w:rPr>
                    <m:t>CO</m:t>
                  </m:r>
                  <m:sSub>
                    <m:sSubPr>
                      <m:ctrlPr>
                        <w:rPr>
                          <w:rFonts w:ascii="Cambria Math" w:hAnsi="Cambria Math"/>
                        </w:rPr>
                      </m:ctrlPr>
                    </m:sSubPr>
                    <m:e>
                      <m:r>
                        <m:rPr/>
                        <w:rPr>
                          <w:rFonts w:ascii="Cambria Math" w:hAnsi="Cambria Math"/>
                        </w:rPr>
                        <m:t>2</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i/>
                    </w:rPr>
                  </m:ctrlPr>
                </m:e>
              </m:func>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w:rPr>
                      <w:rFonts w:ascii="Cambria Math" w:hAnsi="Cambria Math"/>
                    </w:rPr>
                    <m:t>PROU</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i/>
                    </w:rPr>
                  </m:ctrlPr>
                </m:e>
              </m:func>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2</m:t>
                  </m:r>
                  <m:ctrlPr>
                    <w:rPr>
                      <w:rFonts w:ascii="Cambria Math" w:hAnsi="Cambria Math"/>
                    </w:rPr>
                  </m:ctrlPr>
                </m:sub>
              </m:s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w:rPr>
                      <w:rFonts w:ascii="Cambria Math" w:hAnsi="Cambria Math"/>
                    </w:rPr>
                    <m:t>URBA</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i/>
                    </w:rPr>
                  </m:ctrlPr>
                </m:e>
              </m:func>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COPE</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i/>
                </w:rPr>
              </m:ctrlPr>
            </m:e>
            <m:e>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F</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m:sty m:val="p"/>
                </m:rPr>
                <w:rPr>
                  <w:rFonts w:hint="eastAsia" w:ascii="Cambria Math" w:hAnsi="Cambria Math"/>
                </w:rPr>
                <m:t>（公式</m:t>
              </m:r>
              <m:r>
                <m:rPr>
                  <m:sty m:val="p"/>
                </m:rPr>
                <w:rPr>
                  <w:rFonts w:ascii="Cambria Math" w:hAnsi="Cambria Math"/>
                </w:rPr>
                <m:t>1</m:t>
              </m:r>
              <m:r>
                <m:rPr>
                  <m:sty m:val="p"/>
                </m:rPr>
                <w:rPr>
                  <w:rFonts w:hint="eastAsia" w:ascii="Cambria Math" w:hAnsi="Cambria Math"/>
                </w:rPr>
                <m:t>）</m:t>
              </m:r>
              <m:ctrlPr>
                <w:rPr>
                  <w:rFonts w:hint="eastAsia" w:ascii="Cambria Math" w:hAnsi="Cambria Math"/>
                </w:rPr>
              </m:ctrlPr>
            </m:e>
          </m:eqArr>
        </m:oMath>
      </m:oMathPara>
    </w:p>
    <w:p w14:paraId="4B4E6FE0">
      <w:pPr>
        <w:pStyle w:val="3"/>
        <w:ind w:firstLine="480"/>
      </w:pPr>
      <w:r>
        <w:rPr>
          <w:rFonts w:hint="eastAsia"/>
        </w:rPr>
        <w:t>其中，</w:t>
      </w:r>
      <m:oMath>
        <m:r>
          <m:rPr>
            <m:sty m:val="p"/>
          </m:rPr>
          <w:rPr>
            <w:rFonts w:hint="eastAsia" w:ascii="Cambria Math" w:hAnsi="Cambria Math"/>
          </w:rPr>
          <m:t>i</m:t>
        </m:r>
      </m:oMath>
      <w:r>
        <w:rPr>
          <w:rFonts w:hint="eastAsia"/>
        </w:rPr>
        <w:t>表示国家，</w:t>
      </w:r>
      <m:oMath>
        <m:r>
          <m:rPr>
            <m:sty m:val="p"/>
          </m:rPr>
          <w:rPr>
            <w:rFonts w:hint="eastAsia" w:ascii="Cambria Math" w:hAnsi="Cambria Math"/>
          </w:rPr>
          <m:t>t</m:t>
        </m:r>
      </m:oMath>
      <w:r>
        <w:rPr>
          <w:rFonts w:hint="eastAsia"/>
        </w:rPr>
        <w:t>表示年份，</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为国家固定效应，用于吸收各国资源禀赋、产业基础、能源结构和制度环境差异；</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为年份固定效应，用于控制全球共同冲击；</w:t>
      </w:r>
      <m:oMath>
        <m:sSub>
          <m:sSubPr>
            <m:ctrlPr>
              <w:rPr>
                <w:rFonts w:ascii="Cambria Math" w:hAnsi="Cambria Math"/>
              </w:rPr>
            </m:ctrlPr>
          </m:sSubPr>
          <m:e>
            <m:r>
              <m:rPr>
                <m:sty m:val="p"/>
              </m:rPr>
              <w:rPr>
                <w:rFonts w:ascii="Cambria Math" w:hAnsi="Cambria Math"/>
              </w:rPr>
              <m:t>ε</m:t>
            </m:r>
            <m:ctrlPr>
              <w:rPr>
                <w:rFonts w:ascii="Cambria Math" w:hAnsi="Cambria Math"/>
              </w:rPr>
            </m:ctrlPr>
          </m:e>
          <m:sub>
            <m:r>
              <m:rPr>
                <m:sty m:val="p"/>
              </m:rPr>
              <w:rPr>
                <w:rFonts w:ascii="Cambria Math" w:hAnsi="Cambria Math"/>
              </w:rPr>
              <m:t>it</m:t>
            </m:r>
            <m:ctrlPr>
              <w:rPr>
                <w:rFonts w:ascii="Cambria Math" w:hAnsi="Cambria Math"/>
              </w:rPr>
            </m:ctrlPr>
          </m:sub>
        </m:sSub>
      </m:oMath>
      <w:r>
        <w:rPr>
          <w:rFonts w:hint="eastAsia"/>
        </w:rPr>
        <w:t>为随机扰动项。</w:t>
      </w:r>
    </w:p>
    <w:p w14:paraId="1B26B79F">
      <w:pPr>
        <w:pStyle w:val="3"/>
        <w:ind w:firstLine="480"/>
        <w:rPr>
          <w:rFonts w:cs="宋体"/>
        </w:rPr>
      </w:pPr>
      <w:r>
        <w:rPr>
          <w:rFonts w:cs="宋体"/>
        </w:rPr>
        <w:t>为进一步检验钢铁工业 CO₂ 排放与经济发展水平之间是否存在EKC型非线性关系，本文在基准STIRPAT模型基础上加入人均实际GDP的一次项和二次项，构建 STIRPAT-EKC 扩展模型：</w:t>
      </w:r>
    </w:p>
    <w:p w14:paraId="375F2109">
      <w:pPr>
        <w:pStyle w:val="3"/>
        <w:spacing w:before="156" w:beforeLines="50" w:after="156" w:afterLines="50"/>
        <w:ind w:firstLine="480"/>
      </w:pPr>
      <m:oMathPara>
        <m:oMath>
          <m:eqArr>
            <m:eqArrPr>
              <m:maxDist m:val="1"/>
              <m:ctrlPr>
                <w:rPr>
                  <w:rFonts w:hint="eastAsia" w:ascii="Cambria Math" w:hAnsi="Cambria Math"/>
                </w:rPr>
              </m:ctrlPr>
            </m:eqArrPr>
            <m:e>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w:rPr>
                      <w:rFonts w:ascii="Cambria Math" w:hAnsi="Cambria Math"/>
                    </w:rPr>
                    <m:t>CO</m:t>
                  </m:r>
                  <m:sSub>
                    <m:sSubPr>
                      <m:ctrlPr>
                        <w:rPr>
                          <w:rFonts w:ascii="Cambria Math" w:hAnsi="Cambria Math"/>
                        </w:rPr>
                      </m:ctrlPr>
                    </m:sSubPr>
                    <m:e>
                      <m:r>
                        <m:rPr/>
                        <w:rPr>
                          <w:rFonts w:ascii="Cambria Math" w:hAnsi="Cambria Math"/>
                        </w:rPr>
                        <m:t>2</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i/>
                    </w:rPr>
                  </m:ctrlPr>
                </m:e>
              </m:func>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w:rPr>
                      <w:rFonts w:ascii="Cambria Math" w:hAnsi="Cambria Math"/>
                    </w:rPr>
                    <m:t>PROU</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i/>
                    </w:rPr>
                  </m:ctrlPr>
                </m:e>
              </m:func>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2</m:t>
                  </m:r>
                  <m:ctrlPr>
                    <w:rPr>
                      <w:rFonts w:ascii="Cambria Math" w:hAnsi="Cambria Math"/>
                    </w:rPr>
                  </m:ctrlPr>
                </m:sub>
              </m:sSub>
              <m:func>
                <m:funcPr>
                  <m:ctrlPr>
                    <w:rPr>
                      <w:rFonts w:ascii="Cambria Math" w:hAnsi="Cambria Math"/>
                    </w:rPr>
                  </m:ctrlPr>
                </m:funcPr>
                <m:fName>
                  <m:r>
                    <m:rPr>
                      <m:sty m:val="p"/>
                    </m:rPr>
                    <w:rPr>
                      <w:rFonts w:ascii="Cambria Math" w:hAnsi="Cambria Math"/>
                    </w:rPr>
                    <m:t>ln</m:t>
                  </m:r>
                  <m:ctrlPr>
                    <w:rPr>
                      <w:rFonts w:ascii="Cambria Math" w:hAnsi="Cambria Math"/>
                    </w:rPr>
                  </m:ctrlPr>
                </m:fName>
                <m:e>
                  <m:r>
                    <m:rPr>
                      <m:sty m:val="p"/>
                    </m:rPr>
                    <w:rPr>
                      <w:rFonts w:ascii="Cambria Math" w:hAnsi="Cambria Math"/>
                    </w:rPr>
                    <m:t>U</m:t>
                  </m:r>
                  <m:r>
                    <m:rPr/>
                    <w:rPr>
                      <w:rFonts w:ascii="Cambria Math" w:hAnsi="Cambria Math"/>
                    </w:rPr>
                    <m:t>RBA</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rPr>
                  </m:ctrlPr>
                </m:e>
              </m:func>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3</m:t>
                  </m:r>
                  <m:ctrlPr>
                    <w:rPr>
                      <w:rFonts w:ascii="Cambria Math" w:hAnsi="Cambria Math"/>
                    </w:rPr>
                  </m:ctrlPr>
                </m:sub>
              </m:sSub>
              <m:func>
                <m:funcPr>
                  <m:ctrlPr>
                    <w:rPr>
                      <w:rFonts w:ascii="Cambria Math" w:hAnsi="Cambria Math"/>
                    </w:rPr>
                  </m:ctrlPr>
                </m:funcPr>
                <m:fName>
                  <m:r>
                    <m:rPr>
                      <m:sty m:val="p"/>
                    </m:rPr>
                    <w:rPr>
                      <w:rFonts w:ascii="Cambria Math" w:hAnsi="Cambria Math"/>
                    </w:rPr>
                    <m:t>ln</m:t>
                  </m:r>
                  <m:ctrlPr>
                    <w:rPr>
                      <w:rFonts w:ascii="Cambria Math" w:hAnsi="Cambria Math"/>
                    </w:rPr>
                  </m:ctrlPr>
                </m:fName>
                <m:e>
                  <m:r>
                    <m:rPr>
                      <m:sty m:val="p"/>
                    </m:rPr>
                    <w:rPr>
                      <w:rFonts w:ascii="Cambria Math" w:hAnsi="Cambria Math"/>
                    </w:rPr>
                    <m:t>R</m:t>
                  </m:r>
                  <m:r>
                    <m:rPr/>
                    <w:rPr>
                      <w:rFonts w:ascii="Cambria Math" w:hAnsi="Cambria Math"/>
                    </w:rPr>
                    <m:t>GD</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rPr>
                  </m:ctrlPr>
                </m:e>
              </m:func>
              <m:ctrlPr>
                <w:rPr>
                  <w:rFonts w:ascii="Cambria Math" w:hAnsi="Cambria Math"/>
                  <w:i/>
                </w:rPr>
              </m:ctrlPr>
            </m:e>
            <m:e>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m:sty m:val="p"/>
                    </m:rPr>
                    <w:rPr>
                      <w:rFonts w:ascii="Cambria Math" w:hAnsi="Cambria Math"/>
                    </w:rPr>
                    <m:t>R</m:t>
                  </m:r>
                  <m:r>
                    <m:rPr/>
                    <w:rPr>
                      <w:rFonts w:ascii="Cambria Math" w:hAnsi="Cambria Math"/>
                    </w:rPr>
                    <m:t>GD</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i/>
                    </w:rPr>
                  </m:ctrlPr>
                </m:e>
              </m:fun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5</m:t>
                  </m:r>
                  <m:ctrlPr>
                    <w:rPr>
                      <w:rFonts w:ascii="Cambria Math" w:hAnsi="Cambria Math"/>
                    </w:rPr>
                  </m:ctrlPr>
                </m:sub>
              </m:sSub>
              <m:r>
                <m:rPr/>
                <w:rPr>
                  <w:rFonts w:ascii="Cambria Math" w:hAnsi="Cambria Math"/>
                </w:rPr>
                <m:t>COPE</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6</m:t>
                  </m:r>
                  <m:ctrlPr>
                    <w:rPr>
                      <w:rFonts w:ascii="Cambria Math" w:hAnsi="Cambria Math"/>
                    </w:rPr>
                  </m:ctrlPr>
                </m:sub>
              </m:sSub>
              <m:r>
                <m:rPr/>
                <w:rPr>
                  <w:rFonts w:ascii="Cambria Math" w:hAnsi="Cambria Math"/>
                </w:rPr>
                <m:t>F</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m:sty m:val="p"/>
                </m:rPr>
                <w:rPr>
                  <w:rFonts w:hint="eastAsia" w:ascii="Cambria Math" w:hAnsi="Cambria Math"/>
                </w:rPr>
                <m:t>（公式</m:t>
              </m:r>
              <m:r>
                <m:rPr>
                  <m:sty m:val="p"/>
                </m:rPr>
                <w:rPr>
                  <w:rFonts w:ascii="Cambria Math" w:hAnsi="Cambria Math"/>
                </w:rPr>
                <m:t>2</m:t>
              </m:r>
              <m:r>
                <m:rPr>
                  <m:sty m:val="p"/>
                </m:rPr>
                <w:rPr>
                  <w:rFonts w:hint="eastAsia" w:ascii="Cambria Math" w:hAnsi="Cambria Math"/>
                </w:rPr>
                <m:t>）</m:t>
              </m:r>
              <m:ctrlPr>
                <w:rPr>
                  <w:rFonts w:hint="eastAsia" w:ascii="Cambria Math" w:hAnsi="Cambria Math"/>
                </w:rPr>
              </m:ctrlPr>
            </m:e>
          </m:eqArr>
        </m:oMath>
      </m:oMathPara>
    </w:p>
    <w:p w14:paraId="57831AAE">
      <w:pPr>
        <w:pStyle w:val="3"/>
        <w:ind w:firstLine="480"/>
        <w:rPr>
          <w:rFonts w:cs="宋体"/>
          <w:kern w:val="0"/>
          <w:lang w:bidi="ar"/>
        </w:rPr>
      </w:pPr>
      <w:r>
        <w:rPr>
          <w:rFonts w:hint="eastAsia"/>
        </w:rPr>
        <w:t>EKC假说的判定标准如下：若模型回归结果满足</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&gt;0</m:t>
        </m:r>
      </m:oMath>
      <w:r>
        <w:rPr>
          <w:rFonts w:hint="eastAsia"/>
        </w:rPr>
        <w:t>、</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4</m:t>
            </m:r>
            <m:ctrlPr>
              <w:rPr>
                <w:rFonts w:ascii="Cambria Math" w:hAnsi="Cambria Math"/>
              </w:rPr>
            </m:ctrlPr>
          </m:sub>
        </m:sSub>
        <m:r>
          <m:rPr>
            <m:sty m:val="p"/>
          </m:rPr>
          <w:rPr>
            <w:rFonts w:ascii="Cambria Math" w:hAnsi="Cambria Math"/>
          </w:rPr>
          <m:t>&lt;0</m:t>
        </m:r>
      </m:oMath>
      <w:r>
        <w:rPr>
          <w:rFonts w:hint="eastAsia"/>
        </w:rPr>
        <w:t>，则经济发展与钢铁工业碳排放初步呈现倒U型曲线特征；若上述系数均显著且曲线拐点处于样本数据区间内，可严格证实钢铁行业EKC假说成立。若仅系数符号符合预期但未通过显著性检验，或计算所得拐点超出样本区间，仅能说明二者存在阶段性趋势特征，无法有效验证EKC曲线的存在性。</w:t>
      </w:r>
    </w:p>
    <w:p w14:paraId="5BA358D4">
      <w:pPr>
        <w:pStyle w:val="25"/>
        <w:spacing w:before="156" w:after="156"/>
        <w:ind w:firstLine="560"/>
        <w:outlineLvl w:val="1"/>
        <w:rPr>
          <w:rFonts w:hint="default"/>
        </w:rPr>
      </w:pPr>
      <w:bookmarkStart w:id="40" w:name="_Toc11134"/>
      <w:bookmarkStart w:id="41" w:name="_Toc15473"/>
      <w:bookmarkStart w:id="42" w:name="OLE_LINK20"/>
      <w:r>
        <w:t>（二）双向固定效应及</w:t>
      </w:r>
      <w:bookmarkStart w:id="43" w:name="_Hlk229257893"/>
      <w:r>
        <w:t>STIRPAT-EKC回归</w:t>
      </w:r>
      <w:bookmarkEnd w:id="43"/>
      <w:r>
        <w:t>结果</w:t>
      </w:r>
      <w:bookmarkEnd w:id="40"/>
      <w:bookmarkEnd w:id="41"/>
    </w:p>
    <w:bookmarkEnd w:id="42"/>
    <w:p w14:paraId="2493B221">
      <w:pPr>
        <w:pStyle w:val="3"/>
        <w:ind w:firstLine="480"/>
      </w:pPr>
      <w:r>
        <w:t>本文依次估计基准双向固定效应模型、EKC二次项模型、滞后一期解释变量模型和动态项辅助模型。</w:t>
      </w:r>
      <w:r>
        <w:rPr>
          <w:rFonts w:hint="eastAsia"/>
        </w:rPr>
        <w:t>如表3</w:t>
      </w:r>
      <w:r>
        <w:t>结果显示，</w:t>
      </w:r>
      <w:bookmarkStart w:id="44" w:name="OLE_LINK15"/>
      <m:oMath>
        <m:r>
          <m:rPr>
            <m:nor/>
            <m:sty m:val="p"/>
          </m:rPr>
          <w:rPr>
            <w:b w:val="0"/>
            <w:i w:val="0"/>
          </w:rPr>
          <m:t>lnPROUD</m:t>
        </m:r>
        <w:bookmarkEnd w:id="44"/>
      </m:oMath>
      <w:r>
        <w:t>在所有模型中均显著为正，说明粗钢产量是钢铁</w:t>
      </w:r>
      <w:r>
        <w:rPr>
          <w:rFonts w:hint="eastAsia"/>
        </w:rPr>
        <w:t>二氧化碳</w:t>
      </w:r>
      <w:r>
        <w:t>排放最稳定的规模驱动因素。在</w:t>
      </w:r>
      <w:r>
        <w:rPr>
          <w:rFonts w:hint="eastAsia"/>
        </w:rPr>
        <w:t>E</w:t>
      </w:r>
      <w:r>
        <w:t>KC二次项模型中，</w:t>
      </w:r>
      <m:oMath>
        <m:r>
          <m:rPr>
            <m:nor/>
            <m:sty m:val="p"/>
          </m:rPr>
          <w:rPr>
            <w:b w:val="0"/>
            <w:i w:val="0"/>
          </w:rPr>
          <m:t>lnPROUD</m:t>
        </m:r>
      </m:oMath>
      <w:r>
        <w:t>的系数为</w:t>
      </w:r>
      <w:r>
        <w:rPr>
          <w:rFonts w:hint="eastAsia"/>
        </w:rPr>
        <w:t>1.411</w:t>
      </w:r>
      <w:r>
        <w:t>，并在1%水平下显著，意味着在控制国家固定效应、年份固定效应及其他宏观变量后，粗钢产量每增加1%，钢铁 CO₂ 排放平均增加约1.</w:t>
      </w:r>
      <w:r>
        <w:rPr>
          <w:rFonts w:hint="eastAsia"/>
        </w:rPr>
        <w:t>411</w:t>
      </w:r>
      <w:r>
        <w:t>%。这一结果在滞后一期解释变量模型和动态项辅助模型中仍然成立，说明产量规模驱动关系具有较强稳健性。</w:t>
      </w:r>
    </w:p>
    <w:p w14:paraId="51257228">
      <w:pPr>
        <w:pStyle w:val="3"/>
        <w:ind w:firstLine="480"/>
      </w:pPr>
      <m:oMath>
        <m:r>
          <m:rPr>
            <m:nor/>
            <m:sty m:val="p"/>
          </m:rPr>
          <w:rPr>
            <w:b w:val="0"/>
            <w:i w:val="0"/>
          </w:rPr>
          <m:t>lnURBAN</m:t>
        </m:r>
      </m:oMath>
      <w:r>
        <w:t>在双向固定效应模型中显著为负。在基准双向固定效应模型中，</w:t>
      </w:r>
      <m:oMath>
        <m:r>
          <m:rPr>
            <m:nor/>
            <m:sty m:val="p"/>
          </m:rPr>
          <w:rPr>
            <w:b w:val="0"/>
            <w:i w:val="0"/>
          </w:rPr>
          <m:t>lnURBAN</m:t>
        </m:r>
      </m:oMath>
      <w:r>
        <w:t>的系数为-2.004，并在1%水平上显著；在STIRPAT-EKC扩展模型中，其系数为-2.07</w:t>
      </w:r>
      <w:r>
        <w:rPr>
          <w:rFonts w:hint="eastAsia"/>
        </w:rPr>
        <w:t>9</w:t>
      </w:r>
      <w:r>
        <w:t>，同样通过1%显著性检验。因此，</w:t>
      </w:r>
      <m:oMath>
        <m:r>
          <m:rPr>
            <m:nor/>
            <m:sty m:val="p"/>
          </m:rPr>
          <w:rPr>
            <w:b w:val="0"/>
            <w:i w:val="0"/>
          </w:rPr>
          <m:t>lnURBAN</m:t>
        </m:r>
      </m:oMath>
      <w:r>
        <w:t>在回归中显著为负可能表明，在控制粗钢产量和宏观发展阶段后，城市化进程更多体现为产业结构升级、单位产出排放效率改善和需求结构变化，而非单纯的钢材需求扩张。</w:t>
      </w:r>
    </w:p>
    <w:p w14:paraId="24993E07">
      <w:pPr>
        <w:pStyle w:val="3"/>
        <w:ind w:firstLine="480"/>
      </w:pPr>
      <w:r>
        <w:rPr>
          <w:rFonts w:hint="eastAsia"/>
        </w:rPr>
        <w:t>在滞后一期的</w:t>
      </w:r>
      <w:r>
        <w:t>EK</w:t>
      </w:r>
      <w:r>
        <w:rPr>
          <w:rFonts w:hint="eastAsia"/>
        </w:rPr>
        <w:t>C</w:t>
      </w:r>
      <w:r>
        <w:t>模型中，</w:t>
      </w:r>
      <m:oMath>
        <w:bookmarkStart w:id="45" w:name="OLE_LINK7"/>
        <m:r>
          <m:rPr>
            <m:nor/>
            <m:sty m:val="p"/>
          </m:rPr>
          <w:rPr>
            <w:b w:val="0"/>
            <w:i w:val="0"/>
          </w:rPr>
          <m:t>lnRGDP</m:t>
        </m:r>
        <w:bookmarkEnd w:id="45"/>
      </m:oMath>
      <w:r>
        <w:t>系数为正，</w:t>
      </w:r>
      <m:oMath>
        <m:sSup>
          <m:sSupPr>
            <m:ctrlPr>
              <w:rPr>
                <w:rFonts w:ascii="Cambria Math" w:hAnsi="Cambria Math"/>
                <w:iCs/>
              </w:rPr>
            </m:ctrlPr>
          </m:sSupPr>
          <m:e>
            <m:r>
              <m:rPr>
                <m:sty m:val="p"/>
              </m:rPr>
              <w:rPr>
                <w:rFonts w:ascii="Cambria Math" w:hAnsi="Cambria Math"/>
              </w:rPr>
              <m:t>(</m:t>
            </m:r>
            <m:r>
              <m:rPr>
                <m:nor/>
                <m:sty m:val="p"/>
              </m:rPr>
              <w:rPr>
                <w:b w:val="0"/>
                <w:i w:val="0"/>
              </w:rPr>
              <m:t>lnRGDP</m:t>
            </m:r>
            <m:r>
              <m:rPr>
                <m:nor/>
                <m:sty m:val="p"/>
              </m:rPr>
              <w:rPr>
                <w:rFonts w:hint="eastAsia"/>
                <w:b w:val="0"/>
                <w:i w:val="0"/>
                <w:iCs/>
              </w:rPr>
              <m:t>)</m:t>
            </m:r>
            <m:ctrlPr>
              <w:rPr>
                <w:rFonts w:ascii="Cambria Math" w:hAnsi="Cambria Math"/>
                <w:iCs/>
              </w:rPr>
            </m:ctrlPr>
          </m:e>
          <m:sup>
            <m:r>
              <m:rPr>
                <m:sty m:val="p"/>
              </m:rPr>
              <w:rPr>
                <w:rFonts w:ascii="Cambria Math" w:hAnsi="Cambria Math"/>
              </w:rPr>
              <m:t>2</m:t>
            </m:r>
            <m:ctrlPr>
              <w:rPr>
                <w:rFonts w:ascii="Cambria Math" w:hAnsi="Cambria Math"/>
                <w:iCs/>
              </w:rPr>
            </m:ctrlPr>
          </m:sup>
        </m:sSup>
      </m:oMath>
      <w:r>
        <w:t>系数为负，</w:t>
      </w:r>
      <w:r>
        <w:rPr>
          <w:rFonts w:hint="eastAsia"/>
        </w:rPr>
        <w:t>从</w:t>
      </w:r>
      <w:r>
        <w:t>方向上符合环境库兹涅茨曲线假说。然而，根据拐点计算，理论拐点对应的</w:t>
      </w:r>
      <m:oMath>
        <m:r>
          <m:rPr>
            <m:nor/>
            <m:sty m:val="p"/>
          </m:rPr>
          <w:rPr>
            <w:b w:val="0"/>
            <w:i w:val="0"/>
          </w:rPr>
          <m:t>lnRGDP</m:t>
        </m:r>
      </m:oMath>
      <w:r>
        <w:t>为1</w:t>
      </w:r>
      <w:r>
        <w:rPr>
          <w:rFonts w:hint="eastAsia"/>
        </w:rPr>
        <w:t>8.96</w:t>
      </w:r>
      <w:r>
        <w:t>，高于样本最大值11.0</w:t>
      </w:r>
      <w:r>
        <w:rPr>
          <w:rFonts w:hint="eastAsia"/>
        </w:rPr>
        <w:t>9</w:t>
      </w:r>
      <w:r>
        <w:t>，说明样本期内尚不能严格证明五国钢铁排放已经普遍跨越EKC拐点。因此，本文现有结果在方向上对钢铁工业CO₂</w:t>
      </w:r>
      <w:r>
        <w:rPr>
          <w:rFonts w:hint="eastAsia"/>
        </w:rPr>
        <w:t xml:space="preserve"> </w:t>
      </w:r>
      <w:r>
        <w:t>排放的EKC 假说提供了一定支持，尤其是滞后一期模型显示出较弱的倒U型证据；但主模型二次项不显著、理论拐点不在样本范围内，且动态模型和异质性模型结果并不完全一致。</w:t>
      </w:r>
    </w:p>
    <w:p w14:paraId="25ED4FB0">
      <w:pPr>
        <w:pStyle w:val="3"/>
        <w:ind w:firstLine="480"/>
      </w:pPr>
      <m:oMath>
        <m:r>
          <m:rPr>
            <m:nor/>
            <m:sty m:val="p"/>
          </m:rPr>
          <w:rPr>
            <w:rFonts w:hint="eastAsia"/>
            <w:b w:val="0"/>
            <w:i w:val="0"/>
          </w:rPr>
          <m:t>COPEN</m:t>
        </m:r>
      </m:oMath>
      <w:r>
        <w:t>在基准双向固定效应模型中显著为负，但加入</w:t>
      </w:r>
      <m:oMath>
        <w:bookmarkStart w:id="46" w:name="OLE_LINK8"/>
        <m:r>
          <m:rPr>
            <m:nor/>
            <m:sty m:val="p"/>
          </m:rPr>
          <w:rPr>
            <w:b w:val="0"/>
            <w:i w:val="0"/>
          </w:rPr>
          <m:t>lnRGDP</m:t>
        </m:r>
        <w:bookmarkEnd w:id="46"/>
      </m:oMath>
      <w:r>
        <w:t>及其平方项后显著性下降，说明贸易开放的影响可能与经济发展阶段存在重叠。FD在双向固定效应模型中未表现出稳定显著性，说明金融发展不是直接、独立的线性减排变量。因此，</w:t>
      </w:r>
      <w:r>
        <w:rPr>
          <w:rFonts w:hint="eastAsia"/>
        </w:rPr>
        <w:t>本文认为</w:t>
      </w:r>
      <m:oMath>
        <m:r>
          <m:rPr>
            <m:nor/>
            <m:sty m:val="p"/>
          </m:rPr>
          <w:rPr>
            <w:rFonts w:hint="eastAsia"/>
            <w:b w:val="0"/>
            <w:i w:val="0"/>
          </w:rPr>
          <m:t>COPEN</m:t>
        </m:r>
      </m:oMath>
      <w:r>
        <w:t>和</w:t>
      </w:r>
      <m:oMath>
        <m:r>
          <m:rPr>
            <m:nor/>
            <m:sty m:val="p"/>
          </m:rPr>
          <w:rPr>
            <w:rFonts w:hint="eastAsia"/>
            <w:b w:val="0"/>
            <w:i w:val="0"/>
          </w:rPr>
          <m:t>FD</m:t>
        </m:r>
      </m:oMath>
      <w:r>
        <w:rPr>
          <w:rFonts w:hint="eastAsia"/>
        </w:rPr>
        <w:t>仅是未来</w:t>
      </w:r>
      <w:r>
        <w:t>低碳转型中的技术扩散条件和绿色融资条件，</w:t>
      </w:r>
      <w:r>
        <w:rPr>
          <w:rFonts w:hint="eastAsia"/>
        </w:rPr>
        <w:t>并不是</w:t>
      </w:r>
      <w:r>
        <w:t>直接减排因子。</w:t>
      </w:r>
    </w:p>
    <w:p w14:paraId="1C16CECF">
      <w:pPr>
        <w:pStyle w:val="3"/>
        <w:ind w:firstLine="480"/>
        <w:rPr>
          <w:rStyle w:val="32"/>
          <w:rFonts w:hint="eastAsia" w:cs="宋体" w:asciiTheme="minorEastAsia" w:hAnsiTheme="minorEastAsia" w:eastAsiaTheme="minorEastAsia"/>
          <w:sz w:val="24"/>
        </w:rPr>
      </w:pPr>
      <w:r>
        <w:rPr>
          <w:rFonts w:hint="eastAsia"/>
        </w:rPr>
        <w:t>在</w:t>
      </w:r>
      <w:r>
        <w:t>动态项辅助模型中，</w:t>
      </w:r>
      <m:oMath>
        <m:r>
          <m:rPr>
            <m:nor/>
            <m:sty m:val="p"/>
          </m:rPr>
          <w:rPr>
            <w:b w:val="0"/>
            <w:i w:val="0"/>
          </w:rPr>
          <m:t>ln</m:t>
        </m:r>
        <m:sSub>
          <m:sSubPr>
            <m:ctrlPr>
              <w:rPr>
                <w:rFonts w:ascii="Cambria Math" w:hAnsi="Cambria Math"/>
              </w:rPr>
            </m:ctrlPr>
          </m:sSubPr>
          <m:e>
            <m:r>
              <m:rPr>
                <m:sty m:val="p"/>
              </m:rPr>
              <w:rPr>
                <w:rFonts w:hint="eastAsia" w:ascii="Cambria Math" w:hAnsi="Cambria Math"/>
              </w:rPr>
              <m:t>CO</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滞后一期</w:t>
      </w:r>
      <w:r>
        <w:t>的系数为0.5</w:t>
      </w:r>
      <w:r>
        <w:rPr>
          <w:rFonts w:hint="eastAsia"/>
        </w:rPr>
        <w:t>06</w:t>
      </w:r>
      <w:r>
        <w:t>，并在1%水平显著，说明钢铁行业排放具有明显路径依赖和生产惯性。</w:t>
      </w:r>
      <w:r>
        <w:rPr>
          <w:rFonts w:hint="eastAsia"/>
        </w:rPr>
        <w:t>因此我们认为，对于中国来说，</w:t>
      </w:r>
      <w:r>
        <w:t>未来排放轨迹不能仅由当期宏观变量决定，还受到历史排放水平和生产体系惯性的影响</w:t>
      </w:r>
      <w:r>
        <w:rPr>
          <w:rFonts w:hint="eastAsia"/>
        </w:rPr>
        <w:t>，所以我们有必要引入</w:t>
      </w:r>
      <w:r>
        <w:t>TTM-R2.1时序预测模型</w:t>
      </w:r>
      <w:r>
        <w:rPr>
          <w:rFonts w:hint="eastAsia"/>
        </w:rPr>
        <w:t>来对中国的钢铁行业碳排放情况进行拟合。</w:t>
      </w:r>
    </w:p>
    <w:p w14:paraId="320893B2">
      <w:pPr>
        <w:pStyle w:val="6"/>
        <w:jc w:val="center"/>
      </w:pPr>
      <w:r>
        <w:t xml:space="preserve">表 </w:t>
      </w:r>
      <w:r>
        <w:fldChar w:fldCharType="begin"/>
      </w:r>
      <w:r>
        <w:instrText xml:space="preserve"> SEQ 表 \* ARABIC </w:instrText>
      </w:r>
      <w:r>
        <w:fldChar w:fldCharType="separate"/>
      </w:r>
      <w:r>
        <w:t>3</w:t>
      </w:r>
      <w:r>
        <w:fldChar w:fldCharType="end"/>
      </w:r>
      <w:r>
        <w:rPr>
          <w:rFonts w:hint="eastAsia"/>
        </w:rPr>
        <w:t xml:space="preserve">  基于双向固定效应模型的基准回归及稳健性检验结果</w:t>
      </w:r>
    </w:p>
    <w:tbl>
      <w:tblPr>
        <w:tblStyle w:val="30"/>
        <w:tblW w:w="8498" w:type="dxa"/>
        <w:tblInd w:w="68" w:type="dxa"/>
        <w:tblBorders>
          <w:top w:val="single" w:color="auto" w:sz="6" w:space="0"/>
          <w:left w:val="none" w:color="auto" w:sz="4" w:space="0"/>
          <w:bottom w:val="single" w:color="auto" w:sz="6"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86"/>
        <w:gridCol w:w="1703"/>
        <w:gridCol w:w="1703"/>
        <w:gridCol w:w="1703"/>
        <w:gridCol w:w="1703"/>
      </w:tblGrid>
      <w:tr w14:paraId="34E4D17D">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1686" w:type="dxa"/>
            <w:tcBorders>
              <w:bottom w:val="single" w:color="000000" w:sz="4" w:space="0"/>
              <w:tl2br w:val="nil"/>
            </w:tcBorders>
            <w:shd w:val="clear" w:color="auto" w:fill="FFFFFF"/>
            <w:vAlign w:val="bottom"/>
          </w:tcPr>
          <w:p w14:paraId="0E16EBDC">
            <w:pPr>
              <w:pStyle w:val="35"/>
              <w:rPr>
                <w:rFonts w:cs="宋体"/>
              </w:rPr>
            </w:pPr>
            <w:r>
              <w:rPr>
                <w:rFonts w:hint="eastAsia" w:cs="宋体"/>
              </w:rPr>
              <w:t>变量</w:t>
            </w:r>
          </w:p>
        </w:tc>
        <w:tc>
          <w:tcPr>
            <w:tcW w:w="1703" w:type="dxa"/>
            <w:tcBorders>
              <w:bottom w:val="single" w:color="000000" w:sz="4" w:space="0"/>
            </w:tcBorders>
            <w:shd w:val="clear" w:color="auto" w:fill="FFFFFF"/>
            <w:vAlign w:val="center"/>
          </w:tcPr>
          <w:p w14:paraId="20630262">
            <w:pPr>
              <w:pStyle w:val="35"/>
              <w:rPr>
                <w:rFonts w:cs="宋体"/>
              </w:rPr>
            </w:pPr>
            <w:r>
              <w:rPr>
                <w:rFonts w:hint="eastAsia" w:cs="宋体"/>
              </w:rPr>
              <w:t>(1) 基准双向FE回归模型</w:t>
            </w:r>
          </w:p>
        </w:tc>
        <w:tc>
          <w:tcPr>
            <w:tcW w:w="1703" w:type="dxa"/>
            <w:tcBorders>
              <w:bottom w:val="single" w:color="000000" w:sz="4" w:space="0"/>
            </w:tcBorders>
            <w:shd w:val="clear" w:color="auto" w:fill="FFFFFF"/>
            <w:vAlign w:val="center"/>
          </w:tcPr>
          <w:p w14:paraId="115F2A91">
            <w:pPr>
              <w:pStyle w:val="35"/>
              <w:rPr>
                <w:rFonts w:cs="宋体"/>
              </w:rPr>
            </w:pPr>
            <w:r>
              <w:rPr>
                <w:rFonts w:hint="eastAsia" w:cs="宋体"/>
              </w:rPr>
              <w:t>(2) EKC二次项模型</w:t>
            </w:r>
          </w:p>
        </w:tc>
        <w:tc>
          <w:tcPr>
            <w:tcW w:w="1703" w:type="dxa"/>
            <w:tcBorders>
              <w:bottom w:val="single" w:color="000000" w:sz="4" w:space="0"/>
            </w:tcBorders>
            <w:shd w:val="clear" w:color="auto" w:fill="FFFFFF"/>
            <w:vAlign w:val="center"/>
          </w:tcPr>
          <w:p w14:paraId="0AF0C2AA">
            <w:pPr>
              <w:pStyle w:val="35"/>
              <w:rPr>
                <w:rFonts w:cs="宋体"/>
              </w:rPr>
            </w:pPr>
            <w:r>
              <w:rPr>
                <w:rFonts w:hint="eastAsia" w:cs="宋体"/>
              </w:rPr>
              <w:t>（3）滞后一期模型</w:t>
            </w:r>
          </w:p>
        </w:tc>
        <w:tc>
          <w:tcPr>
            <w:tcW w:w="1703" w:type="dxa"/>
            <w:tcBorders>
              <w:bottom w:val="single" w:color="000000" w:sz="4" w:space="0"/>
            </w:tcBorders>
            <w:shd w:val="clear" w:color="auto" w:fill="FFFFFF"/>
            <w:vAlign w:val="center"/>
          </w:tcPr>
          <w:p w14:paraId="516899E5">
            <w:pPr>
              <w:pStyle w:val="35"/>
              <w:rPr>
                <w:rFonts w:cs="宋体"/>
              </w:rPr>
            </w:pPr>
            <w:r>
              <w:rPr>
                <w:rFonts w:hint="eastAsia" w:cs="宋体"/>
              </w:rPr>
              <w:t>（4）动态辅助模型</w:t>
            </w:r>
          </w:p>
        </w:tc>
      </w:tr>
      <w:tr w14:paraId="5C3B2D04">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tcBorders>
              <w:top w:val="single" w:color="000000" w:sz="4" w:space="0"/>
            </w:tcBorders>
            <w:shd w:val="clear" w:color="auto" w:fill="FFFFFF"/>
          </w:tcPr>
          <w:p w14:paraId="49458672">
            <w:pPr>
              <w:pStyle w:val="35"/>
              <w:rPr>
                <w:rFonts w:cs="宋体"/>
              </w:rPr>
            </w:pPr>
            <w:r>
              <w:rPr>
                <w:rFonts w:hint="eastAsia" w:cs="宋体"/>
              </w:rPr>
              <w:t>lnPROUD</w:t>
            </w:r>
          </w:p>
        </w:tc>
        <w:tc>
          <w:tcPr>
            <w:tcW w:w="1703" w:type="dxa"/>
            <w:tcBorders>
              <w:top w:val="single" w:color="000000" w:sz="4" w:space="0"/>
            </w:tcBorders>
            <w:shd w:val="clear" w:color="auto" w:fill="FFFFFF"/>
            <w:vAlign w:val="center"/>
          </w:tcPr>
          <w:p w14:paraId="0B439BAF">
            <w:pPr>
              <w:widowControl/>
              <w:jc w:val="center"/>
              <w:textAlignment w:val="bottom"/>
              <w:rPr>
                <w:rFonts w:cs="宋体"/>
                <w:sz w:val="24"/>
              </w:rPr>
            </w:pPr>
            <w:r>
              <w:rPr>
                <w:rFonts w:hint="eastAsia" w:cs="宋体"/>
                <w:kern w:val="0"/>
                <w:sz w:val="24"/>
                <w:szCs w:val="22"/>
                <w:lang w:bidi="ar"/>
              </w:rPr>
              <w:t>1.411***</w:t>
            </w:r>
            <w:r>
              <w:rPr>
                <w:rFonts w:hint="eastAsia" w:cs="宋体"/>
                <w:kern w:val="0"/>
                <w:sz w:val="24"/>
                <w:szCs w:val="22"/>
                <w:lang w:bidi="ar"/>
              </w:rPr>
              <w:br w:type="textWrapping"/>
            </w:r>
            <w:r>
              <w:rPr>
                <w:rFonts w:hint="eastAsia" w:cs="宋体"/>
                <w:kern w:val="0"/>
                <w:sz w:val="24"/>
                <w:szCs w:val="22"/>
                <w:lang w:bidi="ar"/>
              </w:rPr>
              <w:t>(0.112)</w:t>
            </w:r>
          </w:p>
        </w:tc>
        <w:tc>
          <w:tcPr>
            <w:tcW w:w="1703" w:type="dxa"/>
            <w:tcBorders>
              <w:top w:val="single" w:color="000000" w:sz="4" w:space="0"/>
            </w:tcBorders>
            <w:shd w:val="clear" w:color="auto" w:fill="FFFFFF"/>
            <w:vAlign w:val="center"/>
          </w:tcPr>
          <w:p w14:paraId="3BB83B00">
            <w:pPr>
              <w:widowControl/>
              <w:jc w:val="center"/>
              <w:textAlignment w:val="bottom"/>
              <w:rPr>
                <w:rFonts w:cs="宋体"/>
                <w:sz w:val="24"/>
              </w:rPr>
            </w:pPr>
            <w:r>
              <w:rPr>
                <w:rFonts w:hint="eastAsia" w:cs="宋体"/>
                <w:kern w:val="0"/>
                <w:sz w:val="24"/>
                <w:szCs w:val="22"/>
                <w:lang w:bidi="ar"/>
              </w:rPr>
              <w:t>1.124***</w:t>
            </w:r>
            <w:r>
              <w:rPr>
                <w:rFonts w:hint="eastAsia" w:cs="宋体"/>
                <w:kern w:val="0"/>
                <w:sz w:val="24"/>
                <w:szCs w:val="22"/>
                <w:lang w:bidi="ar"/>
              </w:rPr>
              <w:br w:type="textWrapping"/>
            </w:r>
            <w:r>
              <w:rPr>
                <w:rFonts w:hint="eastAsia" w:cs="宋体"/>
                <w:kern w:val="0"/>
                <w:sz w:val="24"/>
                <w:szCs w:val="22"/>
                <w:lang w:bidi="ar"/>
              </w:rPr>
              <w:t>(0.130)</w:t>
            </w:r>
          </w:p>
        </w:tc>
        <w:tc>
          <w:tcPr>
            <w:tcW w:w="1703" w:type="dxa"/>
            <w:tcBorders>
              <w:top w:val="single" w:color="000000" w:sz="4" w:space="0"/>
            </w:tcBorders>
            <w:shd w:val="clear" w:color="auto" w:fill="FFFFFF"/>
            <w:vAlign w:val="center"/>
          </w:tcPr>
          <w:p w14:paraId="25BC5235">
            <w:pPr>
              <w:widowControl/>
              <w:jc w:val="center"/>
              <w:textAlignment w:val="bottom"/>
              <w:rPr>
                <w:sz w:val="24"/>
              </w:rPr>
            </w:pPr>
            <w:r>
              <w:rPr>
                <w:rFonts w:hint="eastAsia" w:cs="宋体"/>
                <w:kern w:val="0"/>
                <w:sz w:val="24"/>
                <w:szCs w:val="22"/>
                <w:lang w:bidi="ar"/>
              </w:rPr>
              <w:t>0.800***</w:t>
            </w:r>
            <w:r>
              <w:rPr>
                <w:rFonts w:hint="eastAsia" w:cs="宋体"/>
                <w:kern w:val="0"/>
                <w:sz w:val="24"/>
                <w:szCs w:val="22"/>
                <w:lang w:bidi="ar"/>
              </w:rPr>
              <w:br w:type="textWrapping"/>
            </w:r>
            <w:r>
              <w:rPr>
                <w:rFonts w:hint="eastAsia" w:cs="宋体"/>
                <w:kern w:val="0"/>
                <w:sz w:val="24"/>
                <w:szCs w:val="22"/>
                <w:lang w:bidi="ar"/>
              </w:rPr>
              <w:t>(0.180)</w:t>
            </w:r>
          </w:p>
        </w:tc>
        <w:tc>
          <w:tcPr>
            <w:tcW w:w="1703" w:type="dxa"/>
            <w:tcBorders>
              <w:top w:val="single" w:color="000000" w:sz="4" w:space="0"/>
            </w:tcBorders>
            <w:shd w:val="clear" w:color="auto" w:fill="FFFFFF"/>
            <w:vAlign w:val="center"/>
          </w:tcPr>
          <w:p w14:paraId="44AA819D">
            <w:pPr>
              <w:widowControl/>
              <w:jc w:val="center"/>
              <w:textAlignment w:val="bottom"/>
              <w:rPr>
                <w:sz w:val="24"/>
              </w:rPr>
            </w:pPr>
            <w:r>
              <w:rPr>
                <w:rFonts w:hint="eastAsia" w:cs="宋体"/>
                <w:kern w:val="0"/>
                <w:sz w:val="24"/>
                <w:szCs w:val="22"/>
                <w:lang w:bidi="ar"/>
              </w:rPr>
              <w:t>0.738***</w:t>
            </w:r>
            <w:r>
              <w:rPr>
                <w:rFonts w:hint="eastAsia" w:cs="宋体"/>
                <w:kern w:val="0"/>
                <w:sz w:val="24"/>
                <w:szCs w:val="22"/>
                <w:lang w:bidi="ar"/>
              </w:rPr>
              <w:br w:type="textWrapping"/>
            </w:r>
            <w:r>
              <w:rPr>
                <w:rFonts w:hint="eastAsia" w:cs="宋体"/>
                <w:kern w:val="0"/>
                <w:sz w:val="24"/>
                <w:szCs w:val="22"/>
                <w:lang w:bidi="ar"/>
              </w:rPr>
              <w:t>(0.125)</w:t>
            </w:r>
          </w:p>
        </w:tc>
      </w:tr>
      <w:tr w14:paraId="4805305E">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653AC925">
            <w:pPr>
              <w:pStyle w:val="35"/>
              <w:rPr>
                <w:rFonts w:cs="宋体"/>
              </w:rPr>
            </w:pPr>
            <w:r>
              <w:rPr>
                <w:rFonts w:hint="eastAsia" w:cs="宋体"/>
              </w:rPr>
              <w:t>lnURBAN</w:t>
            </w:r>
          </w:p>
        </w:tc>
        <w:tc>
          <w:tcPr>
            <w:tcW w:w="1703" w:type="dxa"/>
            <w:shd w:val="clear" w:color="auto" w:fill="FFFFFF"/>
            <w:vAlign w:val="center"/>
          </w:tcPr>
          <w:p w14:paraId="1B43705A">
            <w:pPr>
              <w:widowControl/>
              <w:jc w:val="center"/>
              <w:textAlignment w:val="bottom"/>
              <w:rPr>
                <w:rFonts w:cs="宋体"/>
                <w:sz w:val="24"/>
              </w:rPr>
            </w:pPr>
            <w:r>
              <w:rPr>
                <w:rFonts w:hint="eastAsia" w:cs="宋体"/>
                <w:kern w:val="0"/>
                <w:sz w:val="24"/>
                <w:szCs w:val="22"/>
                <w:lang w:bidi="ar"/>
              </w:rPr>
              <w:t>-2.004***</w:t>
            </w:r>
            <w:r>
              <w:rPr>
                <w:rFonts w:hint="eastAsia" w:cs="宋体"/>
                <w:kern w:val="0"/>
                <w:sz w:val="24"/>
                <w:szCs w:val="22"/>
                <w:lang w:bidi="ar"/>
              </w:rPr>
              <w:br w:type="textWrapping"/>
            </w:r>
            <w:r>
              <w:rPr>
                <w:rFonts w:hint="eastAsia" w:cs="宋体"/>
                <w:kern w:val="0"/>
                <w:sz w:val="24"/>
                <w:szCs w:val="22"/>
                <w:lang w:bidi="ar"/>
              </w:rPr>
              <w:t>(0.412)</w:t>
            </w:r>
          </w:p>
        </w:tc>
        <w:tc>
          <w:tcPr>
            <w:tcW w:w="1703" w:type="dxa"/>
            <w:shd w:val="clear" w:color="auto" w:fill="FFFFFF"/>
            <w:vAlign w:val="center"/>
          </w:tcPr>
          <w:p w14:paraId="0539F35B">
            <w:pPr>
              <w:widowControl/>
              <w:jc w:val="center"/>
              <w:textAlignment w:val="bottom"/>
              <w:rPr>
                <w:rFonts w:cs="宋体"/>
                <w:sz w:val="24"/>
              </w:rPr>
            </w:pPr>
            <w:r>
              <w:rPr>
                <w:rFonts w:hint="eastAsia" w:cs="宋体"/>
                <w:kern w:val="0"/>
                <w:sz w:val="24"/>
                <w:szCs w:val="22"/>
                <w:lang w:bidi="ar"/>
              </w:rPr>
              <w:t>-2.079***</w:t>
            </w:r>
            <w:r>
              <w:rPr>
                <w:rFonts w:hint="eastAsia" w:cs="宋体"/>
                <w:kern w:val="0"/>
                <w:sz w:val="24"/>
                <w:szCs w:val="22"/>
                <w:lang w:bidi="ar"/>
              </w:rPr>
              <w:br w:type="textWrapping"/>
            </w:r>
            <w:r>
              <w:rPr>
                <w:rFonts w:hint="eastAsia" w:cs="宋体"/>
                <w:kern w:val="0"/>
                <w:sz w:val="24"/>
                <w:szCs w:val="22"/>
                <w:lang w:bidi="ar"/>
              </w:rPr>
              <w:t>(0.443)</w:t>
            </w:r>
          </w:p>
        </w:tc>
        <w:tc>
          <w:tcPr>
            <w:tcW w:w="1703" w:type="dxa"/>
            <w:shd w:val="clear" w:color="auto" w:fill="FFFFFF"/>
            <w:vAlign w:val="center"/>
          </w:tcPr>
          <w:p w14:paraId="1B39A88D">
            <w:pPr>
              <w:widowControl/>
              <w:jc w:val="center"/>
              <w:textAlignment w:val="bottom"/>
              <w:rPr>
                <w:sz w:val="24"/>
              </w:rPr>
            </w:pPr>
            <w:r>
              <w:rPr>
                <w:rFonts w:hint="eastAsia" w:cs="宋体"/>
                <w:kern w:val="0"/>
                <w:sz w:val="24"/>
                <w:szCs w:val="22"/>
                <w:lang w:bidi="ar"/>
              </w:rPr>
              <w:t>-1.975***</w:t>
            </w:r>
            <w:r>
              <w:rPr>
                <w:rFonts w:hint="eastAsia" w:cs="宋体"/>
                <w:kern w:val="0"/>
                <w:sz w:val="24"/>
                <w:szCs w:val="22"/>
                <w:lang w:bidi="ar"/>
              </w:rPr>
              <w:br w:type="textWrapping"/>
            </w:r>
            <w:r>
              <w:rPr>
                <w:rFonts w:hint="eastAsia" w:cs="宋体"/>
                <w:kern w:val="0"/>
                <w:sz w:val="24"/>
                <w:szCs w:val="22"/>
                <w:lang w:bidi="ar"/>
              </w:rPr>
              <w:t>(0.449)</w:t>
            </w:r>
          </w:p>
        </w:tc>
        <w:tc>
          <w:tcPr>
            <w:tcW w:w="1703" w:type="dxa"/>
            <w:shd w:val="clear" w:color="auto" w:fill="FFFFFF"/>
            <w:vAlign w:val="center"/>
          </w:tcPr>
          <w:p w14:paraId="0E03EF6F">
            <w:pPr>
              <w:widowControl/>
              <w:jc w:val="center"/>
              <w:textAlignment w:val="bottom"/>
              <w:rPr>
                <w:sz w:val="24"/>
              </w:rPr>
            </w:pPr>
            <w:r>
              <w:rPr>
                <w:rFonts w:hint="eastAsia" w:cs="宋体"/>
                <w:kern w:val="0"/>
                <w:sz w:val="24"/>
                <w:szCs w:val="22"/>
                <w:lang w:bidi="ar"/>
              </w:rPr>
              <w:t>-1.154***</w:t>
            </w:r>
            <w:r>
              <w:rPr>
                <w:rFonts w:hint="eastAsia" w:cs="宋体"/>
                <w:kern w:val="0"/>
                <w:sz w:val="24"/>
                <w:szCs w:val="22"/>
                <w:lang w:bidi="ar"/>
              </w:rPr>
              <w:br w:type="textWrapping"/>
            </w:r>
            <w:r>
              <w:rPr>
                <w:rFonts w:hint="eastAsia" w:cs="宋体"/>
                <w:kern w:val="0"/>
                <w:sz w:val="24"/>
                <w:szCs w:val="22"/>
                <w:lang w:bidi="ar"/>
              </w:rPr>
              <w:t>(0.345)</w:t>
            </w:r>
          </w:p>
        </w:tc>
      </w:tr>
      <w:tr w14:paraId="032B63DF">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0A1D6516">
            <w:pPr>
              <w:pStyle w:val="35"/>
              <w:rPr>
                <w:rFonts w:cs="宋体"/>
              </w:rPr>
            </w:pPr>
            <w:r>
              <w:rPr>
                <w:rFonts w:hint="eastAsia" w:cs="宋体"/>
              </w:rPr>
              <w:t>COPEN</w:t>
            </w:r>
          </w:p>
        </w:tc>
        <w:tc>
          <w:tcPr>
            <w:tcW w:w="1703" w:type="dxa"/>
            <w:shd w:val="clear" w:color="auto" w:fill="FFFFFF"/>
            <w:vAlign w:val="center"/>
          </w:tcPr>
          <w:p w14:paraId="24BBB5CA">
            <w:pPr>
              <w:widowControl/>
              <w:jc w:val="center"/>
              <w:textAlignment w:val="bottom"/>
              <w:rPr>
                <w:rFonts w:cs="宋体"/>
                <w:sz w:val="24"/>
                <w:szCs w:val="22"/>
              </w:rPr>
            </w:pPr>
            <w:r>
              <w:rPr>
                <w:rFonts w:hint="eastAsia" w:cs="宋体"/>
                <w:kern w:val="0"/>
                <w:sz w:val="24"/>
                <w:szCs w:val="22"/>
                <w:lang w:bidi="ar"/>
              </w:rPr>
              <w:t>-0.565*</w:t>
            </w:r>
            <w:r>
              <w:rPr>
                <w:rFonts w:hint="eastAsia" w:cs="宋体"/>
                <w:kern w:val="0"/>
                <w:sz w:val="24"/>
                <w:szCs w:val="22"/>
                <w:lang w:bidi="ar"/>
              </w:rPr>
              <w:br w:type="textWrapping"/>
            </w:r>
            <w:r>
              <w:rPr>
                <w:rFonts w:hint="eastAsia" w:cs="宋体"/>
                <w:kern w:val="0"/>
                <w:sz w:val="24"/>
                <w:szCs w:val="22"/>
                <w:lang w:bidi="ar"/>
              </w:rPr>
              <w:t>(0.326)</w:t>
            </w:r>
          </w:p>
        </w:tc>
        <w:tc>
          <w:tcPr>
            <w:tcW w:w="1703" w:type="dxa"/>
            <w:shd w:val="clear" w:color="auto" w:fill="FFFFFF"/>
            <w:vAlign w:val="center"/>
          </w:tcPr>
          <w:p w14:paraId="5039D415">
            <w:pPr>
              <w:widowControl/>
              <w:jc w:val="center"/>
              <w:textAlignment w:val="bottom"/>
              <w:rPr>
                <w:rFonts w:cs="宋体"/>
                <w:sz w:val="24"/>
                <w:szCs w:val="22"/>
              </w:rPr>
            </w:pPr>
            <w:r>
              <w:rPr>
                <w:rFonts w:hint="eastAsia" w:cs="宋体"/>
                <w:kern w:val="0"/>
                <w:sz w:val="24"/>
                <w:szCs w:val="22"/>
                <w:lang w:bidi="ar"/>
              </w:rPr>
              <w:t>-0.749</w:t>
            </w:r>
            <w:r>
              <w:rPr>
                <w:rFonts w:hint="eastAsia" w:cs="宋体"/>
                <w:kern w:val="0"/>
                <w:sz w:val="24"/>
                <w:szCs w:val="22"/>
                <w:lang w:bidi="ar"/>
              </w:rPr>
              <w:br w:type="textWrapping"/>
            </w:r>
            <w:r>
              <w:rPr>
                <w:rFonts w:hint="eastAsia" w:cs="宋体"/>
                <w:kern w:val="0"/>
                <w:sz w:val="24"/>
                <w:szCs w:val="22"/>
                <w:lang w:bidi="ar"/>
              </w:rPr>
              <w:t>(0.485)</w:t>
            </w:r>
          </w:p>
        </w:tc>
        <w:tc>
          <w:tcPr>
            <w:tcW w:w="1703" w:type="dxa"/>
            <w:shd w:val="clear" w:color="auto" w:fill="FFFFFF"/>
            <w:vAlign w:val="center"/>
          </w:tcPr>
          <w:p w14:paraId="558A1154">
            <w:pPr>
              <w:widowControl/>
              <w:jc w:val="center"/>
              <w:textAlignment w:val="bottom"/>
              <w:rPr>
                <w:rFonts w:cs="宋体"/>
                <w:sz w:val="24"/>
                <w:szCs w:val="22"/>
              </w:rPr>
            </w:pPr>
            <w:r>
              <w:rPr>
                <w:rFonts w:hint="eastAsia" w:cs="宋体"/>
                <w:kern w:val="0"/>
                <w:sz w:val="24"/>
                <w:szCs w:val="22"/>
                <w:lang w:bidi="ar"/>
              </w:rPr>
              <w:t>-0.304</w:t>
            </w:r>
            <w:r>
              <w:rPr>
                <w:rFonts w:hint="eastAsia" w:cs="宋体"/>
                <w:kern w:val="0"/>
                <w:sz w:val="24"/>
                <w:szCs w:val="22"/>
                <w:lang w:bidi="ar"/>
              </w:rPr>
              <w:br w:type="textWrapping"/>
            </w:r>
            <w:r>
              <w:rPr>
                <w:rFonts w:hint="eastAsia" w:cs="宋体"/>
                <w:kern w:val="0"/>
                <w:sz w:val="24"/>
                <w:szCs w:val="22"/>
                <w:lang w:bidi="ar"/>
              </w:rPr>
              <w:t>(0.682)</w:t>
            </w:r>
          </w:p>
        </w:tc>
        <w:tc>
          <w:tcPr>
            <w:tcW w:w="1703" w:type="dxa"/>
            <w:shd w:val="clear" w:color="auto" w:fill="FFFFFF"/>
            <w:vAlign w:val="center"/>
          </w:tcPr>
          <w:p w14:paraId="2CC7AC58">
            <w:pPr>
              <w:widowControl/>
              <w:jc w:val="center"/>
              <w:textAlignment w:val="bottom"/>
              <w:rPr>
                <w:kern w:val="0"/>
                <w:sz w:val="24"/>
                <w:szCs w:val="22"/>
              </w:rPr>
            </w:pPr>
            <w:r>
              <w:rPr>
                <w:rFonts w:hint="eastAsia" w:cs="宋体"/>
                <w:kern w:val="0"/>
                <w:sz w:val="24"/>
                <w:szCs w:val="22"/>
                <w:lang w:bidi="ar"/>
              </w:rPr>
              <w:t>-0.374</w:t>
            </w:r>
            <w:r>
              <w:rPr>
                <w:rFonts w:hint="eastAsia" w:cs="宋体"/>
                <w:kern w:val="0"/>
                <w:sz w:val="24"/>
                <w:szCs w:val="22"/>
                <w:lang w:bidi="ar"/>
              </w:rPr>
              <w:br w:type="textWrapping"/>
            </w:r>
            <w:r>
              <w:rPr>
                <w:rFonts w:hint="eastAsia" w:cs="宋体"/>
                <w:kern w:val="0"/>
                <w:sz w:val="24"/>
                <w:szCs w:val="22"/>
                <w:lang w:bidi="ar"/>
              </w:rPr>
              <w:t>(0.335)</w:t>
            </w:r>
          </w:p>
        </w:tc>
      </w:tr>
      <w:tr w14:paraId="792271BD">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32A30275">
            <w:pPr>
              <w:pStyle w:val="35"/>
              <w:rPr>
                <w:rFonts w:cs="宋体"/>
              </w:rPr>
            </w:pPr>
            <w:bookmarkStart w:id="47" w:name="_Hlk230896704"/>
            <w:r>
              <w:rPr>
                <w:rFonts w:hint="eastAsia" w:cs="宋体"/>
              </w:rPr>
              <w:t>lnRGDP</w:t>
            </w:r>
          </w:p>
        </w:tc>
        <w:tc>
          <w:tcPr>
            <w:tcW w:w="1703" w:type="dxa"/>
            <w:shd w:val="clear" w:color="auto" w:fill="FFFFFF"/>
            <w:vAlign w:val="center"/>
          </w:tcPr>
          <w:p w14:paraId="32A20EEF">
            <w:pPr>
              <w:pStyle w:val="35"/>
              <w:jc w:val="center"/>
              <w:rPr>
                <w:rFonts w:cs="宋体"/>
              </w:rPr>
            </w:pPr>
          </w:p>
        </w:tc>
        <w:tc>
          <w:tcPr>
            <w:tcW w:w="1703" w:type="dxa"/>
            <w:shd w:val="clear" w:color="auto" w:fill="FFFFFF"/>
            <w:vAlign w:val="center"/>
          </w:tcPr>
          <w:p w14:paraId="0E23BBCC">
            <w:pPr>
              <w:widowControl/>
              <w:jc w:val="center"/>
              <w:textAlignment w:val="bottom"/>
              <w:rPr>
                <w:rFonts w:cs="宋体"/>
                <w:sz w:val="24"/>
              </w:rPr>
            </w:pPr>
            <w:r>
              <w:rPr>
                <w:rFonts w:hint="eastAsia" w:cs="宋体"/>
                <w:kern w:val="0"/>
                <w:sz w:val="24"/>
                <w:szCs w:val="22"/>
                <w:lang w:bidi="ar"/>
              </w:rPr>
              <w:t>0.951</w:t>
            </w:r>
            <w:r>
              <w:rPr>
                <w:rFonts w:hint="eastAsia" w:cs="宋体"/>
                <w:kern w:val="0"/>
                <w:sz w:val="24"/>
                <w:szCs w:val="22"/>
                <w:lang w:bidi="ar"/>
              </w:rPr>
              <w:br w:type="textWrapping"/>
            </w:r>
            <w:r>
              <w:rPr>
                <w:rFonts w:hint="eastAsia" w:cs="宋体"/>
                <w:kern w:val="0"/>
                <w:sz w:val="24"/>
                <w:szCs w:val="22"/>
                <w:lang w:bidi="ar"/>
              </w:rPr>
              <w:t>(1.026)</w:t>
            </w:r>
          </w:p>
        </w:tc>
        <w:tc>
          <w:tcPr>
            <w:tcW w:w="1703" w:type="dxa"/>
            <w:shd w:val="clear" w:color="auto" w:fill="FFFFFF"/>
            <w:vAlign w:val="center"/>
          </w:tcPr>
          <w:p w14:paraId="0BE833D7">
            <w:pPr>
              <w:widowControl/>
              <w:jc w:val="center"/>
              <w:textAlignment w:val="bottom"/>
              <w:rPr>
                <w:sz w:val="24"/>
              </w:rPr>
            </w:pPr>
            <w:r>
              <w:rPr>
                <w:rFonts w:hint="eastAsia" w:cs="宋体"/>
                <w:kern w:val="0"/>
                <w:sz w:val="24"/>
                <w:szCs w:val="22"/>
                <w:lang w:bidi="ar"/>
              </w:rPr>
              <w:t>2.666**</w:t>
            </w:r>
            <w:r>
              <w:rPr>
                <w:rFonts w:hint="eastAsia" w:cs="宋体"/>
                <w:kern w:val="0"/>
                <w:sz w:val="24"/>
                <w:szCs w:val="22"/>
                <w:lang w:bidi="ar"/>
              </w:rPr>
              <w:br w:type="textWrapping"/>
            </w:r>
            <w:r>
              <w:rPr>
                <w:rFonts w:hint="eastAsia" w:cs="宋体"/>
                <w:kern w:val="0"/>
                <w:sz w:val="24"/>
                <w:szCs w:val="22"/>
                <w:lang w:bidi="ar"/>
              </w:rPr>
              <w:t>(1.236)</w:t>
            </w:r>
          </w:p>
        </w:tc>
        <w:tc>
          <w:tcPr>
            <w:tcW w:w="1703" w:type="dxa"/>
            <w:shd w:val="clear" w:color="auto" w:fill="FFFFFF"/>
            <w:vAlign w:val="center"/>
          </w:tcPr>
          <w:p w14:paraId="66197175">
            <w:pPr>
              <w:widowControl/>
              <w:jc w:val="center"/>
              <w:textAlignment w:val="bottom"/>
              <w:rPr>
                <w:sz w:val="24"/>
              </w:rPr>
            </w:pPr>
            <w:r>
              <w:rPr>
                <w:rFonts w:hint="eastAsia" w:cs="宋体"/>
                <w:kern w:val="0"/>
                <w:sz w:val="24"/>
                <w:szCs w:val="22"/>
                <w:lang w:bidi="ar"/>
              </w:rPr>
              <w:t>-0.524</w:t>
            </w:r>
            <w:r>
              <w:rPr>
                <w:rFonts w:hint="eastAsia" w:cs="宋体"/>
                <w:kern w:val="0"/>
                <w:sz w:val="24"/>
                <w:szCs w:val="22"/>
                <w:lang w:bidi="ar"/>
              </w:rPr>
              <w:br w:type="textWrapping"/>
            </w:r>
            <w:r>
              <w:rPr>
                <w:rFonts w:hint="eastAsia" w:cs="宋体"/>
                <w:kern w:val="0"/>
                <w:sz w:val="24"/>
                <w:szCs w:val="22"/>
                <w:lang w:bidi="ar"/>
              </w:rPr>
              <w:t>(0.737)</w:t>
            </w:r>
          </w:p>
        </w:tc>
      </w:tr>
      <w:tr w14:paraId="3FC5EF4D">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39725081">
            <w:pPr>
              <w:pStyle w:val="35"/>
              <w:rPr>
                <w:rFonts w:cs="宋体"/>
              </w:rPr>
            </w:pPr>
            <w:bookmarkStart w:id="48" w:name="OLE_LINK26"/>
            <w:r>
              <w:rPr>
                <w:rFonts w:hint="eastAsia" w:cs="宋体"/>
              </w:rPr>
              <w:t>(lnRGDP)²</w:t>
            </w:r>
            <w:bookmarkEnd w:id="48"/>
          </w:p>
        </w:tc>
        <w:tc>
          <w:tcPr>
            <w:tcW w:w="1703" w:type="dxa"/>
            <w:shd w:val="clear" w:color="auto" w:fill="FFFFFF"/>
            <w:vAlign w:val="center"/>
          </w:tcPr>
          <w:p w14:paraId="71872D9E">
            <w:pPr>
              <w:pStyle w:val="35"/>
              <w:jc w:val="center"/>
              <w:rPr>
                <w:rFonts w:cs="宋体"/>
              </w:rPr>
            </w:pPr>
          </w:p>
        </w:tc>
        <w:tc>
          <w:tcPr>
            <w:tcW w:w="1703" w:type="dxa"/>
            <w:shd w:val="clear" w:color="auto" w:fill="FFFFFF"/>
            <w:vAlign w:val="center"/>
          </w:tcPr>
          <w:p w14:paraId="69EDEE8C">
            <w:pPr>
              <w:widowControl/>
              <w:jc w:val="center"/>
              <w:textAlignment w:val="bottom"/>
              <w:rPr>
                <w:rFonts w:cs="宋体"/>
                <w:sz w:val="24"/>
              </w:rPr>
            </w:pPr>
            <w:r>
              <w:rPr>
                <w:rFonts w:hint="eastAsia" w:cs="宋体"/>
                <w:kern w:val="0"/>
                <w:sz w:val="24"/>
                <w:szCs w:val="22"/>
                <w:lang w:bidi="ar"/>
              </w:rPr>
              <w:t>-0.025</w:t>
            </w:r>
            <w:r>
              <w:rPr>
                <w:rFonts w:hint="eastAsia" w:cs="宋体"/>
                <w:kern w:val="0"/>
                <w:sz w:val="24"/>
                <w:szCs w:val="22"/>
                <w:lang w:bidi="ar"/>
              </w:rPr>
              <w:br w:type="textWrapping"/>
            </w:r>
            <w:r>
              <w:rPr>
                <w:rFonts w:hint="eastAsia" w:cs="宋体"/>
                <w:kern w:val="0"/>
                <w:sz w:val="24"/>
                <w:szCs w:val="22"/>
                <w:lang w:bidi="ar"/>
              </w:rPr>
              <w:t>(0.056)</w:t>
            </w:r>
          </w:p>
        </w:tc>
        <w:tc>
          <w:tcPr>
            <w:tcW w:w="1703" w:type="dxa"/>
            <w:shd w:val="clear" w:color="auto" w:fill="FFFFFF"/>
            <w:vAlign w:val="center"/>
          </w:tcPr>
          <w:p w14:paraId="67E55D47">
            <w:pPr>
              <w:widowControl/>
              <w:jc w:val="center"/>
              <w:textAlignment w:val="bottom"/>
              <w:rPr>
                <w:sz w:val="24"/>
              </w:rPr>
            </w:pPr>
            <w:r>
              <w:rPr>
                <w:rFonts w:hint="eastAsia" w:cs="宋体"/>
                <w:kern w:val="0"/>
                <w:sz w:val="24"/>
                <w:szCs w:val="22"/>
                <w:lang w:bidi="ar"/>
              </w:rPr>
              <w:t>-0.112*</w:t>
            </w:r>
            <w:r>
              <w:rPr>
                <w:rFonts w:hint="eastAsia" w:cs="宋体"/>
                <w:kern w:val="0"/>
                <w:sz w:val="24"/>
                <w:szCs w:val="22"/>
                <w:lang w:bidi="ar"/>
              </w:rPr>
              <w:br w:type="textWrapping"/>
            </w:r>
            <w:r>
              <w:rPr>
                <w:rFonts w:hint="eastAsia" w:cs="宋体"/>
                <w:kern w:val="0"/>
                <w:sz w:val="24"/>
                <w:szCs w:val="22"/>
                <w:lang w:bidi="ar"/>
              </w:rPr>
              <w:t>(0.065)</w:t>
            </w:r>
          </w:p>
        </w:tc>
        <w:tc>
          <w:tcPr>
            <w:tcW w:w="1703" w:type="dxa"/>
            <w:shd w:val="clear" w:color="auto" w:fill="FFFFFF"/>
            <w:vAlign w:val="center"/>
          </w:tcPr>
          <w:p w14:paraId="653866A0">
            <w:pPr>
              <w:widowControl/>
              <w:jc w:val="center"/>
              <w:textAlignment w:val="bottom"/>
              <w:rPr>
                <w:sz w:val="24"/>
              </w:rPr>
            </w:pPr>
            <w:r>
              <w:rPr>
                <w:rFonts w:hint="eastAsia" w:cs="宋体"/>
                <w:kern w:val="0"/>
                <w:sz w:val="24"/>
                <w:szCs w:val="22"/>
                <w:lang w:bidi="ar"/>
              </w:rPr>
              <w:t>0.036</w:t>
            </w:r>
            <w:r>
              <w:rPr>
                <w:rFonts w:hint="eastAsia" w:cs="宋体"/>
                <w:kern w:val="0"/>
                <w:sz w:val="24"/>
                <w:szCs w:val="22"/>
                <w:lang w:bidi="ar"/>
              </w:rPr>
              <w:br w:type="textWrapping"/>
            </w:r>
            <w:r>
              <w:rPr>
                <w:rFonts w:hint="eastAsia" w:cs="宋体"/>
                <w:kern w:val="0"/>
                <w:sz w:val="24"/>
                <w:szCs w:val="22"/>
                <w:lang w:bidi="ar"/>
              </w:rPr>
              <w:t>(0.038)</w:t>
            </w:r>
          </w:p>
        </w:tc>
      </w:tr>
      <w:bookmarkEnd w:id="47"/>
      <w:tr w14:paraId="614D2BFA">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277A3B62">
            <w:pPr>
              <w:pStyle w:val="35"/>
              <w:rPr>
                <w:rFonts w:cs="宋体"/>
              </w:rPr>
            </w:pPr>
            <w:bookmarkStart w:id="49" w:name="OLE_LINK19"/>
            <w:r>
              <w:rPr>
                <w:rFonts w:hint="eastAsia" w:cs="宋体"/>
              </w:rPr>
              <w:t>FD</w:t>
            </w:r>
            <w:bookmarkEnd w:id="49"/>
          </w:p>
        </w:tc>
        <w:tc>
          <w:tcPr>
            <w:tcW w:w="1703" w:type="dxa"/>
            <w:shd w:val="clear" w:color="auto" w:fill="FFFFFF"/>
            <w:vAlign w:val="center"/>
          </w:tcPr>
          <w:p w14:paraId="1744F359">
            <w:pPr>
              <w:pStyle w:val="35"/>
              <w:jc w:val="center"/>
              <w:rPr>
                <w:rFonts w:cs="宋体"/>
              </w:rPr>
            </w:pPr>
            <w:r>
              <w:rPr>
                <w:rFonts w:hint="eastAsia" w:cs="宋体"/>
              </w:rPr>
              <w:t>-0.129</w:t>
            </w:r>
          </w:p>
          <w:p w14:paraId="4B386184">
            <w:pPr>
              <w:pStyle w:val="35"/>
              <w:jc w:val="center"/>
              <w:rPr>
                <w:rFonts w:cs="宋体"/>
              </w:rPr>
            </w:pPr>
            <w:r>
              <w:rPr>
                <w:rFonts w:hint="eastAsia" w:cs="宋体"/>
              </w:rPr>
              <w:t>(0.327)</w:t>
            </w:r>
          </w:p>
        </w:tc>
        <w:tc>
          <w:tcPr>
            <w:tcW w:w="1703" w:type="dxa"/>
            <w:shd w:val="clear" w:color="auto" w:fill="FFFFFF"/>
            <w:vAlign w:val="center"/>
          </w:tcPr>
          <w:p w14:paraId="4D01EA08">
            <w:pPr>
              <w:widowControl/>
              <w:jc w:val="center"/>
              <w:textAlignment w:val="bottom"/>
              <w:rPr>
                <w:rFonts w:cs="宋体"/>
                <w:sz w:val="24"/>
                <w:szCs w:val="22"/>
              </w:rPr>
            </w:pPr>
            <w:r>
              <w:rPr>
                <w:rFonts w:hint="eastAsia" w:cs="宋体"/>
                <w:kern w:val="0"/>
                <w:sz w:val="24"/>
                <w:szCs w:val="22"/>
                <w:lang w:bidi="ar"/>
              </w:rPr>
              <w:t>-0.338</w:t>
            </w:r>
            <w:r>
              <w:rPr>
                <w:rFonts w:hint="eastAsia" w:cs="宋体"/>
                <w:kern w:val="0"/>
                <w:sz w:val="24"/>
                <w:szCs w:val="22"/>
                <w:lang w:bidi="ar"/>
              </w:rPr>
              <w:br w:type="textWrapping"/>
            </w:r>
            <w:r>
              <w:rPr>
                <w:rFonts w:hint="eastAsia" w:cs="宋体"/>
                <w:kern w:val="0"/>
                <w:sz w:val="24"/>
                <w:szCs w:val="22"/>
                <w:lang w:bidi="ar"/>
              </w:rPr>
              <w:t>(0.493)</w:t>
            </w:r>
          </w:p>
        </w:tc>
        <w:tc>
          <w:tcPr>
            <w:tcW w:w="1703" w:type="dxa"/>
            <w:shd w:val="clear" w:color="auto" w:fill="FFFFFF"/>
            <w:vAlign w:val="center"/>
          </w:tcPr>
          <w:p w14:paraId="5D7C1005">
            <w:pPr>
              <w:widowControl/>
              <w:jc w:val="center"/>
              <w:textAlignment w:val="bottom"/>
              <w:rPr>
                <w:rFonts w:cs="宋体"/>
                <w:sz w:val="24"/>
                <w:szCs w:val="22"/>
              </w:rPr>
            </w:pPr>
            <w:r>
              <w:rPr>
                <w:rFonts w:hint="eastAsia" w:cs="宋体"/>
                <w:kern w:val="0"/>
                <w:sz w:val="24"/>
                <w:szCs w:val="22"/>
                <w:lang w:bidi="ar"/>
              </w:rPr>
              <w:t>-0.459</w:t>
            </w:r>
            <w:r>
              <w:rPr>
                <w:rFonts w:hint="eastAsia" w:cs="宋体"/>
                <w:kern w:val="0"/>
                <w:sz w:val="24"/>
                <w:szCs w:val="22"/>
                <w:lang w:bidi="ar"/>
              </w:rPr>
              <w:br w:type="textWrapping"/>
            </w:r>
            <w:r>
              <w:rPr>
                <w:rFonts w:hint="eastAsia" w:cs="宋体"/>
                <w:kern w:val="0"/>
                <w:sz w:val="24"/>
                <w:szCs w:val="22"/>
                <w:lang w:bidi="ar"/>
              </w:rPr>
              <w:t>(0.480)</w:t>
            </w:r>
          </w:p>
        </w:tc>
        <w:tc>
          <w:tcPr>
            <w:tcW w:w="1703" w:type="dxa"/>
            <w:shd w:val="clear" w:color="auto" w:fill="FFFFFF"/>
            <w:vAlign w:val="center"/>
          </w:tcPr>
          <w:p w14:paraId="7B7F64DB">
            <w:pPr>
              <w:widowControl/>
              <w:jc w:val="center"/>
              <w:textAlignment w:val="bottom"/>
              <w:rPr>
                <w:kern w:val="0"/>
                <w:sz w:val="24"/>
                <w:szCs w:val="22"/>
              </w:rPr>
            </w:pPr>
            <w:r>
              <w:rPr>
                <w:rFonts w:hint="eastAsia" w:cs="宋体"/>
                <w:kern w:val="0"/>
                <w:sz w:val="24"/>
                <w:szCs w:val="22"/>
                <w:lang w:bidi="ar"/>
              </w:rPr>
              <w:t>-0.524*</w:t>
            </w:r>
            <w:r>
              <w:rPr>
                <w:rFonts w:hint="eastAsia" w:cs="宋体"/>
                <w:kern w:val="0"/>
                <w:sz w:val="24"/>
                <w:szCs w:val="22"/>
                <w:lang w:bidi="ar"/>
              </w:rPr>
              <w:br w:type="textWrapping"/>
            </w:r>
            <w:r>
              <w:rPr>
                <w:rFonts w:hint="eastAsia" w:cs="宋体"/>
                <w:kern w:val="0"/>
                <w:sz w:val="24"/>
                <w:szCs w:val="22"/>
                <w:lang w:bidi="ar"/>
              </w:rPr>
              <w:t>(0.300)</w:t>
            </w:r>
          </w:p>
        </w:tc>
      </w:tr>
      <w:tr w14:paraId="442664D0">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689D10ED">
            <w:pPr>
              <w:pStyle w:val="35"/>
              <w:rPr>
                <w:rFonts w:cs="宋体"/>
              </w:rPr>
            </w:pPr>
            <w:r>
              <w:rPr>
                <w:rFonts w:hint="eastAsia" w:cs="宋体"/>
              </w:rPr>
              <w:t>lnCO</w:t>
            </w:r>
            <w:r>
              <w:rPr>
                <w:rFonts w:hint="eastAsia" w:cs="宋体"/>
                <w:vertAlign w:val="subscript"/>
              </w:rPr>
              <w:t>2</w:t>
            </w:r>
          </w:p>
        </w:tc>
        <w:tc>
          <w:tcPr>
            <w:tcW w:w="1703" w:type="dxa"/>
            <w:shd w:val="clear" w:color="auto" w:fill="FFFFFF"/>
            <w:vAlign w:val="center"/>
          </w:tcPr>
          <w:p w14:paraId="6C9F3EA5">
            <w:pPr>
              <w:pStyle w:val="35"/>
              <w:jc w:val="center"/>
              <w:rPr>
                <w:rFonts w:cs="宋体"/>
              </w:rPr>
            </w:pPr>
          </w:p>
        </w:tc>
        <w:tc>
          <w:tcPr>
            <w:tcW w:w="1703" w:type="dxa"/>
            <w:shd w:val="clear" w:color="auto" w:fill="FFFFFF"/>
            <w:vAlign w:val="center"/>
          </w:tcPr>
          <w:p w14:paraId="34332505">
            <w:pPr>
              <w:pStyle w:val="35"/>
              <w:jc w:val="center"/>
              <w:rPr>
                <w:rFonts w:cs="宋体"/>
              </w:rPr>
            </w:pPr>
          </w:p>
        </w:tc>
        <w:tc>
          <w:tcPr>
            <w:tcW w:w="1703" w:type="dxa"/>
            <w:shd w:val="clear" w:color="auto" w:fill="FFFFFF"/>
            <w:vAlign w:val="center"/>
          </w:tcPr>
          <w:p w14:paraId="29200C01">
            <w:pPr>
              <w:widowControl/>
              <w:jc w:val="center"/>
              <w:textAlignment w:val="bottom"/>
              <w:rPr>
                <w:rFonts w:cs="宋体"/>
                <w:sz w:val="24"/>
                <w:szCs w:val="22"/>
              </w:rPr>
            </w:pPr>
          </w:p>
        </w:tc>
        <w:tc>
          <w:tcPr>
            <w:tcW w:w="1703" w:type="dxa"/>
            <w:shd w:val="clear" w:color="auto" w:fill="FFFFFF"/>
            <w:vAlign w:val="center"/>
          </w:tcPr>
          <w:p w14:paraId="4D795E60">
            <w:pPr>
              <w:widowControl/>
              <w:jc w:val="center"/>
              <w:textAlignment w:val="bottom"/>
              <w:rPr>
                <w:rFonts w:cs="宋体"/>
                <w:sz w:val="24"/>
                <w:szCs w:val="22"/>
              </w:rPr>
            </w:pPr>
            <w:r>
              <w:rPr>
                <w:rFonts w:hint="eastAsia" w:cs="宋体"/>
                <w:kern w:val="0"/>
                <w:sz w:val="24"/>
                <w:szCs w:val="22"/>
                <w:lang w:bidi="ar"/>
              </w:rPr>
              <w:t>0.506***</w:t>
            </w:r>
            <w:r>
              <w:rPr>
                <w:rFonts w:hint="eastAsia" w:cs="宋体"/>
                <w:kern w:val="0"/>
                <w:sz w:val="24"/>
                <w:szCs w:val="22"/>
                <w:lang w:bidi="ar"/>
              </w:rPr>
              <w:br w:type="textWrapping"/>
            </w:r>
            <w:r>
              <w:rPr>
                <w:rFonts w:hint="eastAsia" w:cs="宋体"/>
                <w:kern w:val="0"/>
                <w:sz w:val="24"/>
                <w:szCs w:val="22"/>
                <w:lang w:bidi="ar"/>
              </w:rPr>
              <w:t>(0.091)</w:t>
            </w:r>
          </w:p>
        </w:tc>
      </w:tr>
      <w:tr w14:paraId="17224051">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0FF65489">
            <w:pPr>
              <w:pStyle w:val="35"/>
              <w:rPr>
                <w:rFonts w:cs="宋体"/>
              </w:rPr>
            </w:pPr>
            <w:r>
              <w:rPr>
                <w:rFonts w:hint="eastAsia" w:cs="宋体"/>
              </w:rPr>
              <w:t>国家固定效应</w:t>
            </w:r>
          </w:p>
        </w:tc>
        <w:tc>
          <w:tcPr>
            <w:tcW w:w="1703" w:type="dxa"/>
            <w:shd w:val="clear" w:color="auto" w:fill="FFFFFF"/>
            <w:vAlign w:val="center"/>
          </w:tcPr>
          <w:p w14:paraId="7815BE7E">
            <w:pPr>
              <w:pStyle w:val="35"/>
              <w:jc w:val="center"/>
              <w:rPr>
                <w:rFonts w:cs="宋体"/>
              </w:rPr>
            </w:pPr>
            <w:r>
              <w:rPr>
                <w:rFonts w:hint="eastAsia" w:cs="宋体"/>
              </w:rPr>
              <w:t>控制</w:t>
            </w:r>
          </w:p>
        </w:tc>
        <w:tc>
          <w:tcPr>
            <w:tcW w:w="1703" w:type="dxa"/>
            <w:shd w:val="clear" w:color="auto" w:fill="FFFFFF"/>
            <w:vAlign w:val="center"/>
          </w:tcPr>
          <w:p w14:paraId="7539E6D9">
            <w:pPr>
              <w:pStyle w:val="35"/>
              <w:jc w:val="center"/>
              <w:rPr>
                <w:rFonts w:cs="宋体"/>
              </w:rPr>
            </w:pPr>
            <w:r>
              <w:rPr>
                <w:rFonts w:hint="eastAsia" w:cs="宋体"/>
              </w:rPr>
              <w:t>控制</w:t>
            </w:r>
          </w:p>
        </w:tc>
        <w:tc>
          <w:tcPr>
            <w:tcW w:w="1703" w:type="dxa"/>
            <w:shd w:val="clear" w:color="auto" w:fill="FFFFFF"/>
            <w:vAlign w:val="center"/>
          </w:tcPr>
          <w:p w14:paraId="495A156F">
            <w:pPr>
              <w:pStyle w:val="35"/>
              <w:jc w:val="center"/>
              <w:rPr>
                <w:rFonts w:cs="宋体"/>
              </w:rPr>
            </w:pPr>
            <w:r>
              <w:rPr>
                <w:rFonts w:hint="eastAsia" w:cs="宋体"/>
              </w:rPr>
              <w:t>控制</w:t>
            </w:r>
          </w:p>
        </w:tc>
        <w:tc>
          <w:tcPr>
            <w:tcW w:w="1703" w:type="dxa"/>
            <w:shd w:val="clear" w:color="auto" w:fill="FFFFFF"/>
            <w:vAlign w:val="center"/>
          </w:tcPr>
          <w:p w14:paraId="1FF50DE1">
            <w:pPr>
              <w:pStyle w:val="35"/>
              <w:jc w:val="center"/>
              <w:rPr>
                <w:rFonts w:cs="宋体"/>
              </w:rPr>
            </w:pPr>
            <w:r>
              <w:rPr>
                <w:rFonts w:hint="eastAsia" w:cs="宋体"/>
              </w:rPr>
              <w:t>控制</w:t>
            </w:r>
          </w:p>
        </w:tc>
      </w:tr>
      <w:tr w14:paraId="1B8DBB8A">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180A1328">
            <w:pPr>
              <w:pStyle w:val="35"/>
              <w:rPr>
                <w:rFonts w:cs="宋体"/>
              </w:rPr>
            </w:pPr>
            <w:r>
              <w:rPr>
                <w:rFonts w:hint="eastAsia" w:cs="宋体"/>
              </w:rPr>
              <w:t>年份固定效应</w:t>
            </w:r>
          </w:p>
        </w:tc>
        <w:tc>
          <w:tcPr>
            <w:tcW w:w="1703" w:type="dxa"/>
            <w:shd w:val="clear" w:color="auto" w:fill="FFFFFF"/>
            <w:vAlign w:val="center"/>
          </w:tcPr>
          <w:p w14:paraId="558DB40E">
            <w:pPr>
              <w:pStyle w:val="35"/>
              <w:jc w:val="center"/>
              <w:rPr>
                <w:rFonts w:cs="宋体"/>
              </w:rPr>
            </w:pPr>
            <w:r>
              <w:rPr>
                <w:rFonts w:hint="eastAsia" w:cs="宋体"/>
              </w:rPr>
              <w:t>控制</w:t>
            </w:r>
          </w:p>
        </w:tc>
        <w:tc>
          <w:tcPr>
            <w:tcW w:w="1703" w:type="dxa"/>
            <w:shd w:val="clear" w:color="auto" w:fill="FFFFFF"/>
            <w:vAlign w:val="center"/>
          </w:tcPr>
          <w:p w14:paraId="384164B6">
            <w:pPr>
              <w:pStyle w:val="35"/>
              <w:jc w:val="center"/>
              <w:rPr>
                <w:rFonts w:cs="宋体"/>
              </w:rPr>
            </w:pPr>
            <w:r>
              <w:rPr>
                <w:rFonts w:hint="eastAsia" w:cs="宋体"/>
              </w:rPr>
              <w:t>控制</w:t>
            </w:r>
          </w:p>
        </w:tc>
        <w:tc>
          <w:tcPr>
            <w:tcW w:w="1703" w:type="dxa"/>
            <w:shd w:val="clear" w:color="auto" w:fill="FFFFFF"/>
            <w:vAlign w:val="center"/>
          </w:tcPr>
          <w:p w14:paraId="3FC17BF9">
            <w:pPr>
              <w:pStyle w:val="35"/>
              <w:jc w:val="center"/>
              <w:rPr>
                <w:rFonts w:cs="宋体"/>
              </w:rPr>
            </w:pPr>
            <w:r>
              <w:rPr>
                <w:rFonts w:hint="eastAsia" w:cs="宋体"/>
              </w:rPr>
              <w:t>控制</w:t>
            </w:r>
          </w:p>
        </w:tc>
        <w:tc>
          <w:tcPr>
            <w:tcW w:w="1703" w:type="dxa"/>
            <w:shd w:val="clear" w:color="auto" w:fill="FFFFFF"/>
            <w:vAlign w:val="center"/>
          </w:tcPr>
          <w:p w14:paraId="7CBDE1D6">
            <w:pPr>
              <w:pStyle w:val="35"/>
              <w:jc w:val="center"/>
              <w:rPr>
                <w:rFonts w:cs="宋体"/>
              </w:rPr>
            </w:pPr>
            <w:r>
              <w:rPr>
                <w:rFonts w:hint="eastAsia" w:cs="宋体"/>
              </w:rPr>
              <w:t>控制</w:t>
            </w:r>
          </w:p>
        </w:tc>
      </w:tr>
      <w:tr w14:paraId="6A8C75F2">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27606D15">
            <w:pPr>
              <w:pStyle w:val="35"/>
              <w:rPr>
                <w:rFonts w:cs="宋体"/>
              </w:rPr>
            </w:pPr>
            <w:r>
              <w:rPr>
                <w:rFonts w:hint="eastAsia" w:cs="宋体"/>
              </w:rPr>
              <w:t>样本量 (N)</w:t>
            </w:r>
          </w:p>
        </w:tc>
        <w:tc>
          <w:tcPr>
            <w:tcW w:w="1703" w:type="dxa"/>
            <w:shd w:val="clear" w:color="auto" w:fill="FFFFFF"/>
            <w:vAlign w:val="center"/>
          </w:tcPr>
          <w:p w14:paraId="39459133">
            <w:pPr>
              <w:pStyle w:val="35"/>
              <w:jc w:val="center"/>
              <w:rPr>
                <w:rFonts w:cs="宋体"/>
              </w:rPr>
            </w:pPr>
            <w:r>
              <w:rPr>
                <w:rFonts w:hint="eastAsia" w:cs="宋体"/>
              </w:rPr>
              <w:t>120</w:t>
            </w:r>
          </w:p>
        </w:tc>
        <w:tc>
          <w:tcPr>
            <w:tcW w:w="1703" w:type="dxa"/>
            <w:shd w:val="clear" w:color="auto" w:fill="FFFFFF"/>
            <w:vAlign w:val="center"/>
          </w:tcPr>
          <w:p w14:paraId="3CE031D0">
            <w:pPr>
              <w:pStyle w:val="35"/>
              <w:jc w:val="center"/>
              <w:rPr>
                <w:rFonts w:cs="宋体"/>
              </w:rPr>
            </w:pPr>
            <w:r>
              <w:rPr>
                <w:rFonts w:hint="eastAsia" w:cs="宋体"/>
              </w:rPr>
              <w:t>120</w:t>
            </w:r>
          </w:p>
        </w:tc>
        <w:tc>
          <w:tcPr>
            <w:tcW w:w="1703" w:type="dxa"/>
            <w:shd w:val="clear" w:color="auto" w:fill="FFFFFF"/>
            <w:vAlign w:val="center"/>
          </w:tcPr>
          <w:p w14:paraId="7FE3BBB2">
            <w:pPr>
              <w:pStyle w:val="35"/>
              <w:jc w:val="center"/>
              <w:rPr>
                <w:rFonts w:cs="宋体"/>
              </w:rPr>
            </w:pPr>
            <w:r>
              <w:rPr>
                <w:rFonts w:hint="eastAsia" w:cs="宋体"/>
              </w:rPr>
              <w:t>115</w:t>
            </w:r>
          </w:p>
        </w:tc>
        <w:tc>
          <w:tcPr>
            <w:tcW w:w="1703" w:type="dxa"/>
            <w:shd w:val="clear" w:color="auto" w:fill="FFFFFF"/>
            <w:vAlign w:val="center"/>
          </w:tcPr>
          <w:p w14:paraId="5EA49246">
            <w:pPr>
              <w:pStyle w:val="35"/>
              <w:jc w:val="center"/>
              <w:rPr>
                <w:rFonts w:cs="宋体"/>
              </w:rPr>
            </w:pPr>
            <w:r>
              <w:rPr>
                <w:rFonts w:hint="eastAsia" w:cs="宋体"/>
              </w:rPr>
              <w:t>115</w:t>
            </w:r>
          </w:p>
        </w:tc>
      </w:tr>
      <w:tr w14:paraId="59C8C29D">
        <w:tblPrEx>
          <w:tblBorders>
            <w:top w:val="single" w:color="auto" w:sz="6" w:space="0"/>
            <w:left w:val="none" w:color="auto" w:sz="4" w:space="0"/>
            <w:bottom w:val="single" w:color="auto" w:sz="6" w:space="0"/>
            <w:right w:val="none" w:color="auto" w:sz="4" w:space="0"/>
            <w:insideH w:val="none" w:color="auto" w:sz="4" w:space="0"/>
            <w:insideV w:val="none" w:color="auto" w:sz="4" w:space="0"/>
          </w:tblBorders>
          <w:tblCellMar>
            <w:top w:w="0" w:type="dxa"/>
            <w:left w:w="108" w:type="dxa"/>
            <w:bottom w:w="0" w:type="dxa"/>
            <w:right w:w="108" w:type="dxa"/>
          </w:tblCellMar>
        </w:tblPrEx>
        <w:tc>
          <w:tcPr>
            <w:tcW w:w="1686" w:type="dxa"/>
            <w:shd w:val="clear" w:color="auto" w:fill="FFFFFF"/>
          </w:tcPr>
          <w:p w14:paraId="2995C20C">
            <w:pPr>
              <w:pStyle w:val="35"/>
              <w:rPr>
                <w:rFonts w:cs="宋体"/>
              </w:rPr>
            </w:pPr>
            <w:r>
              <w:rPr>
                <w:rFonts w:hint="eastAsia" w:cs="宋体"/>
              </w:rPr>
              <w:t>R²</w:t>
            </w:r>
          </w:p>
        </w:tc>
        <w:tc>
          <w:tcPr>
            <w:tcW w:w="1703" w:type="dxa"/>
            <w:shd w:val="clear" w:color="auto" w:fill="FFFFFF"/>
            <w:vAlign w:val="center"/>
          </w:tcPr>
          <w:p w14:paraId="714206DF">
            <w:pPr>
              <w:widowControl/>
              <w:jc w:val="center"/>
              <w:textAlignment w:val="bottom"/>
              <w:rPr>
                <w:rFonts w:cs="宋体"/>
                <w:sz w:val="24"/>
                <w:szCs w:val="22"/>
              </w:rPr>
            </w:pPr>
            <w:r>
              <w:rPr>
                <w:rFonts w:hint="eastAsia" w:cs="宋体"/>
                <w:kern w:val="0"/>
                <w:sz w:val="24"/>
                <w:szCs w:val="22"/>
                <w:lang w:bidi="ar"/>
              </w:rPr>
              <w:t>0.990</w:t>
            </w:r>
          </w:p>
        </w:tc>
        <w:tc>
          <w:tcPr>
            <w:tcW w:w="1703" w:type="dxa"/>
            <w:shd w:val="clear" w:color="auto" w:fill="FFFFFF"/>
            <w:vAlign w:val="center"/>
          </w:tcPr>
          <w:p w14:paraId="0D0E81EA">
            <w:pPr>
              <w:widowControl/>
              <w:jc w:val="center"/>
              <w:textAlignment w:val="bottom"/>
              <w:rPr>
                <w:rFonts w:cs="宋体"/>
                <w:sz w:val="24"/>
                <w:szCs w:val="22"/>
              </w:rPr>
            </w:pPr>
            <w:r>
              <w:rPr>
                <w:rFonts w:hint="eastAsia" w:cs="宋体"/>
                <w:kern w:val="0"/>
                <w:sz w:val="24"/>
                <w:szCs w:val="22"/>
                <w:lang w:bidi="ar"/>
              </w:rPr>
              <w:t>0.991</w:t>
            </w:r>
          </w:p>
        </w:tc>
        <w:tc>
          <w:tcPr>
            <w:tcW w:w="1703" w:type="dxa"/>
            <w:shd w:val="clear" w:color="auto" w:fill="FFFFFF"/>
            <w:vAlign w:val="center"/>
          </w:tcPr>
          <w:p w14:paraId="009AACE0">
            <w:pPr>
              <w:widowControl/>
              <w:jc w:val="center"/>
              <w:textAlignment w:val="bottom"/>
              <w:rPr>
                <w:rFonts w:cs="宋体"/>
                <w:sz w:val="24"/>
                <w:szCs w:val="22"/>
              </w:rPr>
            </w:pPr>
            <w:r>
              <w:rPr>
                <w:rFonts w:hint="eastAsia" w:cs="宋体"/>
                <w:sz w:val="24"/>
                <w:szCs w:val="22"/>
              </w:rPr>
              <w:t>0.990</w:t>
            </w:r>
          </w:p>
        </w:tc>
        <w:tc>
          <w:tcPr>
            <w:tcW w:w="1703" w:type="dxa"/>
            <w:shd w:val="clear" w:color="auto" w:fill="FFFFFF"/>
            <w:vAlign w:val="center"/>
          </w:tcPr>
          <w:p w14:paraId="48E6D010">
            <w:pPr>
              <w:widowControl/>
              <w:jc w:val="center"/>
              <w:textAlignment w:val="bottom"/>
              <w:rPr>
                <w:rFonts w:cs="宋体"/>
                <w:sz w:val="24"/>
                <w:szCs w:val="22"/>
              </w:rPr>
            </w:pPr>
            <w:r>
              <w:rPr>
                <w:rFonts w:hint="eastAsia" w:cs="宋体"/>
                <w:kern w:val="0"/>
                <w:sz w:val="24"/>
                <w:szCs w:val="22"/>
                <w:lang w:bidi="ar"/>
              </w:rPr>
              <w:t>0.996</w:t>
            </w:r>
          </w:p>
        </w:tc>
      </w:tr>
    </w:tbl>
    <w:p w14:paraId="05DEED4F">
      <w:pPr>
        <w:pStyle w:val="31"/>
        <w:spacing w:after="60" w:line="276" w:lineRule="auto"/>
        <w:ind w:firstLine="360"/>
      </w:pPr>
      <w:r>
        <w:rPr>
          <w:rFonts w:hint="eastAsia" w:eastAsia="宋体"/>
        </w:rPr>
        <w:t>注：括号内为稳健标准误；</w:t>
      </w:r>
      <w:bookmarkStart w:id="50" w:name="_Hlk229238296"/>
      <w:r>
        <w:rPr>
          <w:rFonts w:hint="eastAsia" w:eastAsia="宋体"/>
        </w:rPr>
        <w:t>*** p&lt;0.01, ** p&lt;0.05, * p&lt;0.1</w:t>
      </w:r>
      <w:bookmarkEnd w:id="50"/>
    </w:p>
    <w:p w14:paraId="5442B53B">
      <w:pPr>
        <w:rPr>
          <w:rFonts w:cs="宋体"/>
          <w:sz w:val="24"/>
        </w:rPr>
      </w:pPr>
      <w:r>
        <w:rPr>
          <w:rFonts w:hint="eastAsia" w:cs="宋体"/>
          <w:sz w:val="24"/>
        </w:rPr>
        <w:drawing>
          <wp:inline distT="0" distB="0" distL="0" distR="0">
            <wp:extent cx="5274310" cy="307657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076575"/>
                    </a:xfrm>
                    <a:prstGeom prst="rect">
                      <a:avLst/>
                    </a:prstGeom>
                  </pic:spPr>
                </pic:pic>
              </a:graphicData>
            </a:graphic>
          </wp:inline>
        </w:drawing>
      </w:r>
    </w:p>
    <w:p w14:paraId="1E2F87DB">
      <w:pPr>
        <w:pStyle w:val="6"/>
        <w:keepLines/>
        <w:spacing w:before="60" w:after="120"/>
        <w:jc w:val="center"/>
        <w:rPr>
          <w:rFonts w:cs="宋体"/>
        </w:rPr>
      </w:pPr>
      <w:r>
        <w:rPr>
          <w:sz w:val="21"/>
        </w:rPr>
        <w:t>图 6  STIRPAT拟合的EKC曲线</w:t>
      </w:r>
    </w:p>
    <w:p w14:paraId="207B93DC">
      <w:pPr>
        <w:pStyle w:val="25"/>
        <w:spacing w:before="156" w:after="156"/>
        <w:ind w:firstLine="560"/>
        <w:outlineLvl w:val="1"/>
        <w:rPr>
          <w:rFonts w:hint="default"/>
        </w:rPr>
      </w:pPr>
      <w:bookmarkStart w:id="51" w:name="_Toc13683"/>
      <w:bookmarkStart w:id="52" w:name="_Toc10936"/>
      <w:r>
        <w:t>（三）多重共线性与稳健性检验</w:t>
      </w:r>
      <w:bookmarkEnd w:id="51"/>
      <w:bookmarkEnd w:id="52"/>
    </w:p>
    <w:p w14:paraId="3FE41459">
      <w:pPr>
        <w:pStyle w:val="3"/>
        <w:ind w:firstLine="480"/>
      </w:pPr>
      <w:r>
        <w:t>考虑到EKC模型</w:t>
      </w:r>
      <w:r>
        <w:rPr>
          <w:rFonts w:hint="eastAsia"/>
        </w:rPr>
        <w:t>中</w:t>
      </w:r>
      <w:r>
        <w:t>lnRGDP与lnRGDP²存在</w:t>
      </w:r>
      <w:r>
        <w:rPr>
          <w:rFonts w:hint="eastAsia"/>
        </w:rPr>
        <w:t>天然的</w:t>
      </w:r>
      <w:r>
        <w:t>机械相关，本文进一步进行VIF检验。结果显示，原始EKC变量中lnRGDP</w:t>
      </w:r>
      <w:r>
        <w:rPr>
          <w:rFonts w:hint="eastAsia"/>
        </w:rPr>
        <w:t>和</w:t>
      </w:r>
      <w:r>
        <w:t>lnRGDP的VIF较高；在对lnRGDP 进行中心化处理后，二次项相关的VIF明显下降，说明高VIF主要来自二次项构造导致的机械共线性。由于EKC检验在理论上必须同时引入一次项和二次项，本文不删除二次项，而是通过中心化EKC、滞后一期变量和正则化模型进行稳健性补充。</w:t>
      </w:r>
    </w:p>
    <w:p w14:paraId="2BED615E">
      <w:pPr>
        <w:pStyle w:val="3"/>
        <w:ind w:firstLine="480"/>
      </w:pPr>
      <w:bookmarkStart w:id="53" w:name="OLE_LINK2"/>
      <w:r>
        <w:rPr>
          <w:rFonts w:hint="eastAsia"/>
        </w:rPr>
        <w:t>岭回归和弹性网</w:t>
      </w:r>
      <w:bookmarkEnd w:id="53"/>
      <w:r>
        <w:rPr>
          <w:rFonts w:hint="eastAsia"/>
        </w:rPr>
        <w:t>正则化</w:t>
      </w:r>
      <w:bookmarkStart w:id="54" w:name="OLE_LINK3"/>
      <w:r>
        <w:t>STIRPAT</w:t>
      </w:r>
      <w:bookmarkEnd w:id="54"/>
      <w:r>
        <w:t>结果显示，在时间阻断验证中，模型仍保持较好的拟合表现。</w:t>
      </w:r>
      <w:r>
        <w:rPr>
          <w:rFonts w:hint="eastAsia"/>
        </w:rPr>
        <w:t>由于</w:t>
      </w:r>
      <w:r>
        <w:t>正则化模型主要用于检验高共线性条件下的预测稳定性和变量方向，</w:t>
      </w:r>
      <w:r>
        <w:rPr>
          <w:rFonts w:hint="eastAsia"/>
        </w:rPr>
        <w:t>所以</w:t>
      </w:r>
      <w:r>
        <w:t>不作为</w:t>
      </w:r>
      <w:r>
        <w:rPr>
          <w:rFonts w:hint="eastAsia"/>
        </w:rPr>
        <w:t>本文的</w:t>
      </w:r>
      <w:r>
        <w:t>独立因果证据。</w:t>
      </w:r>
      <w:r>
        <w:rPr>
          <w:rFonts w:hint="eastAsia"/>
        </w:rPr>
        <w:t>因此，</w:t>
      </w:r>
      <w:r>
        <w:t>本文的因果方向判断仍以双向固定效应模型为主，</w:t>
      </w:r>
      <w:r>
        <w:rPr>
          <w:rFonts w:hint="eastAsia"/>
        </w:rPr>
        <w:t>而岭回归和弹性网正则化</w:t>
      </w:r>
      <w:r>
        <w:t>STIRPAT说明</w:t>
      </w:r>
      <w:r>
        <w:rPr>
          <w:rFonts w:hint="eastAsia"/>
        </w:rPr>
        <w:t>了</w:t>
      </w:r>
      <w:r>
        <w:t>核心变量方向在共线性环境下没有完全失稳。</w:t>
      </w:r>
    </w:p>
    <w:p w14:paraId="4CBD0E1E">
      <w:pPr>
        <w:pStyle w:val="6"/>
        <w:jc w:val="center"/>
      </w:pPr>
      <w:r>
        <w:t xml:space="preserve">表 </w:t>
      </w:r>
      <w:r>
        <w:fldChar w:fldCharType="begin"/>
      </w:r>
      <w:r>
        <w:instrText xml:space="preserve"> SEQ 表 \* ARABIC </w:instrText>
      </w:r>
      <w:r>
        <w:fldChar w:fldCharType="separate"/>
      </w:r>
      <w:r>
        <w:t>4</w:t>
      </w:r>
      <w:r>
        <w:fldChar w:fldCharType="end"/>
      </w:r>
      <w:r>
        <w:t xml:space="preserve">  岭回归和弹性网（Ridge和ElasticNet）的STIRPAT稳健性结果</w:t>
      </w:r>
    </w:p>
    <w:tbl>
      <w:tblPr>
        <w:tblStyle w:val="30"/>
        <w:tblW w:w="8032" w:type="dxa"/>
        <w:jc w:val="center"/>
        <w:tblBorders>
          <w:top w:val="single" w:color="auto" w:sz="6"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465"/>
        <w:gridCol w:w="2059"/>
        <w:gridCol w:w="1429"/>
        <w:gridCol w:w="1058"/>
        <w:gridCol w:w="1021"/>
      </w:tblGrid>
      <w:tr w14:paraId="44E5BD51">
        <w:tblPrEx>
          <w:tblBorders>
            <w:top w:val="single" w:color="auto" w:sz="6"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65" w:type="dxa"/>
            <w:tcBorders>
              <w:left w:val="nil"/>
              <w:bottom w:val="nil"/>
              <w:right w:val="nil"/>
            </w:tcBorders>
            <w:tcMar>
              <w:top w:w="-1" w:type="dxa"/>
              <w:left w:w="-1" w:type="dxa"/>
              <w:bottom w:w="-1" w:type="dxa"/>
              <w:right w:w="-1" w:type="dxa"/>
            </w:tcMar>
            <w:vAlign w:val="center"/>
          </w:tcPr>
          <w:p w14:paraId="0BD36CDE">
            <w:pPr>
              <w:widowControl/>
              <w:jc w:val="center"/>
              <w:rPr>
                <w:sz w:val="24"/>
              </w:rPr>
            </w:pPr>
            <w:r>
              <w:rPr>
                <w:rFonts w:cs="宋体"/>
                <w:kern w:val="0"/>
                <w:sz w:val="24"/>
                <w:lang w:bidi="ar"/>
              </w:rPr>
              <w:t>模型</w:t>
            </w:r>
          </w:p>
        </w:tc>
        <w:tc>
          <w:tcPr>
            <w:tcW w:w="2059" w:type="dxa"/>
            <w:tcBorders>
              <w:left w:val="nil"/>
              <w:bottom w:val="nil"/>
              <w:right w:val="nil"/>
            </w:tcBorders>
            <w:tcMar>
              <w:top w:w="-1" w:type="dxa"/>
              <w:left w:w="-1" w:type="dxa"/>
              <w:bottom w:w="-1" w:type="dxa"/>
              <w:right w:w="-1" w:type="dxa"/>
            </w:tcMar>
            <w:vAlign w:val="center"/>
          </w:tcPr>
          <w:p w14:paraId="49043D91">
            <w:pPr>
              <w:widowControl/>
              <w:jc w:val="center"/>
              <w:rPr>
                <w:sz w:val="24"/>
              </w:rPr>
            </w:pPr>
            <w:r>
              <w:rPr>
                <w:rFonts w:cs="宋体"/>
                <w:kern w:val="0"/>
                <w:sz w:val="24"/>
                <w:lang w:bidi="ar"/>
              </w:rPr>
              <w:t>验证方式</w:t>
            </w:r>
          </w:p>
        </w:tc>
        <w:tc>
          <w:tcPr>
            <w:tcW w:w="1429" w:type="dxa"/>
            <w:tcBorders>
              <w:left w:val="nil"/>
              <w:bottom w:val="nil"/>
              <w:right w:val="nil"/>
            </w:tcBorders>
            <w:tcMar>
              <w:top w:w="-1" w:type="dxa"/>
              <w:left w:w="-1" w:type="dxa"/>
              <w:bottom w:w="-1" w:type="dxa"/>
              <w:right w:w="-1" w:type="dxa"/>
            </w:tcMar>
            <w:vAlign w:val="center"/>
          </w:tcPr>
          <w:p w14:paraId="42BAB100">
            <w:pPr>
              <w:widowControl/>
              <w:jc w:val="center"/>
              <w:rPr>
                <w:sz w:val="24"/>
              </w:rPr>
            </w:pPr>
            <w:r>
              <w:rPr>
                <w:rFonts w:cs="宋体"/>
                <w:kern w:val="0"/>
                <w:sz w:val="24"/>
                <w:lang w:bidi="ar"/>
              </w:rPr>
              <w:t>RMSE</w:t>
            </w:r>
          </w:p>
        </w:tc>
        <w:tc>
          <w:tcPr>
            <w:tcW w:w="1058" w:type="dxa"/>
            <w:tcBorders>
              <w:left w:val="nil"/>
              <w:bottom w:val="nil"/>
              <w:right w:val="nil"/>
            </w:tcBorders>
            <w:tcMar>
              <w:top w:w="-1" w:type="dxa"/>
              <w:left w:w="-1" w:type="dxa"/>
              <w:bottom w:w="-1" w:type="dxa"/>
              <w:right w:w="-1" w:type="dxa"/>
            </w:tcMar>
            <w:vAlign w:val="center"/>
          </w:tcPr>
          <w:p w14:paraId="0F25383A">
            <w:pPr>
              <w:widowControl/>
              <w:jc w:val="center"/>
              <w:rPr>
                <w:sz w:val="24"/>
              </w:rPr>
            </w:pPr>
            <w:r>
              <w:rPr>
                <w:rFonts w:cs="宋体"/>
                <w:kern w:val="0"/>
                <w:sz w:val="24"/>
                <w:lang w:bidi="ar"/>
              </w:rPr>
              <w:t>MAE</w:t>
            </w:r>
          </w:p>
        </w:tc>
        <w:tc>
          <w:tcPr>
            <w:tcW w:w="1021" w:type="dxa"/>
            <w:tcBorders>
              <w:left w:val="nil"/>
              <w:bottom w:val="nil"/>
              <w:right w:val="nil"/>
            </w:tcBorders>
            <w:tcMar>
              <w:top w:w="-1" w:type="dxa"/>
              <w:left w:w="-1" w:type="dxa"/>
              <w:bottom w:w="-1" w:type="dxa"/>
              <w:right w:w="-1" w:type="dxa"/>
            </w:tcMar>
            <w:vAlign w:val="center"/>
          </w:tcPr>
          <w:p w14:paraId="21EAB9C7">
            <w:pPr>
              <w:widowControl/>
              <w:jc w:val="center"/>
              <w:rPr>
                <w:sz w:val="24"/>
              </w:rPr>
            </w:pPr>
            <w:r>
              <w:rPr>
                <w:rFonts w:cs="宋体"/>
                <w:kern w:val="0"/>
                <w:sz w:val="24"/>
                <w:lang w:bidi="ar"/>
              </w:rPr>
              <w:t>R²</w:t>
            </w:r>
          </w:p>
        </w:tc>
      </w:tr>
      <w:tr w14:paraId="6B1CDABC">
        <w:tblPrEx>
          <w:tblBorders>
            <w:top w:val="single" w:color="auto" w:sz="6"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65" w:type="dxa"/>
            <w:tcBorders>
              <w:top w:val="single" w:color="auto" w:sz="4" w:space="0"/>
              <w:left w:val="nil"/>
              <w:bottom w:val="nil"/>
              <w:right w:val="nil"/>
            </w:tcBorders>
            <w:tcMar>
              <w:top w:w="-1" w:type="dxa"/>
              <w:left w:w="-1" w:type="dxa"/>
              <w:bottom w:w="-1" w:type="dxa"/>
              <w:right w:w="-1" w:type="dxa"/>
            </w:tcMar>
            <w:vAlign w:val="center"/>
          </w:tcPr>
          <w:p w14:paraId="3C9CA4D7">
            <w:pPr>
              <w:widowControl/>
              <w:jc w:val="left"/>
              <w:rPr>
                <w:sz w:val="24"/>
              </w:rPr>
            </w:pPr>
            <w:r>
              <w:rPr>
                <w:rFonts w:cs="宋体"/>
                <w:kern w:val="0"/>
                <w:sz w:val="24"/>
                <w:lang w:bidi="ar"/>
              </w:rPr>
              <w:t>Ridge-STIRPAT</w:t>
            </w:r>
          </w:p>
        </w:tc>
        <w:tc>
          <w:tcPr>
            <w:tcW w:w="2059" w:type="dxa"/>
            <w:tcBorders>
              <w:top w:val="single" w:color="auto" w:sz="4" w:space="0"/>
              <w:left w:val="nil"/>
              <w:bottom w:val="nil"/>
              <w:right w:val="nil"/>
            </w:tcBorders>
            <w:tcMar>
              <w:top w:w="-1" w:type="dxa"/>
              <w:left w:w="-1" w:type="dxa"/>
              <w:bottom w:w="-1" w:type="dxa"/>
              <w:right w:w="-1" w:type="dxa"/>
            </w:tcMar>
            <w:vAlign w:val="center"/>
          </w:tcPr>
          <w:p w14:paraId="606CB2D5">
            <w:pPr>
              <w:widowControl/>
              <w:jc w:val="left"/>
              <w:rPr>
                <w:sz w:val="24"/>
              </w:rPr>
            </w:pPr>
            <w:r>
              <w:rPr>
                <w:rFonts w:cs="宋体"/>
                <w:kern w:val="0"/>
                <w:sz w:val="24"/>
                <w:lang w:bidi="ar"/>
              </w:rPr>
              <w:t>2000</w:t>
            </w:r>
            <w:r>
              <w:rPr>
                <w:rFonts w:hint="eastAsia" w:cs="宋体"/>
                <w:kern w:val="0"/>
                <w:sz w:val="24"/>
                <w:lang w:bidi="ar"/>
              </w:rPr>
              <w:t>-</w:t>
            </w:r>
            <w:r>
              <w:rPr>
                <w:rFonts w:cs="宋体"/>
                <w:kern w:val="0"/>
                <w:sz w:val="24"/>
                <w:lang w:bidi="ar"/>
              </w:rPr>
              <w:t>2018训练，2019</w:t>
            </w:r>
            <w:r>
              <w:rPr>
                <w:rFonts w:hint="eastAsia" w:cs="宋体"/>
                <w:kern w:val="0"/>
                <w:sz w:val="24"/>
                <w:lang w:bidi="ar"/>
              </w:rPr>
              <w:t>-</w:t>
            </w:r>
            <w:r>
              <w:rPr>
                <w:rFonts w:cs="宋体"/>
                <w:kern w:val="0"/>
                <w:sz w:val="24"/>
                <w:lang w:bidi="ar"/>
              </w:rPr>
              <w:t>2023测试</w:t>
            </w:r>
          </w:p>
        </w:tc>
        <w:tc>
          <w:tcPr>
            <w:tcW w:w="1429" w:type="dxa"/>
            <w:tcBorders>
              <w:top w:val="single" w:color="auto" w:sz="4" w:space="0"/>
              <w:left w:val="nil"/>
              <w:bottom w:val="nil"/>
              <w:right w:val="nil"/>
            </w:tcBorders>
            <w:tcMar>
              <w:top w:w="-1" w:type="dxa"/>
              <w:left w:w="-1" w:type="dxa"/>
              <w:bottom w:w="-1" w:type="dxa"/>
              <w:right w:w="-1" w:type="dxa"/>
            </w:tcMar>
            <w:vAlign w:val="center"/>
          </w:tcPr>
          <w:p w14:paraId="45157058">
            <w:pPr>
              <w:widowControl/>
              <w:jc w:val="center"/>
              <w:textAlignment w:val="bottom"/>
              <w:rPr>
                <w:sz w:val="24"/>
              </w:rPr>
            </w:pPr>
            <w:r>
              <w:rPr>
                <w:rFonts w:hint="eastAsia" w:cs="宋体"/>
                <w:kern w:val="0"/>
                <w:sz w:val="24"/>
                <w:szCs w:val="22"/>
                <w:lang w:bidi="ar"/>
              </w:rPr>
              <w:t>0.483</w:t>
            </w:r>
          </w:p>
        </w:tc>
        <w:tc>
          <w:tcPr>
            <w:tcW w:w="1058" w:type="dxa"/>
            <w:tcBorders>
              <w:top w:val="single" w:color="auto" w:sz="4" w:space="0"/>
              <w:left w:val="nil"/>
              <w:bottom w:val="nil"/>
              <w:right w:val="nil"/>
            </w:tcBorders>
            <w:tcMar>
              <w:top w:w="-1" w:type="dxa"/>
              <w:left w:w="-1" w:type="dxa"/>
              <w:bottom w:w="-1" w:type="dxa"/>
              <w:right w:w="-1" w:type="dxa"/>
            </w:tcMar>
            <w:vAlign w:val="center"/>
          </w:tcPr>
          <w:p w14:paraId="6283A713">
            <w:pPr>
              <w:widowControl/>
              <w:jc w:val="center"/>
              <w:textAlignment w:val="bottom"/>
              <w:rPr>
                <w:sz w:val="24"/>
              </w:rPr>
            </w:pPr>
            <w:r>
              <w:rPr>
                <w:rFonts w:hint="eastAsia" w:cs="宋体"/>
                <w:kern w:val="0"/>
                <w:sz w:val="24"/>
                <w:szCs w:val="22"/>
                <w:lang w:bidi="ar"/>
              </w:rPr>
              <w:t>0.387</w:t>
            </w:r>
          </w:p>
        </w:tc>
        <w:tc>
          <w:tcPr>
            <w:tcW w:w="1021" w:type="dxa"/>
            <w:tcBorders>
              <w:top w:val="single" w:color="auto" w:sz="4" w:space="0"/>
              <w:left w:val="nil"/>
              <w:bottom w:val="nil"/>
              <w:right w:val="nil"/>
            </w:tcBorders>
            <w:tcMar>
              <w:top w:w="-1" w:type="dxa"/>
              <w:left w:w="-1" w:type="dxa"/>
              <w:bottom w:w="-1" w:type="dxa"/>
              <w:right w:w="-1" w:type="dxa"/>
            </w:tcMar>
            <w:vAlign w:val="center"/>
          </w:tcPr>
          <w:p w14:paraId="6FAD6C33">
            <w:pPr>
              <w:widowControl/>
              <w:jc w:val="center"/>
              <w:textAlignment w:val="bottom"/>
              <w:rPr>
                <w:sz w:val="24"/>
              </w:rPr>
            </w:pPr>
            <w:r>
              <w:rPr>
                <w:rFonts w:hint="eastAsia" w:cs="宋体"/>
                <w:kern w:val="0"/>
                <w:sz w:val="24"/>
                <w:szCs w:val="22"/>
                <w:lang w:bidi="ar"/>
              </w:rPr>
              <w:t>0.837</w:t>
            </w:r>
          </w:p>
        </w:tc>
      </w:tr>
      <w:tr w14:paraId="35EEF86D">
        <w:tblPrEx>
          <w:tblBorders>
            <w:top w:val="single" w:color="auto" w:sz="6"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465" w:type="dxa"/>
            <w:tcBorders>
              <w:top w:val="nil"/>
              <w:left w:val="nil"/>
              <w:bottom w:val="single" w:color="auto" w:sz="6" w:space="0"/>
              <w:right w:val="nil"/>
            </w:tcBorders>
            <w:tcMar>
              <w:top w:w="-1" w:type="dxa"/>
              <w:left w:w="-1" w:type="dxa"/>
              <w:bottom w:w="-1" w:type="dxa"/>
              <w:right w:w="-1" w:type="dxa"/>
            </w:tcMar>
            <w:vAlign w:val="center"/>
          </w:tcPr>
          <w:p w14:paraId="4D004207">
            <w:pPr>
              <w:widowControl/>
              <w:jc w:val="left"/>
              <w:rPr>
                <w:sz w:val="24"/>
              </w:rPr>
            </w:pPr>
            <w:r>
              <w:rPr>
                <w:rFonts w:cs="宋体"/>
                <w:kern w:val="0"/>
                <w:sz w:val="24"/>
                <w:lang w:bidi="ar"/>
              </w:rPr>
              <w:t>ElasticNet-STIRPAT</w:t>
            </w:r>
          </w:p>
        </w:tc>
        <w:tc>
          <w:tcPr>
            <w:tcW w:w="2059" w:type="dxa"/>
            <w:tcBorders>
              <w:top w:val="nil"/>
              <w:left w:val="nil"/>
              <w:bottom w:val="single" w:color="auto" w:sz="6" w:space="0"/>
              <w:right w:val="nil"/>
            </w:tcBorders>
            <w:tcMar>
              <w:top w:w="-1" w:type="dxa"/>
              <w:left w:w="-1" w:type="dxa"/>
              <w:bottom w:w="-1" w:type="dxa"/>
              <w:right w:w="-1" w:type="dxa"/>
            </w:tcMar>
            <w:vAlign w:val="center"/>
          </w:tcPr>
          <w:p w14:paraId="1DF1D765">
            <w:pPr>
              <w:widowControl/>
              <w:jc w:val="left"/>
              <w:rPr>
                <w:sz w:val="24"/>
              </w:rPr>
            </w:pPr>
            <w:r>
              <w:rPr>
                <w:rFonts w:cs="宋体"/>
                <w:kern w:val="0"/>
                <w:sz w:val="24"/>
                <w:lang w:bidi="ar"/>
              </w:rPr>
              <w:t>2000</w:t>
            </w:r>
            <w:r>
              <w:rPr>
                <w:rFonts w:hint="eastAsia" w:cs="宋体"/>
                <w:kern w:val="0"/>
                <w:sz w:val="24"/>
                <w:lang w:bidi="ar"/>
              </w:rPr>
              <w:t>-</w:t>
            </w:r>
            <w:r>
              <w:rPr>
                <w:rFonts w:cs="宋体"/>
                <w:kern w:val="0"/>
                <w:sz w:val="24"/>
                <w:lang w:bidi="ar"/>
              </w:rPr>
              <w:t>2018训练，2019</w:t>
            </w:r>
            <w:r>
              <w:rPr>
                <w:rFonts w:hint="eastAsia" w:cs="宋体"/>
                <w:kern w:val="0"/>
                <w:sz w:val="24"/>
                <w:lang w:bidi="ar"/>
              </w:rPr>
              <w:t>-</w:t>
            </w:r>
            <w:r>
              <w:rPr>
                <w:rFonts w:cs="宋体"/>
                <w:kern w:val="0"/>
                <w:sz w:val="24"/>
                <w:lang w:bidi="ar"/>
              </w:rPr>
              <w:t>2023测试</w:t>
            </w:r>
          </w:p>
        </w:tc>
        <w:tc>
          <w:tcPr>
            <w:tcW w:w="1429" w:type="dxa"/>
            <w:tcBorders>
              <w:top w:val="nil"/>
              <w:left w:val="nil"/>
              <w:bottom w:val="single" w:color="auto" w:sz="6" w:space="0"/>
              <w:right w:val="nil"/>
            </w:tcBorders>
            <w:tcMar>
              <w:top w:w="-1" w:type="dxa"/>
              <w:left w:w="-1" w:type="dxa"/>
              <w:bottom w:w="-1" w:type="dxa"/>
              <w:right w:w="-1" w:type="dxa"/>
            </w:tcMar>
            <w:vAlign w:val="center"/>
          </w:tcPr>
          <w:p w14:paraId="61E0F0CA">
            <w:pPr>
              <w:widowControl/>
              <w:jc w:val="center"/>
              <w:textAlignment w:val="bottom"/>
              <w:rPr>
                <w:sz w:val="24"/>
              </w:rPr>
            </w:pPr>
            <w:r>
              <w:rPr>
                <w:rFonts w:hint="eastAsia" w:cs="宋体"/>
                <w:kern w:val="0"/>
                <w:sz w:val="24"/>
                <w:szCs w:val="22"/>
                <w:lang w:bidi="ar"/>
              </w:rPr>
              <w:t>0.244</w:t>
            </w:r>
          </w:p>
        </w:tc>
        <w:tc>
          <w:tcPr>
            <w:tcW w:w="1058" w:type="dxa"/>
            <w:tcBorders>
              <w:top w:val="nil"/>
              <w:left w:val="nil"/>
              <w:bottom w:val="single" w:color="auto" w:sz="6" w:space="0"/>
              <w:right w:val="nil"/>
            </w:tcBorders>
            <w:tcMar>
              <w:top w:w="-1" w:type="dxa"/>
              <w:left w:w="-1" w:type="dxa"/>
              <w:bottom w:w="-1" w:type="dxa"/>
              <w:right w:w="-1" w:type="dxa"/>
            </w:tcMar>
            <w:vAlign w:val="center"/>
          </w:tcPr>
          <w:p w14:paraId="0D8270F1">
            <w:pPr>
              <w:widowControl/>
              <w:jc w:val="center"/>
              <w:textAlignment w:val="bottom"/>
              <w:rPr>
                <w:sz w:val="24"/>
              </w:rPr>
            </w:pPr>
            <w:r>
              <w:rPr>
                <w:rFonts w:hint="eastAsia" w:cs="宋体"/>
                <w:kern w:val="0"/>
                <w:sz w:val="24"/>
                <w:szCs w:val="22"/>
                <w:lang w:bidi="ar"/>
              </w:rPr>
              <w:t>0.186</w:t>
            </w:r>
          </w:p>
        </w:tc>
        <w:tc>
          <w:tcPr>
            <w:tcW w:w="1021" w:type="dxa"/>
            <w:tcBorders>
              <w:top w:val="nil"/>
              <w:left w:val="nil"/>
              <w:bottom w:val="single" w:color="auto" w:sz="6" w:space="0"/>
              <w:right w:val="nil"/>
            </w:tcBorders>
            <w:tcMar>
              <w:top w:w="-1" w:type="dxa"/>
              <w:left w:w="-1" w:type="dxa"/>
              <w:bottom w:w="-1" w:type="dxa"/>
              <w:right w:w="-1" w:type="dxa"/>
            </w:tcMar>
            <w:vAlign w:val="center"/>
          </w:tcPr>
          <w:p w14:paraId="6033952E">
            <w:pPr>
              <w:widowControl/>
              <w:jc w:val="center"/>
              <w:textAlignment w:val="bottom"/>
              <w:rPr>
                <w:sz w:val="24"/>
              </w:rPr>
            </w:pPr>
            <w:r>
              <w:rPr>
                <w:rFonts w:hint="eastAsia" w:cs="宋体"/>
                <w:kern w:val="0"/>
                <w:sz w:val="24"/>
                <w:szCs w:val="22"/>
                <w:lang w:bidi="ar"/>
              </w:rPr>
              <w:t>0.958</w:t>
            </w:r>
          </w:p>
        </w:tc>
      </w:tr>
    </w:tbl>
    <w:p w14:paraId="2BBD4AF6">
      <w:pPr>
        <w:pStyle w:val="25"/>
        <w:spacing w:before="156" w:after="156"/>
        <w:ind w:firstLine="560"/>
        <w:outlineLvl w:val="1"/>
        <w:rPr>
          <w:rFonts w:hint="default"/>
        </w:rPr>
      </w:pPr>
      <w:bookmarkStart w:id="55" w:name="_Toc10496"/>
      <w:bookmarkStart w:id="56" w:name="_Toc1675"/>
      <w:r>
        <w:t>（四）内生性检验与工具变量稳健性分析</w:t>
      </w:r>
      <w:bookmarkEnd w:id="55"/>
      <w:bookmarkEnd w:id="56"/>
    </w:p>
    <w:p w14:paraId="17F17F49">
      <w:pPr>
        <w:pStyle w:val="3"/>
        <w:ind w:firstLine="480"/>
        <w:rPr>
          <w:rFonts w:cs="宋体"/>
        </w:rPr>
      </w:pPr>
      <w:r>
        <w:rPr>
          <w:rFonts w:cs="宋体"/>
        </w:rPr>
        <w:t>为缓解粗钢产量、贸易开放度和金融发展指数可能存在的反向因果与遗漏变量偏误，本文进一步采用滞后两期变量作为内部工具变量，构建IV-2SLS稳健性检验。具体而言，IV</w:t>
      </w:r>
      <w:r>
        <w:rPr>
          <w:rFonts w:hint="eastAsia" w:cs="宋体"/>
        </w:rPr>
        <w:t>-</w:t>
      </w:r>
      <w:r>
        <w:rPr>
          <w:rFonts w:cs="宋体"/>
        </w:rPr>
        <w:t>A将粗钢产量</w:t>
      </w:r>
      <m:oMath>
        <m:r>
          <m:rPr>
            <m:nor/>
            <m:sty m:val="p"/>
          </m:rPr>
          <w:rPr>
            <w:b w:val="0"/>
            <w:i w:val="0"/>
          </w:rPr>
          <m:t>lnPROUD</m:t>
        </m:r>
      </m:oMath>
      <w:r>
        <w:rPr>
          <w:rFonts w:cs="宋体"/>
        </w:rPr>
        <w:t>设为内生变量，并以</w:t>
      </w:r>
      <w:r>
        <w:rPr>
          <w:rFonts w:hint="eastAsia" w:cs="宋体"/>
        </w:rPr>
        <w:t>滞后两期</w:t>
      </w:r>
      <m:oMath>
        <m:r>
          <m:rPr>
            <m:nor/>
            <m:sty m:val="p"/>
          </m:rPr>
          <w:rPr>
            <w:b w:val="0"/>
            <w:i w:val="0"/>
          </w:rPr>
          <m:t>lnPROUD</m:t>
        </m:r>
      </m:oMath>
      <w:r>
        <w:rPr>
          <w:rFonts w:cs="宋体"/>
        </w:rPr>
        <w:t>作为工具变量；IV</w:t>
      </w:r>
      <w:r>
        <w:rPr>
          <w:rFonts w:hint="eastAsia" w:cs="宋体"/>
        </w:rPr>
        <w:t>-</w:t>
      </w:r>
      <w:r>
        <w:rPr>
          <w:rFonts w:cs="宋体"/>
        </w:rPr>
        <w:t>B进一步将金融发展指数FD纳入内生变量集合；IV</w:t>
      </w:r>
      <w:r>
        <w:rPr>
          <w:rFonts w:hint="eastAsia" w:cs="宋体"/>
        </w:rPr>
        <w:t>-</w:t>
      </w:r>
      <w:r>
        <w:rPr>
          <w:rFonts w:cs="宋体"/>
        </w:rPr>
        <w:t>C则同时将</w:t>
      </w:r>
      <m:oMath>
        <m:r>
          <m:rPr>
            <m:nor/>
            <m:sty m:val="p"/>
          </m:rPr>
          <w:rPr>
            <w:b w:val="0"/>
            <w:i w:val="0"/>
          </w:rPr>
          <m:t>lnPROUD</m:t>
        </m:r>
      </m:oMath>
      <w:r>
        <w:rPr>
          <w:rFonts w:cs="宋体"/>
        </w:rPr>
        <w:t>、COPEN和FD设为内生变量。所有模型均控制国家固定效应和年份固定效应，并</w:t>
      </w:r>
      <w:r>
        <w:rPr>
          <w:rFonts w:hint="eastAsia" w:cs="宋体"/>
        </w:rPr>
        <w:t>计算了</w:t>
      </w:r>
      <w:r>
        <w:rPr>
          <w:rFonts w:cs="宋体"/>
        </w:rPr>
        <w:t>HC1异方差稳健标准误。</w:t>
      </w:r>
    </w:p>
    <w:p w14:paraId="26ACC4AD">
      <w:pPr>
        <w:pStyle w:val="6"/>
        <w:jc w:val="center"/>
      </w:pPr>
      <w:r>
        <w:t xml:space="preserve">表 </w:t>
      </w:r>
      <w:r>
        <w:fldChar w:fldCharType="begin"/>
      </w:r>
      <w:r>
        <w:instrText xml:space="preserve"> SEQ 表 \* ARABIC </w:instrText>
      </w:r>
      <w:r>
        <w:fldChar w:fldCharType="separate"/>
      </w:r>
      <w:r>
        <w:t>5</w:t>
      </w:r>
      <w:r>
        <w:fldChar w:fldCharType="end"/>
      </w:r>
      <w:r>
        <w:rPr>
          <w:rFonts w:hint="eastAsia"/>
        </w:rPr>
        <w:t xml:space="preserve">  内生性检验与工具变量稳健性分析结果</w:t>
      </w:r>
    </w:p>
    <w:tbl>
      <w:tblPr>
        <w:tblStyle w:val="17"/>
        <w:tblW w:w="0" w:type="auto"/>
        <w:tblInd w:w="-142"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78"/>
        <w:gridCol w:w="2138"/>
        <w:gridCol w:w="2376"/>
        <w:gridCol w:w="2256"/>
      </w:tblGrid>
      <w:tr w14:paraId="496358F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Borders>
              <w:bottom w:val="single" w:color="auto" w:sz="4" w:space="0"/>
            </w:tcBorders>
            <w:vAlign w:val="center"/>
          </w:tcPr>
          <w:p w14:paraId="4D01DA51">
            <w:pPr>
              <w:widowControl/>
              <w:jc w:val="center"/>
              <w:rPr>
                <w:rFonts w:cs="宋体"/>
              </w:rPr>
            </w:pPr>
            <w:r>
              <w:rPr>
                <w:rFonts w:cs="宋体"/>
                <w:b/>
                <w:bCs/>
                <w:kern w:val="0"/>
                <w:sz w:val="24"/>
                <w:lang w:bidi="ar"/>
              </w:rPr>
              <w:t>变量</w:t>
            </w:r>
          </w:p>
        </w:tc>
        <w:tc>
          <w:tcPr>
            <w:tcW w:w="2138" w:type="dxa"/>
            <w:tcBorders>
              <w:bottom w:val="single" w:color="auto" w:sz="4" w:space="0"/>
            </w:tcBorders>
            <w:vAlign w:val="center"/>
          </w:tcPr>
          <w:p w14:paraId="5B213B7A">
            <w:pPr>
              <w:widowControl/>
              <w:jc w:val="center"/>
              <w:rPr>
                <w:rFonts w:cs="宋体"/>
              </w:rPr>
            </w:pPr>
            <w:r>
              <w:rPr>
                <w:rFonts w:cs="宋体"/>
                <w:b/>
                <w:bCs/>
                <w:kern w:val="0"/>
                <w:sz w:val="24"/>
                <w:lang w:bidi="ar"/>
              </w:rPr>
              <w:t>IV</w:t>
            </w:r>
            <w:r>
              <w:rPr>
                <w:rFonts w:hint="eastAsia" w:cs="宋体"/>
                <w:b/>
                <w:bCs/>
                <w:kern w:val="0"/>
                <w:sz w:val="24"/>
                <w:lang w:bidi="ar"/>
              </w:rPr>
              <w:t>-</w:t>
            </w:r>
            <w:r>
              <w:rPr>
                <w:rFonts w:cs="宋体"/>
                <w:b/>
                <w:bCs/>
                <w:kern w:val="0"/>
                <w:sz w:val="24"/>
                <w:lang w:bidi="ar"/>
              </w:rPr>
              <w:t>A</w:t>
            </w:r>
          </w:p>
        </w:tc>
        <w:tc>
          <w:tcPr>
            <w:tcW w:w="2376" w:type="dxa"/>
            <w:tcBorders>
              <w:bottom w:val="single" w:color="auto" w:sz="4" w:space="0"/>
            </w:tcBorders>
            <w:vAlign w:val="center"/>
          </w:tcPr>
          <w:p w14:paraId="24F3A04C">
            <w:pPr>
              <w:widowControl/>
              <w:jc w:val="center"/>
              <w:rPr>
                <w:rFonts w:cs="宋体"/>
              </w:rPr>
            </w:pPr>
            <w:r>
              <w:rPr>
                <w:rFonts w:cs="宋体"/>
                <w:b/>
                <w:bCs/>
                <w:kern w:val="0"/>
                <w:sz w:val="24"/>
                <w:lang w:bidi="ar"/>
              </w:rPr>
              <w:t>IV</w:t>
            </w:r>
            <w:r>
              <w:rPr>
                <w:rFonts w:hint="eastAsia" w:cs="宋体"/>
                <w:b/>
                <w:bCs/>
                <w:kern w:val="0"/>
                <w:sz w:val="24"/>
                <w:lang w:bidi="ar"/>
              </w:rPr>
              <w:t>-</w:t>
            </w:r>
            <w:r>
              <w:rPr>
                <w:rFonts w:cs="宋体"/>
                <w:b/>
                <w:bCs/>
                <w:kern w:val="0"/>
                <w:sz w:val="24"/>
                <w:lang w:bidi="ar"/>
              </w:rPr>
              <w:t>B</w:t>
            </w:r>
          </w:p>
        </w:tc>
        <w:tc>
          <w:tcPr>
            <w:tcW w:w="2256" w:type="dxa"/>
            <w:tcBorders>
              <w:bottom w:val="single" w:color="auto" w:sz="4" w:space="0"/>
            </w:tcBorders>
            <w:vAlign w:val="center"/>
          </w:tcPr>
          <w:p w14:paraId="31594972">
            <w:pPr>
              <w:widowControl/>
              <w:jc w:val="center"/>
              <w:rPr>
                <w:rFonts w:cs="宋体"/>
              </w:rPr>
            </w:pPr>
            <w:r>
              <w:rPr>
                <w:rFonts w:cs="宋体"/>
                <w:b/>
                <w:bCs/>
                <w:kern w:val="0"/>
                <w:sz w:val="24"/>
                <w:lang w:bidi="ar"/>
              </w:rPr>
              <w:t>IV</w:t>
            </w:r>
            <w:r>
              <w:rPr>
                <w:rFonts w:hint="eastAsia" w:cs="宋体"/>
                <w:b/>
                <w:bCs/>
                <w:kern w:val="0"/>
                <w:sz w:val="24"/>
                <w:lang w:bidi="ar"/>
              </w:rPr>
              <w:t>-</w:t>
            </w:r>
            <w:r>
              <w:rPr>
                <w:rFonts w:cs="宋体"/>
                <w:b/>
                <w:bCs/>
                <w:kern w:val="0"/>
                <w:sz w:val="24"/>
                <w:lang w:bidi="ar"/>
              </w:rPr>
              <w:t>C</w:t>
            </w:r>
          </w:p>
        </w:tc>
      </w:tr>
      <w:tr w14:paraId="2532DAC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Borders>
              <w:top w:val="single" w:color="auto" w:sz="4" w:space="0"/>
            </w:tcBorders>
          </w:tcPr>
          <w:p w14:paraId="0359625D">
            <w:pPr>
              <w:widowControl/>
              <w:jc w:val="left"/>
              <w:rPr>
                <w:rFonts w:cs="宋体"/>
              </w:rPr>
            </w:pPr>
            <w:r>
              <w:rPr>
                <w:rFonts w:hint="eastAsia" w:cs="宋体"/>
              </w:rPr>
              <w:t>lnPROUD</w:t>
            </w:r>
          </w:p>
        </w:tc>
        <w:tc>
          <w:tcPr>
            <w:tcW w:w="2138" w:type="dxa"/>
            <w:tcBorders>
              <w:top w:val="single" w:color="auto" w:sz="4" w:space="0"/>
            </w:tcBorders>
            <w:vAlign w:val="center"/>
          </w:tcPr>
          <w:p w14:paraId="171F40B6">
            <w:pPr>
              <w:widowControl/>
              <w:jc w:val="center"/>
              <w:rPr>
                <w:rFonts w:cs="宋体"/>
                <w:kern w:val="0"/>
                <w:sz w:val="24"/>
                <w:lang w:bidi="ar"/>
              </w:rPr>
            </w:pPr>
            <w:r>
              <w:rPr>
                <w:rFonts w:cs="宋体"/>
                <w:kern w:val="0"/>
                <w:sz w:val="24"/>
                <w:lang w:bidi="ar"/>
              </w:rPr>
              <w:t>1.410</w:t>
            </w:r>
            <w:r>
              <w:rPr>
                <w:rFonts w:hint="eastAsia" w:cs="宋体"/>
                <w:kern w:val="0"/>
                <w:sz w:val="24"/>
                <w:szCs w:val="22"/>
                <w:lang w:bidi="ar"/>
              </w:rPr>
              <w:t>***</w:t>
            </w:r>
          </w:p>
          <w:p w14:paraId="25023F11">
            <w:pPr>
              <w:widowControl/>
              <w:jc w:val="center"/>
              <w:rPr>
                <w:rFonts w:cs="宋体"/>
              </w:rPr>
            </w:pPr>
            <w:r>
              <w:rPr>
                <w:rFonts w:cs="宋体"/>
                <w:kern w:val="0"/>
                <w:sz w:val="24"/>
                <w:lang w:bidi="ar"/>
              </w:rPr>
              <w:t>(0.19</w:t>
            </w:r>
            <w:r>
              <w:rPr>
                <w:rFonts w:hint="eastAsia" w:cs="宋体"/>
                <w:kern w:val="0"/>
                <w:sz w:val="24"/>
                <w:lang w:bidi="ar"/>
              </w:rPr>
              <w:t>5</w:t>
            </w:r>
            <w:r>
              <w:rPr>
                <w:rFonts w:cs="宋体"/>
                <w:kern w:val="0"/>
                <w:sz w:val="24"/>
                <w:lang w:bidi="ar"/>
              </w:rPr>
              <w:t>)</w:t>
            </w:r>
          </w:p>
        </w:tc>
        <w:tc>
          <w:tcPr>
            <w:tcW w:w="2376" w:type="dxa"/>
            <w:tcBorders>
              <w:top w:val="single" w:color="auto" w:sz="4" w:space="0"/>
            </w:tcBorders>
            <w:vAlign w:val="center"/>
          </w:tcPr>
          <w:p w14:paraId="623A2473">
            <w:pPr>
              <w:widowControl/>
              <w:jc w:val="center"/>
              <w:rPr>
                <w:rFonts w:cs="宋体"/>
                <w:kern w:val="0"/>
                <w:sz w:val="24"/>
                <w:szCs w:val="22"/>
                <w:lang w:bidi="ar"/>
              </w:rPr>
            </w:pPr>
            <w:r>
              <w:rPr>
                <w:rFonts w:cs="宋体"/>
                <w:kern w:val="0"/>
                <w:sz w:val="24"/>
                <w:lang w:bidi="ar"/>
              </w:rPr>
              <w:t>1.41</w:t>
            </w:r>
            <w:r>
              <w:rPr>
                <w:rFonts w:hint="eastAsia" w:cs="宋体"/>
                <w:kern w:val="0"/>
                <w:sz w:val="24"/>
                <w:lang w:bidi="ar"/>
              </w:rPr>
              <w:t>1</w:t>
            </w:r>
            <w:r>
              <w:rPr>
                <w:rFonts w:hint="eastAsia" w:cs="宋体"/>
                <w:kern w:val="0"/>
                <w:sz w:val="24"/>
                <w:szCs w:val="22"/>
                <w:lang w:bidi="ar"/>
              </w:rPr>
              <w:t>***</w:t>
            </w:r>
          </w:p>
          <w:p w14:paraId="6B952F3C">
            <w:pPr>
              <w:widowControl/>
              <w:jc w:val="center"/>
              <w:rPr>
                <w:rFonts w:cs="宋体"/>
              </w:rPr>
            </w:pPr>
            <w:r>
              <w:rPr>
                <w:rFonts w:cs="宋体"/>
                <w:kern w:val="0"/>
                <w:sz w:val="24"/>
                <w:lang w:bidi="ar"/>
              </w:rPr>
              <w:t>(0.19</w:t>
            </w:r>
            <w:r>
              <w:rPr>
                <w:rFonts w:hint="eastAsia" w:cs="宋体"/>
                <w:kern w:val="0"/>
                <w:sz w:val="24"/>
                <w:lang w:bidi="ar"/>
              </w:rPr>
              <w:t>4</w:t>
            </w:r>
            <w:r>
              <w:rPr>
                <w:rFonts w:cs="宋体"/>
                <w:kern w:val="0"/>
                <w:sz w:val="24"/>
                <w:lang w:bidi="ar"/>
              </w:rPr>
              <w:t>)</w:t>
            </w:r>
          </w:p>
        </w:tc>
        <w:tc>
          <w:tcPr>
            <w:tcW w:w="2256" w:type="dxa"/>
            <w:tcBorders>
              <w:top w:val="single" w:color="auto" w:sz="4" w:space="0"/>
            </w:tcBorders>
            <w:vAlign w:val="center"/>
          </w:tcPr>
          <w:p w14:paraId="5541FA5F">
            <w:pPr>
              <w:widowControl/>
              <w:jc w:val="center"/>
              <w:rPr>
                <w:rFonts w:cs="宋体"/>
                <w:kern w:val="0"/>
                <w:sz w:val="24"/>
                <w:szCs w:val="22"/>
                <w:lang w:bidi="ar"/>
              </w:rPr>
            </w:pPr>
            <w:r>
              <w:rPr>
                <w:rFonts w:cs="宋体"/>
                <w:kern w:val="0"/>
                <w:sz w:val="24"/>
                <w:lang w:bidi="ar"/>
              </w:rPr>
              <w:t>1.268</w:t>
            </w:r>
            <w:r>
              <w:rPr>
                <w:rFonts w:hint="eastAsia" w:cs="宋体"/>
                <w:kern w:val="0"/>
                <w:sz w:val="24"/>
                <w:szCs w:val="22"/>
                <w:lang w:bidi="ar"/>
              </w:rPr>
              <w:t>***</w:t>
            </w:r>
          </w:p>
          <w:p w14:paraId="5F2EE5CD">
            <w:pPr>
              <w:widowControl/>
              <w:jc w:val="center"/>
              <w:rPr>
                <w:rFonts w:cs="宋体"/>
              </w:rPr>
            </w:pPr>
            <w:r>
              <w:rPr>
                <w:rFonts w:cs="宋体"/>
                <w:kern w:val="0"/>
                <w:sz w:val="24"/>
                <w:lang w:bidi="ar"/>
              </w:rPr>
              <w:t>(0.23</w:t>
            </w:r>
            <w:r>
              <w:rPr>
                <w:rFonts w:hint="eastAsia" w:cs="宋体"/>
                <w:kern w:val="0"/>
                <w:sz w:val="24"/>
                <w:lang w:bidi="ar"/>
              </w:rPr>
              <w:t>7</w:t>
            </w:r>
            <w:r>
              <w:rPr>
                <w:rFonts w:cs="宋体"/>
                <w:kern w:val="0"/>
                <w:sz w:val="24"/>
                <w:lang w:bidi="ar"/>
              </w:rPr>
              <w:t>)</w:t>
            </w:r>
          </w:p>
        </w:tc>
      </w:tr>
      <w:tr w14:paraId="0828107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Pr>
          <w:p w14:paraId="2AFF5D42">
            <w:pPr>
              <w:widowControl/>
              <w:jc w:val="left"/>
              <w:rPr>
                <w:rFonts w:cs="宋体"/>
              </w:rPr>
            </w:pPr>
            <w:r>
              <w:rPr>
                <w:rFonts w:hint="eastAsia" w:cs="宋体"/>
              </w:rPr>
              <w:t>lnURBAN</w:t>
            </w:r>
          </w:p>
        </w:tc>
        <w:tc>
          <w:tcPr>
            <w:tcW w:w="2138" w:type="dxa"/>
            <w:vAlign w:val="center"/>
          </w:tcPr>
          <w:p w14:paraId="21A96E77">
            <w:pPr>
              <w:widowControl/>
              <w:jc w:val="center"/>
              <w:rPr>
                <w:rFonts w:cs="宋体"/>
                <w:kern w:val="0"/>
                <w:sz w:val="24"/>
                <w:lang w:bidi="ar"/>
              </w:rPr>
            </w:pPr>
            <w:r>
              <w:rPr>
                <w:rFonts w:cs="宋体"/>
                <w:kern w:val="0"/>
                <w:sz w:val="24"/>
                <w:lang w:bidi="ar"/>
              </w:rPr>
              <w:t>2.064</w:t>
            </w:r>
            <w:r>
              <w:rPr>
                <w:rFonts w:hint="eastAsia" w:cs="宋体"/>
                <w:kern w:val="0"/>
                <w:sz w:val="24"/>
                <w:szCs w:val="22"/>
                <w:lang w:bidi="ar"/>
              </w:rPr>
              <w:t>***</w:t>
            </w:r>
          </w:p>
          <w:p w14:paraId="7BFF9BA0">
            <w:pPr>
              <w:widowControl/>
              <w:jc w:val="center"/>
              <w:rPr>
                <w:rFonts w:cs="宋体"/>
              </w:rPr>
            </w:pPr>
            <w:r>
              <w:rPr>
                <w:rFonts w:cs="宋体"/>
                <w:kern w:val="0"/>
                <w:sz w:val="24"/>
                <w:lang w:bidi="ar"/>
              </w:rPr>
              <w:t>(0.47</w:t>
            </w:r>
            <w:r>
              <w:rPr>
                <w:rFonts w:hint="eastAsia" w:cs="宋体"/>
                <w:kern w:val="0"/>
                <w:sz w:val="24"/>
                <w:lang w:bidi="ar"/>
              </w:rPr>
              <w:t>4</w:t>
            </w:r>
            <w:r>
              <w:rPr>
                <w:rFonts w:cs="宋体"/>
                <w:kern w:val="0"/>
                <w:sz w:val="24"/>
                <w:lang w:bidi="ar"/>
              </w:rPr>
              <w:t>)</w:t>
            </w:r>
          </w:p>
        </w:tc>
        <w:tc>
          <w:tcPr>
            <w:tcW w:w="2376" w:type="dxa"/>
            <w:vAlign w:val="center"/>
          </w:tcPr>
          <w:p w14:paraId="18024582">
            <w:pPr>
              <w:widowControl/>
              <w:jc w:val="center"/>
              <w:rPr>
                <w:rFonts w:cs="宋体"/>
                <w:kern w:val="0"/>
                <w:sz w:val="24"/>
                <w:szCs w:val="22"/>
                <w:lang w:bidi="ar"/>
              </w:rPr>
            </w:pPr>
            <w:r>
              <w:rPr>
                <w:rFonts w:cs="宋体"/>
                <w:kern w:val="0"/>
                <w:sz w:val="24"/>
                <w:lang w:bidi="ar"/>
              </w:rPr>
              <w:t>-1.97</w:t>
            </w:r>
            <w:r>
              <w:rPr>
                <w:rFonts w:hint="eastAsia" w:cs="宋体"/>
                <w:kern w:val="0"/>
                <w:sz w:val="24"/>
                <w:lang w:bidi="ar"/>
              </w:rPr>
              <w:t>5</w:t>
            </w:r>
            <w:r>
              <w:rPr>
                <w:rFonts w:hint="eastAsia" w:cs="宋体"/>
                <w:kern w:val="0"/>
                <w:sz w:val="24"/>
                <w:szCs w:val="22"/>
                <w:lang w:bidi="ar"/>
              </w:rPr>
              <w:t>***</w:t>
            </w:r>
          </w:p>
          <w:p w14:paraId="2A3153C9">
            <w:pPr>
              <w:widowControl/>
              <w:jc w:val="center"/>
              <w:rPr>
                <w:rFonts w:cs="宋体"/>
              </w:rPr>
            </w:pPr>
            <w:r>
              <w:rPr>
                <w:rFonts w:cs="宋体"/>
                <w:kern w:val="0"/>
                <w:sz w:val="24"/>
                <w:lang w:bidi="ar"/>
              </w:rPr>
              <w:t>(0.501)</w:t>
            </w:r>
          </w:p>
        </w:tc>
        <w:tc>
          <w:tcPr>
            <w:tcW w:w="2256" w:type="dxa"/>
            <w:vAlign w:val="center"/>
          </w:tcPr>
          <w:p w14:paraId="41680B67">
            <w:pPr>
              <w:widowControl/>
              <w:jc w:val="center"/>
              <w:rPr>
                <w:rFonts w:cs="宋体"/>
                <w:kern w:val="0"/>
                <w:sz w:val="24"/>
                <w:szCs w:val="22"/>
                <w:lang w:bidi="ar"/>
              </w:rPr>
            </w:pPr>
            <w:r>
              <w:rPr>
                <w:rFonts w:cs="宋体"/>
                <w:kern w:val="0"/>
                <w:sz w:val="24"/>
                <w:lang w:bidi="ar"/>
              </w:rPr>
              <w:t>-1.34</w:t>
            </w:r>
            <w:r>
              <w:rPr>
                <w:rFonts w:hint="eastAsia" w:cs="宋体"/>
                <w:kern w:val="0"/>
                <w:sz w:val="24"/>
                <w:lang w:bidi="ar"/>
              </w:rPr>
              <w:t>4</w:t>
            </w:r>
            <w:r>
              <w:rPr>
                <w:rFonts w:hint="eastAsia" w:cs="宋体"/>
                <w:kern w:val="0"/>
                <w:sz w:val="24"/>
                <w:szCs w:val="22"/>
                <w:lang w:bidi="ar"/>
              </w:rPr>
              <w:t>*</w:t>
            </w:r>
          </w:p>
          <w:p w14:paraId="4F8A4FE6">
            <w:pPr>
              <w:widowControl/>
              <w:jc w:val="center"/>
              <w:rPr>
                <w:rFonts w:cs="宋体"/>
              </w:rPr>
            </w:pPr>
            <w:r>
              <w:rPr>
                <w:rFonts w:cs="宋体"/>
                <w:kern w:val="0"/>
                <w:sz w:val="24"/>
                <w:lang w:bidi="ar"/>
              </w:rPr>
              <w:t>(0.7</w:t>
            </w:r>
            <w:r>
              <w:rPr>
                <w:rFonts w:hint="eastAsia" w:cs="宋体"/>
                <w:kern w:val="0"/>
                <w:sz w:val="24"/>
                <w:lang w:bidi="ar"/>
              </w:rPr>
              <w:t>40</w:t>
            </w:r>
            <w:r>
              <w:rPr>
                <w:rFonts w:cs="宋体"/>
                <w:kern w:val="0"/>
                <w:sz w:val="24"/>
                <w:lang w:bidi="ar"/>
              </w:rPr>
              <w:t>)</w:t>
            </w:r>
          </w:p>
        </w:tc>
      </w:tr>
      <w:tr w14:paraId="677A052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Pr>
          <w:p w14:paraId="040C338C">
            <w:pPr>
              <w:widowControl/>
              <w:jc w:val="left"/>
              <w:rPr>
                <w:rFonts w:cs="宋体"/>
              </w:rPr>
            </w:pPr>
            <w:r>
              <w:rPr>
                <w:rFonts w:cs="宋体"/>
              </w:rPr>
              <w:t>lnRGDP</w:t>
            </w:r>
          </w:p>
        </w:tc>
        <w:tc>
          <w:tcPr>
            <w:tcW w:w="2138" w:type="dxa"/>
            <w:vAlign w:val="center"/>
          </w:tcPr>
          <w:p w14:paraId="63222992">
            <w:pPr>
              <w:widowControl/>
              <w:jc w:val="center"/>
              <w:rPr>
                <w:rFonts w:cs="宋体"/>
                <w:kern w:val="0"/>
                <w:sz w:val="24"/>
                <w:lang w:bidi="ar"/>
              </w:rPr>
            </w:pPr>
            <w:r>
              <w:rPr>
                <w:rFonts w:cs="宋体"/>
                <w:kern w:val="0"/>
                <w:sz w:val="24"/>
                <w:lang w:bidi="ar"/>
              </w:rPr>
              <w:t>-1.335</w:t>
            </w:r>
          </w:p>
          <w:p w14:paraId="30A1AA38">
            <w:pPr>
              <w:widowControl/>
              <w:jc w:val="center"/>
              <w:rPr>
                <w:rFonts w:cs="宋体"/>
              </w:rPr>
            </w:pPr>
            <w:r>
              <w:rPr>
                <w:rFonts w:cs="宋体"/>
                <w:kern w:val="0"/>
                <w:sz w:val="24"/>
                <w:lang w:bidi="ar"/>
              </w:rPr>
              <w:t>(1.289)</w:t>
            </w:r>
          </w:p>
        </w:tc>
        <w:tc>
          <w:tcPr>
            <w:tcW w:w="2376" w:type="dxa"/>
            <w:vAlign w:val="center"/>
          </w:tcPr>
          <w:p w14:paraId="450BFA90">
            <w:pPr>
              <w:widowControl/>
              <w:jc w:val="center"/>
              <w:rPr>
                <w:rFonts w:cs="宋体"/>
                <w:kern w:val="0"/>
                <w:sz w:val="24"/>
                <w:lang w:bidi="ar"/>
              </w:rPr>
            </w:pPr>
            <w:r>
              <w:rPr>
                <w:rFonts w:cs="宋体"/>
                <w:kern w:val="0"/>
                <w:sz w:val="24"/>
                <w:lang w:bidi="ar"/>
              </w:rPr>
              <w:t>-1.56</w:t>
            </w:r>
            <w:r>
              <w:rPr>
                <w:rFonts w:hint="eastAsia" w:cs="宋体"/>
                <w:kern w:val="0"/>
                <w:sz w:val="24"/>
                <w:lang w:bidi="ar"/>
              </w:rPr>
              <w:t>6</w:t>
            </w:r>
          </w:p>
          <w:p w14:paraId="77984671">
            <w:pPr>
              <w:widowControl/>
              <w:jc w:val="center"/>
              <w:rPr>
                <w:rFonts w:cs="宋体"/>
              </w:rPr>
            </w:pPr>
            <w:r>
              <w:rPr>
                <w:rFonts w:cs="宋体"/>
                <w:kern w:val="0"/>
                <w:sz w:val="24"/>
                <w:lang w:bidi="ar"/>
              </w:rPr>
              <w:t>(1.336)</w:t>
            </w:r>
          </w:p>
        </w:tc>
        <w:tc>
          <w:tcPr>
            <w:tcW w:w="2256" w:type="dxa"/>
            <w:vAlign w:val="center"/>
          </w:tcPr>
          <w:p w14:paraId="27D35EFA">
            <w:pPr>
              <w:widowControl/>
              <w:jc w:val="center"/>
              <w:rPr>
                <w:rFonts w:cs="宋体"/>
                <w:kern w:val="0"/>
                <w:sz w:val="24"/>
                <w:lang w:bidi="ar"/>
              </w:rPr>
            </w:pPr>
            <w:r>
              <w:rPr>
                <w:rFonts w:cs="宋体"/>
                <w:kern w:val="0"/>
                <w:sz w:val="24"/>
                <w:lang w:bidi="ar"/>
              </w:rPr>
              <w:t>-2.452</w:t>
            </w:r>
          </w:p>
          <w:p w14:paraId="72EF7575">
            <w:pPr>
              <w:widowControl/>
              <w:jc w:val="center"/>
              <w:rPr>
                <w:rFonts w:cs="宋体"/>
              </w:rPr>
            </w:pPr>
            <w:r>
              <w:rPr>
                <w:rFonts w:cs="宋体"/>
                <w:kern w:val="0"/>
                <w:sz w:val="24"/>
                <w:lang w:bidi="ar"/>
              </w:rPr>
              <w:t>(1.502)</w:t>
            </w:r>
          </w:p>
        </w:tc>
      </w:tr>
      <w:tr w14:paraId="0CE52F8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Pr>
          <w:p w14:paraId="4F23DE77">
            <w:pPr>
              <w:widowControl/>
              <w:jc w:val="left"/>
              <w:rPr>
                <w:rFonts w:cs="宋体"/>
                <w:iCs/>
              </w:rPr>
            </w:pPr>
            <w:r>
              <w:rPr>
                <w:rFonts w:cs="宋体"/>
              </w:rPr>
              <w:t>(lnRGDP)</w:t>
            </w:r>
            <w:r>
              <w:rPr>
                <w:rFonts w:hint="eastAsia" w:cs="宋体"/>
              </w:rPr>
              <w:t>²</w:t>
            </w:r>
          </w:p>
        </w:tc>
        <w:tc>
          <w:tcPr>
            <w:tcW w:w="2138" w:type="dxa"/>
            <w:vAlign w:val="center"/>
          </w:tcPr>
          <w:p w14:paraId="2E1A5166">
            <w:pPr>
              <w:widowControl/>
              <w:jc w:val="center"/>
              <w:rPr>
                <w:rFonts w:cs="宋体"/>
                <w:kern w:val="0"/>
                <w:sz w:val="24"/>
                <w:lang w:bidi="ar"/>
              </w:rPr>
            </w:pPr>
            <w:r>
              <w:rPr>
                <w:rFonts w:cs="宋体"/>
                <w:kern w:val="0"/>
                <w:sz w:val="24"/>
                <w:lang w:bidi="ar"/>
              </w:rPr>
              <w:t>0.101</w:t>
            </w:r>
          </w:p>
          <w:p w14:paraId="42B18B8C">
            <w:pPr>
              <w:widowControl/>
              <w:jc w:val="center"/>
              <w:rPr>
                <w:rFonts w:cs="宋体"/>
              </w:rPr>
            </w:pPr>
            <w:r>
              <w:rPr>
                <w:rFonts w:cs="宋体"/>
                <w:kern w:val="0"/>
                <w:sz w:val="24"/>
                <w:lang w:bidi="ar"/>
              </w:rPr>
              <w:t>(0.064)</w:t>
            </w:r>
          </w:p>
        </w:tc>
        <w:tc>
          <w:tcPr>
            <w:tcW w:w="2376" w:type="dxa"/>
            <w:vAlign w:val="center"/>
          </w:tcPr>
          <w:p w14:paraId="30435D5E">
            <w:pPr>
              <w:widowControl/>
              <w:jc w:val="center"/>
              <w:rPr>
                <w:rFonts w:cs="宋体"/>
                <w:kern w:val="0"/>
                <w:sz w:val="24"/>
                <w:lang w:bidi="ar"/>
              </w:rPr>
            </w:pPr>
            <w:r>
              <w:rPr>
                <w:rFonts w:cs="宋体"/>
                <w:kern w:val="0"/>
                <w:sz w:val="24"/>
                <w:lang w:bidi="ar"/>
              </w:rPr>
              <w:t>0.115</w:t>
            </w:r>
            <w:r>
              <w:rPr>
                <w:rFonts w:hint="eastAsia" w:cs="宋体"/>
                <w:kern w:val="0"/>
                <w:sz w:val="24"/>
                <w:szCs w:val="22"/>
                <w:lang w:bidi="ar"/>
              </w:rPr>
              <w:t>*</w:t>
            </w:r>
          </w:p>
          <w:p w14:paraId="23619B05">
            <w:pPr>
              <w:widowControl/>
              <w:jc w:val="center"/>
              <w:rPr>
                <w:rFonts w:cs="宋体"/>
              </w:rPr>
            </w:pPr>
            <w:r>
              <w:rPr>
                <w:rFonts w:cs="宋体"/>
                <w:kern w:val="0"/>
                <w:sz w:val="24"/>
                <w:lang w:bidi="ar"/>
              </w:rPr>
              <w:t>(0.06</w:t>
            </w:r>
            <w:r>
              <w:rPr>
                <w:rFonts w:hint="eastAsia" w:cs="宋体"/>
                <w:kern w:val="0"/>
                <w:sz w:val="24"/>
                <w:lang w:bidi="ar"/>
              </w:rPr>
              <w:t>9</w:t>
            </w:r>
            <w:r>
              <w:rPr>
                <w:rFonts w:cs="宋体"/>
                <w:kern w:val="0"/>
                <w:sz w:val="24"/>
                <w:lang w:bidi="ar"/>
              </w:rPr>
              <w:t>)</w:t>
            </w:r>
          </w:p>
        </w:tc>
        <w:tc>
          <w:tcPr>
            <w:tcW w:w="2256" w:type="dxa"/>
            <w:vAlign w:val="center"/>
          </w:tcPr>
          <w:p w14:paraId="7284C74F">
            <w:pPr>
              <w:widowControl/>
              <w:jc w:val="center"/>
              <w:rPr>
                <w:rFonts w:cs="宋体"/>
                <w:kern w:val="0"/>
                <w:sz w:val="24"/>
                <w:szCs w:val="22"/>
                <w:lang w:bidi="ar"/>
              </w:rPr>
            </w:pPr>
            <w:r>
              <w:rPr>
                <w:rFonts w:cs="宋体"/>
                <w:kern w:val="0"/>
                <w:sz w:val="24"/>
                <w:lang w:bidi="ar"/>
              </w:rPr>
              <w:t>0.173</w:t>
            </w:r>
            <w:r>
              <w:rPr>
                <w:rFonts w:hint="eastAsia" w:cs="宋体"/>
                <w:kern w:val="0"/>
                <w:sz w:val="24"/>
                <w:szCs w:val="22"/>
                <w:lang w:bidi="ar"/>
              </w:rPr>
              <w:t>**</w:t>
            </w:r>
          </w:p>
          <w:p w14:paraId="6ADF2040">
            <w:pPr>
              <w:widowControl/>
              <w:jc w:val="center"/>
              <w:rPr>
                <w:rFonts w:cs="宋体"/>
              </w:rPr>
            </w:pPr>
            <w:r>
              <w:rPr>
                <w:rFonts w:cs="宋体"/>
                <w:kern w:val="0"/>
                <w:sz w:val="24"/>
                <w:lang w:bidi="ar"/>
              </w:rPr>
              <w:t>(0.082)</w:t>
            </w:r>
          </w:p>
        </w:tc>
      </w:tr>
      <w:tr w14:paraId="78E90AB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4F5C7C98">
            <w:pPr>
              <w:widowControl/>
              <w:jc w:val="left"/>
              <w:rPr>
                <w:rFonts w:cs="宋体"/>
              </w:rPr>
            </w:pPr>
            <w:r>
              <w:rPr>
                <w:rFonts w:hint="eastAsia" w:cs="宋体"/>
              </w:rPr>
              <w:t>COPEN</w:t>
            </w:r>
          </w:p>
        </w:tc>
        <w:tc>
          <w:tcPr>
            <w:tcW w:w="2138" w:type="dxa"/>
            <w:vAlign w:val="center"/>
          </w:tcPr>
          <w:p w14:paraId="2A24C26A">
            <w:pPr>
              <w:widowControl/>
              <w:jc w:val="center"/>
              <w:rPr>
                <w:rFonts w:cs="宋体"/>
                <w:kern w:val="0"/>
                <w:sz w:val="24"/>
                <w:szCs w:val="22"/>
                <w:lang w:bidi="ar"/>
              </w:rPr>
            </w:pPr>
            <w:r>
              <w:rPr>
                <w:rFonts w:cs="宋体"/>
                <w:kern w:val="0"/>
                <w:sz w:val="24"/>
                <w:lang w:bidi="ar"/>
              </w:rPr>
              <w:t>1.14</w:t>
            </w:r>
            <w:r>
              <w:rPr>
                <w:rFonts w:hint="eastAsia" w:cs="宋体"/>
                <w:kern w:val="0"/>
                <w:sz w:val="24"/>
                <w:lang w:bidi="ar"/>
              </w:rPr>
              <w:t>4</w:t>
            </w:r>
            <w:r>
              <w:rPr>
                <w:rFonts w:hint="eastAsia" w:cs="宋体"/>
                <w:kern w:val="0"/>
                <w:sz w:val="24"/>
                <w:szCs w:val="22"/>
                <w:lang w:bidi="ar"/>
              </w:rPr>
              <w:t>**</w:t>
            </w:r>
          </w:p>
          <w:p w14:paraId="5F432543">
            <w:pPr>
              <w:widowControl/>
              <w:jc w:val="center"/>
              <w:rPr>
                <w:rFonts w:cs="宋体"/>
              </w:rPr>
            </w:pPr>
            <w:r>
              <w:rPr>
                <w:rFonts w:cs="宋体"/>
                <w:kern w:val="0"/>
                <w:sz w:val="24"/>
                <w:lang w:bidi="ar"/>
              </w:rPr>
              <w:t>(0.447)</w:t>
            </w:r>
          </w:p>
        </w:tc>
        <w:tc>
          <w:tcPr>
            <w:tcW w:w="2376" w:type="dxa"/>
            <w:vAlign w:val="center"/>
          </w:tcPr>
          <w:p w14:paraId="2DF9637E">
            <w:pPr>
              <w:widowControl/>
              <w:jc w:val="center"/>
              <w:rPr>
                <w:rFonts w:cs="宋体"/>
                <w:kern w:val="0"/>
                <w:sz w:val="24"/>
                <w:szCs w:val="22"/>
                <w:lang w:bidi="ar"/>
              </w:rPr>
            </w:pPr>
            <w:r>
              <w:rPr>
                <w:rFonts w:cs="宋体"/>
                <w:kern w:val="0"/>
                <w:sz w:val="24"/>
                <w:lang w:bidi="ar"/>
              </w:rPr>
              <w:t>-1.256</w:t>
            </w:r>
            <w:r>
              <w:rPr>
                <w:rFonts w:hint="eastAsia" w:cs="宋体"/>
                <w:kern w:val="0"/>
                <w:sz w:val="24"/>
                <w:szCs w:val="22"/>
                <w:lang w:bidi="ar"/>
              </w:rPr>
              <w:t>**</w:t>
            </w:r>
          </w:p>
          <w:p w14:paraId="536A9EAE">
            <w:pPr>
              <w:widowControl/>
              <w:jc w:val="center"/>
              <w:rPr>
                <w:rFonts w:cs="宋体"/>
              </w:rPr>
            </w:pPr>
            <w:r>
              <w:rPr>
                <w:rFonts w:cs="宋体"/>
                <w:kern w:val="0"/>
                <w:sz w:val="24"/>
                <w:lang w:bidi="ar"/>
              </w:rPr>
              <w:t>(0.482)</w:t>
            </w:r>
          </w:p>
        </w:tc>
        <w:tc>
          <w:tcPr>
            <w:tcW w:w="2256" w:type="dxa"/>
            <w:vAlign w:val="center"/>
          </w:tcPr>
          <w:p w14:paraId="3C56651C">
            <w:pPr>
              <w:widowControl/>
              <w:jc w:val="center"/>
              <w:rPr>
                <w:rFonts w:cs="宋体"/>
                <w:kern w:val="0"/>
                <w:sz w:val="24"/>
                <w:szCs w:val="22"/>
                <w:lang w:bidi="ar"/>
              </w:rPr>
            </w:pPr>
            <w:r>
              <w:rPr>
                <w:rFonts w:cs="宋体"/>
                <w:kern w:val="0"/>
                <w:sz w:val="24"/>
                <w:lang w:bidi="ar"/>
              </w:rPr>
              <w:t>-2.355</w:t>
            </w:r>
            <w:r>
              <w:rPr>
                <w:rFonts w:hint="eastAsia" w:cs="宋体"/>
                <w:kern w:val="0"/>
                <w:sz w:val="24"/>
                <w:szCs w:val="22"/>
                <w:lang w:bidi="ar"/>
              </w:rPr>
              <w:t>**</w:t>
            </w:r>
          </w:p>
          <w:p w14:paraId="5971AC3A">
            <w:pPr>
              <w:widowControl/>
              <w:jc w:val="center"/>
              <w:rPr>
                <w:rFonts w:cs="宋体"/>
              </w:rPr>
            </w:pPr>
            <w:r>
              <w:rPr>
                <w:rFonts w:cs="宋体"/>
                <w:kern w:val="0"/>
                <w:sz w:val="24"/>
                <w:lang w:bidi="ar"/>
              </w:rPr>
              <w:t>(1.05</w:t>
            </w:r>
            <w:r>
              <w:rPr>
                <w:rFonts w:hint="eastAsia" w:cs="宋体"/>
                <w:kern w:val="0"/>
                <w:sz w:val="24"/>
                <w:lang w:bidi="ar"/>
              </w:rPr>
              <w:t>3</w:t>
            </w:r>
            <w:r>
              <w:rPr>
                <w:rFonts w:cs="宋体"/>
                <w:kern w:val="0"/>
                <w:sz w:val="24"/>
                <w:lang w:bidi="ar"/>
              </w:rPr>
              <w:t>)</w:t>
            </w:r>
          </w:p>
        </w:tc>
      </w:tr>
      <w:tr w14:paraId="0D76B51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1F4D83B9">
            <w:pPr>
              <w:widowControl/>
              <w:jc w:val="left"/>
              <w:rPr>
                <w:rFonts w:cs="宋体"/>
              </w:rPr>
            </w:pPr>
            <w:r>
              <w:rPr>
                <w:rFonts w:hint="eastAsia" w:cs="宋体"/>
              </w:rPr>
              <w:t>FD</w:t>
            </w:r>
          </w:p>
        </w:tc>
        <w:tc>
          <w:tcPr>
            <w:tcW w:w="2138" w:type="dxa"/>
            <w:vAlign w:val="center"/>
          </w:tcPr>
          <w:p w14:paraId="7BC31750">
            <w:pPr>
              <w:widowControl/>
              <w:jc w:val="center"/>
              <w:rPr>
                <w:rFonts w:cs="宋体"/>
                <w:kern w:val="0"/>
                <w:sz w:val="24"/>
                <w:szCs w:val="22"/>
                <w:lang w:bidi="ar"/>
              </w:rPr>
            </w:pPr>
            <w:r>
              <w:rPr>
                <w:rFonts w:cs="宋体"/>
                <w:kern w:val="0"/>
                <w:sz w:val="24"/>
                <w:lang w:bidi="ar"/>
              </w:rPr>
              <w:t>-1.08</w:t>
            </w:r>
            <w:r>
              <w:rPr>
                <w:rFonts w:hint="eastAsia" w:cs="宋体"/>
                <w:kern w:val="0"/>
                <w:sz w:val="24"/>
                <w:lang w:bidi="ar"/>
              </w:rPr>
              <w:t>4</w:t>
            </w:r>
            <w:r>
              <w:rPr>
                <w:rFonts w:hint="eastAsia" w:cs="宋体"/>
                <w:kern w:val="0"/>
                <w:sz w:val="24"/>
                <w:szCs w:val="22"/>
                <w:lang w:bidi="ar"/>
              </w:rPr>
              <w:t>**</w:t>
            </w:r>
          </w:p>
          <w:p w14:paraId="0662405E">
            <w:pPr>
              <w:widowControl/>
              <w:jc w:val="center"/>
              <w:rPr>
                <w:rFonts w:cs="宋体"/>
              </w:rPr>
            </w:pPr>
            <w:r>
              <w:rPr>
                <w:rFonts w:cs="宋体"/>
                <w:kern w:val="0"/>
                <w:sz w:val="24"/>
                <w:lang w:bidi="ar"/>
              </w:rPr>
              <w:t>(0.456)</w:t>
            </w:r>
          </w:p>
        </w:tc>
        <w:tc>
          <w:tcPr>
            <w:tcW w:w="2376" w:type="dxa"/>
            <w:vAlign w:val="center"/>
          </w:tcPr>
          <w:p w14:paraId="024C03A2">
            <w:pPr>
              <w:widowControl/>
              <w:jc w:val="center"/>
              <w:rPr>
                <w:rFonts w:cs="宋体"/>
                <w:kern w:val="0"/>
                <w:sz w:val="24"/>
                <w:szCs w:val="22"/>
                <w:lang w:bidi="ar"/>
              </w:rPr>
            </w:pPr>
            <w:r>
              <w:rPr>
                <w:rFonts w:cs="宋体"/>
                <w:kern w:val="0"/>
                <w:sz w:val="24"/>
                <w:lang w:bidi="ar"/>
              </w:rPr>
              <w:t>-1.26</w:t>
            </w:r>
            <w:r>
              <w:rPr>
                <w:rFonts w:hint="eastAsia" w:cs="宋体"/>
                <w:kern w:val="0"/>
                <w:sz w:val="24"/>
                <w:lang w:bidi="ar"/>
              </w:rPr>
              <w:t>6</w:t>
            </w:r>
            <w:r>
              <w:rPr>
                <w:rFonts w:hint="eastAsia" w:cs="宋体"/>
                <w:kern w:val="0"/>
                <w:sz w:val="24"/>
                <w:szCs w:val="22"/>
                <w:lang w:bidi="ar"/>
              </w:rPr>
              <w:t>**</w:t>
            </w:r>
          </w:p>
          <w:p w14:paraId="39341B25">
            <w:pPr>
              <w:widowControl/>
              <w:jc w:val="center"/>
              <w:rPr>
                <w:rFonts w:cs="宋体"/>
              </w:rPr>
            </w:pPr>
            <w:r>
              <w:rPr>
                <w:rFonts w:cs="宋体"/>
                <w:kern w:val="0"/>
                <w:sz w:val="24"/>
                <w:lang w:bidi="ar"/>
              </w:rPr>
              <w:t>(0.619)</w:t>
            </w:r>
          </w:p>
        </w:tc>
        <w:tc>
          <w:tcPr>
            <w:tcW w:w="2256" w:type="dxa"/>
            <w:vAlign w:val="center"/>
          </w:tcPr>
          <w:p w14:paraId="1F022440">
            <w:pPr>
              <w:widowControl/>
              <w:jc w:val="center"/>
              <w:rPr>
                <w:rFonts w:cs="宋体"/>
                <w:kern w:val="0"/>
                <w:sz w:val="24"/>
                <w:szCs w:val="22"/>
                <w:lang w:bidi="ar"/>
              </w:rPr>
            </w:pPr>
            <w:r>
              <w:rPr>
                <w:rFonts w:cs="宋体"/>
                <w:kern w:val="0"/>
                <w:sz w:val="24"/>
                <w:lang w:bidi="ar"/>
              </w:rPr>
              <w:t>-1.72</w:t>
            </w:r>
            <w:r>
              <w:rPr>
                <w:rFonts w:hint="eastAsia" w:cs="宋体"/>
                <w:kern w:val="0"/>
                <w:sz w:val="24"/>
                <w:lang w:bidi="ar"/>
              </w:rPr>
              <w:t>5</w:t>
            </w:r>
            <w:r>
              <w:rPr>
                <w:rFonts w:hint="eastAsia" w:cs="宋体"/>
                <w:kern w:val="0"/>
                <w:sz w:val="24"/>
                <w:szCs w:val="22"/>
                <w:lang w:bidi="ar"/>
              </w:rPr>
              <w:t>**</w:t>
            </w:r>
          </w:p>
          <w:p w14:paraId="30357282">
            <w:pPr>
              <w:widowControl/>
              <w:jc w:val="center"/>
              <w:rPr>
                <w:rFonts w:cs="宋体"/>
              </w:rPr>
            </w:pPr>
            <w:r>
              <w:rPr>
                <w:rFonts w:cs="宋体"/>
                <w:kern w:val="0"/>
                <w:sz w:val="24"/>
                <w:lang w:bidi="ar"/>
              </w:rPr>
              <w:t>(0.759)</w:t>
            </w:r>
          </w:p>
        </w:tc>
      </w:tr>
      <w:tr w14:paraId="1A08915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1E0E720D">
            <w:pPr>
              <w:widowControl/>
              <w:jc w:val="left"/>
              <w:rPr>
                <w:rFonts w:cs="宋体"/>
              </w:rPr>
            </w:pPr>
            <w:r>
              <w:rPr>
                <w:rFonts w:cs="宋体"/>
                <w:kern w:val="0"/>
                <w:sz w:val="24"/>
                <w:lang w:bidi="ar"/>
              </w:rPr>
              <w:t>第一阶段F</w:t>
            </w:r>
          </w:p>
        </w:tc>
        <w:tc>
          <w:tcPr>
            <w:tcW w:w="2138" w:type="dxa"/>
            <w:vAlign w:val="center"/>
          </w:tcPr>
          <w:p w14:paraId="2B3A1AC4">
            <w:pPr>
              <w:widowControl/>
              <w:jc w:val="center"/>
              <w:rPr>
                <w:rFonts w:cs="宋体"/>
              </w:rPr>
            </w:pPr>
            <w:r>
              <w:rPr>
                <w:rFonts w:cs="宋体"/>
                <w:kern w:val="0"/>
                <w:sz w:val="24"/>
                <w:lang w:bidi="ar"/>
              </w:rPr>
              <w:t>31.04</w:t>
            </w:r>
          </w:p>
        </w:tc>
        <w:tc>
          <w:tcPr>
            <w:tcW w:w="2376" w:type="dxa"/>
            <w:vAlign w:val="center"/>
          </w:tcPr>
          <w:p w14:paraId="6F2193F6">
            <w:pPr>
              <w:widowControl/>
              <w:jc w:val="center"/>
              <w:rPr>
                <w:rFonts w:cs="宋体"/>
              </w:rPr>
            </w:pPr>
            <w:r>
              <w:rPr>
                <w:rFonts w:cs="宋体"/>
                <w:kern w:val="0"/>
                <w:sz w:val="24"/>
                <w:lang w:bidi="ar"/>
              </w:rPr>
              <w:t>15.68/31.59</w:t>
            </w:r>
          </w:p>
        </w:tc>
        <w:tc>
          <w:tcPr>
            <w:tcW w:w="2256" w:type="dxa"/>
            <w:vAlign w:val="center"/>
          </w:tcPr>
          <w:p w14:paraId="76363E7F">
            <w:pPr>
              <w:widowControl/>
              <w:jc w:val="center"/>
              <w:rPr>
                <w:rFonts w:cs="宋体"/>
              </w:rPr>
            </w:pPr>
            <w:r>
              <w:rPr>
                <w:rFonts w:cs="宋体"/>
                <w:kern w:val="0"/>
                <w:sz w:val="24"/>
                <w:lang w:bidi="ar"/>
              </w:rPr>
              <w:t>8.66/22.72/30.45</w:t>
            </w:r>
          </w:p>
        </w:tc>
      </w:tr>
      <w:tr w14:paraId="6C8CEB2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55BC6C2E">
            <w:pPr>
              <w:widowControl/>
              <w:jc w:val="left"/>
              <w:rPr>
                <w:rFonts w:cs="宋体"/>
              </w:rPr>
            </w:pPr>
            <w:r>
              <w:rPr>
                <w:rFonts w:cs="宋体"/>
                <w:kern w:val="0"/>
                <w:sz w:val="24"/>
                <w:lang w:bidi="ar"/>
              </w:rPr>
              <w:t>Partial R²</w:t>
            </w:r>
          </w:p>
        </w:tc>
        <w:tc>
          <w:tcPr>
            <w:tcW w:w="2138" w:type="dxa"/>
            <w:vAlign w:val="center"/>
          </w:tcPr>
          <w:p w14:paraId="388EF5AE">
            <w:pPr>
              <w:widowControl/>
              <w:jc w:val="center"/>
              <w:rPr>
                <w:rFonts w:cs="宋体"/>
              </w:rPr>
            </w:pPr>
            <w:r>
              <w:rPr>
                <w:rFonts w:cs="宋体"/>
                <w:kern w:val="0"/>
                <w:sz w:val="24"/>
                <w:lang w:bidi="ar"/>
              </w:rPr>
              <w:t>0.28</w:t>
            </w:r>
            <w:r>
              <w:rPr>
                <w:rFonts w:hint="eastAsia" w:cs="宋体"/>
                <w:kern w:val="0"/>
                <w:sz w:val="24"/>
                <w:lang w:bidi="ar"/>
              </w:rPr>
              <w:t>5</w:t>
            </w:r>
          </w:p>
        </w:tc>
        <w:tc>
          <w:tcPr>
            <w:tcW w:w="2376" w:type="dxa"/>
            <w:vAlign w:val="center"/>
          </w:tcPr>
          <w:p w14:paraId="5F73ED4D">
            <w:pPr>
              <w:widowControl/>
              <w:jc w:val="center"/>
              <w:rPr>
                <w:rFonts w:cs="宋体"/>
              </w:rPr>
            </w:pPr>
            <w:r>
              <w:rPr>
                <w:rFonts w:cs="宋体"/>
                <w:kern w:val="0"/>
                <w:sz w:val="24"/>
                <w:lang w:bidi="ar"/>
              </w:rPr>
              <w:t>0.28</w:t>
            </w:r>
            <w:r>
              <w:rPr>
                <w:rFonts w:hint="eastAsia" w:cs="宋体"/>
                <w:kern w:val="0"/>
                <w:sz w:val="24"/>
                <w:lang w:bidi="ar"/>
              </w:rPr>
              <w:t>7</w:t>
            </w:r>
            <w:r>
              <w:rPr>
                <w:rFonts w:cs="宋体"/>
                <w:kern w:val="0"/>
                <w:sz w:val="24"/>
                <w:lang w:bidi="ar"/>
              </w:rPr>
              <w:t>/0.44</w:t>
            </w:r>
            <w:r>
              <w:rPr>
                <w:rFonts w:hint="eastAsia" w:cs="宋体"/>
                <w:kern w:val="0"/>
                <w:sz w:val="24"/>
                <w:lang w:bidi="ar"/>
              </w:rPr>
              <w:t>8</w:t>
            </w:r>
          </w:p>
        </w:tc>
        <w:tc>
          <w:tcPr>
            <w:tcW w:w="2256" w:type="dxa"/>
            <w:vAlign w:val="center"/>
          </w:tcPr>
          <w:p w14:paraId="7D637BAF">
            <w:pPr>
              <w:widowControl/>
              <w:jc w:val="center"/>
              <w:rPr>
                <w:rFonts w:cs="宋体"/>
              </w:rPr>
            </w:pPr>
            <w:r>
              <w:rPr>
                <w:rFonts w:cs="宋体"/>
                <w:kern w:val="0"/>
                <w:sz w:val="24"/>
                <w:lang w:bidi="ar"/>
              </w:rPr>
              <w:t>0.250/0.466/0.539</w:t>
            </w:r>
          </w:p>
        </w:tc>
      </w:tr>
      <w:tr w14:paraId="1A02679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7526E7E6">
            <w:pPr>
              <w:widowControl/>
              <w:jc w:val="left"/>
              <w:rPr>
                <w:rFonts w:cs="宋体"/>
              </w:rPr>
            </w:pPr>
            <w:r>
              <w:rPr>
                <w:rFonts w:cs="宋体"/>
                <w:kern w:val="0"/>
                <w:sz w:val="24"/>
                <w:lang w:bidi="ar"/>
              </w:rPr>
              <w:t>DWH p值</w:t>
            </w:r>
          </w:p>
        </w:tc>
        <w:tc>
          <w:tcPr>
            <w:tcW w:w="2138" w:type="dxa"/>
            <w:vAlign w:val="center"/>
          </w:tcPr>
          <w:p w14:paraId="709B5890">
            <w:pPr>
              <w:widowControl/>
              <w:jc w:val="center"/>
              <w:rPr>
                <w:rFonts w:cs="宋体"/>
              </w:rPr>
            </w:pPr>
            <w:r>
              <w:rPr>
                <w:rFonts w:cs="宋体"/>
                <w:kern w:val="0"/>
                <w:sz w:val="24"/>
                <w:lang w:bidi="ar"/>
              </w:rPr>
              <w:t>0.118</w:t>
            </w:r>
          </w:p>
        </w:tc>
        <w:tc>
          <w:tcPr>
            <w:tcW w:w="2376" w:type="dxa"/>
            <w:vAlign w:val="center"/>
          </w:tcPr>
          <w:p w14:paraId="12A18FD1">
            <w:pPr>
              <w:widowControl/>
              <w:jc w:val="center"/>
              <w:rPr>
                <w:rFonts w:cs="宋体"/>
              </w:rPr>
            </w:pPr>
            <w:r>
              <w:rPr>
                <w:rFonts w:cs="宋体"/>
                <w:kern w:val="0"/>
                <w:sz w:val="24"/>
                <w:lang w:bidi="ar"/>
              </w:rPr>
              <w:t>0.225</w:t>
            </w:r>
          </w:p>
        </w:tc>
        <w:tc>
          <w:tcPr>
            <w:tcW w:w="2256" w:type="dxa"/>
            <w:vAlign w:val="center"/>
          </w:tcPr>
          <w:p w14:paraId="5B16F002">
            <w:pPr>
              <w:widowControl/>
              <w:jc w:val="center"/>
              <w:rPr>
                <w:rFonts w:cs="宋体"/>
              </w:rPr>
            </w:pPr>
            <w:r>
              <w:rPr>
                <w:rFonts w:cs="宋体"/>
                <w:kern w:val="0"/>
                <w:sz w:val="24"/>
                <w:lang w:bidi="ar"/>
              </w:rPr>
              <w:t>0.178</w:t>
            </w:r>
          </w:p>
        </w:tc>
      </w:tr>
      <w:tr w14:paraId="0353E90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694C4CFD">
            <w:pPr>
              <w:widowControl/>
              <w:jc w:val="left"/>
              <w:rPr>
                <w:rFonts w:cs="宋体"/>
              </w:rPr>
            </w:pPr>
            <w:r>
              <w:rPr>
                <w:rFonts w:cs="宋体"/>
                <w:kern w:val="0"/>
                <w:sz w:val="24"/>
                <w:lang w:bidi="ar"/>
              </w:rPr>
              <w:t>N</w:t>
            </w:r>
          </w:p>
        </w:tc>
        <w:tc>
          <w:tcPr>
            <w:tcW w:w="2138" w:type="dxa"/>
            <w:vAlign w:val="center"/>
          </w:tcPr>
          <w:p w14:paraId="2F3276E7">
            <w:pPr>
              <w:widowControl/>
              <w:jc w:val="center"/>
              <w:rPr>
                <w:rFonts w:cs="宋体"/>
              </w:rPr>
            </w:pPr>
            <w:r>
              <w:rPr>
                <w:rFonts w:cs="宋体"/>
                <w:kern w:val="0"/>
                <w:sz w:val="24"/>
                <w:lang w:bidi="ar"/>
              </w:rPr>
              <w:t>110</w:t>
            </w:r>
          </w:p>
        </w:tc>
        <w:tc>
          <w:tcPr>
            <w:tcW w:w="2376" w:type="dxa"/>
            <w:vAlign w:val="center"/>
          </w:tcPr>
          <w:p w14:paraId="3E085276">
            <w:pPr>
              <w:widowControl/>
              <w:jc w:val="center"/>
              <w:rPr>
                <w:rFonts w:cs="宋体"/>
              </w:rPr>
            </w:pPr>
            <w:r>
              <w:rPr>
                <w:rFonts w:cs="宋体"/>
                <w:kern w:val="0"/>
                <w:sz w:val="24"/>
                <w:lang w:bidi="ar"/>
              </w:rPr>
              <w:t>110</w:t>
            </w:r>
          </w:p>
        </w:tc>
        <w:tc>
          <w:tcPr>
            <w:tcW w:w="2256" w:type="dxa"/>
            <w:vAlign w:val="center"/>
          </w:tcPr>
          <w:p w14:paraId="60504AD6">
            <w:pPr>
              <w:widowControl/>
              <w:jc w:val="center"/>
              <w:rPr>
                <w:rFonts w:cs="宋体"/>
              </w:rPr>
            </w:pPr>
            <w:r>
              <w:rPr>
                <w:rFonts w:cs="宋体"/>
                <w:kern w:val="0"/>
                <w:sz w:val="24"/>
                <w:lang w:bidi="ar"/>
              </w:rPr>
              <w:t>110</w:t>
            </w:r>
          </w:p>
        </w:tc>
      </w:tr>
      <w:tr w14:paraId="4DD5582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451EAF78">
            <w:pPr>
              <w:widowControl/>
              <w:jc w:val="left"/>
              <w:rPr>
                <w:rFonts w:cs="宋体"/>
              </w:rPr>
            </w:pPr>
            <w:r>
              <w:rPr>
                <w:rFonts w:cs="宋体"/>
                <w:kern w:val="0"/>
                <w:sz w:val="24"/>
                <w:lang w:bidi="ar"/>
              </w:rPr>
              <w:t>R²</w:t>
            </w:r>
          </w:p>
        </w:tc>
        <w:tc>
          <w:tcPr>
            <w:tcW w:w="2138" w:type="dxa"/>
            <w:vAlign w:val="center"/>
          </w:tcPr>
          <w:p w14:paraId="453E5BD9">
            <w:pPr>
              <w:widowControl/>
              <w:jc w:val="center"/>
              <w:rPr>
                <w:rFonts w:cs="宋体"/>
              </w:rPr>
            </w:pPr>
            <w:r>
              <w:rPr>
                <w:rFonts w:cs="宋体"/>
                <w:kern w:val="0"/>
                <w:sz w:val="24"/>
                <w:lang w:bidi="ar"/>
              </w:rPr>
              <w:t>0.99</w:t>
            </w:r>
            <w:r>
              <w:rPr>
                <w:rFonts w:hint="eastAsia" w:cs="宋体"/>
                <w:kern w:val="0"/>
                <w:sz w:val="24"/>
                <w:lang w:bidi="ar"/>
              </w:rPr>
              <w:t>4</w:t>
            </w:r>
          </w:p>
        </w:tc>
        <w:tc>
          <w:tcPr>
            <w:tcW w:w="2376" w:type="dxa"/>
            <w:vAlign w:val="center"/>
          </w:tcPr>
          <w:p w14:paraId="045668BB">
            <w:pPr>
              <w:widowControl/>
              <w:jc w:val="center"/>
              <w:rPr>
                <w:rFonts w:cs="宋体"/>
              </w:rPr>
            </w:pPr>
            <w:r>
              <w:rPr>
                <w:rFonts w:cs="宋体"/>
                <w:kern w:val="0"/>
                <w:sz w:val="24"/>
                <w:lang w:bidi="ar"/>
              </w:rPr>
              <w:t>0.99</w:t>
            </w:r>
            <w:r>
              <w:rPr>
                <w:rFonts w:hint="eastAsia" w:cs="宋体"/>
                <w:kern w:val="0"/>
                <w:sz w:val="24"/>
                <w:lang w:bidi="ar"/>
              </w:rPr>
              <w:t>4</w:t>
            </w:r>
          </w:p>
        </w:tc>
        <w:tc>
          <w:tcPr>
            <w:tcW w:w="2256" w:type="dxa"/>
            <w:vAlign w:val="center"/>
          </w:tcPr>
          <w:p w14:paraId="01FC79B2">
            <w:pPr>
              <w:widowControl/>
              <w:jc w:val="center"/>
              <w:rPr>
                <w:rFonts w:cs="宋体"/>
              </w:rPr>
            </w:pPr>
            <w:r>
              <w:rPr>
                <w:rFonts w:cs="宋体"/>
                <w:kern w:val="0"/>
                <w:sz w:val="24"/>
                <w:lang w:bidi="ar"/>
              </w:rPr>
              <w:t>0.993</w:t>
            </w:r>
          </w:p>
        </w:tc>
      </w:tr>
      <w:tr w14:paraId="5D58D9D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0CA31295">
            <w:pPr>
              <w:widowControl/>
              <w:jc w:val="left"/>
              <w:rPr>
                <w:rFonts w:cs="宋体"/>
              </w:rPr>
            </w:pPr>
            <w:r>
              <w:rPr>
                <w:rFonts w:cs="宋体"/>
                <w:kern w:val="0"/>
                <w:sz w:val="24"/>
                <w:lang w:bidi="ar"/>
              </w:rPr>
              <w:t>国家固定效应</w:t>
            </w:r>
          </w:p>
        </w:tc>
        <w:tc>
          <w:tcPr>
            <w:tcW w:w="2138" w:type="dxa"/>
            <w:vAlign w:val="center"/>
          </w:tcPr>
          <w:p w14:paraId="670C9CC4">
            <w:pPr>
              <w:pStyle w:val="35"/>
              <w:jc w:val="center"/>
              <w:rPr>
                <w:rFonts w:cs="宋体"/>
              </w:rPr>
            </w:pPr>
            <w:r>
              <w:rPr>
                <w:rFonts w:hint="eastAsia" w:cs="宋体"/>
              </w:rPr>
              <w:t>控制</w:t>
            </w:r>
          </w:p>
        </w:tc>
        <w:tc>
          <w:tcPr>
            <w:tcW w:w="2376" w:type="dxa"/>
            <w:vAlign w:val="center"/>
          </w:tcPr>
          <w:p w14:paraId="69E705B5">
            <w:pPr>
              <w:pStyle w:val="35"/>
              <w:jc w:val="center"/>
              <w:rPr>
                <w:rFonts w:cs="宋体"/>
              </w:rPr>
            </w:pPr>
            <w:r>
              <w:rPr>
                <w:rFonts w:hint="eastAsia" w:cs="宋体"/>
              </w:rPr>
              <w:t>控制</w:t>
            </w:r>
          </w:p>
        </w:tc>
        <w:tc>
          <w:tcPr>
            <w:tcW w:w="2256" w:type="dxa"/>
            <w:vAlign w:val="center"/>
          </w:tcPr>
          <w:p w14:paraId="5ED2F048">
            <w:pPr>
              <w:pStyle w:val="35"/>
              <w:jc w:val="center"/>
              <w:rPr>
                <w:rFonts w:cs="宋体"/>
              </w:rPr>
            </w:pPr>
            <w:r>
              <w:rPr>
                <w:rFonts w:hint="eastAsia" w:cs="宋体"/>
              </w:rPr>
              <w:t>控制</w:t>
            </w:r>
          </w:p>
        </w:tc>
      </w:tr>
      <w:tr w14:paraId="69C79E8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vAlign w:val="center"/>
          </w:tcPr>
          <w:p w14:paraId="34A9E539">
            <w:pPr>
              <w:widowControl/>
              <w:jc w:val="left"/>
              <w:rPr>
                <w:rFonts w:cs="宋体"/>
              </w:rPr>
            </w:pPr>
            <w:r>
              <w:rPr>
                <w:rFonts w:cs="宋体"/>
                <w:kern w:val="0"/>
                <w:sz w:val="24"/>
                <w:lang w:bidi="ar"/>
              </w:rPr>
              <w:t>年份固定效应</w:t>
            </w:r>
          </w:p>
        </w:tc>
        <w:tc>
          <w:tcPr>
            <w:tcW w:w="2138" w:type="dxa"/>
            <w:vAlign w:val="center"/>
          </w:tcPr>
          <w:p w14:paraId="74CB868F">
            <w:pPr>
              <w:pStyle w:val="35"/>
              <w:jc w:val="center"/>
              <w:rPr>
                <w:rFonts w:cs="宋体"/>
              </w:rPr>
            </w:pPr>
            <w:r>
              <w:rPr>
                <w:rFonts w:hint="eastAsia" w:cs="宋体"/>
              </w:rPr>
              <w:t>控制</w:t>
            </w:r>
          </w:p>
        </w:tc>
        <w:tc>
          <w:tcPr>
            <w:tcW w:w="2376" w:type="dxa"/>
            <w:vAlign w:val="center"/>
          </w:tcPr>
          <w:p w14:paraId="3EF60766">
            <w:pPr>
              <w:pStyle w:val="35"/>
              <w:jc w:val="center"/>
              <w:rPr>
                <w:rFonts w:cs="宋体"/>
              </w:rPr>
            </w:pPr>
            <w:r>
              <w:rPr>
                <w:rFonts w:hint="eastAsia" w:cs="宋体"/>
              </w:rPr>
              <w:t>控制</w:t>
            </w:r>
          </w:p>
        </w:tc>
        <w:tc>
          <w:tcPr>
            <w:tcW w:w="2256" w:type="dxa"/>
            <w:vAlign w:val="center"/>
          </w:tcPr>
          <w:p w14:paraId="7F8699CF">
            <w:pPr>
              <w:pStyle w:val="35"/>
              <w:jc w:val="center"/>
              <w:rPr>
                <w:rFonts w:cs="宋体"/>
              </w:rPr>
            </w:pPr>
            <w:r>
              <w:rPr>
                <w:rFonts w:hint="eastAsia" w:cs="宋体"/>
              </w:rPr>
              <w:t>控制</w:t>
            </w:r>
          </w:p>
        </w:tc>
      </w:tr>
    </w:tbl>
    <w:p w14:paraId="2A194C21">
      <w:pPr>
        <w:pStyle w:val="31"/>
        <w:spacing w:after="60" w:line="276" w:lineRule="auto"/>
        <w:ind w:firstLine="360"/>
      </w:pPr>
      <w:r>
        <w:rPr>
          <w:rFonts w:eastAsia="宋体"/>
        </w:rPr>
        <w:t>注：括号内为HC1稳健标准误；***、**、*分别表示1%、5%、10%显著性水平。IV-A将lnPROUD设为内生变量，并以滞后两期为工具变量；IV-B将lnPROUD和FD设为内生变量，并以其滞后两期为工具变量；IV-C将lnPROUD、COPEN和FD同时设为内生变量，并以其滞后两期为工具变量。第一阶段F和Partial R²在多内生变量规格中按内生变量顺序排列。</w:t>
      </w:r>
    </w:p>
    <w:p w14:paraId="278A5279">
      <w:pPr>
        <w:pStyle w:val="3"/>
        <w:ind w:firstLine="480"/>
      </w:pPr>
      <w:r>
        <w:t>结果显示，IV</w:t>
      </w:r>
      <w:r>
        <w:rPr>
          <w:rFonts w:hint="eastAsia"/>
        </w:rPr>
        <w:t>-</w:t>
      </w:r>
      <w:r>
        <w:t xml:space="preserve">A中第一阶段F统计量为31.04，高于10的经验阈值，说明 </w:t>
      </w:r>
      <w:r>
        <w:rPr>
          <w:rFonts w:hint="eastAsia"/>
        </w:rPr>
        <w:t>滞后两期</w:t>
      </w:r>
      <m:oMath>
        <m:r>
          <m:rPr>
            <m:nor/>
            <m:sty m:val="p"/>
          </m:rPr>
          <w:rPr>
            <w:b w:val="0"/>
            <w:i w:val="0"/>
          </w:rPr>
          <m:t>lnPROUD</m:t>
        </m:r>
      </m:oMath>
      <w:r>
        <w:t>与当期粗钢产量具有较强相关性；DWH检验p值为0.1183，未发现粗钢产量存在强内生性证据。IV</w:t>
      </w:r>
      <w:r>
        <w:rPr>
          <w:rFonts w:hint="eastAsia"/>
        </w:rPr>
        <w:t>-</w:t>
      </w:r>
      <w:r>
        <w:t>B的第一阶段F统计量也均高于10，联合 DWH检验未显著。IV</w:t>
      </w:r>
      <w:r>
        <w:rPr>
          <w:rFonts w:hint="eastAsia"/>
        </w:rPr>
        <w:t>-</w:t>
      </w:r>
      <w:r>
        <w:t>C中</w:t>
      </w:r>
      <m:oMath>
        <m:r>
          <m:rPr>
            <m:nor/>
            <m:sty m:val="p"/>
          </m:rPr>
          <w:rPr>
            <w:b w:val="0"/>
            <w:i w:val="0"/>
          </w:rPr>
          <m:t>lnPROUD</m:t>
        </m:r>
      </m:oMath>
      <w:r>
        <w:t>的第一阶段F值为8.66，存在一定弱工具变量风险，因此本文主要依据IV</w:t>
      </w:r>
      <w:r>
        <w:rPr>
          <w:rFonts w:hint="eastAsia"/>
        </w:rPr>
        <w:t>-</w:t>
      </w:r>
      <w:r>
        <w:t>A和IV</w:t>
      </w:r>
      <w:r>
        <w:rPr>
          <w:rFonts w:hint="eastAsia"/>
        </w:rPr>
        <w:t>-</w:t>
      </w:r>
      <w:r>
        <w:t>B判断稳健性。IV-2SLS结果显示，三组规格下</w:t>
      </w:r>
      <m:oMath>
        <m:r>
          <m:rPr>
            <m:nor/>
            <m:sty m:val="p"/>
          </m:rPr>
          <w:rPr>
            <w:b w:val="0"/>
            <w:i w:val="0"/>
          </w:rPr>
          <m:t>lnPROUD</m:t>
        </m:r>
      </m:oMath>
      <w:r>
        <w:t>均在1%水平显著为正，说明考虑潜在内生性后，粗钢产量仍是钢铁工业CO₂排放最稳定的核心驱动因素。相比之下，EKC项在IV模型中的方向与主模型并不完全一致，表明经济发展与钢铁排放之间的非线性关系仍不稳定。因此，</w:t>
      </w:r>
      <w:r>
        <w:rPr>
          <w:rFonts w:hint="eastAsia"/>
        </w:rPr>
        <w:t>本文实证部分基本证实了钢铁行业碳排放的规模效应。</w:t>
      </w:r>
    </w:p>
    <w:p w14:paraId="008AC68D">
      <w:pPr>
        <w:pStyle w:val="25"/>
        <w:spacing w:before="156" w:after="156"/>
        <w:ind w:firstLine="560"/>
        <w:outlineLvl w:val="1"/>
        <w:rPr>
          <w:rFonts w:hint="default"/>
        </w:rPr>
      </w:pPr>
      <w:bookmarkStart w:id="57" w:name="_Toc29198"/>
      <w:bookmarkStart w:id="58" w:name="_Toc5118"/>
      <w:r>
        <w:t>（五）基于Kaya-LMDI的碳排放结构贡献分解</w:t>
      </w:r>
      <w:bookmarkEnd w:id="57"/>
      <w:bookmarkEnd w:id="58"/>
    </w:p>
    <w:p w14:paraId="66EFB37C">
      <w:pPr>
        <w:pStyle w:val="3"/>
        <w:ind w:firstLine="480"/>
      </w:pPr>
      <w:r>
        <w:t>固定效应模型用于识别影响碳排放的关键变量，LMD</w:t>
      </w:r>
      <w:r>
        <w:rPr>
          <w:rFonts w:hint="eastAsia"/>
        </w:rPr>
        <w:t>I</w:t>
      </w:r>
      <w:r>
        <w:t>分解则进一步量化排放变化的来源。基于数据可得性，本文采用简化Kaya恒等式</w:t>
      </w:r>
      <w:r>
        <w:rPr>
          <w:rFonts w:hint="eastAsia"/>
        </w:rPr>
        <w:fldChar w:fldCharType="begin"/>
      </w:r>
      <w:r>
        <w:rPr>
          <w:rFonts w:hint="eastAsia"/>
        </w:rPr>
        <w:instrText xml:space="preserve"> ADDIN ZOTERO_ITEM CSL_CITATION {"citationID":"JhNmbaZO","properties":{"formattedCitation":"\\super [12]\\nosupersub{}","plainCitation":"[12]","noteIndex":0},"citationItems":[{"id":937,"uris":["http://zotero.org/users/local/ePBhdWbS/items/QXICEXT3"],"itemData":{"id":937,"type":"article-journal","abstract":"In a recent study, Ang (Energy Policy 32 (2004)) compared various index decomposition analysis methods and concluded that the logarithmic mean Divisia index method is the preferred method. Since the lit</w:instrText>
      </w:r>
      <w:r>
        <w:instrText xml:space="preserve">erature on the method tends to be either too technical or speci</w:instrText>
      </w:r>
      <w:r>
        <w:rPr>
          <w:rFonts w:hint="eastAsia" w:cs="MS Gothic"/>
        </w:rPr>
        <w:instrText xml:space="preserve">ﬁ</w:instrText>
      </w:r>
      <w:r>
        <w:instrText xml:space="preserve">c for most potential users, this paper provides a practical guide that includes the general formulation process, summary tables for easy reference andexamples.","container-title":"Energy Poli</w:instrText>
      </w:r>
      <w:r>
        <w:rPr>
          <w:rFonts w:hint="eastAsia"/>
        </w:rPr>
        <w:instrText xml:space="preserve">cy","DOI":"10.1016/j.enpol.2003.10.010","ISSN":"03014215","issue":"7","journalAbbreviation":"Energy Policy","language":"en","license":"https://www.elsevier.com/tdm/userlicense/1.0/","page":"867-871","source":"DOI.org (Crossref)","title":"The LMDI approach to decomposition analysis: a practical guide","title-short":"The LMDI approach to decomposition analysis","volume":"33","author":[{"family":"Ang","given":"B.W."}],"issued":{"date-parts":[["2005",5]]}}}],"schema":"https://github.com/citation-style-language/schema/raw/master/csl-citation.json"} </w:instrText>
      </w:r>
      <w:r>
        <w:rPr>
          <w:rFonts w:hint="eastAsia"/>
        </w:rPr>
        <w:fldChar w:fldCharType="separate"/>
      </w:r>
      <w:r>
        <w:rPr>
          <w:kern w:val="0"/>
          <w:vertAlign w:val="superscript"/>
        </w:rPr>
        <w:t>[12]</w:t>
      </w:r>
      <w:r>
        <w:rPr>
          <w:rFonts w:hint="eastAsia"/>
        </w:rPr>
        <w:fldChar w:fldCharType="end"/>
      </w:r>
      <w:r>
        <w:t>：</w:t>
      </w:r>
    </w:p>
    <w:p w14:paraId="14C598F5">
      <w:pPr>
        <w:pStyle w:val="3"/>
        <w:ind w:firstLine="480"/>
      </w:pPr>
      <m:oMathPara>
        <m:oMath>
          <m:eqArr>
            <m:eqArrPr>
              <m:maxDist m:val="1"/>
              <m:ctrlPr>
                <w:rPr>
                  <w:rFonts w:ascii="Cambria Math" w:hAnsi="Cambria Math"/>
                  <w:i/>
                  <w:szCs w:val="32"/>
                </w:rPr>
              </m:ctrlPr>
            </m:eqArrPr>
            <m:e>
              <m:r>
                <m:rPr/>
                <w:rPr>
                  <w:rFonts w:ascii="Cambria Math" w:hAnsi="Cambria Math"/>
                  <w:szCs w:val="32"/>
                </w:rPr>
                <m:t>CO</m:t>
              </m:r>
              <m:sSub>
                <m:sSubPr>
                  <m:ctrlPr>
                    <w:rPr>
                      <w:rFonts w:ascii="Cambria Math" w:hAnsi="Cambria Math"/>
                      <w:i/>
                      <w:szCs w:val="32"/>
                    </w:rPr>
                  </m:ctrlPr>
                </m:sSubPr>
                <m:e>
                  <m:r>
                    <m:rPr/>
                    <w:rPr>
                      <w:rFonts w:ascii="Cambria Math" w:hAnsi="Cambria Math"/>
                      <w:szCs w:val="32"/>
                    </w:rPr>
                    <m:t>2</m:t>
                  </m:r>
                  <m:ctrlPr>
                    <w:rPr>
                      <w:rFonts w:ascii="Cambria Math" w:hAnsi="Cambria Math"/>
                      <w:i/>
                      <w:szCs w:val="32"/>
                    </w:rPr>
                  </m:ctrlPr>
                </m:e>
                <m:sub>
                  <m:r>
                    <m:rPr/>
                    <w:rPr>
                      <w:rFonts w:ascii="Cambria Math" w:hAnsi="Cambria Math"/>
                      <w:szCs w:val="32"/>
                    </w:rPr>
                    <m:t>i</m:t>
                  </m:r>
                  <m:ctrlPr>
                    <w:rPr>
                      <w:rFonts w:ascii="Cambria Math" w:hAnsi="Cambria Math"/>
                      <w:i/>
                      <w:szCs w:val="32"/>
                    </w:rPr>
                  </m:ctrlPr>
                </m:sub>
              </m:sSub>
              <m:r>
                <m:rPr/>
                <w:rPr>
                  <w:rFonts w:ascii="Cambria Math" w:hAnsi="Cambria Math"/>
                  <w:szCs w:val="32"/>
                </w:rPr>
                <m:t>t=PROU</m:t>
              </m:r>
              <m:sSub>
                <m:sSubPr>
                  <m:ctrlPr>
                    <w:rPr>
                      <w:rFonts w:ascii="Cambria Math" w:hAnsi="Cambria Math"/>
                      <w:i/>
                      <w:szCs w:val="32"/>
                    </w:rPr>
                  </m:ctrlPr>
                </m:sSubPr>
                <m:e>
                  <m:r>
                    <m:rPr/>
                    <w:rPr>
                      <w:rFonts w:ascii="Cambria Math" w:hAnsi="Cambria Math"/>
                      <w:szCs w:val="32"/>
                    </w:rPr>
                    <m:t>D</m:t>
                  </m:r>
                  <m:ctrlPr>
                    <w:rPr>
                      <w:rFonts w:ascii="Cambria Math" w:hAnsi="Cambria Math"/>
                      <w:i/>
                      <w:szCs w:val="32"/>
                    </w:rPr>
                  </m:ctrlPr>
                </m:e>
                <m:sub>
                  <m:r>
                    <m:rPr/>
                    <w:rPr>
                      <w:rFonts w:ascii="Cambria Math" w:hAnsi="Cambria Math"/>
                      <w:szCs w:val="32"/>
                    </w:rPr>
                    <m:t>m</m:t>
                  </m:r>
                  <m:ctrlPr>
                    <w:rPr>
                      <w:rFonts w:ascii="Cambria Math" w:hAnsi="Cambria Math"/>
                      <w:i/>
                      <w:szCs w:val="32"/>
                    </w:rPr>
                  </m:ctrlPr>
                </m:sub>
              </m:sSub>
              <m:r>
                <m:rPr/>
                <w:rPr>
                  <w:rFonts w:ascii="Cambria Math" w:hAnsi="Cambria Math"/>
                  <w:szCs w:val="32"/>
                </w:rPr>
                <m:t>t,it×IN</m:t>
              </m:r>
              <m:sSub>
                <m:sSubPr>
                  <m:ctrlPr>
                    <w:rPr>
                      <w:rFonts w:ascii="Cambria Math" w:hAnsi="Cambria Math"/>
                      <w:i/>
                      <w:szCs w:val="32"/>
                    </w:rPr>
                  </m:ctrlPr>
                </m:sSubPr>
                <m:e>
                  <m:r>
                    <m:rPr/>
                    <w:rPr>
                      <w:rFonts w:ascii="Cambria Math" w:hAnsi="Cambria Math"/>
                      <w:szCs w:val="32"/>
                    </w:rPr>
                    <m:t>T</m:t>
                  </m:r>
                  <m:ctrlPr>
                    <w:rPr>
                      <w:rFonts w:ascii="Cambria Math" w:hAnsi="Cambria Math"/>
                      <w:i/>
                      <w:szCs w:val="32"/>
                    </w:rPr>
                  </m:ctrlPr>
                </m:e>
                <m:sub>
                  <m:r>
                    <m:rPr/>
                    <w:rPr>
                      <w:rFonts w:ascii="Cambria Math" w:hAnsi="Cambria Math"/>
                      <w:szCs w:val="32"/>
                    </w:rPr>
                    <m:t>i</m:t>
                  </m:r>
                  <m:ctrlPr>
                    <w:rPr>
                      <w:rFonts w:ascii="Cambria Math" w:hAnsi="Cambria Math"/>
                      <w:i/>
                      <w:szCs w:val="32"/>
                    </w:rPr>
                  </m:ctrlPr>
                </m:sub>
              </m:sSub>
              <m:r>
                <m:rPr/>
                <w:rPr>
                  <w:rFonts w:ascii="Cambria Math" w:hAnsi="Cambria Math"/>
                  <w:szCs w:val="32"/>
                </w:rPr>
                <m:t>t#</m:t>
              </m:r>
              <m:d>
                <m:dPr>
                  <m:begChr m:val="（"/>
                  <m:endChr m:val="）"/>
                  <m:ctrlPr>
                    <w:rPr>
                      <w:rFonts w:ascii="Cambria Math" w:hAnsi="Cambria Math"/>
                      <w:i/>
                      <w:szCs w:val="32"/>
                    </w:rPr>
                  </m:ctrlPr>
                </m:dPr>
                <m:e>
                  <m:r>
                    <m:rPr>
                      <m:sty m:val="p"/>
                    </m:rPr>
                    <w:rPr>
                      <w:rFonts w:hint="eastAsia" w:ascii="Cambria Math" w:hAnsi="Cambria Math"/>
                      <w:szCs w:val="32"/>
                    </w:rPr>
                    <m:t>公式</m:t>
                  </m:r>
                  <m:r>
                    <m:rPr>
                      <m:sty m:val="p"/>
                    </m:rPr>
                    <w:rPr>
                      <w:rFonts w:ascii="Cambria Math" w:hAnsi="Cambria Math"/>
                      <w:szCs w:val="32"/>
                    </w:rPr>
                    <m:t>3</m:t>
                  </m:r>
                  <m:ctrlPr>
                    <w:rPr>
                      <w:rFonts w:ascii="Cambria Math" w:hAnsi="Cambria Math"/>
                      <w:i/>
                      <w:szCs w:val="32"/>
                    </w:rPr>
                  </m:ctrlPr>
                </m:e>
              </m:d>
              <m:ctrlPr>
                <w:rPr>
                  <w:rFonts w:ascii="Cambria Math" w:hAnsi="Cambria Math"/>
                  <w:i/>
                  <w:szCs w:val="32"/>
                </w:rPr>
              </m:ctrlPr>
            </m:e>
          </m:eqArr>
        </m:oMath>
      </m:oMathPara>
    </w:p>
    <w:p w14:paraId="7B89A613">
      <w:pPr>
        <w:pStyle w:val="3"/>
        <w:ind w:firstLine="480"/>
      </w:pPr>
      <w:r>
        <w:t>其中，</w:t>
      </w:r>
      <m:oMath>
        <m:r>
          <m:rPr>
            <m:sty m:val="p"/>
          </m:rPr>
          <w:rPr>
            <w:rFonts w:ascii="Cambria Math" w:hAnsi="Cambria Math"/>
          </w:rPr>
          <m:t>PROU</m:t>
        </m:r>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ascii="Cambria Math" w:hAnsi="Cambria Math"/>
              </w:rPr>
              <m:t>m</m:t>
            </m:r>
            <m:ctrlPr>
              <w:rPr>
                <w:rFonts w:ascii="Cambria Math" w:hAnsi="Cambria Math"/>
                <w:iCs/>
              </w:rPr>
            </m:ctrlPr>
          </m:sub>
        </m:sSub>
        <m:r>
          <m:rPr>
            <m:sty m:val="p"/>
          </m:rPr>
          <w:rPr>
            <w:rFonts w:ascii="Cambria Math" w:hAnsi="Cambria Math"/>
          </w:rPr>
          <m:t>t</m:t>
        </m:r>
      </m:oMath>
      <w:r>
        <w:t>为以百万吨计的粗钢产量，</w:t>
      </w:r>
      <m:oMath>
        <m:r>
          <m:rPr>
            <m:sty m:val="p"/>
          </m:rPr>
          <w:rPr>
            <w:rFonts w:ascii="Cambria Math" w:hAnsi="Cambria Math"/>
          </w:rPr>
          <m:t>IN</m:t>
        </m:r>
        <m:sSub>
          <m:sSubPr>
            <m:ctrlPr>
              <w:rPr>
                <w:rFonts w:ascii="Cambria Math" w:hAnsi="Cambria Math"/>
                <w:iCs/>
              </w:rPr>
            </m:ctrlPr>
          </m:sSubPr>
          <m:e>
            <m:r>
              <m:rPr>
                <m:sty m:val="p"/>
              </m:rPr>
              <w:rPr>
                <w:rFonts w:ascii="Cambria Math" w:hAnsi="Cambria Math"/>
              </w:rPr>
              <m:t>T</m:t>
            </m:r>
            <m:ctrlPr>
              <w:rPr>
                <w:rFonts w:ascii="Cambria Math" w:hAnsi="Cambria Math"/>
                <w:iCs/>
              </w:rPr>
            </m:ctrlPr>
          </m:e>
          <m:sub>
            <m:r>
              <m:rPr>
                <m:sty m:val="p"/>
              </m:rPr>
              <w:rPr>
                <w:rFonts w:ascii="Cambria Math" w:hAnsi="Cambria Math"/>
              </w:rPr>
              <m:t>i</m:t>
            </m:r>
            <m:ctrlPr>
              <w:rPr>
                <w:rFonts w:ascii="Cambria Math" w:hAnsi="Cambria Math"/>
                <w:iCs/>
              </w:rPr>
            </m:ctrlPr>
          </m:sub>
        </m:sSub>
        <m:r>
          <m:rPr>
            <m:sty m:val="p"/>
          </m:rPr>
          <w:rPr>
            <w:rFonts w:ascii="Cambria Math" w:hAnsi="Cambria Math"/>
          </w:rPr>
          <m:t>t=CO</m:t>
        </m:r>
        <m:sSub>
          <m:sSubPr>
            <m:ctrlPr>
              <w:rPr>
                <w:rFonts w:ascii="Cambria Math" w:hAnsi="Cambria Math"/>
                <w:iCs/>
              </w:rPr>
            </m:ctrlPr>
          </m:sSubPr>
          <m:e>
            <m:r>
              <m:rPr>
                <m:sty m:val="p"/>
              </m:rPr>
              <w:rPr>
                <w:rFonts w:ascii="Cambria Math" w:hAnsi="Cambria Math"/>
              </w:rPr>
              <m:t>2</m:t>
            </m:r>
            <m:ctrlPr>
              <w:rPr>
                <w:rFonts w:ascii="Cambria Math" w:hAnsi="Cambria Math"/>
                <w:iCs/>
              </w:rPr>
            </m:ctrlPr>
          </m:e>
          <m:sub>
            <m:r>
              <m:rPr>
                <m:sty m:val="p"/>
              </m:rPr>
              <w:rPr>
                <w:rFonts w:ascii="Cambria Math" w:hAnsi="Cambria Math"/>
              </w:rPr>
              <m:t>i</m:t>
            </m:r>
            <m:ctrlPr>
              <w:rPr>
                <w:rFonts w:ascii="Cambria Math" w:hAnsi="Cambria Math"/>
                <w:iCs/>
              </w:rPr>
            </m:ctrlPr>
          </m:sub>
        </m:sSub>
        <m:r>
          <m:rPr>
            <m:sty m:val="p"/>
          </m:rPr>
          <w:rPr>
            <w:rFonts w:ascii="Cambria Math" w:hAnsi="Cambria Math"/>
          </w:rPr>
          <m:t>t</m:t>
        </m:r>
        <m:r>
          <m:rPr>
            <m:lit/>
            <m:sty m:val="p"/>
          </m:rPr>
          <w:rPr>
            <w:rFonts w:ascii="Cambria Math" w:hAnsi="Cambria Math"/>
          </w:rPr>
          <m:t>/</m:t>
        </m:r>
        <m:r>
          <m:rPr>
            <m:sty m:val="p"/>
          </m:rPr>
          <w:rPr>
            <w:rFonts w:ascii="Cambria Math" w:hAnsi="Cambria Math"/>
          </w:rPr>
          <m:t>PROU</m:t>
        </m:r>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ascii="Cambria Math" w:hAnsi="Cambria Math"/>
              </w:rPr>
              <m:t>m</m:t>
            </m:r>
            <m:ctrlPr>
              <w:rPr>
                <w:rFonts w:ascii="Cambria Math" w:hAnsi="Cambria Math"/>
                <w:iCs/>
              </w:rPr>
            </m:ctrlPr>
          </m:sub>
        </m:sSub>
        <m:r>
          <m:rPr>
            <m:sty m:val="p"/>
          </m:rPr>
          <w:rPr>
            <w:rFonts w:ascii="Cambria Math" w:hAnsi="Cambria Math"/>
          </w:rPr>
          <m:t>t </m:t>
        </m:r>
      </m:oMath>
      <w:r>
        <w:t>为吨钢碳排放强度。根据这一结构，相邻时期或长期排放变化可分解为产量规模效应与排放强度效应：前者为正表示粗钢产量扩张推高排放，后者为负表示吨钢排放强度下降产生减排贡献[12,13]。</w:t>
      </w:r>
    </w:p>
    <w:p w14:paraId="6AB51425">
      <w:pPr>
        <w:pStyle w:val="6"/>
        <w:jc w:val="center"/>
      </w:pPr>
      <w:r>
        <w:t xml:space="preserve">表 </w:t>
      </w:r>
      <w:r>
        <w:fldChar w:fldCharType="begin"/>
      </w:r>
      <w:r>
        <w:instrText xml:space="preserve"> SEQ 表 \* ARABIC </w:instrText>
      </w:r>
      <w:r>
        <w:fldChar w:fldCharType="separate"/>
      </w:r>
      <w:r>
        <w:t>6</w:t>
      </w:r>
      <w:r>
        <w:fldChar w:fldCharType="end"/>
      </w:r>
      <w:r>
        <w:rPr>
          <w:rFonts w:hint="eastAsia"/>
        </w:rPr>
        <w:t xml:space="preserve">  Kaya-LMDI分解的碳排放贡献结果</w:t>
      </w:r>
    </w:p>
    <w:tbl>
      <w:tblPr>
        <w:tblStyle w:val="17"/>
        <w:tblW w:w="0" w:type="auto"/>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9"/>
        <w:gridCol w:w="1166"/>
        <w:gridCol w:w="1193"/>
        <w:gridCol w:w="1225"/>
        <w:gridCol w:w="1225"/>
        <w:gridCol w:w="1193"/>
        <w:gridCol w:w="1225"/>
      </w:tblGrid>
      <w:tr w14:paraId="42AA636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79" w:type="dxa"/>
            <w:tcBorders>
              <w:top w:val="single" w:color="auto" w:sz="6" w:space="0"/>
              <w:bottom w:val="single" w:color="auto" w:sz="4" w:space="0"/>
            </w:tcBorders>
            <w:vAlign w:val="center"/>
          </w:tcPr>
          <w:p w14:paraId="3FD2C95A">
            <w:pPr>
              <w:spacing w:line="252" w:lineRule="auto"/>
              <w:jc w:val="center"/>
              <w:rPr>
                <w:szCs w:val="18"/>
              </w:rPr>
            </w:pPr>
            <w:r>
              <w:rPr>
                <w:b/>
                <w:szCs w:val="18"/>
              </w:rPr>
              <w:t>国家</w:t>
            </w:r>
          </w:p>
        </w:tc>
        <w:tc>
          <w:tcPr>
            <w:tcW w:w="1166" w:type="dxa"/>
            <w:tcBorders>
              <w:top w:val="single" w:color="auto" w:sz="6" w:space="0"/>
              <w:bottom w:val="single" w:color="auto" w:sz="4" w:space="0"/>
            </w:tcBorders>
            <w:vAlign w:val="center"/>
          </w:tcPr>
          <w:p w14:paraId="1483497B">
            <w:pPr>
              <w:spacing w:line="252" w:lineRule="auto"/>
              <w:jc w:val="center"/>
              <w:rPr>
                <w:szCs w:val="18"/>
              </w:rPr>
            </w:pPr>
            <w:r>
              <w:rPr>
                <w:b/>
                <w:szCs w:val="18"/>
              </w:rPr>
              <w:t>时期</w:t>
            </w:r>
          </w:p>
        </w:tc>
        <w:tc>
          <w:tcPr>
            <w:tcW w:w="1193" w:type="dxa"/>
            <w:tcBorders>
              <w:top w:val="single" w:color="auto" w:sz="6" w:space="0"/>
              <w:bottom w:val="single" w:color="auto" w:sz="4" w:space="0"/>
            </w:tcBorders>
            <w:vAlign w:val="center"/>
          </w:tcPr>
          <w:p w14:paraId="0BA6A79D">
            <w:pPr>
              <w:spacing w:line="252" w:lineRule="auto"/>
              <w:jc w:val="center"/>
              <w:rPr>
                <w:szCs w:val="18"/>
              </w:rPr>
            </w:pPr>
            <w:r>
              <w:rPr>
                <w:b/>
                <w:szCs w:val="18"/>
              </w:rPr>
              <w:t>期初CO₂</w:t>
            </w:r>
          </w:p>
        </w:tc>
        <w:tc>
          <w:tcPr>
            <w:tcW w:w="1225" w:type="dxa"/>
            <w:tcBorders>
              <w:top w:val="single" w:color="auto" w:sz="6" w:space="0"/>
              <w:bottom w:val="single" w:color="auto" w:sz="4" w:space="0"/>
            </w:tcBorders>
            <w:vAlign w:val="center"/>
          </w:tcPr>
          <w:p w14:paraId="1378E0CB">
            <w:pPr>
              <w:spacing w:line="252" w:lineRule="auto"/>
              <w:jc w:val="center"/>
              <w:rPr>
                <w:szCs w:val="18"/>
              </w:rPr>
            </w:pPr>
            <w:r>
              <w:rPr>
                <w:b/>
                <w:szCs w:val="18"/>
              </w:rPr>
              <w:t>期末CO₂</w:t>
            </w:r>
          </w:p>
        </w:tc>
        <w:tc>
          <w:tcPr>
            <w:tcW w:w="1225" w:type="dxa"/>
            <w:tcBorders>
              <w:top w:val="single" w:color="auto" w:sz="6" w:space="0"/>
              <w:bottom w:val="single" w:color="auto" w:sz="4" w:space="0"/>
            </w:tcBorders>
            <w:vAlign w:val="center"/>
          </w:tcPr>
          <w:p w14:paraId="1F548C69">
            <w:pPr>
              <w:spacing w:line="252" w:lineRule="auto"/>
              <w:jc w:val="center"/>
              <w:rPr>
                <w:szCs w:val="18"/>
              </w:rPr>
            </w:pPr>
            <w:r>
              <w:rPr>
                <w:b/>
                <w:szCs w:val="18"/>
              </w:rPr>
              <w:t>产量规模效应</w:t>
            </w:r>
          </w:p>
        </w:tc>
        <w:tc>
          <w:tcPr>
            <w:tcW w:w="1193" w:type="dxa"/>
            <w:tcBorders>
              <w:top w:val="single" w:color="auto" w:sz="6" w:space="0"/>
              <w:bottom w:val="single" w:color="auto" w:sz="4" w:space="0"/>
            </w:tcBorders>
            <w:vAlign w:val="center"/>
          </w:tcPr>
          <w:p w14:paraId="099B689F">
            <w:pPr>
              <w:spacing w:line="252" w:lineRule="auto"/>
              <w:jc w:val="center"/>
              <w:rPr>
                <w:szCs w:val="18"/>
              </w:rPr>
            </w:pPr>
            <w:r>
              <w:rPr>
                <w:b/>
                <w:szCs w:val="18"/>
              </w:rPr>
              <w:t>排放强度效应</w:t>
            </w:r>
          </w:p>
        </w:tc>
        <w:tc>
          <w:tcPr>
            <w:tcW w:w="1225" w:type="dxa"/>
            <w:tcBorders>
              <w:top w:val="single" w:color="auto" w:sz="6" w:space="0"/>
              <w:bottom w:val="single" w:color="auto" w:sz="4" w:space="0"/>
            </w:tcBorders>
            <w:vAlign w:val="center"/>
          </w:tcPr>
          <w:p w14:paraId="2A095263">
            <w:pPr>
              <w:spacing w:line="252" w:lineRule="auto"/>
              <w:jc w:val="center"/>
              <w:rPr>
                <w:szCs w:val="18"/>
              </w:rPr>
            </w:pPr>
            <w:r>
              <w:rPr>
                <w:b/>
                <w:szCs w:val="18"/>
              </w:rPr>
              <w:t>总</w:t>
            </w:r>
            <w:r>
              <w:rPr>
                <w:rFonts w:hint="eastAsia"/>
                <w:b/>
                <w:szCs w:val="18"/>
              </w:rPr>
              <w:t>效应</w:t>
            </w:r>
          </w:p>
        </w:tc>
      </w:tr>
      <w:tr w14:paraId="0824C96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79" w:type="dxa"/>
            <w:tcBorders>
              <w:top w:val="single" w:color="auto" w:sz="4" w:space="0"/>
            </w:tcBorders>
            <w:vAlign w:val="center"/>
          </w:tcPr>
          <w:p w14:paraId="1DB42C2E">
            <w:pPr>
              <w:spacing w:line="252" w:lineRule="auto"/>
              <w:jc w:val="center"/>
              <w:rPr>
                <w:szCs w:val="18"/>
              </w:rPr>
            </w:pPr>
            <w:r>
              <w:rPr>
                <w:szCs w:val="18"/>
              </w:rPr>
              <w:t>中国</w:t>
            </w:r>
          </w:p>
        </w:tc>
        <w:tc>
          <w:tcPr>
            <w:tcW w:w="1166" w:type="dxa"/>
            <w:tcBorders>
              <w:top w:val="single" w:color="auto" w:sz="4" w:space="0"/>
            </w:tcBorders>
            <w:vAlign w:val="center"/>
          </w:tcPr>
          <w:p w14:paraId="240F984F">
            <w:pPr>
              <w:spacing w:line="252" w:lineRule="auto"/>
              <w:jc w:val="center"/>
              <w:rPr>
                <w:szCs w:val="18"/>
              </w:rPr>
            </w:pPr>
            <w:r>
              <w:rPr>
                <w:szCs w:val="18"/>
              </w:rPr>
              <w:t>2000-2023</w:t>
            </w:r>
          </w:p>
        </w:tc>
        <w:tc>
          <w:tcPr>
            <w:tcW w:w="1193" w:type="dxa"/>
            <w:tcBorders>
              <w:top w:val="single" w:color="auto" w:sz="4" w:space="0"/>
            </w:tcBorders>
          </w:tcPr>
          <w:p w14:paraId="0552E000">
            <w:pPr>
              <w:spacing w:line="252" w:lineRule="auto"/>
              <w:jc w:val="center"/>
              <w:rPr>
                <w:szCs w:val="18"/>
              </w:rPr>
            </w:pPr>
            <w:r>
              <w:t xml:space="preserve">250.72 </w:t>
            </w:r>
          </w:p>
        </w:tc>
        <w:tc>
          <w:tcPr>
            <w:tcW w:w="1225" w:type="dxa"/>
            <w:tcBorders>
              <w:top w:val="single" w:color="auto" w:sz="4" w:space="0"/>
            </w:tcBorders>
          </w:tcPr>
          <w:p w14:paraId="5768168C">
            <w:pPr>
              <w:spacing w:line="252" w:lineRule="auto"/>
              <w:jc w:val="center"/>
              <w:rPr>
                <w:szCs w:val="18"/>
              </w:rPr>
            </w:pPr>
            <w:r>
              <w:t xml:space="preserve">1324.93 </w:t>
            </w:r>
          </w:p>
        </w:tc>
        <w:tc>
          <w:tcPr>
            <w:tcW w:w="1225" w:type="dxa"/>
            <w:tcBorders>
              <w:top w:val="single" w:color="auto" w:sz="4" w:space="0"/>
            </w:tcBorders>
          </w:tcPr>
          <w:p w14:paraId="4F35DBB0">
            <w:pPr>
              <w:spacing w:line="252" w:lineRule="auto"/>
              <w:jc w:val="center"/>
              <w:rPr>
                <w:szCs w:val="18"/>
              </w:rPr>
            </w:pPr>
            <w:bookmarkStart w:id="59" w:name="_Hlk230945359"/>
            <w:r>
              <w:t>1342.72</w:t>
            </w:r>
            <w:bookmarkEnd w:id="59"/>
            <w:r>
              <w:t xml:space="preserve"> </w:t>
            </w:r>
          </w:p>
        </w:tc>
        <w:tc>
          <w:tcPr>
            <w:tcW w:w="1193" w:type="dxa"/>
            <w:tcBorders>
              <w:top w:val="single" w:color="auto" w:sz="4" w:space="0"/>
            </w:tcBorders>
          </w:tcPr>
          <w:p w14:paraId="6039DF2E">
            <w:pPr>
              <w:spacing w:line="252" w:lineRule="auto"/>
              <w:jc w:val="center"/>
              <w:rPr>
                <w:szCs w:val="18"/>
              </w:rPr>
            </w:pPr>
            <w:r>
              <w:t xml:space="preserve">-268.51 </w:t>
            </w:r>
          </w:p>
        </w:tc>
        <w:tc>
          <w:tcPr>
            <w:tcW w:w="1225" w:type="dxa"/>
            <w:tcBorders>
              <w:top w:val="single" w:color="auto" w:sz="4" w:space="0"/>
            </w:tcBorders>
          </w:tcPr>
          <w:p w14:paraId="2733C54C">
            <w:pPr>
              <w:spacing w:line="252" w:lineRule="auto"/>
              <w:jc w:val="center"/>
              <w:rPr>
                <w:szCs w:val="18"/>
              </w:rPr>
            </w:pPr>
            <w:r>
              <w:t>1074.21</w:t>
            </w:r>
          </w:p>
        </w:tc>
      </w:tr>
      <w:tr w14:paraId="6E0C89C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79" w:type="dxa"/>
            <w:vAlign w:val="center"/>
          </w:tcPr>
          <w:p w14:paraId="06504C1E">
            <w:pPr>
              <w:spacing w:line="252" w:lineRule="auto"/>
              <w:jc w:val="center"/>
              <w:rPr>
                <w:szCs w:val="18"/>
              </w:rPr>
            </w:pPr>
            <w:r>
              <w:rPr>
                <w:szCs w:val="18"/>
              </w:rPr>
              <w:t>俄罗斯</w:t>
            </w:r>
          </w:p>
        </w:tc>
        <w:tc>
          <w:tcPr>
            <w:tcW w:w="1166" w:type="dxa"/>
            <w:vAlign w:val="center"/>
          </w:tcPr>
          <w:p w14:paraId="5184D57E">
            <w:pPr>
              <w:spacing w:line="252" w:lineRule="auto"/>
              <w:jc w:val="center"/>
              <w:rPr>
                <w:szCs w:val="18"/>
              </w:rPr>
            </w:pPr>
            <w:r>
              <w:rPr>
                <w:szCs w:val="18"/>
              </w:rPr>
              <w:t>2000-2023</w:t>
            </w:r>
          </w:p>
        </w:tc>
        <w:tc>
          <w:tcPr>
            <w:tcW w:w="1193" w:type="dxa"/>
          </w:tcPr>
          <w:p w14:paraId="6FFF1E42">
            <w:pPr>
              <w:spacing w:line="252" w:lineRule="auto"/>
              <w:jc w:val="center"/>
              <w:rPr>
                <w:szCs w:val="18"/>
              </w:rPr>
            </w:pPr>
            <w:r>
              <w:t xml:space="preserve">75.12 </w:t>
            </w:r>
          </w:p>
        </w:tc>
        <w:tc>
          <w:tcPr>
            <w:tcW w:w="1225" w:type="dxa"/>
          </w:tcPr>
          <w:p w14:paraId="2938C1DD">
            <w:pPr>
              <w:spacing w:line="252" w:lineRule="auto"/>
              <w:jc w:val="center"/>
              <w:rPr>
                <w:szCs w:val="18"/>
              </w:rPr>
            </w:pPr>
            <w:r>
              <w:t xml:space="preserve">182.59 </w:t>
            </w:r>
          </w:p>
        </w:tc>
        <w:tc>
          <w:tcPr>
            <w:tcW w:w="1225" w:type="dxa"/>
          </w:tcPr>
          <w:p w14:paraId="017206BE">
            <w:pPr>
              <w:spacing w:line="252" w:lineRule="auto"/>
              <w:jc w:val="center"/>
              <w:rPr>
                <w:szCs w:val="18"/>
              </w:rPr>
            </w:pPr>
            <w:r>
              <w:t xml:space="preserve">30.43 </w:t>
            </w:r>
          </w:p>
        </w:tc>
        <w:tc>
          <w:tcPr>
            <w:tcW w:w="1193" w:type="dxa"/>
          </w:tcPr>
          <w:p w14:paraId="0E795721">
            <w:pPr>
              <w:spacing w:line="252" w:lineRule="auto"/>
              <w:jc w:val="center"/>
              <w:rPr>
                <w:szCs w:val="18"/>
              </w:rPr>
            </w:pPr>
            <w:r>
              <w:t xml:space="preserve">77.04 </w:t>
            </w:r>
          </w:p>
        </w:tc>
        <w:tc>
          <w:tcPr>
            <w:tcW w:w="1225" w:type="dxa"/>
          </w:tcPr>
          <w:p w14:paraId="601057FE">
            <w:pPr>
              <w:spacing w:line="252" w:lineRule="auto"/>
              <w:jc w:val="center"/>
              <w:rPr>
                <w:szCs w:val="18"/>
              </w:rPr>
            </w:pPr>
            <w:r>
              <w:t>107.47</w:t>
            </w:r>
          </w:p>
        </w:tc>
      </w:tr>
      <w:tr w14:paraId="4A05FAC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79" w:type="dxa"/>
            <w:vAlign w:val="center"/>
          </w:tcPr>
          <w:p w14:paraId="720F2315">
            <w:pPr>
              <w:spacing w:line="252" w:lineRule="auto"/>
              <w:jc w:val="center"/>
              <w:rPr>
                <w:szCs w:val="18"/>
              </w:rPr>
            </w:pPr>
            <w:r>
              <w:rPr>
                <w:szCs w:val="18"/>
              </w:rPr>
              <w:t>印度</w:t>
            </w:r>
          </w:p>
        </w:tc>
        <w:tc>
          <w:tcPr>
            <w:tcW w:w="1166" w:type="dxa"/>
            <w:vAlign w:val="center"/>
          </w:tcPr>
          <w:p w14:paraId="49C1E406">
            <w:pPr>
              <w:spacing w:line="252" w:lineRule="auto"/>
              <w:jc w:val="center"/>
              <w:rPr>
                <w:szCs w:val="18"/>
              </w:rPr>
            </w:pPr>
            <w:r>
              <w:rPr>
                <w:szCs w:val="18"/>
              </w:rPr>
              <w:t>2000-2023</w:t>
            </w:r>
          </w:p>
        </w:tc>
        <w:tc>
          <w:tcPr>
            <w:tcW w:w="1193" w:type="dxa"/>
          </w:tcPr>
          <w:p w14:paraId="2E559CB6">
            <w:pPr>
              <w:spacing w:line="252" w:lineRule="auto"/>
              <w:jc w:val="center"/>
              <w:rPr>
                <w:szCs w:val="18"/>
              </w:rPr>
            </w:pPr>
            <w:r>
              <w:t xml:space="preserve">70.77 </w:t>
            </w:r>
          </w:p>
        </w:tc>
        <w:tc>
          <w:tcPr>
            <w:tcW w:w="1225" w:type="dxa"/>
          </w:tcPr>
          <w:p w14:paraId="2569C67D">
            <w:pPr>
              <w:spacing w:line="252" w:lineRule="auto"/>
              <w:jc w:val="center"/>
              <w:rPr>
                <w:szCs w:val="18"/>
              </w:rPr>
            </w:pPr>
            <w:r>
              <w:t xml:space="preserve">368.12 </w:t>
            </w:r>
          </w:p>
        </w:tc>
        <w:tc>
          <w:tcPr>
            <w:tcW w:w="1225" w:type="dxa"/>
          </w:tcPr>
          <w:p w14:paraId="65F0711D">
            <w:pPr>
              <w:spacing w:line="252" w:lineRule="auto"/>
              <w:jc w:val="center"/>
              <w:rPr>
                <w:szCs w:val="18"/>
              </w:rPr>
            </w:pPr>
            <w:r>
              <w:t xml:space="preserve">298.47 </w:t>
            </w:r>
          </w:p>
        </w:tc>
        <w:tc>
          <w:tcPr>
            <w:tcW w:w="1193" w:type="dxa"/>
          </w:tcPr>
          <w:p w14:paraId="54305F38">
            <w:pPr>
              <w:spacing w:line="252" w:lineRule="auto"/>
              <w:jc w:val="center"/>
              <w:rPr>
                <w:szCs w:val="18"/>
              </w:rPr>
            </w:pPr>
            <w:bookmarkStart w:id="60" w:name="_Hlk230945464"/>
            <w:r>
              <w:t xml:space="preserve">-1.12 </w:t>
            </w:r>
            <w:bookmarkEnd w:id="60"/>
          </w:p>
        </w:tc>
        <w:tc>
          <w:tcPr>
            <w:tcW w:w="1225" w:type="dxa"/>
          </w:tcPr>
          <w:p w14:paraId="5EC1C095">
            <w:pPr>
              <w:spacing w:line="252" w:lineRule="auto"/>
              <w:jc w:val="center"/>
              <w:rPr>
                <w:szCs w:val="18"/>
              </w:rPr>
            </w:pPr>
            <w:r>
              <w:t>297.35</w:t>
            </w:r>
          </w:p>
        </w:tc>
      </w:tr>
      <w:tr w14:paraId="05D42CD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79" w:type="dxa"/>
            <w:vAlign w:val="center"/>
          </w:tcPr>
          <w:p w14:paraId="62729EA6">
            <w:pPr>
              <w:spacing w:line="252" w:lineRule="auto"/>
              <w:jc w:val="center"/>
              <w:rPr>
                <w:szCs w:val="18"/>
              </w:rPr>
            </w:pPr>
            <w:r>
              <w:rPr>
                <w:szCs w:val="18"/>
              </w:rPr>
              <w:t>日本</w:t>
            </w:r>
          </w:p>
        </w:tc>
        <w:tc>
          <w:tcPr>
            <w:tcW w:w="1166" w:type="dxa"/>
            <w:vAlign w:val="center"/>
          </w:tcPr>
          <w:p w14:paraId="623D37E5">
            <w:pPr>
              <w:spacing w:line="252" w:lineRule="auto"/>
              <w:jc w:val="center"/>
              <w:rPr>
                <w:szCs w:val="18"/>
              </w:rPr>
            </w:pPr>
            <w:r>
              <w:rPr>
                <w:szCs w:val="18"/>
              </w:rPr>
              <w:t>2000-2023</w:t>
            </w:r>
          </w:p>
        </w:tc>
        <w:tc>
          <w:tcPr>
            <w:tcW w:w="1193" w:type="dxa"/>
          </w:tcPr>
          <w:p w14:paraId="6196341D">
            <w:pPr>
              <w:spacing w:line="252" w:lineRule="auto"/>
              <w:jc w:val="center"/>
              <w:rPr>
                <w:szCs w:val="18"/>
              </w:rPr>
            </w:pPr>
            <w:r>
              <w:t xml:space="preserve">78.04 </w:t>
            </w:r>
          </w:p>
        </w:tc>
        <w:tc>
          <w:tcPr>
            <w:tcW w:w="1225" w:type="dxa"/>
          </w:tcPr>
          <w:p w14:paraId="5A5A3A43">
            <w:pPr>
              <w:spacing w:line="252" w:lineRule="auto"/>
              <w:jc w:val="center"/>
              <w:rPr>
                <w:szCs w:val="18"/>
              </w:rPr>
            </w:pPr>
            <w:r>
              <w:t xml:space="preserve">67.96 </w:t>
            </w:r>
          </w:p>
        </w:tc>
        <w:tc>
          <w:tcPr>
            <w:tcW w:w="1225" w:type="dxa"/>
          </w:tcPr>
          <w:p w14:paraId="527A1499">
            <w:pPr>
              <w:spacing w:line="252" w:lineRule="auto"/>
              <w:jc w:val="center"/>
              <w:rPr>
                <w:szCs w:val="18"/>
              </w:rPr>
            </w:pPr>
            <w:r>
              <w:t xml:space="preserve">-14.67 </w:t>
            </w:r>
          </w:p>
        </w:tc>
        <w:tc>
          <w:tcPr>
            <w:tcW w:w="1193" w:type="dxa"/>
          </w:tcPr>
          <w:p w14:paraId="30751FE1">
            <w:pPr>
              <w:spacing w:line="252" w:lineRule="auto"/>
              <w:jc w:val="center"/>
              <w:rPr>
                <w:szCs w:val="18"/>
              </w:rPr>
            </w:pPr>
            <w:r>
              <w:t xml:space="preserve">4.59 </w:t>
            </w:r>
          </w:p>
        </w:tc>
        <w:tc>
          <w:tcPr>
            <w:tcW w:w="1225" w:type="dxa"/>
          </w:tcPr>
          <w:p w14:paraId="1854BC9A">
            <w:pPr>
              <w:spacing w:line="252" w:lineRule="auto"/>
              <w:jc w:val="center"/>
              <w:rPr>
                <w:szCs w:val="18"/>
              </w:rPr>
            </w:pPr>
            <w:r>
              <w:t>-10.08</w:t>
            </w:r>
          </w:p>
        </w:tc>
      </w:tr>
      <w:tr w14:paraId="205E68D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79" w:type="dxa"/>
            <w:vAlign w:val="center"/>
          </w:tcPr>
          <w:p w14:paraId="37C85C11">
            <w:pPr>
              <w:spacing w:line="252" w:lineRule="auto"/>
              <w:jc w:val="center"/>
              <w:rPr>
                <w:szCs w:val="18"/>
              </w:rPr>
            </w:pPr>
            <w:r>
              <w:rPr>
                <w:szCs w:val="18"/>
              </w:rPr>
              <w:t>美国</w:t>
            </w:r>
          </w:p>
        </w:tc>
        <w:tc>
          <w:tcPr>
            <w:tcW w:w="1166" w:type="dxa"/>
            <w:vAlign w:val="center"/>
          </w:tcPr>
          <w:p w14:paraId="1C80C19C">
            <w:pPr>
              <w:spacing w:line="252" w:lineRule="auto"/>
              <w:jc w:val="center"/>
              <w:rPr>
                <w:szCs w:val="18"/>
              </w:rPr>
            </w:pPr>
            <w:r>
              <w:rPr>
                <w:szCs w:val="18"/>
              </w:rPr>
              <w:t>2000-2023</w:t>
            </w:r>
          </w:p>
        </w:tc>
        <w:tc>
          <w:tcPr>
            <w:tcW w:w="1193" w:type="dxa"/>
          </w:tcPr>
          <w:p w14:paraId="12903173">
            <w:pPr>
              <w:spacing w:line="252" w:lineRule="auto"/>
              <w:jc w:val="center"/>
              <w:rPr>
                <w:szCs w:val="18"/>
              </w:rPr>
            </w:pPr>
            <w:r>
              <w:t xml:space="preserve">91.05 </w:t>
            </w:r>
          </w:p>
        </w:tc>
        <w:tc>
          <w:tcPr>
            <w:tcW w:w="1225" w:type="dxa"/>
          </w:tcPr>
          <w:p w14:paraId="40C5CFF6">
            <w:pPr>
              <w:spacing w:line="252" w:lineRule="auto"/>
              <w:jc w:val="center"/>
              <w:rPr>
                <w:szCs w:val="18"/>
              </w:rPr>
            </w:pPr>
            <w:r>
              <w:t xml:space="preserve">45.26 </w:t>
            </w:r>
          </w:p>
        </w:tc>
        <w:tc>
          <w:tcPr>
            <w:tcW w:w="1225" w:type="dxa"/>
          </w:tcPr>
          <w:p w14:paraId="7FC7D945">
            <w:pPr>
              <w:spacing w:line="252" w:lineRule="auto"/>
              <w:jc w:val="center"/>
              <w:rPr>
                <w:szCs w:val="18"/>
              </w:rPr>
            </w:pPr>
            <w:r>
              <w:t xml:space="preserve">-14.65 </w:t>
            </w:r>
          </w:p>
        </w:tc>
        <w:tc>
          <w:tcPr>
            <w:tcW w:w="1193" w:type="dxa"/>
          </w:tcPr>
          <w:p w14:paraId="30E72228">
            <w:pPr>
              <w:spacing w:line="252" w:lineRule="auto"/>
              <w:jc w:val="center"/>
              <w:rPr>
                <w:szCs w:val="18"/>
              </w:rPr>
            </w:pPr>
            <w:r>
              <w:t xml:space="preserve">-31.15 </w:t>
            </w:r>
          </w:p>
        </w:tc>
        <w:tc>
          <w:tcPr>
            <w:tcW w:w="1225" w:type="dxa"/>
          </w:tcPr>
          <w:p w14:paraId="2E161633">
            <w:pPr>
              <w:spacing w:line="252" w:lineRule="auto"/>
              <w:jc w:val="center"/>
              <w:rPr>
                <w:szCs w:val="18"/>
              </w:rPr>
            </w:pPr>
            <w:r>
              <w:t>-45.80</w:t>
            </w:r>
          </w:p>
        </w:tc>
      </w:tr>
    </w:tbl>
    <w:p w14:paraId="60E7B593">
      <w:pPr>
        <w:pStyle w:val="3"/>
        <w:ind w:firstLine="480"/>
      </w:pPr>
      <w:r>
        <w:t>经数据口径校正后的LMDI分解结果显示，产量规模效应仍是中国与印度排放增长的主导因素。中国2000</w:t>
      </w:r>
      <w:r>
        <w:rPr>
          <w:rFonts w:hint="eastAsia"/>
        </w:rPr>
        <w:t>-</w:t>
      </w:r>
      <w:r>
        <w:t>2023年碳排放总增量为1074.21Mt，其中规模效应贡献1342.72Mt，强度效应为−268.52Mt，表明吨钢排放强度下降发挥了显著抵消作用，但尚不足以对冲产量高位扩张的增排效应。印度规模效应为298.47Mt，强度效应仅−1.12Mt，减排对冲能力有限。美国总排放下降45.80Mt，规模效应与强度效应均为负值，反映出产量平台期与效率改善的叠加影响。经校正后，俄罗斯与美国早期异常低产量对强度项的扭曲得以消除，分解结果与产业实际更为吻合。值得关注的是，俄罗斯排放强度效应为正，表明其排放增长不仅源于产量变动，亦与能源结构、高炉长流程依赖及单位产出排放效率改善不足相关。这一结果与其资源型工业体系和高长流程占比的结构特征一致，提示俄罗斯的减排重点不应局限于产量控制，而须同步推进能效提升与工艺结构调整。</w:t>
      </w:r>
    </w:p>
    <w:p w14:paraId="342DA337">
      <w:pPr>
        <w:spacing w:before="120" w:after="120"/>
        <w:jc w:val="center"/>
        <w:rPr>
          <w:sz w:val="24"/>
          <w:szCs w:val="32"/>
        </w:rPr>
      </w:pPr>
      <w:r>
        <w:rPr>
          <w:rFonts w:hint="eastAsia"/>
          <w:sz w:val="24"/>
          <w:szCs w:val="32"/>
        </w:rPr>
        <w:drawing>
          <wp:inline distT="0" distB="0" distL="0" distR="0">
            <wp:extent cx="5274310" cy="306959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069590"/>
                    </a:xfrm>
                    <a:prstGeom prst="rect">
                      <a:avLst/>
                    </a:prstGeom>
                  </pic:spPr>
                </pic:pic>
              </a:graphicData>
            </a:graphic>
          </wp:inline>
        </w:drawing>
      </w:r>
    </w:p>
    <w:p w14:paraId="55DB5483">
      <w:pPr>
        <w:pStyle w:val="6"/>
        <w:keepLines/>
        <w:spacing w:before="60" w:after="120"/>
        <w:jc w:val="center"/>
        <w:rPr>
          <w:szCs w:val="32"/>
        </w:rPr>
      </w:pPr>
      <w:r>
        <w:rPr>
          <w:sz w:val="21"/>
        </w:rPr>
        <w:t>图 7  LMDI碳排放贡献分解堆积图</w:t>
      </w:r>
    </w:p>
    <w:p w14:paraId="5A461621">
      <w:pPr>
        <w:pStyle w:val="25"/>
        <w:spacing w:before="156" w:after="156"/>
        <w:ind w:firstLine="560"/>
        <w:outlineLvl w:val="1"/>
        <w:rPr>
          <w:rFonts w:hint="default"/>
        </w:rPr>
      </w:pPr>
      <w:bookmarkStart w:id="61" w:name="_Toc20501"/>
      <w:bookmarkStart w:id="62" w:name="_Toc7670"/>
      <w:r>
        <w:t>（六）基于CatBoost与SHAP的非线性归因校验</w:t>
      </w:r>
      <w:bookmarkEnd w:id="61"/>
      <w:bookmarkEnd w:id="62"/>
    </w:p>
    <w:p w14:paraId="4DCBE972">
      <w:pPr>
        <w:pStyle w:val="3"/>
        <w:ind w:firstLine="480"/>
      </w:pPr>
      <w:r>
        <w:t>为弥补传统线性回归模型在处理多重共线性（如城镇化率与人均GDP在经济周期中的同向演变）时可能面临的方差膨胀问题，并进一步检验估计结论的稳健性，本文引入机器学习算法CatBoost，并配合SHAP解释框架进行辅助分析。CatBoost作为一种对称树梯度提升模型，能够有效捕捉变量间的非线性关系与高阶交互效应；SHAP理论则基于合作博弈论，将模型预测值分解为各特征的边际贡献。这种数据驱动方法不直接替代前文的因果分析，而是从统计学视角量化特征取值对因变量预测轨迹的影响方向。</w:t>
      </w:r>
    </w:p>
    <w:p w14:paraId="22C7A51D">
      <w:pPr>
        <w:pStyle w:val="3"/>
        <w:ind w:firstLine="480"/>
      </w:pPr>
      <w:r>
        <w:t>从SHAP蜂群图可见，各宏观变量对碳排放预测值的贡献呈现出显著异质性。特征重要性排序显示，粗钢产量（lnPROUD）的平均绝对SHAP值占据主导地位，随后依次为贸易开放度（COPEN）、时间趋势（trend）、人均GDP（lnRGDP）及城镇化率（lnURBAN）。在局部影响层面，SHAP散点分布揭示了变量的非线性作用规律：当粗钢产量处于高位时，其SHAP值显著为正，表明产能规模扩张是碳排放预测值上升的核心推动力；代表高水平贸易开放度的散点则更多分布于SHAP负值区间，说明贸易开放在特定阶段可能体现技术扩散或结构调整效应。</w:t>
      </w:r>
    </w:p>
    <w:p w14:paraId="6016162F">
      <w:pPr>
        <w:pStyle w:val="3"/>
        <w:spacing w:line="360" w:lineRule="auto"/>
        <w:ind w:firstLine="480"/>
      </w:pPr>
      <w:r>
        <w:t>通过对全量数据的拟合收敛检验，CatBoost模型表现出较高拟合优度（R²=0.998）。SHAP分析结果从数据驱动角度验证了主要自变量取值变化与因变量预测趋势之间的逻辑一致性，从而支持前文基准回归结论的可靠性与稳健性。</w:t>
      </w:r>
    </w:p>
    <w:p w14:paraId="4A5E024F">
      <w:pPr>
        <w:keepNext/>
        <w:keepLines/>
        <w:jc w:val="center"/>
      </w:pPr>
      <w:r>
        <w:drawing>
          <wp:inline distT="0" distB="0" distL="0" distR="0">
            <wp:extent cx="5349240" cy="2697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7"/>
                    <a:stretch>
                      <a:fillRect/>
                    </a:stretch>
                  </pic:blipFill>
                  <pic:spPr>
                    <a:xfrm>
                      <a:off x="0" y="0"/>
                      <a:ext cx="5349240" cy="2697804"/>
                    </a:xfrm>
                    <a:prstGeom prst="rect">
                      <a:avLst/>
                    </a:prstGeom>
                  </pic:spPr>
                </pic:pic>
              </a:graphicData>
            </a:graphic>
          </wp:inline>
        </w:drawing>
      </w:r>
    </w:p>
    <w:p w14:paraId="138B667F">
      <w:pPr>
        <w:pStyle w:val="6"/>
        <w:keepLines/>
        <w:spacing w:before="60" w:after="120"/>
        <w:jc w:val="center"/>
      </w:pPr>
      <w:r>
        <w:t>图 8  CatBoost得出的核心驱动因素的SHAP蜂群图</w:t>
      </w:r>
    </w:p>
    <w:p w14:paraId="65E7C8C9">
      <w:pPr>
        <w:pStyle w:val="26"/>
        <w:numPr>
          <w:ilvl w:val="0"/>
          <w:numId w:val="3"/>
        </w:numPr>
        <w:spacing w:before="156" w:after="156"/>
        <w:outlineLvl w:val="0"/>
      </w:pPr>
      <w:bookmarkStart w:id="63" w:name="_Toc27110"/>
      <w:bookmarkStart w:id="64" w:name="_Toc23933"/>
      <w:bookmarkStart w:id="65" w:name="_Hlk229237842"/>
      <w:bookmarkStart w:id="66" w:name="_Hlk229237604"/>
      <w:r>
        <w:t>滤波修正惯性延续情景推演</w:t>
      </w:r>
      <w:bookmarkEnd w:id="63"/>
      <w:bookmarkEnd w:id="64"/>
    </w:p>
    <w:bookmarkEnd w:id="65"/>
    <w:bookmarkEnd w:id="66"/>
    <w:p w14:paraId="080EBF22">
      <w:pPr>
        <w:pStyle w:val="25"/>
        <w:spacing w:before="156" w:after="156"/>
        <w:ind w:firstLine="560"/>
        <w:outlineLvl w:val="1"/>
        <w:rPr>
          <w:rFonts w:hint="default"/>
        </w:rPr>
      </w:pPr>
      <w:bookmarkStart w:id="67" w:name="_Toc25404"/>
      <w:bookmarkStart w:id="68" w:name="_Toc10368"/>
      <w:r>
        <w:t>（一）数据集的限制与传统方法的不足</w:t>
      </w:r>
      <w:bookmarkEnd w:id="67"/>
      <w:bookmarkEnd w:id="68"/>
    </w:p>
    <w:p w14:paraId="38C73559">
      <w:pPr>
        <w:pStyle w:val="3"/>
        <w:ind w:firstLine="480"/>
        <w:rPr>
          <w:b/>
          <w:bCs/>
        </w:rPr>
      </w:pPr>
      <w:r>
        <w:t>在仅有24年完整中国宏观碳排放时序数据的严苛约束下，</w:t>
      </w:r>
      <w:r>
        <w:rPr>
          <w:rFonts w:hint="eastAsia"/>
        </w:rPr>
        <w:t>各类建模方法均存在显著局限性，极易因样本量稀缺与观测变量强随机噪声问题引发模型过拟合、外推预测失效等问题。受制于该数据条件，传统统计模型与常规机器学习方法难以构建适配中国碳排放演化特征的自推演模型，无法同时兼顾稳健的经济学因果逻辑与变量间复杂非线性关联的精准捕捉能力。此外，纯数据驱动的宏观经济时序预测模式缺乏宏观维度约束，其长周期推演结果易偏离经济运行规律与现实发展边界，预测可靠性不足。</w:t>
      </w:r>
    </w:p>
    <w:p w14:paraId="4D566170">
      <w:pPr>
        <w:pStyle w:val="25"/>
        <w:spacing w:before="156" w:after="156"/>
        <w:ind w:firstLine="560"/>
        <w:outlineLvl w:val="1"/>
        <w:rPr>
          <w:rFonts w:hint="default"/>
        </w:rPr>
      </w:pPr>
      <w:bookmarkStart w:id="69" w:name="_Toc6863"/>
      <w:bookmarkStart w:id="70" w:name="_Toc9635"/>
      <w:r>
        <w:t>（二）Tiny Time Mixer(TTM)的优势</w:t>
      </w:r>
      <w:bookmarkEnd w:id="69"/>
      <w:bookmarkEnd w:id="70"/>
    </w:p>
    <w:p w14:paraId="05E4D1D2">
      <w:pPr>
        <w:pStyle w:val="3"/>
        <w:ind w:firstLine="480"/>
      </w:pPr>
      <w:r>
        <w:t>针对此类典型的小样本、多变量且高噪声的建模困境，机器学习领域的迁移学习中的预训练</w:t>
      </w:r>
      <w:r>
        <w:rPr>
          <w:rFonts w:hint="eastAsia"/>
        </w:rPr>
        <w:t>-</w:t>
      </w:r>
      <w:r>
        <w:t>微调模式提供了可解决的途径。</w:t>
      </w:r>
      <w:r>
        <w:rPr>
          <w:rFonts w:hint="eastAsia"/>
        </w:rPr>
        <w:t>本文引入轻量化时序预训练模型Tiny Time Mixer（TTM），该模型参数量最低仅1M，属于紧凑型时序基础模型。</w:t>
      </w:r>
      <w:r>
        <w:t>TTM依托于轻量级的TSMixer架构，彻底舍弃了传统Transformer架构中计算复杂度高且极易在小样本上过拟合的自注意力机制，转而采用基于多层感知机的纯MLP结构</w:t>
      </w:r>
      <w:r>
        <w:rPr>
          <w:rFonts w:hint="eastAsia"/>
        </w:rPr>
        <w:fldChar w:fldCharType="begin"/>
      </w:r>
      <w:r>
        <w:rPr>
          <w:rFonts w:hint="eastAsia"/>
        </w:rPr>
        <w:instrText xml:space="preserve"> ADDIN ZOTERO_ITEM CSL_CITATION {"citationID":"SBkrZuP3","properties":{"formattedCitation":"\\super [11]\\nosupersub{}","plainCitation":"[11]","noteIndex":0},"citationItems":[{"id":918,"uris":["http://zotero.org/users/local/ePBhdWbS/items/P2EWBG7N"],"itemData":{"id":918,"type":"article","abstract":"Large pre-trained models excel in zero/few-shot learning for language and vision tasks but face challenges in multivariate time series (TS) forecasting due to diverse data characteristics. Consequently, recent research efforts have focused on developing pre-trained TS forecasting models. These models, whether built from scratch or adapted from large language models (LLMs), excel in zero/few-shot forecasting tasks. However, they are limited by slow performance, high computational demands, and neglect of cross-channel and exogenous correlations. To address this, we introduce Tiny Time Mixers (TTM), a compact model (starting from 1M parameters) with effective transfer learning capabilities, trained exclusively on public TS datasets. TTM, based on the light-weight TSMixer architecture, incorporates innovations like adaptive patching, diverse resolution sampling, and resolution prefix tuning to handle pre-training on varied dataset resolutions with minimal model capacity. Additionally, it employs multi-level modeling to capture channel correlations and infuse exogenous signals during fine-tuning. TTM outperforms existing popular benchmarks in zero/few-shot forecasting by (4-40%), while reducing computational requirements significantly. Moreover, TTMs are lightweight and can be executed even on CPU-only machines, enhancing usability and fostering wider adoption in resource-constrained environments. The model weights for reproducibility and research use are available at https://huggingface.co/ibm/ttm-research-r2/, while enterprise-use weights under the Apache license can be accessed as follows: the initial TTM-Q variant at https://huggingface.co/ibm-granite/granite-timeseries-ttm-r1, and the latest variants (TTM-B, TTM-E, TTM-A) weights are available at https://huggingface.co/ibm-granite/granite-timeseries-ttm-r2.","DOI":"10.48550/arXiv.2401.03955","language":"en-US","note":"arXiv:2401.03955 [cs.LG]","number":"arXiv:2401.03955","publisher":"arXiv","source":"arXiv.org","title":"Tiny Time Mixers (TTMs): Fast Pre-trained Models for Enhanced Zero/Few-Shot Forecasting of Multivariate Time Series","title-short":"Tiny Time Mixers (TTMs)","URL":"http://arxiv.org/abs/2401.03955","author":[{"family":"Ekambaram","given":"Vijay"},{"family":"Jati","given":"Arindam"},{"family":"Dayama","given":"Pankaj"},{"family":"Mukherjee","given":"Sumanta"},{"family":"Nguyen","given":"Nam H."},{"family":"Gifford","given":"Wesley M."},{"family":"Reddy","given":"Chandra"},{"family":"Kalagnanam","given":"Jayant"}],"accessed":{"date-parts":[["2026",5,28]]},"issued":{"date-parts":[["2024",11,7]]}}}],"schema":"https://github.com/citation-style-language/schema/raw/master/csl-citation.json"} </w:instrText>
      </w:r>
      <w:r>
        <w:rPr>
          <w:rFonts w:hint="eastAsia"/>
        </w:rPr>
        <w:fldChar w:fldCharType="separate"/>
      </w:r>
      <w:r>
        <w:rPr>
          <w:kern w:val="0"/>
          <w:vertAlign w:val="superscript"/>
        </w:rPr>
        <w:t>[11]</w:t>
      </w:r>
      <w:r>
        <w:rPr>
          <w:rFonts w:hint="eastAsia"/>
        </w:rPr>
        <w:fldChar w:fldCharType="end"/>
      </w:r>
      <w:r>
        <w:t>。</w:t>
      </w:r>
      <w:r>
        <w:rPr>
          <w:rFonts w:hint="eastAsia"/>
        </w:rPr>
        <w:t>该模型通过时间维度与通道维度的双层交替混合运算，以低计算开销实现时序数据多维特征的深度解析，可高效挖掘时序数据的深层时间依赖特征与多变量协同演化规律。</w:t>
      </w:r>
    </w:p>
    <w:p w14:paraId="36520762">
      <w:pPr>
        <w:pStyle w:val="3"/>
        <w:ind w:firstLine="480"/>
      </w:pPr>
      <w:r>
        <w:t>TTM能够有效适配本研究场景，原因在于其可以依托跨领域通用时序知识迁移，弥补本研究时序样本不足的短板，并具备一定的观测噪声抑制能力。同时，其纯MLP混合架构与多级建模策略为先验约束提供了较好的嵌入位置。在保持预训练骨干网络冻结以输出稳定趋势的同时，可在外部变量融合阶段，将宏观经济逻辑与政策目标作为强边界灵活嵌入，从而确保数据指引下的非线性自推演轨迹不违背宏观现实限制。</w:t>
      </w:r>
    </w:p>
    <w:p w14:paraId="03F206E2">
      <w:pPr>
        <w:pStyle w:val="25"/>
        <w:spacing w:before="156" w:after="156"/>
        <w:ind w:firstLine="560"/>
        <w:outlineLvl w:val="1"/>
        <w:rPr>
          <w:rFonts w:hint="default"/>
        </w:rPr>
      </w:pPr>
      <w:bookmarkStart w:id="71" w:name="_Toc24977"/>
      <w:bookmarkStart w:id="72" w:name="_Toc25302"/>
      <w:r>
        <w:t>（三）STIRPAT+TTM的预测模型框架</w:t>
      </w:r>
      <w:bookmarkEnd w:id="71"/>
      <w:bookmarkEnd w:id="72"/>
    </w:p>
    <w:p w14:paraId="76FEBC21">
      <w:pPr>
        <w:pStyle w:val="3"/>
        <w:ind w:firstLine="480"/>
        <w:rPr>
          <w:b/>
          <w:bCs/>
        </w:rPr>
      </w:pPr>
      <w:r>
        <w:t>本文以Hugging Face发布的TTM变体52-16-ft-l1-r2.1模型为基础进行模型搭建</w:t>
      </w:r>
      <w:r>
        <w:rPr>
          <w:rFonts w:hint="eastAsia"/>
        </w:rPr>
        <w:fldChar w:fldCharType="begin"/>
      </w:r>
      <w:r>
        <w:rPr>
          <w:rFonts w:hint="eastAsia"/>
        </w:rPr>
        <w:instrText xml:space="preserve"> ADDIN ZOTERO_ITEM CSL_CITATION {"citationID":"2TEVMStS","properties":{"formattedCitation":"\\super [11]\\nosupersub{}","plainCitation":"[11]","noteIndex":0},"citationItems":[{"id":918,"uris":["http://zotero.org/users/local/ePBhdWbS/items/P2EWBG7N"],"itemData":{"id":918,"type":"article","abstract":"Large pre-trained models excel in zero/few-shot learning for language and vision tasks but face challenges in multivariate time series (TS) forecasting due to diverse data characteristics. Consequently, recent research efforts have focused on developing pre-trained TS forecasting models. These models, whether built from scratch or adapted from large language models (LLMs), excel in zero/few-shot forecasting tasks. However, they are limited by slow performance, high computational demands, and neglect of cross-channel and exogenous correlations. To address this, we introduce Tiny Time Mixers (TTM), a compact model (starting from 1M parameters) with effective transfer learning capabilities, trained exclusively on public TS datasets. TTM, based on the light-weight TSMixer architecture, incorporates innovations like adaptive patching, diverse resolution sampling, and resolution prefix tuning to handle pre-training on varied dataset resolutions with minimal model capacity. Additionally, it employs multi-level modeling to capture channel correlations and infuse exogenous signals during fine-tuning. TTM outperforms existing popular benchmarks in zero/few-shot forecasting by (4-40%), while reducing computational requirements significantly. Moreover, TTMs are lightweight and can be executed even on CPU-only machines, enhancing usability and fostering wider adoption in resource-constrained environments. The model weights for reproducibility and research use are available at https://huggingface.co/ibm/ttm-research-r2/, while enterprise-use weights under the Apache license can be accessed as follows: the initial TTM-Q variant at https://huggingface.co/ibm-granite/granite-timeseries-ttm-r1, and the latest variants (TTM-B, TTM-E, TTM-A) weights are available at https://huggingface.co/ibm-granite/granite-timeseries-ttm-r2.","DOI":"10.48550/arXiv.2401.03955","language":"en-US","note":"arXiv:2401.03955 [cs.LG]","number":"arXiv:2401.03955","publisher":"arXiv","source":"arXiv.org","title":"Tiny Time Mixers (TTMs): Fast Pre-trained Models for Enhanced Zero/Few-Shot Forecasting of Multivariate Time Series","title-short":"Tiny Time Mixers (TTMs)","URL":"http://arxiv.org/abs/2401.03955","author":[{"family":"Ekambaram","given":"Vijay"},{"family":"Jati","given":"Arindam"},{"family":"Dayama","given":"Pankaj"},{"family":"Mukherjee","given":"Sumanta"},{"family":"Nguyen","given":"Nam H."},{"family":"Gifford","given":"Wesley M."},{"family":"Reddy","given":"Chandra"},{"family":"Kalagnanam","given":"Jayant"}],"accessed":{"date-parts":[["2026",5,28]]},"issued":{"date-parts":[["2024",11,7]]}}}],"schema":"https://github.com/citation-style-language/schema/raw/master/csl-citation.json"} </w:instrText>
      </w:r>
      <w:r>
        <w:rPr>
          <w:rFonts w:hint="eastAsia"/>
        </w:rPr>
        <w:fldChar w:fldCharType="separate"/>
      </w:r>
      <w:r>
        <w:rPr>
          <w:kern w:val="0"/>
          <w:vertAlign w:val="superscript"/>
        </w:rPr>
        <w:t>[11]</w:t>
      </w:r>
      <w:r>
        <w:rPr>
          <w:rFonts w:hint="eastAsia"/>
        </w:rPr>
        <w:fldChar w:fldCharType="end"/>
      </w:r>
      <w:r>
        <w:t>。</w:t>
      </w:r>
    </w:p>
    <w:p w14:paraId="25842863">
      <w:pPr>
        <w:keepNext/>
        <w:keepLines/>
        <w:jc w:val="center"/>
      </w:pPr>
      <w:r>
        <w:drawing>
          <wp:inline distT="0" distB="0" distL="0" distR="0">
            <wp:extent cx="5274310" cy="290131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4310" cy="2901315"/>
                    </a:xfrm>
                    <a:prstGeom prst="rect">
                      <a:avLst/>
                    </a:prstGeom>
                    <a:noFill/>
                    <a:ln>
                      <a:noFill/>
                    </a:ln>
                  </pic:spPr>
                </pic:pic>
              </a:graphicData>
            </a:graphic>
          </wp:inline>
        </w:drawing>
      </w:r>
    </w:p>
    <w:p w14:paraId="5A0E351B">
      <w:pPr>
        <w:pStyle w:val="6"/>
        <w:keepLines/>
        <w:spacing w:before="60" w:after="120"/>
        <w:jc w:val="center"/>
      </w:pPr>
      <w:r>
        <w:t>图 9  STIRPAT+TTM的预测模型框架</w:t>
      </w:r>
    </w:p>
    <w:p w14:paraId="6E183029">
      <w:pPr>
        <w:pStyle w:val="29"/>
        <w:ind w:firstLine="482"/>
        <w:outlineLvl w:val="2"/>
      </w:pPr>
      <w:bookmarkStart w:id="73" w:name="_Toc12055"/>
      <w:r>
        <w:t>1.数据集重构</w:t>
      </w:r>
      <w:bookmarkEnd w:id="73"/>
    </w:p>
    <w:p w14:paraId="30FC8F8E">
      <w:pPr>
        <w:pStyle w:val="3"/>
        <w:ind w:firstLine="480"/>
        <w:rPr>
          <w:b/>
          <w:bCs/>
        </w:rPr>
      </w:pPr>
      <w:r>
        <w:t>尽管TTM对噪声具备一定鲁棒性，但宏观经济数据中较高的噪声密度仍会抑制模型有效训练；此外，即便采用对数据规模要求较低的TTM轻量化变体，我国仅24年的年度样本仍难以支撑充分微调。因此，对数据进行深度去噪与扩充是必要步骤。</w:t>
      </w:r>
    </w:p>
    <w:p w14:paraId="641BFB66">
      <w:pPr>
        <w:pStyle w:val="3"/>
        <w:ind w:firstLine="480"/>
        <w:rPr>
          <w:b/>
          <w:bCs/>
        </w:rPr>
      </w:pPr>
      <w:r>
        <w:t>由</w:t>
      </w:r>
      <w:r>
        <w:rPr>
          <w:rFonts w:hint="eastAsia"/>
        </w:rPr>
        <w:t>于研究难以获取与自变量完全匹配、无噪声的理想化因变量数据，本文构建了一种融合机理基线与通用时序表征的数据修正与清洗方法。该方法首先依托STIRPAT模型搭建经济学理论基线，明确变量间的经济因果关联；其次引入TTM模型基于2.4亿条海量时序数据习得的跨领域通用时序先验知识，结合硬性约束体系完成原始数据的清洗与重构，</w:t>
      </w:r>
      <w:r>
        <w:t>旨在</w:t>
      </w:r>
      <w:r>
        <w:rPr>
          <w:rFonts w:hint="eastAsia"/>
        </w:rPr>
        <w:t>融合经典经济学机理</w:t>
      </w:r>
      <w:r>
        <w:t>与普适性自然时序规律，对高噪、失真的宏观数据进行滤波与校准，</w:t>
      </w:r>
      <w:r>
        <w:rPr>
          <w:rFonts w:hint="eastAsia"/>
        </w:rPr>
        <w:t>最终构建兼具经济因果合理性与客观时序边界的高质量重构数据集</w:t>
      </w:r>
      <w:r>
        <w:t>，为后续模型的稳健推演提供数据根基。</w:t>
      </w:r>
    </w:p>
    <w:p w14:paraId="20885677">
      <w:pPr>
        <w:pStyle w:val="29"/>
        <w:ind w:firstLine="482"/>
        <w:outlineLvl w:val="2"/>
      </w:pPr>
      <w:bookmarkStart w:id="74" w:name="_Toc6581"/>
      <w:r>
        <w:t>2.STIRPAT 理论基线与硬截断机制</w:t>
      </w:r>
      <w:bookmarkEnd w:id="74"/>
    </w:p>
    <w:p w14:paraId="069305E0">
      <w:pPr>
        <w:pStyle w:val="3"/>
        <w:ind w:firstLine="480"/>
      </w:pPr>
      <w:r>
        <w:t>为增强TTM模型对因变量结构性突变的感知与捕获能力，本文引入额外的外生变量通道：事件冲击变量（es、et）与国家工业化程度特征（pi），用以模拟宏观外生冲击和国家所处的工业化演进阶段，并标识极端噪声数据点与不同时序阶段，从而使TTM自适应强化对异常波动的修正力度，</w:t>
      </w:r>
      <w:r>
        <w:rPr>
          <w:rFonts w:hint="eastAsia"/>
          <w:lang w:val="en-US" w:eastAsia="zh-CN"/>
        </w:rPr>
        <w:t>在减小噪声影响的同时</w:t>
      </w:r>
      <w:r>
        <w:t>增强其对特定噪声</w:t>
      </w:r>
      <w:r>
        <w:rPr>
          <w:rFonts w:hint="eastAsia"/>
          <w:lang w:val="en-US" w:eastAsia="zh-CN"/>
        </w:rPr>
        <w:t>时段</w:t>
      </w:r>
      <w:r>
        <w:t>的识别能力。</w:t>
      </w:r>
    </w:p>
    <w:p w14:paraId="5EF52601">
      <w:pPr>
        <w:pStyle w:val="3"/>
        <w:ind w:firstLine="480"/>
        <w:rPr>
          <w:iCs/>
        </w:rPr>
      </w:pPr>
      <w:r>
        <w:t>为消除异质性影响，本文为各国独立建立STIRPAT方程，以人口、城镇化、贸易、人均GDP及金融发展为驱动因子，并以OLS估计值为初始迭代种子，采用遗传算法（GA）在经济合理弹性范围内搜索最优系数。该方法通过直接面向拟合优度的全局搜索，有效避免传统线性近似带来的偏差，使模型在保持统计相容性的同时突破线性假设限制。结果显示，中国样本拟合R²高达0.86以上，说明上述因素能够解释中国碳排放变化的大致规律，可为数据清洗提供因果引导。随后，本文利用各国真实值与STIRPAT基线值的差值（残差），通过权重向量w对真实值进行自适应缩放与再分配。修正后的排放值计算公式如下：</w:t>
      </w:r>
    </w:p>
    <w:p w14:paraId="7DBFD970">
      <w:pPr>
        <w:pStyle w:val="3"/>
        <w:ind w:firstLine="480"/>
      </w:pPr>
      <m:oMathPara>
        <m:oMath>
          <m:eqArr>
            <m:eqArrPr>
              <m:maxDist m:val="1"/>
              <m:ctrlPr>
                <w:rPr>
                  <w:rFonts w:ascii="Cambria Math" w:hAnsi="Cambria Math"/>
                  <w:iCs/>
                </w:rPr>
              </m:ctrlPr>
            </m:eqArrPr>
            <m:e>
              <m:r>
                <m:rPr>
                  <m:sty m:val="p"/>
                </m:rPr>
                <w:rPr>
                  <w:rFonts w:hint="eastAsia" w:ascii="Cambria Math" w:hAnsi="Cambria Math"/>
                </w:rPr>
                <m:t>修正排放值</m:t>
              </m:r>
              <m:r>
                <m:rPr>
                  <m:sty m:val="p"/>
                </m:rPr>
                <w:rPr>
                  <w:rFonts w:ascii="Cambria Math" w:hAnsi="Cambria Math"/>
                </w:rPr>
                <m:t>=</m:t>
              </m:r>
              <m:r>
                <m:rPr>
                  <m:sty m:val="p"/>
                </m:rPr>
                <w:rPr>
                  <w:rFonts w:hint="eastAsia" w:ascii="Cambria Math" w:hAnsi="Cambria Math"/>
                </w:rPr>
                <m:t>理论值</m:t>
              </m:r>
              <m:r>
                <m:rPr>
                  <m:sty m:val="p"/>
                </m:rPr>
                <w:rPr>
                  <w:rFonts w:ascii="Cambria Math" w:hAnsi="Cambria Math"/>
                </w:rPr>
                <m:t>−</m:t>
              </m:r>
              <m:r>
                <m:rPr>
                  <m:sty m:val="p"/>
                </m:rPr>
                <w:rPr>
                  <w:rFonts w:hint="eastAsia" w:ascii="Cambria Math" w:hAnsi="Cambria Math"/>
                </w:rPr>
                <m:t>k</m:t>
              </m:r>
              <m:r>
                <m:rPr>
                  <m:sty m:val="p"/>
                </m:rPr>
                <w:rPr>
                  <w:rFonts w:ascii="Cambria Math" w:hAnsi="Cambria Math"/>
                </w:rPr>
                <m:t>×</m:t>
              </m:r>
              <m:r>
                <m:rPr>
                  <m:sty m:val="p"/>
                </m:rPr>
                <w:rPr>
                  <w:rFonts w:hint="eastAsia" w:ascii="Cambria Math" w:hAnsi="Cambria Math"/>
                </w:rPr>
                <m:t>残差</m:t>
              </m:r>
              <m:r>
                <m:rPr>
                  <m:sty m:val="p"/>
                </m:rPr>
                <w:rPr>
                  <w:rFonts w:ascii="Cambria Math" w:hAnsi="Cambria Math"/>
                </w:rPr>
                <m:t>#</m:t>
              </m:r>
              <m:d>
                <m:dPr>
                  <m:begChr m:val="（"/>
                  <m:endChr m:val="）"/>
                  <m:ctrlPr>
                    <w:rPr>
                      <w:rFonts w:ascii="Cambria Math" w:hAnsi="Cambria Math"/>
                      <w:iCs/>
                    </w:rPr>
                  </m:ctrlPr>
                </m:dPr>
                <m:e>
                  <m:r>
                    <m:rPr>
                      <m:sty m:val="p"/>
                    </m:rPr>
                    <w:rPr>
                      <w:rFonts w:hint="eastAsia" w:ascii="Cambria Math" w:hAnsi="Cambria Math"/>
                    </w:rPr>
                    <m:t>公式</m:t>
                  </m:r>
                  <m:r>
                    <m:rPr>
                      <m:sty m:val="p"/>
                    </m:rPr>
                    <w:rPr>
                      <w:rFonts w:ascii="Cambria Math" w:hAnsi="Cambria Math"/>
                    </w:rPr>
                    <m:t>4</m:t>
                  </m:r>
                  <m:ctrlPr>
                    <w:rPr>
                      <w:rFonts w:ascii="Cambria Math" w:hAnsi="Cambria Math"/>
                      <w:iCs/>
                    </w:rPr>
                  </m:ctrlPr>
                </m:e>
              </m:d>
              <m:ctrlPr>
                <w:rPr>
                  <w:rFonts w:ascii="Cambria Math" w:hAnsi="Cambria Math"/>
                  <w:iCs/>
                </w:rPr>
              </m:ctrlPr>
            </m:e>
          </m:eqArr>
        </m:oMath>
      </m:oMathPara>
    </w:p>
    <w:p w14:paraId="44059F2A">
      <w:pPr>
        <w:pStyle w:val="3"/>
        <w:ind w:firstLine="480"/>
      </w:pPr>
      <w:r>
        <w:rPr>
          <w:rFonts w:hint="eastAsia"/>
        </w:rPr>
        <w:t>其中，</w:t>
      </w:r>
      <m:oMath>
        <m:r>
          <m:rPr/>
          <w:rPr>
            <w:rFonts w:hint="eastAsia" w:ascii="Cambria Math" w:hAnsi="Cambria Math"/>
          </w:rPr>
          <m:t>k</m:t>
        </m:r>
      </m:oMath>
      <w:r>
        <w:rPr>
          <w:rFonts w:hint="eastAsia"/>
        </w:rPr>
        <w:t>由权重</w:t>
      </w:r>
      <m:oMath>
        <m:r>
          <m:rPr/>
          <w:rPr>
            <w:rFonts w:ascii="Cambria Math" w:hAnsi="Cambria Math"/>
          </w:rPr>
          <m:t>ω</m:t>
        </m:r>
      </m:oMath>
      <w:r>
        <w:rPr>
          <w:rFonts w:hint="eastAsia"/>
        </w:rPr>
        <w:t>经事件变量和工业化程度变量线性组合得出。</w:t>
      </w:r>
    </w:p>
    <w:p w14:paraId="26B7E34E">
      <w:pPr>
        <w:pStyle w:val="3"/>
        <w:ind w:firstLine="480"/>
      </w:pPr>
      <w:r>
        <w:rPr>
          <w:rFonts w:hint="eastAsia"/>
        </w:rPr>
        <w:t>为进一步增强修正结果的经济逻辑与产业可解释性，本文引入基于历史事件先验的证据校准硬截断约束机制。钢铁行业CO</w:t>
      </w:r>
      <w:r>
        <w:rPr>
          <w:rFonts w:hint="eastAsia"/>
          <w:vertAlign w:val="subscript"/>
        </w:rPr>
        <w:t>2</w:t>
      </w:r>
      <w:r>
        <w:rPr>
          <w:rFonts w:hint="eastAsia"/>
        </w:rPr>
        <w:t>排放具有极强的产业物理约束特征，其波动受限于粗钢产量、工艺路线及能源结构的边界，短期内不应无限偏离历史产业波动轨迹。因此，本文对重大外部冲击年份的碳排放修正结果施加区间约束，将其限定在理论基准值的合理波动范围内。这些区间阈值的设定完全依据各产钢国在不同发展阶段的经济史实及行业统计校准(五个国家的硬截断参数见附录，本文展示中国的硬截断机制参数)，如下表7：</w:t>
      </w:r>
    </w:p>
    <w:p w14:paraId="7797E107">
      <w:pPr>
        <w:pStyle w:val="6"/>
        <w:jc w:val="center"/>
      </w:pPr>
      <w:r>
        <w:t xml:space="preserve">表 </w:t>
      </w:r>
      <w:r>
        <w:fldChar w:fldCharType="begin"/>
      </w:r>
      <w:r>
        <w:instrText xml:space="preserve"> SEQ 表 \* ARABIC </w:instrText>
      </w:r>
      <w:r>
        <w:fldChar w:fldCharType="separate"/>
      </w:r>
      <w:r>
        <w:t>7</w:t>
      </w:r>
      <w:r>
        <w:fldChar w:fldCharType="end"/>
      </w:r>
      <w:r>
        <w:rPr>
          <w:rFonts w:hint="eastAsia"/>
        </w:rPr>
        <w:t xml:space="preserve">   中国TTM先验硬截断机制参数来源表</w:t>
      </w:r>
    </w:p>
    <w:tbl>
      <w:tblPr>
        <w:tblStyle w:val="17"/>
        <w:tblW w:w="8648" w:type="dxa"/>
        <w:tblInd w:w="-28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2"/>
        <w:gridCol w:w="1276"/>
        <w:gridCol w:w="1985"/>
        <w:gridCol w:w="1275"/>
        <w:gridCol w:w="1560"/>
      </w:tblGrid>
      <w:tr w14:paraId="17DE6A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Borders>
              <w:top w:val="single" w:color="auto" w:sz="4" w:space="0"/>
              <w:bottom w:val="single" w:color="auto" w:sz="4" w:space="0"/>
            </w:tcBorders>
          </w:tcPr>
          <w:p w14:paraId="18A0C481">
            <w:pPr>
              <w:pStyle w:val="3"/>
              <w:ind w:firstLine="0" w:firstLineChars="0"/>
              <w:jc w:val="center"/>
            </w:pPr>
            <w:r>
              <w:rPr>
                <w:rFonts w:hint="eastAsia"/>
              </w:rPr>
              <w:t>事件名称</w:t>
            </w:r>
          </w:p>
        </w:tc>
        <w:tc>
          <w:tcPr>
            <w:tcW w:w="1276" w:type="dxa"/>
            <w:tcBorders>
              <w:top w:val="single" w:color="auto" w:sz="4" w:space="0"/>
              <w:bottom w:val="single" w:color="auto" w:sz="4" w:space="0"/>
            </w:tcBorders>
          </w:tcPr>
          <w:p w14:paraId="6A9F3F2F">
            <w:pPr>
              <w:pStyle w:val="3"/>
              <w:ind w:firstLine="0" w:firstLineChars="0"/>
              <w:jc w:val="center"/>
            </w:pPr>
            <w:r>
              <w:rPr>
                <w:rFonts w:hint="eastAsia"/>
              </w:rPr>
              <w:t>作用方向</w:t>
            </w:r>
          </w:p>
        </w:tc>
        <w:tc>
          <w:tcPr>
            <w:tcW w:w="1985" w:type="dxa"/>
            <w:tcBorders>
              <w:top w:val="single" w:color="auto" w:sz="4" w:space="0"/>
              <w:bottom w:val="single" w:color="auto" w:sz="4" w:space="0"/>
            </w:tcBorders>
          </w:tcPr>
          <w:p w14:paraId="7A47E25C">
            <w:pPr>
              <w:pStyle w:val="3"/>
              <w:ind w:firstLine="0" w:firstLineChars="0"/>
              <w:jc w:val="center"/>
            </w:pPr>
            <w:r>
              <w:rPr>
                <w:rFonts w:hint="eastAsia"/>
              </w:rPr>
              <w:t>允许最大偏离</w:t>
            </w:r>
          </w:p>
        </w:tc>
        <w:tc>
          <w:tcPr>
            <w:tcW w:w="1275" w:type="dxa"/>
            <w:tcBorders>
              <w:top w:val="single" w:color="auto" w:sz="4" w:space="0"/>
              <w:bottom w:val="single" w:color="auto" w:sz="4" w:space="0"/>
            </w:tcBorders>
          </w:tcPr>
          <w:p w14:paraId="32C3E007">
            <w:pPr>
              <w:pStyle w:val="3"/>
              <w:ind w:firstLine="0" w:firstLineChars="0"/>
              <w:jc w:val="center"/>
            </w:pPr>
            <w:r>
              <w:rPr>
                <w:rFonts w:hint="eastAsia"/>
              </w:rPr>
              <w:t>年份范围</w:t>
            </w:r>
          </w:p>
        </w:tc>
        <w:tc>
          <w:tcPr>
            <w:tcW w:w="1560" w:type="dxa"/>
            <w:tcBorders>
              <w:top w:val="single" w:color="auto" w:sz="4" w:space="0"/>
              <w:bottom w:val="single" w:color="auto" w:sz="4" w:space="0"/>
            </w:tcBorders>
          </w:tcPr>
          <w:p w14:paraId="1F764915">
            <w:pPr>
              <w:pStyle w:val="3"/>
              <w:ind w:firstLine="0" w:firstLineChars="0"/>
              <w:jc w:val="center"/>
            </w:pPr>
            <w:r>
              <w:rPr>
                <w:rFonts w:hint="eastAsia"/>
              </w:rPr>
              <w:t>来源</w:t>
            </w:r>
          </w:p>
        </w:tc>
      </w:tr>
      <w:tr w14:paraId="4DD703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Borders>
              <w:top w:val="single" w:color="auto" w:sz="4" w:space="0"/>
            </w:tcBorders>
          </w:tcPr>
          <w:p w14:paraId="4AAD0DE2">
            <w:pPr>
              <w:pStyle w:val="3"/>
              <w:ind w:firstLine="0" w:firstLineChars="0"/>
            </w:pPr>
            <w:r>
              <w:rPr>
                <w:rFonts w:hint="eastAsia"/>
              </w:rPr>
              <w:t>中国加入WTO</w:t>
            </w:r>
          </w:p>
        </w:tc>
        <w:tc>
          <w:tcPr>
            <w:tcW w:w="1276" w:type="dxa"/>
            <w:tcBorders>
              <w:top w:val="single" w:color="auto" w:sz="4" w:space="0"/>
            </w:tcBorders>
          </w:tcPr>
          <w:p w14:paraId="6BFA72D0">
            <w:pPr>
              <w:pStyle w:val="3"/>
              <w:ind w:firstLine="0" w:firstLineChars="0"/>
              <w:jc w:val="center"/>
            </w:pPr>
            <w:r>
              <w:t>推高</w:t>
            </w:r>
          </w:p>
        </w:tc>
        <w:tc>
          <w:tcPr>
            <w:tcW w:w="1985" w:type="dxa"/>
            <w:tcBorders>
              <w:top w:val="single" w:color="auto" w:sz="4" w:space="0"/>
            </w:tcBorders>
          </w:tcPr>
          <w:p w14:paraId="02137BFE">
            <w:pPr>
              <w:pStyle w:val="3"/>
              <w:ind w:firstLine="0" w:firstLineChars="0"/>
              <w:jc w:val="center"/>
            </w:pPr>
            <w:r>
              <w:t>12%</w:t>
            </w:r>
          </w:p>
        </w:tc>
        <w:tc>
          <w:tcPr>
            <w:tcW w:w="1275" w:type="dxa"/>
            <w:tcBorders>
              <w:top w:val="single" w:color="auto" w:sz="4" w:space="0"/>
            </w:tcBorders>
          </w:tcPr>
          <w:p w14:paraId="40887E70">
            <w:pPr>
              <w:pStyle w:val="3"/>
              <w:ind w:firstLine="0" w:firstLineChars="0"/>
              <w:jc w:val="center"/>
            </w:pPr>
            <w:r>
              <w:rPr>
                <w:rFonts w:hint="eastAsia"/>
              </w:rPr>
              <w:t>2001-2023</w:t>
            </w:r>
          </w:p>
        </w:tc>
        <w:tc>
          <w:tcPr>
            <w:tcW w:w="1560" w:type="dxa"/>
            <w:tcBorders>
              <w:top w:val="single" w:color="auto" w:sz="4" w:space="0"/>
            </w:tcBorders>
          </w:tcPr>
          <w:p w14:paraId="4F676D40">
            <w:pPr>
              <w:pStyle w:val="3"/>
              <w:ind w:firstLine="0" w:firstLineChars="0"/>
              <w:jc w:val="center"/>
            </w:pPr>
            <w:r>
              <w:fldChar w:fldCharType="begin"/>
            </w:r>
            <w:r>
              <w:instrText xml:space="preserve"> ADDIN ZOTERO_ITEM CSL_CITATION {"citationID":"WdsInOn2","properties":{"formattedCitation":"\\super [14]\\nosupersub{}","plainCitation":"[14]","noteIndex":0},"citationItems":[{"id":685,"uris":["http://zotero.org/users/local/ePBhdWbS/items/L456GZJU"],"itemData":{"id":685,"type":"article-journal","abstract":"Abstract\n            \n              Steel production is a difficult-to-mitigate sector that challenges climate mitigation commitments. Efforts for future decarbonization can benefit from understanding its progress to date. Here we report on greenhouse gas emissions from global steel production over the past century (1900-2015) by combining material flow analysis and life cycle assessment. We find that ~45 Gt steel was produced in this period leading to emissions of ~147 Gt CO\n              2\n              -eq. Significant improvement in process efficiency (~67%) was achieved, but was offset by a 44-fold increase in annual steel production, resulting in a 17-fold net increase in annual emissions. Despite some regional technical improvements, the industry’s decarbonization progress at the global scale has largely stagnated since 1995 mainly due to expanded production in emerging countries with high carbon intensity. Our analysis of future scenarios indicates that the expected demand expansion in these countries may jeopardize steel industry’s prospects for following 1.5 °C emission reduction pathways. To achieve the Paris climate goals, there is an urgent need for rapid implementation of joint supply- and demand-side mitigation measures around the world in consideration of regional conditions.","container-title":"Nature Communications","DOI":"10.1038/s41467-021-22245-6","ISSN":"2041-1723","issue":"1","journalAbbreviation":"Nat Commun","language":"en","page":"2066","source":"DOI.org (Crossref)","title":"Efficiency stagnation in global steel production urges joint supply- and demand-side mitigation efforts","volume":"12","author":[{"family":"Wang","given":"Peng"},{"family":"Ryberg","given":"Morten"},{"family":"Yang","given":"Yi"},{"family":"Feng","given":"Kuishuang"},{"family":"Kara","given":"Sami"},{"family":"Hauschild","given":"Michael"},{"family":"Chen","given":"Wei-Qiang"}],"issued":{"date-parts":[["2021",4,6]]}}}],"schema":"https://github.com/citation-style-language/schema/raw/master/csl-citation.json"} </w:instrText>
            </w:r>
            <w:r>
              <w:fldChar w:fldCharType="separate"/>
            </w:r>
            <w:r>
              <w:rPr>
                <w:kern w:val="0"/>
                <w:vertAlign w:val="superscript"/>
              </w:rPr>
              <w:t>[14]</w:t>
            </w:r>
            <w:r>
              <w:fldChar w:fldCharType="end"/>
            </w:r>
          </w:p>
        </w:tc>
      </w:tr>
      <w:tr w14:paraId="3BEB67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4CB0D147">
            <w:pPr>
              <w:pStyle w:val="3"/>
              <w:ind w:firstLine="0" w:firstLineChars="0"/>
            </w:pPr>
            <w:r>
              <w:t>中国四万亿刺激计划</w:t>
            </w:r>
          </w:p>
        </w:tc>
        <w:tc>
          <w:tcPr>
            <w:tcW w:w="1276" w:type="dxa"/>
          </w:tcPr>
          <w:p w14:paraId="36597772">
            <w:pPr>
              <w:pStyle w:val="3"/>
              <w:ind w:firstLine="0" w:firstLineChars="0"/>
              <w:jc w:val="center"/>
            </w:pPr>
            <w:r>
              <w:t>推高</w:t>
            </w:r>
          </w:p>
        </w:tc>
        <w:tc>
          <w:tcPr>
            <w:tcW w:w="1985" w:type="dxa"/>
          </w:tcPr>
          <w:p w14:paraId="21482469">
            <w:pPr>
              <w:pStyle w:val="3"/>
              <w:ind w:firstLine="0" w:firstLineChars="0"/>
              <w:jc w:val="center"/>
            </w:pPr>
            <w:r>
              <w:t>10%</w:t>
            </w:r>
          </w:p>
        </w:tc>
        <w:tc>
          <w:tcPr>
            <w:tcW w:w="1275" w:type="dxa"/>
          </w:tcPr>
          <w:p w14:paraId="67A99B5F">
            <w:pPr>
              <w:pStyle w:val="3"/>
              <w:ind w:firstLine="0" w:firstLineChars="0"/>
              <w:jc w:val="center"/>
            </w:pPr>
            <w:r>
              <w:rPr>
                <w:rFonts w:hint="eastAsia"/>
              </w:rPr>
              <w:t>2008-2010</w:t>
            </w:r>
          </w:p>
        </w:tc>
        <w:tc>
          <w:tcPr>
            <w:tcW w:w="1560" w:type="dxa"/>
          </w:tcPr>
          <w:p w14:paraId="70BA736F">
            <w:pPr>
              <w:pStyle w:val="3"/>
              <w:ind w:firstLine="0" w:firstLineChars="0"/>
              <w:jc w:val="center"/>
            </w:pPr>
            <w:r>
              <w:fldChar w:fldCharType="begin"/>
            </w:r>
            <w:r>
              <w:instrText xml:space="preserve"> ADDIN ZOTERO_ITEM CSL_CITATION {"citationID":"YWBnPFot","properties":{"formattedCitation":"\\super [15]\\nosupersub{}","plainCitation":"[15]","noteIndex":0},"citationItems":[{"id":689,"uris":["http://zotero.org/users/local/ePBhdWbS/items/ZCKBLVTV"],"itemData":{"id":689,"type":"article-journal","container-title":"Nature","DOI":"10.1038/s41586-023-06486-7","ISSN":"0028-0836, 1476-4687","issue":"7983","journalAbbreviation":"Nature","language":"en","page":"514-520","source":"DOI.org (Crossref)","title":"Global iron and steel plant CO2 emissions and carbon-neutrality pathways","volume":"622","author":[{"family":"Lei","given":"Tianyang"},{"family":"Wang","given":"Daoping"},{"family":"Yu","given":"Xiang"},{"family":"Ma","given":"Shijun"},{"family":"Zhao","given":"Weichen"},{"family":"Cui","given":"Can"},{"family":"Meng","given":"Jing"},{"family":"Tao","given":"Shu"},{"family":"Guan","given":"Dabo"}],"issued":{"date-parts":[["2023",10,19]]}}}],"schema":"https://github.com/citation-style-language/schema/raw/master/csl-citation.json"} </w:instrText>
            </w:r>
            <w:r>
              <w:fldChar w:fldCharType="separate"/>
            </w:r>
            <w:r>
              <w:rPr>
                <w:kern w:val="0"/>
                <w:vertAlign w:val="superscript"/>
              </w:rPr>
              <w:t>[15]</w:t>
            </w:r>
            <w:r>
              <w:fldChar w:fldCharType="end"/>
            </w:r>
          </w:p>
        </w:tc>
      </w:tr>
      <w:tr w14:paraId="65D0C7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50DD5622">
            <w:pPr>
              <w:pStyle w:val="3"/>
              <w:ind w:firstLine="0" w:firstLineChars="0"/>
            </w:pPr>
            <w:r>
              <w:t>中国钢铁去产能</w:t>
            </w:r>
          </w:p>
        </w:tc>
        <w:tc>
          <w:tcPr>
            <w:tcW w:w="1276" w:type="dxa"/>
          </w:tcPr>
          <w:p w14:paraId="563E2C38">
            <w:pPr>
              <w:pStyle w:val="3"/>
              <w:ind w:firstLine="0" w:firstLineChars="0"/>
              <w:jc w:val="center"/>
            </w:pPr>
            <w:r>
              <w:t>压低</w:t>
            </w:r>
          </w:p>
        </w:tc>
        <w:tc>
          <w:tcPr>
            <w:tcW w:w="1985" w:type="dxa"/>
          </w:tcPr>
          <w:p w14:paraId="2A334054">
            <w:pPr>
              <w:pStyle w:val="3"/>
              <w:ind w:firstLine="0" w:firstLineChars="0"/>
              <w:jc w:val="center"/>
            </w:pPr>
            <w:r>
              <w:t>12%</w:t>
            </w:r>
          </w:p>
        </w:tc>
        <w:tc>
          <w:tcPr>
            <w:tcW w:w="1275" w:type="dxa"/>
          </w:tcPr>
          <w:p w14:paraId="0B37A425">
            <w:pPr>
              <w:pStyle w:val="3"/>
              <w:ind w:firstLine="0" w:firstLineChars="0"/>
              <w:jc w:val="center"/>
            </w:pPr>
            <w:r>
              <w:rPr>
                <w:rFonts w:hint="eastAsia"/>
              </w:rPr>
              <w:t>2016-2018</w:t>
            </w:r>
          </w:p>
        </w:tc>
        <w:tc>
          <w:tcPr>
            <w:tcW w:w="1560" w:type="dxa"/>
          </w:tcPr>
          <w:p w14:paraId="70A0D9CF">
            <w:pPr>
              <w:pStyle w:val="3"/>
              <w:ind w:firstLine="0" w:firstLineChars="0"/>
              <w:jc w:val="center"/>
            </w:pPr>
            <w:r>
              <w:fldChar w:fldCharType="begin"/>
            </w:r>
            <w:r>
              <w:instrText xml:space="preserve"> ADDIN ZOTERO_ITEM CSL_CITATION {"citationID":"RVw1kBzR","properties":{"formattedCitation":"\\super [16]\\nosupersub{}","plainCitation":"[16]","noteIndex":0},"citationItems":[{"id":686,"uris":["http://zotero.org/users/local/ePBhdWbS/items/2X2WALZH"],"itemData":{"id":686,"type":"article-journal","container-title":"Environmental Science &amp; Technology","DOI":"10.1021/acs.est.3c05474","ISSN":"0013-936X, 1520-5851","issue":"43","journalAbbreviation":"Environ. Sci. Technol.","language":"en","license":"https://creativecommons.org/licenses/by-nc-nd/4.0/","page":"16477-16488","source":"DOI.org (Crossref)","title":"Iron and Steel Industry Emissions: A Global Analysis of Trends and Drivers","title-short":"Iron and Steel Industry Emissions","volume":"57","author":[{"family":"Zhang","given":"Jinjian"},{"family":"Shen","given":"Huizhong"},{"family":"Chen","given":"Yilin"},{"family":"Meng","given":"Jing"},{"family":"Li","given":"Jin"},{"family":"He","given":"Jinling"},{"family":"Guo","given":"Peng"},{"family":"Dai","given":"Rong"},{"family":"Zhang","given":"Yuanzheng"},{"family":"Xu","given":"Ruibin"},{"family":"Wang","given":"Jinghang"},{"family":"Zheng","given":"Shuxiu"},{"family":"Lei","given":"Tianyang"},{"family":"Shen","given":"Guofeng"},{"family":"Wang","given":"Chen"},{"family":"Ye","given":"Jianhuai"},{"family":"Zhu","given":"Lei"},{"family":"Sun","given":"Haitong Zhe"},{"family":"Fu","given":"Tzung-May"},{"family":"Yang","given":"Xin"},{"family":"Guan","given":"Dabo"},{"family":"Tao","given":"Shu"}],"issued":{"date-parts":[["2023",10,31]]}}}],"schema":"https://github.com/citation-style-language/schema/raw/master/csl-citation.json"} </w:instrText>
            </w:r>
            <w:r>
              <w:fldChar w:fldCharType="separate"/>
            </w:r>
            <w:r>
              <w:rPr>
                <w:kern w:val="0"/>
                <w:vertAlign w:val="superscript"/>
              </w:rPr>
              <w:t>[16]</w:t>
            </w:r>
            <w:r>
              <w:fldChar w:fldCharType="end"/>
            </w:r>
          </w:p>
        </w:tc>
      </w:tr>
      <w:tr w14:paraId="5B26AA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1574B47B">
            <w:pPr>
              <w:pStyle w:val="3"/>
              <w:ind w:firstLine="0" w:firstLineChars="0"/>
            </w:pPr>
            <w:r>
              <w:t>中国新冠疫情冲击</w:t>
            </w:r>
          </w:p>
        </w:tc>
        <w:tc>
          <w:tcPr>
            <w:tcW w:w="1276" w:type="dxa"/>
          </w:tcPr>
          <w:p w14:paraId="393C8496">
            <w:pPr>
              <w:pStyle w:val="3"/>
              <w:ind w:firstLine="0" w:firstLineChars="0"/>
              <w:jc w:val="center"/>
            </w:pPr>
            <w:r>
              <w:t>压低</w:t>
            </w:r>
          </w:p>
        </w:tc>
        <w:tc>
          <w:tcPr>
            <w:tcW w:w="1985" w:type="dxa"/>
          </w:tcPr>
          <w:p w14:paraId="61B74748">
            <w:pPr>
              <w:pStyle w:val="3"/>
              <w:ind w:firstLine="0" w:firstLineChars="0"/>
              <w:jc w:val="center"/>
            </w:pPr>
            <w:r>
              <w:t>18%</w:t>
            </w:r>
          </w:p>
        </w:tc>
        <w:tc>
          <w:tcPr>
            <w:tcW w:w="1275" w:type="dxa"/>
          </w:tcPr>
          <w:p w14:paraId="4F36785C">
            <w:pPr>
              <w:pStyle w:val="3"/>
              <w:ind w:firstLine="0" w:firstLineChars="0"/>
              <w:jc w:val="center"/>
            </w:pPr>
            <w:r>
              <w:rPr>
                <w:rFonts w:hint="eastAsia"/>
              </w:rPr>
              <w:t>2020-2021</w:t>
            </w:r>
          </w:p>
        </w:tc>
        <w:tc>
          <w:tcPr>
            <w:tcW w:w="1560" w:type="dxa"/>
          </w:tcPr>
          <w:p w14:paraId="77B44E24">
            <w:pPr>
              <w:pStyle w:val="3"/>
              <w:ind w:firstLine="0" w:firstLineChars="0"/>
              <w:jc w:val="center"/>
            </w:pPr>
            <w:r>
              <w:fldChar w:fldCharType="begin"/>
            </w:r>
            <w:r>
              <w:instrText xml:space="preserve"> ADDIN ZOTERO_ITEM CSL_CITATION {"citationID":"cojOJrYy","properties":{"formattedCitation":"\\super [17]\\nosupersub{}","plainCitation":"[17]","noteIndex":0},"citationItems":[{"id":700,"uris":["http://zotero.org/users/local/ePBhdWbS/items/DCIAGLVG"],"itemData":{"id":700,"type":"article-journal","abstract":"The 2018 IPCC (The Intergovernmental Panel on Climate Change’s) report deﬁned the goal to limit global warming to 1.5 ◦C by 2050. This will require “rapid and far-reaching transitions in land, energy, industry, buildings, transport, and cities”. The challenge falls on all sectors, especially energy production and industry. In this regard, the recent progress and future challenges of greenhouse gas emissions and energy supply are ﬁrst brieﬂy introduced. Then, the current situation of the steel industry is presented. Steel production is predicted to grow by 25–30% by 2050. The dominant iron-making route, blast furnace (BF), especially, is an energy-intensive process based on fossil fuel consumption; the steel sector is thus responsible for about 7% of all anthropogenic CO2 emissions. In order to take up the 2050 challenge, emissions should see signiﬁcant cuts. Correspondingly, speciﬁc emissions (t CO2/t steel) should be radically decreased. Several large research programs in big steelmaking countries and the EU have been carried out over the last 10–15 years or are ongoing. All plausible measures to decrease CO2 emissions were explored here based on the published literature. The essential results are discussed and concluded. The speciﬁc emissions of “world steel” are currently at 1.8 t CO2/t steel. Improved energy eﬃciency by modernizing plants and adopting best available technologies in all process stages could decrease the emissions by 15–20%. Further reductions towards 1.0 t CO2/t steel level are achievable via novel technologies like top gas recycling in BF, oxygen BF, and maximal replacement of coke by biomass. These processes are, however, waiting for substantive industrialization. Generally, substituting hydrogen for carbon in reductants and fuels like natural gas and coke gas can decrease CO2 emissions remarkably. The same holds for direct reduction processes (DR), which have spread recently, exceeding 100 Mt annual capacity. More radical cut is possible via CO2 capture and storage (CCS). The technology is well-known in the oil industry; and potential applications in other sectors, including the steel industry, are being explored. While this might be a real solution in propitious circumstances, it is hardly universally applicable in the long run. More auspicious is the concept that aims at utilizing captured carbon in the production of chemicals, food, or fuels e.g., methanol (CCU, CCUS). The basic idea is smart, but in the early phase of its application, the high energy-consumption and costs are disincentives. The potential of hydrogen as a fuel and reductant is well-known, but it has a supporting role in iron metallurgy. In the current ﬁght against climate warming, H2 has come into the “limelight” as a reductant, fuel, and energy storage. The hydrogen economy concept contains both production, storage, distribution, and uses. In ironmaking, several research programs have been launched for hydrogen production and reduction of iron oxides. Another global trend is the transfer from fossil fuel to electricity. “Green” electricity generation and hydrogen will be ﬁrmly linked together. The electriﬁcation of steel production is emphasized upon in this paper as the recycled scrap is estimated to grow from the 30% level to 50% by 2050. Finally, in this review, all means to reduce speciﬁc CO2 emissions have been summarized. By thorough modernization of production facilities and energy systems and by adopting new pioneering methods, “world steel” could reach the level of 0.4–0.5 t CO2/t steel and thus reduce two-thirds of current annual emissions.","container-title":"Metals","DOI":"10.3390/met10091117","ISSN":"2075-4701","issue":"9","journalAbbreviation":"Metals","language":"en","page":"1117","source":"DOI.org (Crossref)","title":"A General Vision for Reduction of Energy Consumption and CO2 Emissions from the Steel Industry","volume":"10","author":[{"family":"Holappa","given":"Lauri"}],"issued":{"date-parts":[["2020",8,19]]}}}],"schema":"https://github.com/citation-style-language/schema/raw/master/csl-citation.json"} </w:instrText>
            </w:r>
            <w:r>
              <w:fldChar w:fldCharType="separate"/>
            </w:r>
            <w:r>
              <w:rPr>
                <w:kern w:val="0"/>
                <w:vertAlign w:val="superscript"/>
              </w:rPr>
              <w:t>[17]</w:t>
            </w:r>
            <w:r>
              <w:fldChar w:fldCharType="end"/>
            </w:r>
          </w:p>
        </w:tc>
      </w:tr>
    </w:tbl>
    <w:p w14:paraId="7564C813">
      <w:pPr>
        <w:pStyle w:val="29"/>
        <w:ind w:firstLine="482"/>
        <w:outlineLvl w:val="2"/>
      </w:pPr>
      <w:bookmarkStart w:id="75" w:name="_Toc6886"/>
      <w:r>
        <w:t>3.多国并行序列</w:t>
      </w:r>
      <w:bookmarkEnd w:id="75"/>
    </w:p>
    <w:p w14:paraId="365C6EC0">
      <w:pPr>
        <w:pStyle w:val="3"/>
        <w:ind w:firstLine="480"/>
      </w:pPr>
      <w:r>
        <w:rPr>
          <w:rFonts w:hint="eastAsia"/>
        </w:rPr>
        <w:t>虽然国家之间存在异质性，但其变量间的耦合关系存在一定的可借鉴性。发达国家在经济增长与碳排放之间已呈现出的脱钩趋势，与发展中国家变量间的强相关性，均可为中国未来的排放轨迹预测提供上下文参考。为此，本文利用TTM的多通道设计，将中国、印度、俄罗斯、日本、美国并行嵌入同一时间序列张量，构建多国并行序列，使TTM的通道混合机制通过全连接变换自动学习任意两个通道之间的统计关系，从而提取跨国家、跨变量的耦合信息，使模型能够在统一的高维空间中捕获跨国家的协同模式与阶段特征。</w:t>
      </w:r>
    </w:p>
    <w:p w14:paraId="13117A51">
      <w:pPr>
        <w:pStyle w:val="29"/>
        <w:ind w:firstLine="482"/>
        <w:outlineLvl w:val="2"/>
      </w:pPr>
      <w:bookmarkStart w:id="76" w:name="_Toc1702"/>
      <w:r>
        <w:t>4.</w:t>
      </w:r>
      <w:bookmarkStart w:id="77" w:name="OLE_LINK18"/>
      <w:r>
        <w:t>修正值组合寻优与数据扩充</w:t>
      </w:r>
      <w:bookmarkEnd w:id="76"/>
      <w:bookmarkEnd w:id="77"/>
    </w:p>
    <w:p w14:paraId="208E429B">
      <w:pPr>
        <w:pStyle w:val="3"/>
        <w:ind w:firstLine="480"/>
      </w:pPr>
      <w:r>
        <w:rPr>
          <w:rFonts w:hint="eastAsia"/>
        </w:rPr>
        <w:t>本文将中国2008-2023年碳排放修正数据作为TTM滚动测试集并以模型预测最大R²作为优化目标，融入事件硬约束惩罚项构建适应度函数。依托CMA-ES协方差矩阵自适应调整机制，实现高维非凸解空间的快速全局粗搜索，再结合遗传算法的交叉、变异与精英保留策略完成局部精细寻优，据此搭建“CMA-ES全局遍历+遗传算法局部求精”的混合寻优策略。由于预测目标仅聚焦于中国碳排放预测，优化过程中对中国的修正参数w施以较紧的边界约束，防止修正后序列过度偏离理论基线；相较于国内样本，具备经济脱钩特征的发达国家，其碳排放与经济变量的关联结构已发生本质变化，需通过参数重校准重构变量协同关系，为中国碳排放预测提供有效的时序先验支撑。在寻找到预测最大R</w:t>
      </w:r>
      <w:r>
        <w:rPr>
          <w:rFonts w:hint="eastAsia"/>
          <w:vertAlign w:val="superscript"/>
        </w:rPr>
        <w:t>2</w:t>
      </w:r>
      <w:r>
        <w:rPr>
          <w:rFonts w:hint="eastAsia"/>
        </w:rPr>
        <w:t>后，利用该组修正参数w进行全量数据修正并重训TTM模型。</w:t>
      </w:r>
    </w:p>
    <w:p w14:paraId="0C9DEB3C">
      <w:pPr>
        <w:pStyle w:val="3"/>
        <w:ind w:firstLine="480"/>
      </w:pPr>
      <w:r>
        <w:rPr>
          <w:rFonts w:hint="eastAsia"/>
        </w:rPr>
        <w:t>为匹配TTM对固定上下文窗口的数据量要求，需将序列从2000-2023年向历史方向延伸至1952年。对于存在实际记录的变量，直接采用真实值进行填充；针对无早期统计口径的变量，基于STIRPAT模型修正结果结合多项式拟合外推方法，生成1952-1999年的变量估计值，并通过各国弹性系数反演得到同期碳排放数据。在保证早期填充值与近期真实值之间的统计连贯性的基础上，强化TTM对宏观长期趋势的捕捉能力。此外，本文增设全局掩码通道，对1952-1999年人工拟合数据与2000-2023年实测数据分别赋值掩码1与掩码0。在损失计算中，掩码有效时间步仅覆盖真实值窗口，使TTM在训练时能够明确区分数据来源，借助其深层混合架构自动抑制填充段对梯度更新的干扰，将学习信号集中于真实世界的历史规律。</w:t>
      </w:r>
    </w:p>
    <w:p w14:paraId="215615BF">
      <w:pPr>
        <w:pStyle w:val="3"/>
        <w:spacing w:line="360" w:lineRule="auto"/>
        <w:ind w:firstLine="480"/>
      </w:pPr>
      <w:r>
        <w:t>综上，在本文的组合统计框架中，STIRPAT模型主要承担理论约束和数据校准功能，TTM模型承担多变量时序拟合与滚动预测功能；二者结合后，可将历史驱动归因、异常年份校准、多国并行学习和约束情景寻优衔接为统一的预测链条，为后续达峰路径识别与反弹风险判断提供模型基础。</w:t>
      </w:r>
    </w:p>
    <w:p w14:paraId="7E8CF5A8">
      <w:pPr>
        <w:pStyle w:val="25"/>
        <w:spacing w:before="156" w:after="156"/>
        <w:ind w:firstLine="560"/>
        <w:outlineLvl w:val="1"/>
        <w:rPr>
          <w:rFonts w:hint="default"/>
        </w:rPr>
      </w:pPr>
      <w:bookmarkStart w:id="78" w:name="_Toc7712"/>
      <w:bookmarkStart w:id="79" w:name="_Toc11528"/>
      <w:r>
        <w:t>（四）训练结果与评估</w:t>
      </w:r>
      <w:bookmarkEnd w:id="78"/>
      <w:bookmarkEnd w:id="79"/>
    </w:p>
    <w:p w14:paraId="00B933DB">
      <w:pPr>
        <w:pStyle w:val="29"/>
        <w:ind w:firstLine="482"/>
        <w:outlineLvl w:val="2"/>
      </w:pPr>
      <w:bookmarkStart w:id="80" w:name="_Toc3447"/>
      <w:r>
        <w:t>1.训练结果</w:t>
      </w:r>
      <w:bookmarkEnd w:id="80"/>
    </w:p>
    <w:p w14:paraId="5C071BEB">
      <w:pPr>
        <w:pStyle w:val="3"/>
        <w:ind w:firstLine="480"/>
      </w:pPr>
      <w:r>
        <w:t>以重构后的完整序列为输入，</w:t>
      </w:r>
      <w:r>
        <w:rPr>
          <w:rFonts w:hint="eastAsia"/>
        </w:rPr>
        <w:t>依托优化器完成200轮次的参数微调训练。训练完成后，以2023年中国碳排放时序特征构建模型上下文窗口，将外部冲击变量es、et及掩码通道mask统一置零，以此剥离未来潜在外生事件的干扰，构建基于滤波修正惯性特征的基准推演情景，进而开展16步远期预测。为防止误差累积与暴露偏差，每次预测只取模型输出的第一个时间步，将其压入上下文窗口并重新推理，循环此过程直至2050年。</w:t>
      </w:r>
    </w:p>
    <w:p w14:paraId="17C6EB87">
      <w:pPr>
        <w:pStyle w:val="3"/>
        <w:ind w:firstLine="480"/>
      </w:pPr>
      <w:r>
        <w:rPr>
          <w:rFonts w:hint="eastAsia"/>
        </w:rPr>
        <w:t>各国修正数据如下图10所示。训练结果显示，TTM对中国2008-2023年碳排放修正数据的预测R²为0.97，证明TTM已经能够较准确地对中国钢铁行业碳排放进行预测推演。预测结果显示，在排除主要外生冲击后，2023年后中国碳排放将呈现高速增长态势。</w:t>
      </w:r>
    </w:p>
    <w:p w14:paraId="4546613A">
      <w:pPr>
        <w:keepNext/>
        <w:keepLines/>
        <w:jc w:val="center"/>
      </w:pPr>
      <w:r>
        <w:drawing>
          <wp:inline distT="0" distB="0" distL="0" distR="0">
            <wp:extent cx="5349240" cy="29311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9"/>
                    <a:stretch>
                      <a:fillRect/>
                    </a:stretch>
                  </pic:blipFill>
                  <pic:spPr>
                    <a:xfrm>
                      <a:off x="0" y="0"/>
                      <a:ext cx="5349240" cy="2931597"/>
                    </a:xfrm>
                    <a:prstGeom prst="rect">
                      <a:avLst/>
                    </a:prstGeom>
                  </pic:spPr>
                </pic:pic>
              </a:graphicData>
            </a:graphic>
          </wp:inline>
        </w:drawing>
      </w:r>
    </w:p>
    <w:p w14:paraId="380CB6FA">
      <w:pPr>
        <w:pStyle w:val="6"/>
        <w:keepLines/>
        <w:spacing w:before="60" w:after="120"/>
        <w:jc w:val="center"/>
      </w:pPr>
      <w:r>
        <w:t>图 10  五国lnCO₂原始值与修正值对比（中国预测至2035）</w:t>
      </w:r>
    </w:p>
    <w:p w14:paraId="5AD4648B">
      <w:pPr>
        <w:pStyle w:val="29"/>
        <w:ind w:firstLine="482"/>
        <w:outlineLvl w:val="2"/>
      </w:pPr>
      <w:bookmarkStart w:id="81" w:name="_Toc3152"/>
      <w:r>
        <w:t>2.消融实验评估</w:t>
      </w:r>
      <w:bookmarkEnd w:id="81"/>
    </w:p>
    <w:p w14:paraId="21220C87">
      <w:pPr>
        <w:pStyle w:val="3"/>
        <w:ind w:firstLine="480"/>
      </w:pPr>
      <w:r>
        <w:rPr>
          <w:rFonts w:hint="eastAsia"/>
        </w:rPr>
        <w:t>为了对比多国拼接对TTM模型的影响，本文使用了消融实验进行对比分析。实验组及实验组中的国家如下表8所示。如下图11结果显示，所有实验组均预测若中国只在变量惯性作用下无法在2030年前实现碳达峰。该推演结果并非对未来碳排放趋势的绝对预判，而是提示如果缺乏额外产量峰值约束、短流程替代和吨钢强度下降等强化措施，钢铁排放或将持续增长，进而显著增加2024-2050年的CO</w:t>
      </w:r>
      <w:r>
        <w:rPr>
          <w:rFonts w:hint="eastAsia"/>
          <w:vertAlign w:val="subscript"/>
        </w:rPr>
        <w:t>2</w:t>
      </w:r>
      <w:r>
        <w:rPr>
          <w:rFonts w:hint="eastAsia"/>
        </w:rPr>
        <w:t>累计排放。</w:t>
      </w:r>
    </w:p>
    <w:p w14:paraId="32475D54">
      <w:pPr>
        <w:pStyle w:val="6"/>
        <w:jc w:val="center"/>
      </w:pPr>
      <w:r>
        <w:t xml:space="preserve">表 </w:t>
      </w:r>
      <w:r>
        <w:fldChar w:fldCharType="begin"/>
      </w:r>
      <w:r>
        <w:instrText xml:space="preserve"> SEQ 表 \* ARABIC </w:instrText>
      </w:r>
      <w:r>
        <w:fldChar w:fldCharType="separate"/>
      </w:r>
      <w:r>
        <w:t>8</w:t>
      </w:r>
      <w:r>
        <w:fldChar w:fldCharType="end"/>
      </w:r>
      <w:r>
        <w:rPr>
          <w:rFonts w:hint="eastAsia"/>
        </w:rPr>
        <w:t xml:space="preserve">  消融实验的实验组划分</w:t>
      </w:r>
    </w:p>
    <w:tbl>
      <w:tblPr>
        <w:tblStyle w:val="17"/>
        <w:tblW w:w="5000"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5"/>
        <w:gridCol w:w="5401"/>
      </w:tblGrid>
      <w:tr w14:paraId="673B3B1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49" w:type="pct"/>
            <w:tcBorders>
              <w:bottom w:val="single" w:color="000000" w:sz="4" w:space="0"/>
              <w:tl2br w:val="nil"/>
            </w:tcBorders>
            <w:shd w:val="clear" w:color="auto" w:fill="FFFFFF"/>
          </w:tcPr>
          <w:p w14:paraId="76D42186">
            <w:pPr>
              <w:pStyle w:val="3"/>
              <w:ind w:firstLine="0" w:firstLineChars="0"/>
            </w:pPr>
            <w:r>
              <w:rPr>
                <w:rFonts w:hint="eastAsia"/>
              </w:rPr>
              <w:t>实验组序号</w:t>
            </w:r>
          </w:p>
        </w:tc>
        <w:tc>
          <w:tcPr>
            <w:tcW w:w="3251" w:type="pct"/>
            <w:tcBorders>
              <w:bottom w:val="single" w:color="000000" w:sz="4" w:space="0"/>
            </w:tcBorders>
            <w:shd w:val="clear" w:color="auto" w:fill="FFFFFF"/>
          </w:tcPr>
          <w:p w14:paraId="431712DB">
            <w:pPr>
              <w:pStyle w:val="3"/>
              <w:ind w:firstLine="0" w:firstLineChars="0"/>
            </w:pPr>
            <w:r>
              <w:rPr>
                <w:rFonts w:hint="eastAsia"/>
              </w:rPr>
              <w:t>实验组国家</w:t>
            </w:r>
          </w:p>
        </w:tc>
      </w:tr>
      <w:tr w14:paraId="61C6C60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tcBorders>
              <w:top w:val="single" w:color="000000" w:sz="4" w:space="0"/>
            </w:tcBorders>
            <w:shd w:val="clear" w:color="auto" w:fill="FFFFFF"/>
          </w:tcPr>
          <w:p w14:paraId="6656D1E5">
            <w:pPr>
              <w:pStyle w:val="3"/>
              <w:ind w:firstLine="0" w:firstLineChars="0"/>
            </w:pPr>
            <w:r>
              <w:rPr>
                <w:rFonts w:hint="eastAsia"/>
              </w:rPr>
              <w:t>实验组A</w:t>
            </w:r>
          </w:p>
        </w:tc>
        <w:tc>
          <w:tcPr>
            <w:tcW w:w="3251" w:type="pct"/>
            <w:tcBorders>
              <w:top w:val="single" w:color="000000" w:sz="4" w:space="0"/>
            </w:tcBorders>
            <w:shd w:val="clear" w:color="auto" w:fill="FFFFFF"/>
            <w:vAlign w:val="center"/>
          </w:tcPr>
          <w:p w14:paraId="2BBF37A7">
            <w:pPr>
              <w:pStyle w:val="3"/>
              <w:ind w:firstLine="0" w:firstLineChars="0"/>
            </w:pPr>
            <w:r>
              <w:rPr>
                <w:rFonts w:hint="eastAsia"/>
                <w:sz w:val="22"/>
                <w:szCs w:val="22"/>
              </w:rPr>
              <w:t>印度、俄罗斯、日本、美国、中国</w:t>
            </w:r>
          </w:p>
        </w:tc>
      </w:tr>
      <w:tr w14:paraId="6C252AF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shd w:val="clear" w:color="auto" w:fill="FFFFFF"/>
          </w:tcPr>
          <w:p w14:paraId="21A6E104">
            <w:pPr>
              <w:pStyle w:val="3"/>
              <w:ind w:firstLine="0" w:firstLineChars="0"/>
            </w:pPr>
            <w:r>
              <w:rPr>
                <w:rFonts w:hint="eastAsia"/>
              </w:rPr>
              <w:t>实验组B</w:t>
            </w:r>
          </w:p>
        </w:tc>
        <w:tc>
          <w:tcPr>
            <w:tcW w:w="3251" w:type="pct"/>
            <w:shd w:val="clear" w:color="auto" w:fill="FFFFFF"/>
            <w:vAlign w:val="center"/>
          </w:tcPr>
          <w:p w14:paraId="1A132954">
            <w:pPr>
              <w:pStyle w:val="3"/>
              <w:ind w:firstLine="0" w:firstLineChars="0"/>
            </w:pPr>
            <w:r>
              <w:rPr>
                <w:rFonts w:hint="eastAsia"/>
                <w:sz w:val="22"/>
                <w:szCs w:val="22"/>
              </w:rPr>
              <w:t>印度、俄罗斯、日本、中国</w:t>
            </w:r>
          </w:p>
        </w:tc>
      </w:tr>
      <w:tr w14:paraId="70DEAB9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shd w:val="clear" w:color="auto" w:fill="FFFFFF"/>
          </w:tcPr>
          <w:p w14:paraId="68ED5EED">
            <w:pPr>
              <w:pStyle w:val="3"/>
              <w:ind w:firstLine="0" w:firstLineChars="0"/>
            </w:pPr>
            <w:r>
              <w:rPr>
                <w:rFonts w:hint="eastAsia"/>
              </w:rPr>
              <w:t>实验组C</w:t>
            </w:r>
          </w:p>
        </w:tc>
        <w:tc>
          <w:tcPr>
            <w:tcW w:w="3251" w:type="pct"/>
            <w:shd w:val="clear" w:color="auto" w:fill="FFFFFF"/>
            <w:vAlign w:val="center"/>
          </w:tcPr>
          <w:p w14:paraId="755FA234">
            <w:pPr>
              <w:pStyle w:val="3"/>
              <w:ind w:firstLine="0" w:firstLineChars="0"/>
            </w:pPr>
            <w:r>
              <w:rPr>
                <w:rFonts w:hint="eastAsia"/>
                <w:sz w:val="22"/>
                <w:szCs w:val="22"/>
              </w:rPr>
              <w:t>印度、俄罗斯、中国</w:t>
            </w:r>
          </w:p>
        </w:tc>
      </w:tr>
      <w:tr w14:paraId="29C82A5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shd w:val="clear" w:color="auto" w:fill="FFFFFF"/>
          </w:tcPr>
          <w:p w14:paraId="296A704A">
            <w:pPr>
              <w:pStyle w:val="3"/>
              <w:ind w:firstLine="0" w:firstLineChars="0"/>
            </w:pPr>
            <w:r>
              <w:rPr>
                <w:rFonts w:hint="eastAsia"/>
              </w:rPr>
              <w:t>实验组D</w:t>
            </w:r>
          </w:p>
        </w:tc>
        <w:tc>
          <w:tcPr>
            <w:tcW w:w="3251" w:type="pct"/>
            <w:shd w:val="clear" w:color="auto" w:fill="FFFFFF"/>
            <w:vAlign w:val="center"/>
          </w:tcPr>
          <w:p w14:paraId="7362A105">
            <w:pPr>
              <w:pStyle w:val="3"/>
              <w:ind w:firstLine="0" w:firstLineChars="0"/>
            </w:pPr>
            <w:r>
              <w:rPr>
                <w:rFonts w:hint="eastAsia"/>
                <w:sz w:val="22"/>
                <w:szCs w:val="22"/>
              </w:rPr>
              <w:t>印度、日本、美国、中国</w:t>
            </w:r>
          </w:p>
        </w:tc>
      </w:tr>
      <w:tr w14:paraId="4534262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shd w:val="clear" w:color="auto" w:fill="FFFFFF"/>
          </w:tcPr>
          <w:p w14:paraId="7F0DFAD6">
            <w:pPr>
              <w:pStyle w:val="3"/>
              <w:ind w:firstLine="0" w:firstLineChars="0"/>
            </w:pPr>
            <w:r>
              <w:rPr>
                <w:rFonts w:hint="eastAsia"/>
              </w:rPr>
              <w:t>实验组E</w:t>
            </w:r>
          </w:p>
        </w:tc>
        <w:tc>
          <w:tcPr>
            <w:tcW w:w="3251" w:type="pct"/>
            <w:shd w:val="clear" w:color="auto" w:fill="FFFFFF"/>
            <w:vAlign w:val="center"/>
          </w:tcPr>
          <w:p w14:paraId="565CE7C4">
            <w:pPr>
              <w:pStyle w:val="3"/>
              <w:ind w:firstLine="0" w:firstLineChars="0"/>
            </w:pPr>
            <w:r>
              <w:rPr>
                <w:rFonts w:hint="eastAsia"/>
                <w:sz w:val="22"/>
                <w:szCs w:val="22"/>
              </w:rPr>
              <w:t>俄罗斯、日本、美国、中国</w:t>
            </w:r>
          </w:p>
        </w:tc>
      </w:tr>
      <w:tr w14:paraId="01C44D9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shd w:val="clear" w:color="auto" w:fill="FFFFFF"/>
          </w:tcPr>
          <w:p w14:paraId="7CA8080B">
            <w:pPr>
              <w:pStyle w:val="3"/>
              <w:ind w:firstLine="0" w:firstLineChars="0"/>
            </w:pPr>
            <w:r>
              <w:rPr>
                <w:rFonts w:hint="eastAsia"/>
              </w:rPr>
              <w:t>实验组F</w:t>
            </w:r>
          </w:p>
        </w:tc>
        <w:tc>
          <w:tcPr>
            <w:tcW w:w="3251" w:type="pct"/>
            <w:shd w:val="clear" w:color="auto" w:fill="FFFFFF"/>
            <w:vAlign w:val="center"/>
          </w:tcPr>
          <w:p w14:paraId="55498D73">
            <w:pPr>
              <w:pStyle w:val="3"/>
              <w:ind w:firstLine="0" w:firstLineChars="0"/>
            </w:pPr>
            <w:r>
              <w:rPr>
                <w:rFonts w:hint="eastAsia"/>
                <w:sz w:val="22"/>
                <w:szCs w:val="22"/>
              </w:rPr>
              <w:t>印度、日本、中国</w:t>
            </w:r>
          </w:p>
        </w:tc>
      </w:tr>
      <w:tr w14:paraId="427BE8D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shd w:val="clear" w:color="auto" w:fill="FFFFFF"/>
          </w:tcPr>
          <w:p w14:paraId="62E096E1">
            <w:pPr>
              <w:pStyle w:val="3"/>
              <w:ind w:firstLine="0" w:firstLineChars="0"/>
            </w:pPr>
            <w:r>
              <w:rPr>
                <w:rFonts w:hint="eastAsia"/>
              </w:rPr>
              <w:t>实验组G</w:t>
            </w:r>
          </w:p>
        </w:tc>
        <w:tc>
          <w:tcPr>
            <w:tcW w:w="3251" w:type="pct"/>
            <w:shd w:val="clear" w:color="auto" w:fill="FFFFFF"/>
            <w:vAlign w:val="center"/>
          </w:tcPr>
          <w:p w14:paraId="5D092276">
            <w:pPr>
              <w:pStyle w:val="3"/>
              <w:ind w:firstLine="0" w:firstLineChars="0"/>
            </w:pPr>
            <w:r>
              <w:rPr>
                <w:rFonts w:hint="eastAsia"/>
                <w:sz w:val="22"/>
                <w:szCs w:val="22"/>
              </w:rPr>
              <w:t>印度、俄罗斯、美国、中国</w:t>
            </w:r>
          </w:p>
        </w:tc>
      </w:tr>
      <w:tr w14:paraId="5156C1C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49" w:type="pct"/>
            <w:shd w:val="clear" w:color="auto" w:fill="FFFFFF"/>
          </w:tcPr>
          <w:p w14:paraId="26A0C0D3">
            <w:pPr>
              <w:pStyle w:val="3"/>
              <w:ind w:firstLine="0" w:firstLineChars="0"/>
            </w:pPr>
            <w:r>
              <w:rPr>
                <w:rFonts w:hint="eastAsia"/>
              </w:rPr>
              <w:t>实验组H</w:t>
            </w:r>
          </w:p>
        </w:tc>
        <w:tc>
          <w:tcPr>
            <w:tcW w:w="3251" w:type="pct"/>
            <w:shd w:val="clear" w:color="auto" w:fill="FFFFFF"/>
            <w:vAlign w:val="center"/>
          </w:tcPr>
          <w:p w14:paraId="00121907">
            <w:pPr>
              <w:pStyle w:val="3"/>
              <w:ind w:firstLine="0" w:firstLineChars="0"/>
            </w:pPr>
            <w:r>
              <w:rPr>
                <w:rFonts w:hint="eastAsia"/>
                <w:sz w:val="22"/>
                <w:szCs w:val="22"/>
              </w:rPr>
              <w:t>印度、美国、中国</w:t>
            </w:r>
          </w:p>
        </w:tc>
      </w:tr>
    </w:tbl>
    <w:p w14:paraId="085433BB">
      <w:pPr>
        <w:keepNext/>
        <w:keepLines/>
        <w:jc w:val="center"/>
      </w:pPr>
      <w:r>
        <w:drawing>
          <wp:inline distT="0" distB="0" distL="0" distR="0">
            <wp:extent cx="5349240" cy="2971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0"/>
                    <a:stretch>
                      <a:fillRect/>
                    </a:stretch>
                  </pic:blipFill>
                  <pic:spPr>
                    <a:xfrm>
                      <a:off x="0" y="0"/>
                      <a:ext cx="5349240" cy="2972270"/>
                    </a:xfrm>
                    <a:prstGeom prst="rect">
                      <a:avLst/>
                    </a:prstGeom>
                  </pic:spPr>
                </pic:pic>
              </a:graphicData>
            </a:graphic>
          </wp:inline>
        </w:drawing>
      </w:r>
    </w:p>
    <w:p w14:paraId="21513E8A">
      <w:pPr>
        <w:pStyle w:val="6"/>
        <w:keepLines/>
        <w:spacing w:before="60" w:after="120"/>
        <w:jc w:val="center"/>
      </w:pPr>
      <w:r>
        <w:t>图 11  滤波修正惯性延续情景下中国2000</w:t>
      </w:r>
      <w:r>
        <w:rPr>
          <w:rFonts w:hint="eastAsia"/>
        </w:rPr>
        <w:t>-</w:t>
      </w:r>
      <w:r>
        <w:t>2050年的lnCO₂排放路径</w:t>
      </w:r>
    </w:p>
    <w:p w14:paraId="44D8F10D">
      <w:pPr>
        <w:pStyle w:val="25"/>
        <w:spacing w:before="156" w:after="156"/>
        <w:ind w:firstLine="560"/>
        <w:outlineLvl w:val="1"/>
        <w:rPr>
          <w:rFonts w:hint="default"/>
        </w:rPr>
      </w:pPr>
      <w:bookmarkStart w:id="82" w:name="_Toc7832"/>
      <w:r>
        <w:t>（五）固定政策路径的惯性延续基准情景推演</w:t>
      </w:r>
      <w:bookmarkEnd w:id="82"/>
    </w:p>
    <w:p w14:paraId="51A44D0C">
      <w:pPr>
        <w:pStyle w:val="3"/>
        <w:ind w:firstLine="480"/>
      </w:pPr>
      <w:r>
        <w:t>在滤波修正惯性延续情景中，对原始数据进行w修正压缩，使数据质量适配TTM模型的输入要求；同时将事件特征变量纳入模型，用于标记噪声异常节点。预测阶段通过将事件变量强制设为0，使TTM输出无外生事件冲击条件下的惯性推演值。</w:t>
      </w:r>
    </w:p>
    <w:p w14:paraId="6A37146E">
      <w:pPr>
        <w:pStyle w:val="3"/>
        <w:ind w:firstLine="480"/>
        <w:rPr>
          <w:color w:val="FF0000"/>
        </w:rPr>
      </w:pPr>
      <w:r>
        <w:t>然而，TTM无法直接判别外部冲击的正负属性。若统一标记异常节点，模型容易将历年各类冲击均视为偏离常态的干扰信息，进而忽略低碳政策赋能下2020年后碳排放的结构性下降特征。因此，本文在固定政策路径情景中剔除</w:t>
      </w:r>
      <w:r>
        <w:rPr>
          <w:rFonts w:hint="eastAsia"/>
          <w:lang w:val="en-US" w:eastAsia="zh-CN"/>
        </w:rPr>
        <w:t>TTM模型的</w:t>
      </w:r>
      <w:r>
        <w:t>事件变量通道，</w:t>
      </w:r>
      <w:r>
        <w:rPr>
          <w:rFonts w:hint="eastAsia"/>
          <w:lang w:val="en-US" w:eastAsia="zh-CN"/>
        </w:rPr>
        <w:t>仅在修正数据时使用使极端噪声幅度减小，同时</w:t>
      </w:r>
      <w:r>
        <w:t>利用TTM的鲁棒性弱化</w:t>
      </w:r>
      <w:r>
        <w:rPr>
          <w:rFonts w:hint="eastAsia"/>
          <w:lang w:val="en-US" w:eastAsia="zh-CN"/>
        </w:rPr>
        <w:t>剩余</w:t>
      </w:r>
      <w:r>
        <w:t>噪声</w:t>
      </w:r>
      <w:r>
        <w:rPr>
          <w:rFonts w:hint="eastAsia"/>
          <w:lang w:eastAsia="zh-CN"/>
        </w:rPr>
        <w:t>的</w:t>
      </w:r>
      <w:r>
        <w:t>影响，并通过固定中国工业化阶段变量pi，使模型保留对宏观约束趋势的感知。具体设定为：2035年达到中等发达国家水平、2050年实现现代化强国目标，并按S型曲线进行量化变化。结果显示，TTM对中国2008</w:t>
      </w:r>
      <w:r>
        <w:rPr>
          <w:rFonts w:hint="eastAsia"/>
        </w:rPr>
        <w:t>-</w:t>
      </w:r>
      <w:r>
        <w:t>2023年碳排放修正数据的预测R²为0.99，预测效果优于异常强化标记方案，说明数据存在结构性变化，且TTM能够处理该类变化。</w:t>
      </w:r>
      <w:r>
        <w:rPr>
          <w:rFonts w:hint="eastAsia"/>
        </w:rPr>
        <w:t>多数</w:t>
      </w:r>
      <w:r>
        <w:t>实验组结果表明，在现有政策强度且无强外生冲击条件下，中国钢铁碳排放</w:t>
      </w:r>
      <w:r>
        <w:rPr>
          <w:rFonts w:hint="eastAsia"/>
        </w:rPr>
        <w:t>达峰后</w:t>
      </w:r>
      <w:r>
        <w:t>仍存在反弹</w:t>
      </w:r>
      <w:r>
        <w:rPr>
          <w:rFonts w:hint="eastAsia"/>
        </w:rPr>
        <w:t>风险</w:t>
      </w:r>
      <w:r>
        <w:t>。</w:t>
      </w:r>
      <w:r>
        <w:rPr>
          <w:rFonts w:hint="eastAsia"/>
        </w:rPr>
        <w:t>而认为不能达到碳达峰的实验组因缺乏俄罗斯的指引作用，导致TTM的忽略了我国与日本和美国之间的工业化差距，认为工业化的下一步就是美国和日本这种极后工业化阶段。</w:t>
      </w:r>
      <w:r>
        <w:rPr>
          <w:rFonts w:hint="eastAsia"/>
          <w:color w:val="auto"/>
          <w:lang w:val="en-US" w:eastAsia="zh-CN"/>
        </w:rPr>
        <w:t>推演结果说明</w:t>
      </w:r>
      <w:r>
        <w:rPr>
          <w:rFonts w:hint="eastAsia"/>
          <w:color w:val="auto"/>
        </w:rPr>
        <w:t>政府</w:t>
      </w:r>
      <w:r>
        <w:rPr>
          <w:color w:val="auto"/>
        </w:rPr>
        <w:t>需要</w:t>
      </w:r>
      <w:r>
        <w:rPr>
          <w:rFonts w:hint="eastAsia"/>
          <w:color w:val="auto"/>
        </w:rPr>
        <w:t>加强政策引导</w:t>
      </w:r>
      <w:r>
        <w:rPr>
          <w:color w:val="auto"/>
        </w:rPr>
        <w:t>，同时协同推进吨钢排放强度下降、短流程替代、绿色电力、碳市场和深度脱碳</w:t>
      </w:r>
      <w:r>
        <w:rPr>
          <w:rFonts w:hint="eastAsia"/>
          <w:color w:val="auto"/>
          <w:lang w:val="en-US" w:eastAsia="zh-CN"/>
        </w:rPr>
        <w:t>等</w:t>
      </w:r>
      <w:r>
        <w:rPr>
          <w:color w:val="auto"/>
        </w:rPr>
        <w:t>技术</w:t>
      </w:r>
      <w:r>
        <w:rPr>
          <w:rFonts w:hint="eastAsia"/>
          <w:color w:val="auto"/>
          <w:lang w:eastAsia="zh-CN"/>
        </w:rPr>
        <w:t>的</w:t>
      </w:r>
      <w:r>
        <w:rPr>
          <w:color w:val="auto"/>
        </w:rPr>
        <w:t>应用。</w:t>
      </w:r>
    </w:p>
    <w:p w14:paraId="3F43298D">
      <w:pPr>
        <w:keepNext/>
        <w:keepLines/>
        <w:jc w:val="center"/>
      </w:pPr>
      <w:r>
        <w:drawing>
          <wp:inline distT="0" distB="0" distL="0" distR="0">
            <wp:extent cx="5349240" cy="2971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1"/>
                    <a:stretch>
                      <a:fillRect/>
                    </a:stretch>
                  </pic:blipFill>
                  <pic:spPr>
                    <a:xfrm>
                      <a:off x="0" y="0"/>
                      <a:ext cx="5349240" cy="2972269"/>
                    </a:xfrm>
                    <a:prstGeom prst="rect">
                      <a:avLst/>
                    </a:prstGeom>
                  </pic:spPr>
                </pic:pic>
              </a:graphicData>
            </a:graphic>
          </wp:inline>
        </w:drawing>
      </w:r>
    </w:p>
    <w:p w14:paraId="0E9DDEB7">
      <w:pPr>
        <w:pStyle w:val="6"/>
        <w:keepLines/>
        <w:spacing w:before="60" w:after="120"/>
        <w:jc w:val="center"/>
        <w:rPr>
          <w:sz w:val="24"/>
          <w:szCs w:val="24"/>
        </w:rPr>
      </w:pPr>
      <w:r>
        <w:rPr>
          <w:sz w:val="24"/>
          <w:szCs w:val="24"/>
        </w:rPr>
        <w:t>图 12  固定政策延续情景下中国2000</w:t>
      </w:r>
      <w:r>
        <w:rPr>
          <w:rFonts w:hint="eastAsia"/>
          <w:sz w:val="24"/>
          <w:szCs w:val="24"/>
        </w:rPr>
        <w:t>-</w:t>
      </w:r>
      <w:r>
        <w:rPr>
          <w:sz w:val="24"/>
          <w:szCs w:val="24"/>
        </w:rPr>
        <w:t>2050年的lnCO₂排放路径</w:t>
      </w:r>
    </w:p>
    <w:p w14:paraId="5975D9D0">
      <w:pPr>
        <w:pStyle w:val="26"/>
        <w:spacing w:before="156" w:after="156"/>
        <w:outlineLvl w:val="0"/>
      </w:pPr>
      <w:bookmarkStart w:id="83" w:name="_Toc6900"/>
      <w:r>
        <w:t>五、研究结论与模型展望</w:t>
      </w:r>
      <w:bookmarkEnd w:id="83"/>
    </w:p>
    <w:p w14:paraId="1931D768">
      <w:pPr>
        <w:pStyle w:val="25"/>
        <w:spacing w:before="156" w:after="156"/>
        <w:ind w:firstLine="560"/>
        <w:outlineLvl w:val="1"/>
        <w:rPr>
          <w:rFonts w:hint="default"/>
        </w:rPr>
      </w:pPr>
      <w:bookmarkStart w:id="84" w:name="_Toc11574"/>
      <w:bookmarkStart w:id="85" w:name="_Toc25624"/>
      <w:r>
        <w:t>（一）主要实证结论</w:t>
      </w:r>
      <w:bookmarkEnd w:id="84"/>
      <w:bookmarkEnd w:id="85"/>
    </w:p>
    <w:p w14:paraId="28217844">
      <w:pPr>
        <w:pStyle w:val="3"/>
        <w:ind w:firstLine="480"/>
      </w:pPr>
      <w:r>
        <w:rPr>
          <w:rFonts w:hint="eastAsia"/>
        </w:rPr>
        <w:t>通过对五国面板数据的多维特征挖掘、结构分解与惯性-约束双轨推演，本文得出以下核心统计结论：</w:t>
      </w:r>
    </w:p>
    <w:p w14:paraId="270F871F">
      <w:pPr>
        <w:pStyle w:val="3"/>
        <w:ind w:firstLine="480"/>
      </w:pPr>
      <w:r>
        <w:rPr>
          <w:rFonts w:hint="eastAsia"/>
        </w:rPr>
        <w:t>第一，钢铁碳排放增长的主导因素是产量规模扩张，而非单纯的技术效率变化。双向固定效应</w:t>
      </w:r>
      <w:r>
        <w:t>STIRPAT</w:t>
      </w:r>
      <w:r>
        <w:rPr>
          <w:rFonts w:hint="eastAsia"/>
        </w:rPr>
        <w:t>模型显示，粗钢产量在基准回归、</w:t>
      </w:r>
      <w:r>
        <w:t>EKC</w:t>
      </w:r>
      <w:r>
        <w:rPr>
          <w:rFonts w:hint="eastAsia"/>
        </w:rPr>
        <w:t>扩展模型、滞后一期模型和动态辅助模型中均在</w:t>
      </w:r>
      <w:r>
        <w:t>1%</w:t>
      </w:r>
      <w:r>
        <w:rPr>
          <w:rFonts w:hint="eastAsia"/>
        </w:rPr>
        <w:t>水平上显著为正，系数分别为</w:t>
      </w:r>
      <w:r>
        <w:t>1.411</w:t>
      </w:r>
      <w:r>
        <w:rPr>
          <w:rFonts w:hint="eastAsia"/>
        </w:rPr>
        <w:t>、</w:t>
      </w:r>
      <w:r>
        <w:t>1.124</w:t>
      </w:r>
      <w:r>
        <w:rPr>
          <w:rFonts w:hint="eastAsia"/>
        </w:rPr>
        <w:t>、</w:t>
      </w:r>
      <w:r>
        <w:t>0.800</w:t>
      </w:r>
      <w:r>
        <w:rPr>
          <w:rFonts w:hint="eastAsia"/>
        </w:rPr>
        <w:t>和</w:t>
      </w:r>
      <w:r>
        <w:t>0.738</w:t>
      </w:r>
      <w:r>
        <w:rPr>
          <w:rFonts w:hint="eastAsia"/>
        </w:rPr>
        <w:t>，说明在控制国家固定效应、年份固定效应及其他宏观变量后，粗钢产量仍是钢铁</w:t>
      </w:r>
      <w:r>
        <w:t>CO₂</w:t>
      </w:r>
      <w:r>
        <w:rPr>
          <w:rFonts w:hint="eastAsia"/>
        </w:rPr>
        <w:t xml:space="preserve"> 排放最稳定的正向驱动因素。进一步的</w:t>
      </w:r>
      <w:r>
        <w:t>IV-2SLS</w:t>
      </w:r>
      <w:r>
        <w:rPr>
          <w:rFonts w:hint="eastAsia"/>
        </w:rPr>
        <w:t>结果显示，在不同内生变量设定下，粗钢产量系数仍保持在</w:t>
      </w:r>
      <w:r>
        <w:t>1.268</w:t>
      </w:r>
      <w:r>
        <w:rPr>
          <w:rFonts w:hint="eastAsia"/>
        </w:rPr>
        <w:t>-</w:t>
      </w:r>
      <w:r>
        <w:t>1.411</w:t>
      </w:r>
      <w:r>
        <w:rPr>
          <w:rFonts w:hint="eastAsia"/>
        </w:rPr>
        <w:t>之间，并均通过</w:t>
      </w:r>
      <w:r>
        <w:t>1%</w:t>
      </w:r>
      <w:r>
        <w:rPr>
          <w:rFonts w:hint="eastAsia"/>
        </w:rPr>
        <w:t>显著性检验，表明考虑潜在反向因果和遗漏变量偏误后，产量规模效应依然稳健。</w:t>
      </w:r>
      <w:r>
        <w:t>Kaya-LMDI</w:t>
      </w:r>
      <w:r>
        <w:rPr>
          <w:rFonts w:hint="eastAsia"/>
        </w:rPr>
        <w:t>分解也印证了这一判断：</w:t>
      </w:r>
      <w:r>
        <w:t>2000</w:t>
      </w:r>
      <w:r>
        <w:rPr>
          <w:rFonts w:hint="eastAsia"/>
        </w:rPr>
        <w:t>-</w:t>
      </w:r>
      <w:r>
        <w:t>2023</w:t>
      </w:r>
      <w:r>
        <w:rPr>
          <w:rFonts w:hint="eastAsia"/>
        </w:rPr>
        <w:t>年，中国钢铁</w:t>
      </w:r>
      <w:r>
        <w:t>CO₂</w:t>
      </w:r>
      <w:r>
        <w:rPr>
          <w:rFonts w:hint="eastAsia"/>
        </w:rPr>
        <w:t>排放总效应为</w:t>
      </w:r>
      <w:r>
        <w:t>1074.21Mt</w:t>
      </w:r>
      <w:r>
        <w:rPr>
          <w:rFonts w:hint="eastAsia"/>
        </w:rPr>
        <w:t>，其中产量规模效应贡献</w:t>
      </w:r>
      <w:r>
        <w:t>1342.72Mt</w:t>
      </w:r>
      <w:r>
        <w:rPr>
          <w:rFonts w:hint="eastAsia"/>
        </w:rPr>
        <w:t>，排放强度效应为</w:t>
      </w:r>
      <w:r>
        <w:rPr>
          <w:rFonts w:hint="eastAsia" w:cs="微软雅黑"/>
        </w:rPr>
        <w:t>−</w:t>
      </w:r>
      <w:r>
        <w:t>268.51Mt</w:t>
      </w:r>
      <w:r>
        <w:rPr>
          <w:rFonts w:hint="eastAsia"/>
        </w:rPr>
        <w:t>。由此可见，吨钢排放强度下降已发挥一定抵消作用，但尚不足以覆盖产量高位扩张带来的增排压力，中国钢铁排放增长的根本约束仍在于粗钢生产规模。</w:t>
      </w:r>
    </w:p>
    <w:p w14:paraId="19BF6F81">
      <w:pPr>
        <w:pStyle w:val="3"/>
        <w:ind w:firstLine="480"/>
      </w:pPr>
      <w:r>
        <w:rPr>
          <w:rFonts w:hint="eastAsia"/>
        </w:rPr>
        <w:t>第二，经济发展阶段与钢铁碳排放之间存在倒</w:t>
      </w:r>
      <w:r>
        <w:t>U</w:t>
      </w:r>
      <w:r>
        <w:rPr>
          <w:rFonts w:hint="eastAsia"/>
        </w:rPr>
        <w:t>型方向的趋势，但尚不能证明样本期内已自然跨越拐点。滞后一期</w:t>
      </w:r>
      <w:r>
        <w:t>EKC</w:t>
      </w:r>
      <w:r>
        <w:rPr>
          <w:rFonts w:hint="eastAsia"/>
        </w:rPr>
        <w:t>模型中，人均实际</w:t>
      </w:r>
      <w:r>
        <w:t>GDP</w:t>
      </w:r>
      <w:r>
        <w:rPr>
          <w:rFonts w:hint="eastAsia"/>
        </w:rPr>
        <w:t>一次项为正、二次项为负，方向上符合环境库兹涅茨曲线假说；其中，</w:t>
      </w:r>
      <w:r>
        <w:t>lnRGDP</w:t>
      </w:r>
      <w:r>
        <w:rPr>
          <w:rFonts w:hint="eastAsia"/>
        </w:rPr>
        <w:t>系数为</w:t>
      </w:r>
      <w:r>
        <w:t>2.666</w:t>
      </w:r>
      <w:r>
        <w:rPr>
          <w:rFonts w:hint="eastAsia"/>
        </w:rPr>
        <w:t>，并在</w:t>
      </w:r>
      <w:r>
        <w:t>5%</w:t>
      </w:r>
      <w:r>
        <w:rPr>
          <w:rFonts w:hint="eastAsia"/>
        </w:rPr>
        <w:t>水平上显著，二次项系数为</w:t>
      </w:r>
      <w:r>
        <w:rPr>
          <w:rFonts w:hint="eastAsia" w:cs="微软雅黑"/>
        </w:rPr>
        <w:t>−</w:t>
      </w:r>
      <w:r>
        <w:t>0.112</w:t>
      </w:r>
      <w:r>
        <w:rPr>
          <w:rFonts w:hint="eastAsia"/>
        </w:rPr>
        <w:t>，并在</w:t>
      </w:r>
      <w:r>
        <w:t>10%</w:t>
      </w:r>
      <w:r>
        <w:rPr>
          <w:rFonts w:hint="eastAsia"/>
        </w:rPr>
        <w:t>水平上显著。然而，主模型中</w:t>
      </w:r>
      <w:r>
        <w:t>EKC</w:t>
      </w:r>
      <w:r>
        <w:rPr>
          <w:rFonts w:hint="eastAsia"/>
        </w:rPr>
        <w:t>二次项并未表现出稳定显著性，且理论拐点高于样本最大值</w:t>
      </w:r>
      <w:r>
        <w:t>11.09</w:t>
      </w:r>
      <w:r>
        <w:rPr>
          <w:rFonts w:hint="eastAsia"/>
        </w:rPr>
        <w:t>，说明五国钢铁行业在样本期内尚不能被严格判定为已经普遍跨越</w:t>
      </w:r>
      <w:r>
        <w:t>EKC</w:t>
      </w:r>
      <w:r>
        <w:rPr>
          <w:rFonts w:hint="eastAsia"/>
        </w:rPr>
        <w:t>拐点。因此，本文仅将</w:t>
      </w:r>
      <w:r>
        <w:t>EKC</w:t>
      </w:r>
      <w:r>
        <w:rPr>
          <w:rFonts w:hint="eastAsia"/>
        </w:rPr>
        <w:t>结果解释为经济发展阶段与钢铁排放之间存在一定非线性关系，而不将其视为经济增长自动带来钢铁减排的因果证据。对于仍处于高产量平台或产能扩张阶段的国家而言，如果缺乏产量约束、能效提升和工艺替代，经济发展本身并不能保证钢铁排放自然下降。</w:t>
      </w:r>
    </w:p>
    <w:p w14:paraId="60256707">
      <w:pPr>
        <w:pStyle w:val="3"/>
        <w:ind w:firstLine="480"/>
      </w:pPr>
      <w:r>
        <w:rPr>
          <w:rFonts w:hint="eastAsia"/>
        </w:rPr>
        <w:t>第三，无额外干预条件下，中国钢铁行业存在长期高速发展与达峰滞后的风险。动态辅助模型中，滞后一期</w:t>
      </w:r>
      <w:r>
        <w:t>lnCO₂</w:t>
      </w:r>
      <w:r>
        <w:rPr>
          <w:rFonts w:hint="eastAsia"/>
        </w:rPr>
        <w:t>系数为</w:t>
      </w:r>
      <w:r>
        <w:t>0.506</w:t>
      </w:r>
      <w:r>
        <w:rPr>
          <w:rFonts w:hint="eastAsia"/>
        </w:rPr>
        <w:t>，并在</w:t>
      </w:r>
      <w:r>
        <w:t>1%</w:t>
      </w:r>
      <w:r>
        <w:rPr>
          <w:rFonts w:hint="eastAsia"/>
        </w:rPr>
        <w:t>水平上显著，说明钢铁排放具有明显路径依赖和生产体系惯性。在此基础上，本文引入</w:t>
      </w:r>
      <w:r>
        <w:t>STIRPAT</w:t>
      </w:r>
      <w:r>
        <w:rPr>
          <w:rFonts w:hint="eastAsia"/>
        </w:rPr>
        <w:t>-</w:t>
      </w:r>
      <w:r>
        <w:t>TTM</w:t>
      </w:r>
      <w:r>
        <w:rPr>
          <w:rFonts w:hint="eastAsia"/>
        </w:rPr>
        <w:t>耦合模型，对中国钢铁碳排放进行惯性推演。训练结果显示，</w:t>
      </w:r>
      <w:r>
        <w:t>TTM</w:t>
      </w:r>
      <w:r>
        <w:rPr>
          <w:rFonts w:hint="eastAsia"/>
        </w:rPr>
        <w:t>对中国</w:t>
      </w:r>
      <w:r>
        <w:t>20</w:t>
      </w:r>
      <w:r>
        <w:rPr>
          <w:rFonts w:hint="eastAsia"/>
        </w:rPr>
        <w:t>08-</w:t>
      </w:r>
      <w:r>
        <w:t>2023</w:t>
      </w:r>
      <w:r>
        <w:rPr>
          <w:rFonts w:hint="eastAsia"/>
        </w:rPr>
        <w:t>年碳排放修正数据的预测</w:t>
      </w:r>
      <w:r>
        <w:t>R²</w:t>
      </w:r>
      <w:r>
        <w:rPr>
          <w:rFonts w:hint="eastAsia"/>
        </w:rPr>
        <w:t>达到</w:t>
      </w:r>
      <w:r>
        <w:t>0.9</w:t>
      </w:r>
      <w:r>
        <w:rPr>
          <w:rFonts w:hint="eastAsia"/>
        </w:rPr>
        <w:t>7，说明经</w:t>
      </w:r>
      <w:r>
        <w:t>STIRPAT</w:t>
      </w:r>
      <w:r>
        <w:rPr>
          <w:rFonts w:hint="eastAsia"/>
        </w:rPr>
        <w:t>先验约束后的</w:t>
      </w:r>
      <w:r>
        <w:t>TTM</w:t>
      </w:r>
      <w:r>
        <w:rPr>
          <w:rFonts w:hint="eastAsia"/>
        </w:rPr>
        <w:t>模型能够较好拟合近期排放轨迹。消融实验进一步表明，在仅依靠内生变量自然演进的基准路径下，中国钢铁行业难以在</w:t>
      </w:r>
      <w:r>
        <w:t>2030</w:t>
      </w:r>
      <w:r>
        <w:rPr>
          <w:rFonts w:hint="eastAsia"/>
        </w:rPr>
        <w:t>年前自然达峰。即使在固定政策路径下，模型结果也显示达峰后排放可能进入高位平台并存在反弹风险。由此可见，钢铁行业低碳转型工作不应仅仅关注是否达峰，还需同时关注峰值水平、峰后下降稳定性和长期累计排放风险。</w:t>
      </w:r>
    </w:p>
    <w:p w14:paraId="15EE561B">
      <w:pPr>
        <w:pStyle w:val="3"/>
        <w:ind w:firstLine="480"/>
      </w:pPr>
      <w:r>
        <w:t>第四，2030年后防止排放反弹，需要需求控制、能效提升、产能约束、市场机制与深度脱碳技术形成组合干预。具体而言，钢铁需求主动放缓与极致能效改造构成排放转折的底层驱动力；行政端产能双控与碳边境调节机制有助于锁定短期排放拐点；碳市场价格信号可通过改变高排放产能的成本约束强化企业减排激励；CCS技术部署、氢基直接还原和废钢循环利用则是支撑峰后长期下降、防止排放反弹的关键技术条件。由此表明，中国钢铁行业实现稳定达峰并持续下降，不能依赖单一政策工具或单一技术突破，而需要在2025</w:t>
      </w:r>
      <w:r>
        <w:rPr>
          <w:rFonts w:hint="eastAsia"/>
        </w:rPr>
        <w:t>-</w:t>
      </w:r>
      <w:r>
        <w:t>2030年的政策密集期与2030年后的技术扩散期之间形成连续、递进且相互补充的组合干预体系。</w:t>
      </w:r>
    </w:p>
    <w:p w14:paraId="736A0620">
      <w:pPr>
        <w:pStyle w:val="25"/>
        <w:spacing w:before="156" w:after="156"/>
        <w:ind w:firstLine="560"/>
        <w:outlineLvl w:val="1"/>
        <w:rPr>
          <w:rFonts w:hint="default"/>
        </w:rPr>
      </w:pPr>
      <w:bookmarkStart w:id="86" w:name="_Toc15776"/>
      <w:r>
        <w:t>（二）决策与管理启示</w:t>
      </w:r>
      <w:bookmarkEnd w:id="86"/>
    </w:p>
    <w:p w14:paraId="4579DBEE">
      <w:pPr>
        <w:pStyle w:val="3"/>
        <w:ind w:firstLine="480"/>
      </w:pPr>
      <w:r>
        <w:rPr>
          <w:rFonts w:hint="eastAsia"/>
        </w:rPr>
        <w:t>首先，应将粗钢产量与需求侧管理作为钢铁行业减排的重点。双向固定效应、</w:t>
      </w:r>
      <w:r>
        <w:t>IV-2SLS</w:t>
      </w:r>
      <w:r>
        <w:rPr>
          <w:rFonts w:hint="eastAsia"/>
        </w:rPr>
        <w:t>和</w:t>
      </w:r>
      <w:r>
        <w:t>Kaya-LMDI</w:t>
      </w:r>
      <w:r>
        <w:rPr>
          <w:rFonts w:hint="eastAsia"/>
        </w:rPr>
        <w:t>结果均表明，粗钢产量是钢铁</w:t>
      </w:r>
      <w:r>
        <w:t>CO₂</w:t>
      </w:r>
      <w:r>
        <w:rPr>
          <w:rFonts w:hint="eastAsia"/>
        </w:rPr>
        <w:t>排放最稳定的正向驱动因素，中国</w:t>
      </w:r>
      <w:r>
        <w:t>2000</w:t>
      </w:r>
      <w:r>
        <w:rPr>
          <w:rFonts w:hint="eastAsia"/>
        </w:rPr>
        <w:t>-</w:t>
      </w:r>
      <w:r>
        <w:t>2023</w:t>
      </w:r>
      <w:r>
        <w:rPr>
          <w:rFonts w:hint="eastAsia"/>
        </w:rPr>
        <w:t>年排放增长主要由产量规模效应推动，吨钢排放强度下降虽已形成抵消作用，但不足以缓解产量扩张带来的增排压力。因此，政策重点应通过严格控制新增粗钢产能、优化存量产能结构、抑制低端重复建设需求，引导钢材消费由数量扩张转向质量提升。对建筑、基建和制造业等主要用钢领域，应推动高强度、长寿命、可循环钢材应用，以材料效率提升降低单位服务需求下的粗钢消耗。</w:t>
      </w:r>
    </w:p>
    <w:p w14:paraId="6EF71F49">
      <w:pPr>
        <w:pStyle w:val="3"/>
        <w:ind w:firstLine="480"/>
      </w:pPr>
      <w:r>
        <w:t>其次，应构建市场机制与深度脱碳技术协同的组合干预体系。CatBoost-SHAP结果显示，贸易开放和金融发展并非稳定的线性减排变量，但在特定阶段可能表现出技术扩散和绿色融资赋能作用；</w:t>
      </w:r>
      <w:r>
        <w:rPr>
          <w:rFonts w:hint="eastAsia"/>
        </w:rPr>
        <w:t>固定政策情景</w:t>
      </w:r>
      <w:r>
        <w:t>结果表明，实现2030年前达峰且无反弹，不能</w:t>
      </w:r>
      <w:r>
        <w:rPr>
          <w:rFonts w:hint="eastAsia"/>
        </w:rPr>
        <w:t>只</w:t>
      </w:r>
      <w:r>
        <w:t>依靠</w:t>
      </w:r>
      <w:r>
        <w:rPr>
          <w:rFonts w:hint="eastAsia"/>
        </w:rPr>
        <w:t>目前的政策方针</w:t>
      </w:r>
      <w:r>
        <w:t>，而需要需求放缓、能效提升、产能约束、碳边境调节和深度脱碳技术共同作用</w:t>
      </w:r>
      <w:r>
        <w:rPr>
          <w:rFonts w:hint="eastAsia"/>
        </w:rPr>
        <w:t>，并且</w:t>
      </w:r>
      <w:r>
        <w:t>政策上应一方面完善碳市场配额收紧、碳价传导和绿色金融支持机制，增加高排放产能的长期减排激励；另一方面促进CCS、电弧炉短流程等技术示范与扩散，使市场约束、工艺替代和资源循环共同支撑峰后排放持续下降。</w:t>
      </w:r>
    </w:p>
    <w:p w14:paraId="19782DF4">
      <w:pPr>
        <w:pStyle w:val="25"/>
        <w:spacing w:before="156" w:after="156"/>
        <w:ind w:firstLine="560"/>
        <w:outlineLvl w:val="1"/>
        <w:rPr>
          <w:rFonts w:hint="default"/>
        </w:rPr>
      </w:pPr>
      <w:bookmarkStart w:id="87" w:name="_Toc24389"/>
      <w:r>
        <w:t>（三）模型的局限与未来展望</w:t>
      </w:r>
      <w:bookmarkEnd w:id="87"/>
    </w:p>
    <w:p w14:paraId="3287BBFD">
      <w:pPr>
        <w:pStyle w:val="3"/>
        <w:ind w:firstLine="480"/>
      </w:pPr>
      <w:r>
        <w:t>本文构建的STIRPAT</w:t>
      </w:r>
      <w:r>
        <w:rPr>
          <w:rFonts w:hint="eastAsia"/>
        </w:rPr>
        <w:t>-</w:t>
      </w:r>
      <w:r>
        <w:t>TTM耦合框架在小样本条件下实现了</w:t>
      </w:r>
      <w:r>
        <w:rPr>
          <w:rFonts w:hint="eastAsia"/>
        </w:rPr>
        <w:t>从</w:t>
      </w:r>
      <w:r>
        <w:t>计量归因</w:t>
      </w:r>
      <w:r>
        <w:rPr>
          <w:rFonts w:hint="eastAsia"/>
        </w:rPr>
        <w:t>和</w:t>
      </w:r>
      <w:r>
        <w:t>结构分解</w:t>
      </w:r>
      <w:r>
        <w:rPr>
          <w:rFonts w:hint="eastAsia"/>
        </w:rPr>
        <w:t>到</w:t>
      </w:r>
      <w:r>
        <w:t>惯性推演</w:t>
      </w:r>
      <w:r>
        <w:rPr>
          <w:rFonts w:hint="eastAsia"/>
        </w:rPr>
        <w:t>与</w:t>
      </w:r>
      <w:r>
        <w:t>约束寻优的衔接，但仍存在一定局限，后续研究可从以下方面进一步完善</w:t>
      </w:r>
      <w:r>
        <w:rPr>
          <w:rFonts w:hint="eastAsia"/>
        </w:rPr>
        <w:t>。</w:t>
      </w:r>
    </w:p>
    <w:p w14:paraId="1C43A44A">
      <w:pPr>
        <w:pStyle w:val="3"/>
        <w:ind w:firstLine="480"/>
      </w:pPr>
      <w:r>
        <w:rPr>
          <w:rFonts w:hint="eastAsia"/>
        </w:rPr>
        <w:t>一方面，本文数据层级仍偏宏观。本文样本为中国、印度、日本、美国和俄罗斯2000-2023年国家层面年度数据，能够刻画跨国钢铁排放的总体趋势，但难以反映企业设备年限、工艺路线、区域能源结构和改造成本等微观差异。未来可进一步引入企业级或省级钢铁产能数据，构建多层面板模型，以更精确地识别不同生产主体的边际减排潜力。</w:t>
      </w:r>
    </w:p>
    <w:p w14:paraId="6A027A61">
      <w:pPr>
        <w:pStyle w:val="3"/>
        <w:ind w:firstLine="480"/>
      </w:pPr>
      <w:r>
        <w:rPr>
          <w:rFonts w:hint="eastAsia"/>
        </w:rPr>
        <w:t>另一方面，本文情景约束仍具有简化特征。尽管采用硬截断机制与确定性百分比冲击来刻画政策与技术事件，有助于在小样本约束下显著提升时序推演的稳健性，但该设定仍难以全面捕捉极端外部冲击、颠覆性技术突破的不确定性以及国际市场的深度波动；此外，本文尚待进一步释放实证结论的潜力，以实现基于 TTM 模型的多情景政策路径寻优。未来可在现有算法寻优框架中加入随机冲击项、情景概率权重或蒙特卡洛模拟，使排放路径由确定性推演进一步扩展为概率区间判断。在此基础上，通过定量改变时间步压入时变量大小的方式，深度模拟多元政策组合下的碳排放路径，进而识别出兼顾经济韧性与减排时效的最优碳达峰路径。</w:t>
      </w:r>
    </w:p>
    <w:p w14:paraId="7C1DD0B9">
      <w:pPr>
        <w:pStyle w:val="3"/>
        <w:ind w:firstLine="480"/>
        <w:sectPr>
          <w:footerReference r:id="rId6" w:type="default"/>
          <w:pgSz w:w="11906" w:h="16838"/>
          <w:pgMar w:top="1440" w:right="1800" w:bottom="1440" w:left="1800" w:header="851" w:footer="992" w:gutter="0"/>
          <w:pgNumType w:start="1"/>
          <w:cols w:space="425" w:num="1"/>
          <w:docGrid w:type="lines" w:linePitch="312" w:charSpace="0"/>
        </w:sectPr>
      </w:pPr>
      <w:r>
        <w:rPr>
          <w:rFonts w:hint="eastAsia"/>
        </w:rPr>
        <w:t>最后，本文的模型解释性仍需增强。本文虽借助STIRPAT理论框架约束、消融实验对比分析，有效提升了TTM模型时序推演结果的解释能力，并通过硬截断约束机制完善了模型的整体分析框架，但受限于跨国宏观面板数据的样本体量与时序跨度，该时序预训练模型的内部决策逻辑仍无法被完全拆解，模型部分年份预测结果的生成路径难以精准解析，一定程度上制约了归因分析结果的可靠性。后续研究中，若可获取更长时间序列、更高频率的钢铁行业碳排放观测数据，可进一步结合时序SHAP归因、参数敏感性分析、反事实实验及注意力可视化等分析工具，系统捕捉各核心变量对碳排放达峰时点、峰后下降速率及累计碳排放量的边际作用效应，深度拆解TTM模型的内部运行机制、破除模型黑箱局限，以此提升模型预测结果的可信度与政策解释力。</w:t>
      </w:r>
    </w:p>
    <w:p w14:paraId="1EDD4238">
      <w:pPr>
        <w:pStyle w:val="26"/>
        <w:spacing w:before="156" w:after="156"/>
        <w:outlineLvl w:val="0"/>
      </w:pPr>
      <w:bookmarkStart w:id="88" w:name="_Toc31144"/>
      <w:bookmarkStart w:id="89" w:name="_Toc18527"/>
      <w:r>
        <w:t>参考文献</w:t>
      </w:r>
      <w:bookmarkEnd w:id="88"/>
      <w:bookmarkEnd w:id="89"/>
    </w:p>
    <w:p w14:paraId="29421F4F">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w:t>
      </w:r>
      <w:r>
        <w:rPr>
          <w:sz w:val="24"/>
        </w:rPr>
        <w:tab/>
      </w:r>
      <w:r>
        <w:rPr>
          <w:sz w:val="24"/>
        </w:rPr>
        <w:t>International Energy Agency. Iron and Steel Technology Roadmap - Towards more sustainable steelmaking: CC BY 4.0[R]. Paris: International Energy Agency, 2020: 1-192.</w:t>
      </w:r>
    </w:p>
    <w:p w14:paraId="68B7DFAE">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[2]</w:t>
      </w:r>
      <w:r>
        <w:rPr>
          <w:sz w:val="24"/>
        </w:rPr>
        <w:tab/>
      </w:r>
      <w:r>
        <w:rPr>
          <w:sz w:val="24"/>
        </w:rPr>
        <w:t>Rissman J, Bataille C, Masanet E, 等. Technologies and policies to decarbonize global industry: Review and assessment of mitigation drivers through 2070[J]. Applied Energy, 2020, 266: 114848.</w:t>
      </w:r>
    </w:p>
    <w:p w14:paraId="710D0913">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[3]</w:t>
      </w:r>
      <w:r>
        <w:rPr>
          <w:sz w:val="24"/>
        </w:rPr>
        <w:tab/>
      </w:r>
      <w:r>
        <w:rPr>
          <w:sz w:val="24"/>
        </w:rPr>
        <w:t>Ren M, Lu P, Liu X, 等. Decarbonizing China’s iron and steel industry from the supply and demand sides for carbon neutrality[J]. Applied Energy, 2021, 298: 117209.</w:t>
      </w:r>
    </w:p>
    <w:p w14:paraId="1C220934">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[4]</w:t>
      </w:r>
      <w:r>
        <w:rPr>
          <w:sz w:val="24"/>
        </w:rPr>
        <w:tab/>
      </w:r>
      <w:r>
        <w:rPr>
          <w:sz w:val="24"/>
        </w:rPr>
        <w:t>Shen J, Zhang Q, Xu L, 等. Future CO₂ emission trends and radical decarbonization path of iron and steel industry in China[J]. Journal of Cleaner Production, 2021, 326: 129354.</w:t>
      </w:r>
    </w:p>
    <w:p w14:paraId="60C7C790">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[5]</w:t>
      </w:r>
      <w:r>
        <w:rPr>
          <w:sz w:val="24"/>
        </w:rPr>
        <w:tab/>
      </w:r>
      <w:r>
        <w:rPr>
          <w:sz w:val="24"/>
        </w:rPr>
        <w:t>Zhang J, Shen J, Xu L, 等. The CO₂ emission reduction path towards carbon neutrality in the Chinese steel industry: A review[J]. Environmental Impact Assessment Review, 2023, 99: 107017.</w:t>
      </w:r>
    </w:p>
    <w:p w14:paraId="6B3FB793">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[6]</w:t>
      </w:r>
      <w:r>
        <w:rPr>
          <w:sz w:val="24"/>
        </w:rPr>
        <w:tab/>
      </w:r>
      <w:r>
        <w:rPr>
          <w:sz w:val="24"/>
        </w:rPr>
        <w:t>York R, Rosa E A, Dietz T. STIRPAT, IPAT and ImPACT: analytic tools for unpacking the driving forces of environmental impacts[J]. Ecological Economics, 2003, 46(3): 351-365.</w:t>
      </w:r>
    </w:p>
    <w:p w14:paraId="0672818F">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[7]</w:t>
      </w:r>
      <w:r>
        <w:rPr>
          <w:sz w:val="24"/>
        </w:rPr>
        <w:tab/>
      </w:r>
      <w:r>
        <w:rPr>
          <w:sz w:val="24"/>
        </w:rPr>
        <w:t>Stern D I. The Rise and Fall of the Environmental Kuznets Curve[J]. World Development, 2004, 32(8): 1419-1439.</w:t>
      </w:r>
    </w:p>
    <w:p w14:paraId="71E107DD">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[8]</w:t>
      </w:r>
      <w:r>
        <w:rPr>
          <w:sz w:val="24"/>
        </w:rPr>
        <w:tab/>
      </w:r>
      <w:r>
        <w:rPr>
          <w:sz w:val="24"/>
        </w:rPr>
        <w:t>Zou H, Hastie T. Regularization and Variable Selection Via the Elastic Net[J]. Journal of the Royal Statistical Society Series B: Statistical Methodology, 2005, 67(2): 301-320.</w:t>
      </w:r>
    </w:p>
    <w:p w14:paraId="60F79CF9">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[9]</w:t>
      </w:r>
      <w:r>
        <w:rPr>
          <w:sz w:val="24"/>
        </w:rPr>
        <w:tab/>
      </w:r>
      <w:r>
        <w:rPr>
          <w:sz w:val="24"/>
        </w:rPr>
        <w:t>Lin B, Wang X. Carbon emissions from energy intensive industry in China: Evidence from the iron &amp; steel industry[J]. Renewable and Sustainable Energy Reviews, 2015, 47: 746-754.</w:t>
      </w:r>
    </w:p>
    <w:p w14:paraId="164DE7AF">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[10]</w:t>
      </w:r>
      <w:r>
        <w:rPr>
          <w:sz w:val="24"/>
        </w:rPr>
        <w:tab/>
      </w:r>
      <w:r>
        <w:rPr>
          <w:sz w:val="24"/>
        </w:rPr>
        <w:t>Oda J, Akimoto K. Carbon intensity of the Japanese iron and steel industry: Analysis of factors from 2000 to 2019[J]. Journal of Cleaner Production, 2022, 345: 130920.</w:t>
      </w:r>
    </w:p>
    <w:p w14:paraId="45BDD547">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[11]</w:t>
      </w:r>
      <w:r>
        <w:rPr>
          <w:sz w:val="24"/>
        </w:rPr>
        <w:tab/>
      </w:r>
      <w:r>
        <w:rPr>
          <w:sz w:val="24"/>
        </w:rPr>
        <w:t>Ekambaram V, Jati A, Dayama P, 等. Tiny Time Mixers (TTMs): Fast Pre-trained Models for Enhanced Zero/Few-Shot Forecasting of Multivariate Time Series[A]. arXiv, 2024.</w:t>
      </w:r>
    </w:p>
    <w:p w14:paraId="1EABE12F">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[12]</w:t>
      </w:r>
      <w:r>
        <w:rPr>
          <w:sz w:val="24"/>
        </w:rPr>
        <w:tab/>
      </w:r>
      <w:r>
        <w:rPr>
          <w:sz w:val="24"/>
        </w:rPr>
        <w:t>Ang B W. The LMDI approach to decomposition analysis: a practical guide[J]. Energy Policy, 2005, 33(7): 867-871.</w:t>
      </w:r>
    </w:p>
    <w:p w14:paraId="42EA7A20">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[13]</w:t>
      </w:r>
      <w:r>
        <w:rPr>
          <w:sz w:val="24"/>
        </w:rPr>
        <w:tab/>
      </w:r>
      <w:r>
        <w:rPr>
          <w:sz w:val="24"/>
        </w:rPr>
        <w:t>Zhao M, Tan L, Zhang W, 等. Decomposing the influencing factors of industrial carbon emissions in Shanghai using the LMDI method[J]. Energy, 2010, 35(6): 2505-2510.</w:t>
      </w:r>
    </w:p>
    <w:p w14:paraId="385C045A">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[14]</w:t>
      </w:r>
      <w:r>
        <w:rPr>
          <w:sz w:val="24"/>
        </w:rPr>
        <w:tab/>
      </w:r>
      <w:r>
        <w:rPr>
          <w:sz w:val="24"/>
        </w:rPr>
        <w:t>Wang P, Ryberg M, Yang Y, 等. Efficiency stagnation in global steel production urges joint supply- and demand-side mitigation efforts[J]. Nature Communications, 2021, 12(1): 2066.</w:t>
      </w:r>
    </w:p>
    <w:p w14:paraId="3D1FCBA9">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[15]</w:t>
      </w:r>
      <w:r>
        <w:rPr>
          <w:sz w:val="24"/>
        </w:rPr>
        <w:tab/>
      </w:r>
      <w:r>
        <w:rPr>
          <w:sz w:val="24"/>
        </w:rPr>
        <w:t>Lei T, Wang D, Yu X, 等. Global iron and steel plant CO₂ emissions and carbon-neutrality pathways[J]. Nature, 2023, 622(7983): 514-520.</w:t>
      </w:r>
    </w:p>
    <w:p w14:paraId="07D4D981">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[16]</w:t>
      </w:r>
      <w:r>
        <w:rPr>
          <w:sz w:val="24"/>
        </w:rPr>
        <w:tab/>
      </w:r>
      <w:r>
        <w:rPr>
          <w:sz w:val="24"/>
        </w:rPr>
        <w:t>Zhang J, Shen H, Chen Y, 等. Iron and Steel Industry Emissions: A Global Analysis of Trends and Drivers[J]. Environmental Science &amp; Technology, 2023, 57(43): 16477-16488.</w:t>
      </w:r>
    </w:p>
    <w:p w14:paraId="0BA8EBCE">
      <w:pPr>
        <w:pStyle w:val="42"/>
        <w:keepNext w:val="0"/>
        <w:keepLines w:val="0"/>
        <w:pageBreakBefore w:val="0"/>
        <w:widowControl w:val="0"/>
        <w:kinsoku/>
        <w:wordWrap/>
        <w:overflowPunct/>
        <w:topLinePunct w:val="0"/>
        <w:autoSpaceDE/>
        <w:autoSpaceDN/>
        <w:bidi w:val="0"/>
        <w:adjustRightInd/>
        <w:snapToGrid/>
        <w:spacing w:line="480" w:lineRule="exact"/>
        <w:ind w:left="0"/>
        <w:textAlignment w:val="auto"/>
        <w:rPr>
          <w:sz w:val="24"/>
        </w:rPr>
      </w:pPr>
      <w:r>
        <w:rPr>
          <w:sz w:val="24"/>
        </w:rPr>
        <w:t>[17]</w:t>
      </w:r>
      <w:r>
        <w:rPr>
          <w:sz w:val="24"/>
        </w:rPr>
        <w:tab/>
      </w:r>
      <w:r>
        <w:rPr>
          <w:sz w:val="24"/>
        </w:rPr>
        <w:t>Holappa L. A General Vision for Reduction of Energy Consumption and CO₂ Emissions from the Steel Industry[J]. Metals, 2020, 10(9): 1117.</w:t>
      </w:r>
    </w:p>
    <w:p w14:paraId="6A6AEB51">
      <w:pPr>
        <w:pStyle w:val="3"/>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sz w:val="24"/>
        </w:rPr>
        <w:sectPr>
          <w:footerReference r:id="rId7" w:type="default"/>
          <w:pgSz w:w="11906" w:h="16838"/>
          <w:pgMar w:top="1440" w:right="1800" w:bottom="1440" w:left="1800" w:header="851" w:footer="992" w:gutter="0"/>
          <w:cols w:space="425" w:num="1"/>
          <w:docGrid w:type="lines" w:linePitch="312" w:charSpace="0"/>
        </w:sectPr>
      </w:pPr>
    </w:p>
    <w:p w14:paraId="22D26615">
      <w:pPr>
        <w:pStyle w:val="46"/>
        <w:ind w:firstLine="560"/>
        <w:jc w:val="left"/>
        <w:rPr>
          <w:rFonts w:hint="eastAsia"/>
        </w:rPr>
      </w:pPr>
      <w:bookmarkStart w:id="90" w:name="_Toc3963"/>
      <w:bookmarkStart w:id="91" w:name="_Toc3808"/>
      <w:bookmarkStart w:id="92" w:name="_Toc9537"/>
      <w:bookmarkStart w:id="93" w:name="_Toc31119"/>
      <w:bookmarkStart w:id="94" w:name="_Toc5251"/>
      <w:bookmarkStart w:id="95" w:name="_Toc14127"/>
      <w:r>
        <w:t>附录</w:t>
      </w:r>
      <w:bookmarkEnd w:id="90"/>
      <w:bookmarkEnd w:id="91"/>
      <w:bookmarkEnd w:id="92"/>
      <w:bookmarkEnd w:id="93"/>
      <w:bookmarkEnd w:id="94"/>
      <w:bookmarkEnd w:id="95"/>
    </w:p>
    <w:p w14:paraId="7CA2FD6E">
      <w:pPr>
        <w:pStyle w:val="6"/>
        <w:jc w:val="center"/>
      </w:pPr>
      <w:r>
        <w:rPr>
          <w:rFonts w:hint="eastAsia"/>
        </w:rPr>
        <w:t>附表1  五国TTM先验硬截断机制参数</w:t>
      </w:r>
    </w:p>
    <w:tbl>
      <w:tblPr>
        <w:tblStyle w:val="17"/>
        <w:tblW w:w="0" w:type="auto"/>
        <w:tblInd w:w="0" w:type="dxa"/>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3344"/>
        <w:gridCol w:w="1245"/>
        <w:gridCol w:w="1233"/>
        <w:gridCol w:w="1526"/>
      </w:tblGrid>
      <w:tr w14:paraId="0EB037EA">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948" w:type="dxa"/>
            <w:tcBorders>
              <w:left w:val="nil"/>
              <w:bottom w:val="single" w:color="000000" w:sz="4" w:space="0"/>
              <w:right w:val="nil"/>
              <w:tl2br w:val="nil"/>
            </w:tcBorders>
            <w:shd w:val="clear" w:color="auto" w:fill="FFFFFF"/>
            <w:vAlign w:val="center"/>
          </w:tcPr>
          <w:p w14:paraId="13E161F2">
            <w:pPr>
              <w:pStyle w:val="3"/>
              <w:spacing w:line="240" w:lineRule="auto"/>
              <w:ind w:firstLine="0" w:firstLineChars="0"/>
              <w:jc w:val="center"/>
              <w:rPr>
                <w:rFonts w:cs="宋体"/>
                <w:sz w:val="24"/>
                <w:szCs w:val="24"/>
              </w:rPr>
            </w:pPr>
            <w:r>
              <w:rPr>
                <w:bCs/>
                <w:sz w:val="24"/>
                <w:szCs w:val="24"/>
              </w:rPr>
              <w:t>国家</w:t>
            </w:r>
          </w:p>
        </w:tc>
        <w:tc>
          <w:tcPr>
            <w:tcW w:w="3344" w:type="dxa"/>
            <w:tcBorders>
              <w:left w:val="nil"/>
              <w:bottom w:val="single" w:color="000000" w:sz="4" w:space="0"/>
              <w:right w:val="nil"/>
            </w:tcBorders>
            <w:shd w:val="clear" w:color="auto" w:fill="FFFFFF"/>
            <w:vAlign w:val="center"/>
          </w:tcPr>
          <w:p w14:paraId="4877337E">
            <w:pPr>
              <w:pStyle w:val="3"/>
              <w:spacing w:line="240" w:lineRule="auto"/>
              <w:ind w:firstLine="0" w:firstLineChars="0"/>
              <w:jc w:val="center"/>
              <w:rPr>
                <w:rFonts w:cs="宋体"/>
                <w:sz w:val="24"/>
                <w:szCs w:val="24"/>
              </w:rPr>
            </w:pPr>
            <w:r>
              <w:rPr>
                <w:bCs/>
                <w:sz w:val="24"/>
                <w:szCs w:val="24"/>
              </w:rPr>
              <w:t>事件名称</w:t>
            </w:r>
          </w:p>
        </w:tc>
        <w:tc>
          <w:tcPr>
            <w:tcW w:w="1245" w:type="dxa"/>
            <w:tcBorders>
              <w:left w:val="nil"/>
              <w:bottom w:val="single" w:color="000000" w:sz="4" w:space="0"/>
              <w:right w:val="nil"/>
            </w:tcBorders>
            <w:shd w:val="clear" w:color="auto" w:fill="FFFFFF"/>
            <w:vAlign w:val="center"/>
          </w:tcPr>
          <w:p w14:paraId="1FFF338E">
            <w:pPr>
              <w:pStyle w:val="3"/>
              <w:spacing w:line="240" w:lineRule="auto"/>
              <w:ind w:firstLine="0" w:firstLineChars="0"/>
              <w:jc w:val="center"/>
              <w:rPr>
                <w:rFonts w:cs="宋体"/>
                <w:sz w:val="24"/>
                <w:szCs w:val="24"/>
              </w:rPr>
            </w:pPr>
            <w:r>
              <w:rPr>
                <w:bCs/>
                <w:sz w:val="24"/>
                <w:szCs w:val="24"/>
              </w:rPr>
              <w:t>作用方向</w:t>
            </w:r>
          </w:p>
        </w:tc>
        <w:tc>
          <w:tcPr>
            <w:tcW w:w="1233" w:type="dxa"/>
            <w:tcBorders>
              <w:left w:val="nil"/>
              <w:bottom w:val="single" w:color="000000" w:sz="4" w:space="0"/>
              <w:right w:val="nil"/>
            </w:tcBorders>
            <w:shd w:val="clear" w:color="auto" w:fill="FFFFFF"/>
            <w:vAlign w:val="center"/>
          </w:tcPr>
          <w:p w14:paraId="1C698CB4">
            <w:pPr>
              <w:pStyle w:val="3"/>
              <w:spacing w:line="240" w:lineRule="auto"/>
              <w:ind w:firstLine="0" w:firstLineChars="0"/>
              <w:jc w:val="center"/>
              <w:rPr>
                <w:rFonts w:cs="宋体"/>
                <w:sz w:val="24"/>
                <w:szCs w:val="24"/>
              </w:rPr>
            </w:pPr>
            <w:r>
              <w:rPr>
                <w:bCs/>
                <w:sz w:val="24"/>
                <w:szCs w:val="24"/>
              </w:rPr>
              <w:t>允许最大偏离</w:t>
            </w:r>
          </w:p>
        </w:tc>
        <w:tc>
          <w:tcPr>
            <w:tcW w:w="1526" w:type="dxa"/>
            <w:tcBorders>
              <w:left w:val="nil"/>
              <w:bottom w:val="single" w:color="000000" w:sz="4" w:space="0"/>
              <w:right w:val="nil"/>
            </w:tcBorders>
            <w:shd w:val="clear" w:color="auto" w:fill="FFFFFF"/>
            <w:vAlign w:val="center"/>
          </w:tcPr>
          <w:p w14:paraId="18479F1F">
            <w:pPr>
              <w:pStyle w:val="3"/>
              <w:spacing w:line="240" w:lineRule="auto"/>
              <w:ind w:firstLine="0" w:firstLineChars="0"/>
              <w:jc w:val="center"/>
              <w:rPr>
                <w:rFonts w:cs="宋体"/>
                <w:sz w:val="24"/>
                <w:szCs w:val="24"/>
              </w:rPr>
            </w:pPr>
            <w:r>
              <w:rPr>
                <w:bCs/>
                <w:sz w:val="24"/>
                <w:szCs w:val="24"/>
              </w:rPr>
              <w:t>年份范围</w:t>
            </w:r>
          </w:p>
        </w:tc>
      </w:tr>
      <w:tr w14:paraId="7D3A87C6">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single" w:color="000000" w:sz="4" w:space="0"/>
              <w:left w:val="nil"/>
              <w:bottom w:val="nil"/>
              <w:right w:val="nil"/>
            </w:tcBorders>
            <w:shd w:val="clear" w:color="auto" w:fill="FFFFFF"/>
            <w:vAlign w:val="center"/>
          </w:tcPr>
          <w:p w14:paraId="195DC2B5">
            <w:pPr>
              <w:pStyle w:val="3"/>
              <w:spacing w:line="240" w:lineRule="auto"/>
              <w:ind w:firstLine="0" w:firstLineChars="0"/>
              <w:jc w:val="center"/>
              <w:rPr>
                <w:rFonts w:cs="宋体"/>
                <w:sz w:val="24"/>
                <w:szCs w:val="24"/>
              </w:rPr>
            </w:pPr>
            <w:r>
              <w:rPr>
                <w:sz w:val="24"/>
                <w:szCs w:val="24"/>
              </w:rPr>
              <w:t>中国</w:t>
            </w:r>
          </w:p>
        </w:tc>
        <w:tc>
          <w:tcPr>
            <w:tcW w:w="3344" w:type="dxa"/>
            <w:tcBorders>
              <w:top w:val="single" w:color="000000" w:sz="4" w:space="0"/>
              <w:left w:val="nil"/>
              <w:bottom w:val="nil"/>
              <w:right w:val="nil"/>
            </w:tcBorders>
            <w:shd w:val="clear" w:color="auto" w:fill="FFFFFF"/>
            <w:vAlign w:val="center"/>
          </w:tcPr>
          <w:p w14:paraId="3D036429">
            <w:pPr>
              <w:pStyle w:val="3"/>
              <w:spacing w:line="240" w:lineRule="auto"/>
              <w:ind w:firstLine="0" w:firstLineChars="0"/>
              <w:jc w:val="center"/>
              <w:rPr>
                <w:rFonts w:cs="宋体"/>
                <w:sz w:val="24"/>
                <w:szCs w:val="24"/>
              </w:rPr>
            </w:pPr>
            <w:r>
              <w:rPr>
                <w:sz w:val="24"/>
                <w:szCs w:val="24"/>
              </w:rPr>
              <w:t>中国加入 WTO</w:t>
            </w:r>
          </w:p>
        </w:tc>
        <w:tc>
          <w:tcPr>
            <w:tcW w:w="1245" w:type="dxa"/>
            <w:tcBorders>
              <w:top w:val="single" w:color="000000" w:sz="4" w:space="0"/>
              <w:left w:val="nil"/>
              <w:bottom w:val="nil"/>
              <w:right w:val="nil"/>
            </w:tcBorders>
            <w:shd w:val="clear" w:color="auto" w:fill="FFFFFF"/>
            <w:vAlign w:val="center"/>
          </w:tcPr>
          <w:p w14:paraId="46263A88">
            <w:pPr>
              <w:pStyle w:val="3"/>
              <w:spacing w:line="240" w:lineRule="auto"/>
              <w:ind w:firstLine="0" w:firstLineChars="0"/>
              <w:jc w:val="center"/>
              <w:rPr>
                <w:rFonts w:cs="宋体"/>
                <w:sz w:val="24"/>
                <w:szCs w:val="24"/>
              </w:rPr>
            </w:pPr>
            <w:r>
              <w:rPr>
                <w:sz w:val="24"/>
                <w:szCs w:val="24"/>
              </w:rPr>
              <w:t>推高</w:t>
            </w:r>
          </w:p>
        </w:tc>
        <w:tc>
          <w:tcPr>
            <w:tcW w:w="1233" w:type="dxa"/>
            <w:tcBorders>
              <w:top w:val="single" w:color="000000" w:sz="4" w:space="0"/>
              <w:left w:val="nil"/>
              <w:bottom w:val="nil"/>
              <w:right w:val="nil"/>
            </w:tcBorders>
            <w:shd w:val="clear" w:color="auto" w:fill="FFFFFF"/>
            <w:vAlign w:val="center"/>
          </w:tcPr>
          <w:p w14:paraId="43A051BE">
            <w:pPr>
              <w:pStyle w:val="3"/>
              <w:spacing w:line="240" w:lineRule="auto"/>
              <w:ind w:firstLine="0" w:firstLineChars="0"/>
              <w:jc w:val="center"/>
              <w:rPr>
                <w:rFonts w:cs="宋体"/>
                <w:sz w:val="24"/>
                <w:szCs w:val="24"/>
              </w:rPr>
            </w:pPr>
            <w:r>
              <w:rPr>
                <w:sz w:val="24"/>
                <w:szCs w:val="24"/>
              </w:rPr>
              <w:t>12%</w:t>
            </w:r>
          </w:p>
        </w:tc>
        <w:tc>
          <w:tcPr>
            <w:tcW w:w="1526" w:type="dxa"/>
            <w:tcBorders>
              <w:top w:val="single" w:color="000000" w:sz="4" w:space="0"/>
              <w:left w:val="nil"/>
              <w:bottom w:val="nil"/>
              <w:right w:val="nil"/>
            </w:tcBorders>
            <w:shd w:val="clear" w:color="auto" w:fill="FFFFFF"/>
            <w:vAlign w:val="center"/>
          </w:tcPr>
          <w:p w14:paraId="786CB3CC">
            <w:pPr>
              <w:pStyle w:val="3"/>
              <w:spacing w:line="240" w:lineRule="auto"/>
              <w:ind w:firstLine="0" w:firstLineChars="0"/>
              <w:jc w:val="center"/>
              <w:rPr>
                <w:rFonts w:cs="宋体"/>
                <w:sz w:val="24"/>
                <w:szCs w:val="24"/>
              </w:rPr>
            </w:pPr>
            <w:r>
              <w:rPr>
                <w:sz w:val="24"/>
                <w:szCs w:val="24"/>
              </w:rPr>
              <w:t>2001</w:t>
            </w:r>
            <w:r>
              <w:rPr>
                <w:rFonts w:hint="eastAsia"/>
                <w:sz w:val="24"/>
                <w:szCs w:val="24"/>
              </w:rPr>
              <w:t>-</w:t>
            </w:r>
            <w:r>
              <w:rPr>
                <w:sz w:val="24"/>
                <w:szCs w:val="24"/>
              </w:rPr>
              <w:t>2023</w:t>
            </w:r>
          </w:p>
        </w:tc>
      </w:tr>
      <w:tr w14:paraId="37BC7731">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4977C212">
            <w:pPr>
              <w:pStyle w:val="3"/>
              <w:spacing w:line="240" w:lineRule="auto"/>
              <w:ind w:firstLine="0" w:firstLineChars="0"/>
              <w:jc w:val="center"/>
              <w:rPr>
                <w:rFonts w:cs="宋体"/>
                <w:sz w:val="24"/>
                <w:szCs w:val="24"/>
              </w:rPr>
            </w:pPr>
            <w:r>
              <w:rPr>
                <w:sz w:val="24"/>
                <w:szCs w:val="24"/>
              </w:rPr>
              <w:t>中国</w:t>
            </w:r>
          </w:p>
        </w:tc>
        <w:tc>
          <w:tcPr>
            <w:tcW w:w="3344" w:type="dxa"/>
            <w:tcBorders>
              <w:top w:val="nil"/>
              <w:left w:val="nil"/>
              <w:bottom w:val="nil"/>
              <w:right w:val="nil"/>
            </w:tcBorders>
            <w:shd w:val="clear" w:color="auto" w:fill="FFFFFF"/>
            <w:vAlign w:val="center"/>
          </w:tcPr>
          <w:p w14:paraId="125D1238">
            <w:pPr>
              <w:pStyle w:val="3"/>
              <w:spacing w:line="240" w:lineRule="auto"/>
              <w:ind w:firstLine="0" w:firstLineChars="0"/>
              <w:jc w:val="center"/>
              <w:rPr>
                <w:rFonts w:cs="宋体"/>
                <w:sz w:val="24"/>
                <w:szCs w:val="24"/>
              </w:rPr>
            </w:pPr>
            <w:r>
              <w:rPr>
                <w:sz w:val="24"/>
                <w:szCs w:val="24"/>
              </w:rPr>
              <w:t>中国四万亿刺激计划</w:t>
            </w:r>
          </w:p>
        </w:tc>
        <w:tc>
          <w:tcPr>
            <w:tcW w:w="1245" w:type="dxa"/>
            <w:tcBorders>
              <w:top w:val="nil"/>
              <w:left w:val="nil"/>
              <w:bottom w:val="nil"/>
              <w:right w:val="nil"/>
            </w:tcBorders>
            <w:shd w:val="clear" w:color="auto" w:fill="FFFFFF"/>
            <w:vAlign w:val="center"/>
          </w:tcPr>
          <w:p w14:paraId="1790B47B">
            <w:pPr>
              <w:pStyle w:val="3"/>
              <w:spacing w:line="240" w:lineRule="auto"/>
              <w:ind w:firstLine="0" w:firstLineChars="0"/>
              <w:jc w:val="center"/>
              <w:rPr>
                <w:rFonts w:cs="宋体"/>
                <w:sz w:val="24"/>
                <w:szCs w:val="24"/>
              </w:rPr>
            </w:pPr>
            <w:r>
              <w:rPr>
                <w:sz w:val="24"/>
                <w:szCs w:val="24"/>
              </w:rPr>
              <w:t>推高</w:t>
            </w:r>
          </w:p>
        </w:tc>
        <w:tc>
          <w:tcPr>
            <w:tcW w:w="1233" w:type="dxa"/>
            <w:tcBorders>
              <w:top w:val="nil"/>
              <w:left w:val="nil"/>
              <w:bottom w:val="nil"/>
              <w:right w:val="nil"/>
            </w:tcBorders>
            <w:shd w:val="clear" w:color="auto" w:fill="FFFFFF"/>
            <w:vAlign w:val="center"/>
          </w:tcPr>
          <w:p w14:paraId="256886C3">
            <w:pPr>
              <w:pStyle w:val="3"/>
              <w:spacing w:line="240" w:lineRule="auto"/>
              <w:ind w:firstLine="0" w:firstLineChars="0"/>
              <w:jc w:val="center"/>
              <w:rPr>
                <w:rFonts w:cs="宋体"/>
                <w:sz w:val="24"/>
                <w:szCs w:val="24"/>
              </w:rPr>
            </w:pPr>
            <w:r>
              <w:rPr>
                <w:sz w:val="24"/>
                <w:szCs w:val="24"/>
              </w:rPr>
              <w:t>10%</w:t>
            </w:r>
          </w:p>
        </w:tc>
        <w:tc>
          <w:tcPr>
            <w:tcW w:w="1526" w:type="dxa"/>
            <w:tcBorders>
              <w:top w:val="nil"/>
              <w:left w:val="nil"/>
              <w:bottom w:val="nil"/>
              <w:right w:val="nil"/>
            </w:tcBorders>
            <w:shd w:val="clear" w:color="auto" w:fill="FFFFFF"/>
            <w:vAlign w:val="center"/>
          </w:tcPr>
          <w:p w14:paraId="3606A388">
            <w:pPr>
              <w:pStyle w:val="3"/>
              <w:spacing w:line="240" w:lineRule="auto"/>
              <w:ind w:firstLine="0" w:firstLineChars="0"/>
              <w:jc w:val="center"/>
              <w:rPr>
                <w:rFonts w:cs="宋体"/>
                <w:sz w:val="24"/>
                <w:szCs w:val="24"/>
              </w:rPr>
            </w:pPr>
            <w:r>
              <w:rPr>
                <w:sz w:val="24"/>
                <w:szCs w:val="24"/>
              </w:rPr>
              <w:t>2008</w:t>
            </w:r>
            <w:r>
              <w:rPr>
                <w:rFonts w:hint="eastAsia"/>
                <w:sz w:val="24"/>
                <w:szCs w:val="24"/>
              </w:rPr>
              <w:t>-</w:t>
            </w:r>
            <w:r>
              <w:rPr>
                <w:sz w:val="24"/>
                <w:szCs w:val="24"/>
              </w:rPr>
              <w:t>2010</w:t>
            </w:r>
          </w:p>
        </w:tc>
      </w:tr>
      <w:tr w14:paraId="0421EA99">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54356406">
            <w:pPr>
              <w:pStyle w:val="3"/>
              <w:spacing w:line="240" w:lineRule="auto"/>
              <w:ind w:firstLine="0" w:firstLineChars="0"/>
              <w:jc w:val="center"/>
              <w:rPr>
                <w:rFonts w:cs="宋体"/>
                <w:sz w:val="24"/>
                <w:szCs w:val="24"/>
              </w:rPr>
            </w:pPr>
            <w:r>
              <w:rPr>
                <w:sz w:val="24"/>
                <w:szCs w:val="24"/>
              </w:rPr>
              <w:t>中国</w:t>
            </w:r>
          </w:p>
        </w:tc>
        <w:tc>
          <w:tcPr>
            <w:tcW w:w="3344" w:type="dxa"/>
            <w:tcBorders>
              <w:top w:val="nil"/>
              <w:left w:val="nil"/>
              <w:bottom w:val="nil"/>
              <w:right w:val="nil"/>
            </w:tcBorders>
            <w:shd w:val="clear" w:color="auto" w:fill="FFFFFF"/>
            <w:vAlign w:val="center"/>
          </w:tcPr>
          <w:p w14:paraId="1F4B1020">
            <w:pPr>
              <w:pStyle w:val="3"/>
              <w:spacing w:line="240" w:lineRule="auto"/>
              <w:ind w:firstLine="0" w:firstLineChars="0"/>
              <w:jc w:val="center"/>
              <w:rPr>
                <w:rFonts w:cs="宋体"/>
                <w:sz w:val="24"/>
                <w:szCs w:val="24"/>
              </w:rPr>
            </w:pPr>
            <w:r>
              <w:rPr>
                <w:sz w:val="24"/>
                <w:szCs w:val="24"/>
              </w:rPr>
              <w:t>中国钢铁去产能</w:t>
            </w:r>
          </w:p>
        </w:tc>
        <w:tc>
          <w:tcPr>
            <w:tcW w:w="1245" w:type="dxa"/>
            <w:tcBorders>
              <w:top w:val="nil"/>
              <w:left w:val="nil"/>
              <w:bottom w:val="nil"/>
              <w:right w:val="nil"/>
            </w:tcBorders>
            <w:shd w:val="clear" w:color="auto" w:fill="FFFFFF"/>
            <w:vAlign w:val="center"/>
          </w:tcPr>
          <w:p w14:paraId="1DB65C37">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77FC737B">
            <w:pPr>
              <w:pStyle w:val="3"/>
              <w:spacing w:line="240" w:lineRule="auto"/>
              <w:ind w:firstLine="0" w:firstLineChars="0"/>
              <w:jc w:val="center"/>
              <w:rPr>
                <w:rFonts w:cs="宋体"/>
                <w:sz w:val="24"/>
                <w:szCs w:val="24"/>
              </w:rPr>
            </w:pPr>
            <w:r>
              <w:rPr>
                <w:sz w:val="24"/>
                <w:szCs w:val="24"/>
              </w:rPr>
              <w:t>12%</w:t>
            </w:r>
          </w:p>
        </w:tc>
        <w:tc>
          <w:tcPr>
            <w:tcW w:w="1526" w:type="dxa"/>
            <w:tcBorders>
              <w:top w:val="nil"/>
              <w:left w:val="nil"/>
              <w:bottom w:val="nil"/>
              <w:right w:val="nil"/>
            </w:tcBorders>
            <w:shd w:val="clear" w:color="auto" w:fill="FFFFFF"/>
            <w:vAlign w:val="center"/>
          </w:tcPr>
          <w:p w14:paraId="2AE73D28">
            <w:pPr>
              <w:pStyle w:val="3"/>
              <w:spacing w:line="240" w:lineRule="auto"/>
              <w:ind w:firstLine="0" w:firstLineChars="0"/>
              <w:jc w:val="center"/>
              <w:rPr>
                <w:rFonts w:cs="宋体"/>
                <w:sz w:val="24"/>
                <w:szCs w:val="24"/>
              </w:rPr>
            </w:pPr>
            <w:r>
              <w:rPr>
                <w:sz w:val="24"/>
                <w:szCs w:val="24"/>
              </w:rPr>
              <w:t>2016</w:t>
            </w:r>
            <w:r>
              <w:rPr>
                <w:rFonts w:hint="eastAsia"/>
                <w:sz w:val="24"/>
                <w:szCs w:val="24"/>
              </w:rPr>
              <w:t>-</w:t>
            </w:r>
            <w:r>
              <w:rPr>
                <w:sz w:val="24"/>
                <w:szCs w:val="24"/>
              </w:rPr>
              <w:t>2018</w:t>
            </w:r>
          </w:p>
        </w:tc>
      </w:tr>
      <w:tr w14:paraId="75F92B91">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24319280">
            <w:pPr>
              <w:pStyle w:val="3"/>
              <w:spacing w:line="240" w:lineRule="auto"/>
              <w:ind w:firstLine="0" w:firstLineChars="0"/>
              <w:jc w:val="center"/>
              <w:rPr>
                <w:rFonts w:cs="宋体"/>
                <w:sz w:val="24"/>
                <w:szCs w:val="24"/>
              </w:rPr>
            </w:pPr>
            <w:r>
              <w:rPr>
                <w:sz w:val="24"/>
                <w:szCs w:val="24"/>
              </w:rPr>
              <w:t>中国</w:t>
            </w:r>
          </w:p>
        </w:tc>
        <w:tc>
          <w:tcPr>
            <w:tcW w:w="3344" w:type="dxa"/>
            <w:tcBorders>
              <w:top w:val="nil"/>
              <w:left w:val="nil"/>
              <w:bottom w:val="nil"/>
              <w:right w:val="nil"/>
            </w:tcBorders>
            <w:shd w:val="clear" w:color="auto" w:fill="FFFFFF"/>
            <w:vAlign w:val="center"/>
          </w:tcPr>
          <w:p w14:paraId="1CCE04B4">
            <w:pPr>
              <w:pStyle w:val="3"/>
              <w:spacing w:line="240" w:lineRule="auto"/>
              <w:ind w:firstLine="0" w:firstLineChars="0"/>
              <w:jc w:val="center"/>
              <w:rPr>
                <w:rFonts w:cs="宋体"/>
                <w:sz w:val="24"/>
                <w:szCs w:val="24"/>
              </w:rPr>
            </w:pPr>
            <w:r>
              <w:rPr>
                <w:sz w:val="24"/>
                <w:szCs w:val="24"/>
              </w:rPr>
              <w:t>中国新冠疫情冲击</w:t>
            </w:r>
          </w:p>
        </w:tc>
        <w:tc>
          <w:tcPr>
            <w:tcW w:w="1245" w:type="dxa"/>
            <w:tcBorders>
              <w:top w:val="nil"/>
              <w:left w:val="nil"/>
              <w:bottom w:val="nil"/>
              <w:right w:val="nil"/>
            </w:tcBorders>
            <w:shd w:val="clear" w:color="auto" w:fill="FFFFFF"/>
            <w:vAlign w:val="center"/>
          </w:tcPr>
          <w:p w14:paraId="26973CD1">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1304E616">
            <w:pPr>
              <w:pStyle w:val="3"/>
              <w:spacing w:line="240" w:lineRule="auto"/>
              <w:ind w:firstLine="0" w:firstLineChars="0"/>
              <w:jc w:val="center"/>
              <w:rPr>
                <w:rFonts w:cs="宋体"/>
                <w:sz w:val="24"/>
                <w:szCs w:val="24"/>
              </w:rPr>
            </w:pPr>
            <w:r>
              <w:rPr>
                <w:sz w:val="24"/>
                <w:szCs w:val="24"/>
              </w:rPr>
              <w:t>18%</w:t>
            </w:r>
          </w:p>
        </w:tc>
        <w:tc>
          <w:tcPr>
            <w:tcW w:w="1526" w:type="dxa"/>
            <w:tcBorders>
              <w:top w:val="nil"/>
              <w:left w:val="nil"/>
              <w:bottom w:val="nil"/>
              <w:right w:val="nil"/>
            </w:tcBorders>
            <w:shd w:val="clear" w:color="auto" w:fill="FFFFFF"/>
            <w:vAlign w:val="center"/>
          </w:tcPr>
          <w:p w14:paraId="3DFB8A65">
            <w:pPr>
              <w:pStyle w:val="3"/>
              <w:spacing w:line="240" w:lineRule="auto"/>
              <w:ind w:firstLine="0" w:firstLineChars="0"/>
              <w:jc w:val="center"/>
              <w:rPr>
                <w:rFonts w:cs="宋体"/>
                <w:sz w:val="24"/>
                <w:szCs w:val="24"/>
              </w:rPr>
            </w:pPr>
            <w:r>
              <w:rPr>
                <w:sz w:val="24"/>
                <w:szCs w:val="24"/>
              </w:rPr>
              <w:t>2020</w:t>
            </w:r>
            <w:r>
              <w:rPr>
                <w:rFonts w:hint="eastAsia"/>
                <w:sz w:val="24"/>
                <w:szCs w:val="24"/>
              </w:rPr>
              <w:t>-</w:t>
            </w:r>
            <w:r>
              <w:rPr>
                <w:sz w:val="24"/>
                <w:szCs w:val="24"/>
              </w:rPr>
              <w:t>2021</w:t>
            </w:r>
          </w:p>
        </w:tc>
      </w:tr>
      <w:tr w14:paraId="02046E9D">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73094293">
            <w:pPr>
              <w:pStyle w:val="3"/>
              <w:spacing w:line="240" w:lineRule="auto"/>
              <w:ind w:firstLine="0" w:firstLineChars="0"/>
              <w:jc w:val="center"/>
              <w:rPr>
                <w:rFonts w:cs="宋体"/>
                <w:sz w:val="24"/>
                <w:szCs w:val="24"/>
              </w:rPr>
            </w:pPr>
            <w:r>
              <w:rPr>
                <w:sz w:val="24"/>
                <w:szCs w:val="24"/>
              </w:rPr>
              <w:t>印度</w:t>
            </w:r>
          </w:p>
        </w:tc>
        <w:tc>
          <w:tcPr>
            <w:tcW w:w="3344" w:type="dxa"/>
            <w:tcBorders>
              <w:top w:val="nil"/>
              <w:left w:val="nil"/>
              <w:bottom w:val="nil"/>
              <w:right w:val="nil"/>
            </w:tcBorders>
            <w:shd w:val="clear" w:color="auto" w:fill="FFFFFF"/>
            <w:vAlign w:val="center"/>
          </w:tcPr>
          <w:p w14:paraId="454BE6A1">
            <w:pPr>
              <w:pStyle w:val="3"/>
              <w:spacing w:line="240" w:lineRule="auto"/>
              <w:ind w:firstLine="0" w:firstLineChars="0"/>
              <w:jc w:val="center"/>
              <w:rPr>
                <w:rFonts w:cs="宋体"/>
                <w:sz w:val="24"/>
                <w:szCs w:val="24"/>
              </w:rPr>
            </w:pPr>
            <w:r>
              <w:rPr>
                <w:sz w:val="24"/>
                <w:szCs w:val="24"/>
              </w:rPr>
              <w:t>“印度制造”计划与工业化加速</w:t>
            </w:r>
          </w:p>
        </w:tc>
        <w:tc>
          <w:tcPr>
            <w:tcW w:w="1245" w:type="dxa"/>
            <w:tcBorders>
              <w:top w:val="nil"/>
              <w:left w:val="nil"/>
              <w:bottom w:val="nil"/>
              <w:right w:val="nil"/>
            </w:tcBorders>
            <w:shd w:val="clear" w:color="auto" w:fill="FFFFFF"/>
            <w:vAlign w:val="center"/>
          </w:tcPr>
          <w:p w14:paraId="0BDB979E">
            <w:pPr>
              <w:pStyle w:val="3"/>
              <w:spacing w:line="240" w:lineRule="auto"/>
              <w:ind w:firstLine="0" w:firstLineChars="0"/>
              <w:jc w:val="center"/>
              <w:rPr>
                <w:rFonts w:cs="宋体"/>
                <w:sz w:val="24"/>
                <w:szCs w:val="24"/>
              </w:rPr>
            </w:pPr>
            <w:r>
              <w:rPr>
                <w:sz w:val="24"/>
                <w:szCs w:val="24"/>
              </w:rPr>
              <w:t>推高</w:t>
            </w:r>
          </w:p>
        </w:tc>
        <w:tc>
          <w:tcPr>
            <w:tcW w:w="1233" w:type="dxa"/>
            <w:tcBorders>
              <w:top w:val="nil"/>
              <w:left w:val="nil"/>
              <w:bottom w:val="nil"/>
              <w:right w:val="nil"/>
            </w:tcBorders>
            <w:shd w:val="clear" w:color="auto" w:fill="FFFFFF"/>
            <w:vAlign w:val="center"/>
          </w:tcPr>
          <w:p w14:paraId="025435CF">
            <w:pPr>
              <w:pStyle w:val="3"/>
              <w:spacing w:line="240" w:lineRule="auto"/>
              <w:ind w:firstLine="0" w:firstLineChars="0"/>
              <w:jc w:val="center"/>
              <w:rPr>
                <w:rFonts w:cs="宋体"/>
                <w:sz w:val="24"/>
                <w:szCs w:val="24"/>
              </w:rPr>
            </w:pPr>
            <w:r>
              <w:rPr>
                <w:sz w:val="24"/>
                <w:szCs w:val="24"/>
              </w:rPr>
              <w:t>12%</w:t>
            </w:r>
          </w:p>
        </w:tc>
        <w:tc>
          <w:tcPr>
            <w:tcW w:w="1526" w:type="dxa"/>
            <w:tcBorders>
              <w:top w:val="nil"/>
              <w:left w:val="nil"/>
              <w:bottom w:val="nil"/>
              <w:right w:val="nil"/>
            </w:tcBorders>
            <w:shd w:val="clear" w:color="auto" w:fill="FFFFFF"/>
            <w:vAlign w:val="center"/>
          </w:tcPr>
          <w:p w14:paraId="73A0FC85">
            <w:pPr>
              <w:pStyle w:val="3"/>
              <w:spacing w:line="240" w:lineRule="auto"/>
              <w:ind w:firstLine="0" w:firstLineChars="0"/>
              <w:jc w:val="center"/>
              <w:rPr>
                <w:rFonts w:cs="宋体"/>
                <w:sz w:val="24"/>
                <w:szCs w:val="24"/>
              </w:rPr>
            </w:pPr>
            <w:r>
              <w:rPr>
                <w:sz w:val="24"/>
                <w:szCs w:val="24"/>
              </w:rPr>
              <w:t>2017</w:t>
            </w:r>
            <w:r>
              <w:rPr>
                <w:rFonts w:hint="eastAsia"/>
                <w:sz w:val="24"/>
                <w:szCs w:val="24"/>
              </w:rPr>
              <w:t>-</w:t>
            </w:r>
            <w:r>
              <w:rPr>
                <w:sz w:val="24"/>
                <w:szCs w:val="24"/>
              </w:rPr>
              <w:t>2023</w:t>
            </w:r>
          </w:p>
        </w:tc>
      </w:tr>
      <w:tr w14:paraId="45DDB463">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7F141DA0">
            <w:pPr>
              <w:pStyle w:val="3"/>
              <w:spacing w:line="240" w:lineRule="auto"/>
              <w:ind w:firstLine="0" w:firstLineChars="0"/>
              <w:jc w:val="center"/>
              <w:rPr>
                <w:rFonts w:cs="宋体"/>
                <w:sz w:val="24"/>
                <w:szCs w:val="24"/>
              </w:rPr>
            </w:pPr>
            <w:r>
              <w:rPr>
                <w:sz w:val="24"/>
                <w:szCs w:val="24"/>
              </w:rPr>
              <w:t>印度</w:t>
            </w:r>
          </w:p>
        </w:tc>
        <w:tc>
          <w:tcPr>
            <w:tcW w:w="3344" w:type="dxa"/>
            <w:tcBorders>
              <w:top w:val="nil"/>
              <w:left w:val="nil"/>
              <w:bottom w:val="nil"/>
              <w:right w:val="nil"/>
            </w:tcBorders>
            <w:shd w:val="clear" w:color="auto" w:fill="FFFFFF"/>
            <w:vAlign w:val="center"/>
          </w:tcPr>
          <w:p w14:paraId="41C183DB">
            <w:pPr>
              <w:pStyle w:val="3"/>
              <w:spacing w:line="240" w:lineRule="auto"/>
              <w:ind w:firstLine="0" w:firstLineChars="0"/>
              <w:jc w:val="center"/>
              <w:rPr>
                <w:rFonts w:cs="宋体"/>
                <w:sz w:val="24"/>
                <w:szCs w:val="24"/>
              </w:rPr>
            </w:pPr>
            <w:r>
              <w:rPr>
                <w:sz w:val="24"/>
                <w:szCs w:val="24"/>
              </w:rPr>
              <w:t>印度新冠疫情冲击</w:t>
            </w:r>
          </w:p>
        </w:tc>
        <w:tc>
          <w:tcPr>
            <w:tcW w:w="1245" w:type="dxa"/>
            <w:tcBorders>
              <w:top w:val="nil"/>
              <w:left w:val="nil"/>
              <w:bottom w:val="nil"/>
              <w:right w:val="nil"/>
            </w:tcBorders>
            <w:shd w:val="clear" w:color="auto" w:fill="FFFFFF"/>
            <w:vAlign w:val="center"/>
          </w:tcPr>
          <w:p w14:paraId="37EC355C">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7BC7EB3A">
            <w:pPr>
              <w:pStyle w:val="3"/>
              <w:spacing w:line="240" w:lineRule="auto"/>
              <w:ind w:firstLine="0" w:firstLineChars="0"/>
              <w:jc w:val="center"/>
              <w:rPr>
                <w:rFonts w:cs="宋体"/>
                <w:sz w:val="24"/>
                <w:szCs w:val="24"/>
              </w:rPr>
            </w:pPr>
            <w:r>
              <w:rPr>
                <w:sz w:val="24"/>
                <w:szCs w:val="24"/>
              </w:rPr>
              <w:t>12%</w:t>
            </w:r>
          </w:p>
        </w:tc>
        <w:tc>
          <w:tcPr>
            <w:tcW w:w="1526" w:type="dxa"/>
            <w:tcBorders>
              <w:top w:val="nil"/>
              <w:left w:val="nil"/>
              <w:bottom w:val="nil"/>
              <w:right w:val="nil"/>
            </w:tcBorders>
            <w:shd w:val="clear" w:color="auto" w:fill="FFFFFF"/>
            <w:vAlign w:val="center"/>
          </w:tcPr>
          <w:p w14:paraId="3F9803FC">
            <w:pPr>
              <w:pStyle w:val="3"/>
              <w:spacing w:line="240" w:lineRule="auto"/>
              <w:ind w:firstLine="0" w:firstLineChars="0"/>
              <w:jc w:val="center"/>
              <w:rPr>
                <w:rFonts w:cs="宋体"/>
                <w:sz w:val="24"/>
                <w:szCs w:val="24"/>
              </w:rPr>
            </w:pPr>
            <w:r>
              <w:rPr>
                <w:sz w:val="24"/>
                <w:szCs w:val="24"/>
              </w:rPr>
              <w:t>2020</w:t>
            </w:r>
            <w:r>
              <w:rPr>
                <w:rFonts w:hint="eastAsia"/>
                <w:sz w:val="24"/>
                <w:szCs w:val="24"/>
              </w:rPr>
              <w:t>-</w:t>
            </w:r>
            <w:r>
              <w:rPr>
                <w:sz w:val="24"/>
                <w:szCs w:val="24"/>
              </w:rPr>
              <w:t>2021</w:t>
            </w:r>
          </w:p>
        </w:tc>
      </w:tr>
      <w:tr w14:paraId="3C7915EA">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655E0BA2">
            <w:pPr>
              <w:pStyle w:val="3"/>
              <w:spacing w:line="240" w:lineRule="auto"/>
              <w:ind w:firstLine="0" w:firstLineChars="0"/>
              <w:jc w:val="center"/>
              <w:rPr>
                <w:rFonts w:cs="宋体"/>
                <w:sz w:val="24"/>
                <w:szCs w:val="24"/>
              </w:rPr>
            </w:pPr>
            <w:r>
              <w:rPr>
                <w:sz w:val="24"/>
                <w:szCs w:val="24"/>
              </w:rPr>
              <w:t>日本</w:t>
            </w:r>
          </w:p>
        </w:tc>
        <w:tc>
          <w:tcPr>
            <w:tcW w:w="3344" w:type="dxa"/>
            <w:tcBorders>
              <w:top w:val="nil"/>
              <w:left w:val="nil"/>
              <w:bottom w:val="nil"/>
              <w:right w:val="nil"/>
            </w:tcBorders>
            <w:shd w:val="clear" w:color="auto" w:fill="FFFFFF"/>
            <w:vAlign w:val="center"/>
          </w:tcPr>
          <w:p w14:paraId="63F1459A">
            <w:pPr>
              <w:pStyle w:val="3"/>
              <w:spacing w:line="240" w:lineRule="auto"/>
              <w:ind w:firstLine="0" w:firstLineChars="0"/>
              <w:jc w:val="center"/>
              <w:rPr>
                <w:rFonts w:cs="宋体"/>
                <w:sz w:val="24"/>
                <w:szCs w:val="24"/>
              </w:rPr>
            </w:pPr>
            <w:r>
              <w:rPr>
                <w:sz w:val="24"/>
                <w:szCs w:val="24"/>
              </w:rPr>
              <w:t>全球金融危机冲击</w:t>
            </w:r>
          </w:p>
        </w:tc>
        <w:tc>
          <w:tcPr>
            <w:tcW w:w="1245" w:type="dxa"/>
            <w:tcBorders>
              <w:top w:val="nil"/>
              <w:left w:val="nil"/>
              <w:bottom w:val="nil"/>
              <w:right w:val="nil"/>
            </w:tcBorders>
            <w:shd w:val="clear" w:color="auto" w:fill="FFFFFF"/>
            <w:vAlign w:val="center"/>
          </w:tcPr>
          <w:p w14:paraId="3A081989">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63C86885">
            <w:pPr>
              <w:pStyle w:val="3"/>
              <w:spacing w:line="240" w:lineRule="auto"/>
              <w:ind w:firstLine="0" w:firstLineChars="0"/>
              <w:jc w:val="center"/>
              <w:rPr>
                <w:rFonts w:cs="宋体"/>
                <w:sz w:val="24"/>
                <w:szCs w:val="24"/>
              </w:rPr>
            </w:pPr>
            <w:r>
              <w:rPr>
                <w:sz w:val="24"/>
                <w:szCs w:val="24"/>
              </w:rPr>
              <w:t>15%</w:t>
            </w:r>
          </w:p>
        </w:tc>
        <w:tc>
          <w:tcPr>
            <w:tcW w:w="1526" w:type="dxa"/>
            <w:tcBorders>
              <w:top w:val="nil"/>
              <w:left w:val="nil"/>
              <w:bottom w:val="nil"/>
              <w:right w:val="nil"/>
            </w:tcBorders>
            <w:shd w:val="clear" w:color="auto" w:fill="FFFFFF"/>
            <w:vAlign w:val="center"/>
          </w:tcPr>
          <w:p w14:paraId="1A5EA8A9">
            <w:pPr>
              <w:pStyle w:val="3"/>
              <w:spacing w:line="240" w:lineRule="auto"/>
              <w:ind w:firstLine="0" w:firstLineChars="0"/>
              <w:jc w:val="center"/>
              <w:rPr>
                <w:rFonts w:cs="宋体"/>
                <w:sz w:val="24"/>
                <w:szCs w:val="24"/>
              </w:rPr>
            </w:pPr>
            <w:r>
              <w:rPr>
                <w:sz w:val="24"/>
                <w:szCs w:val="24"/>
              </w:rPr>
              <w:t>2008</w:t>
            </w:r>
            <w:r>
              <w:rPr>
                <w:rFonts w:hint="eastAsia"/>
                <w:sz w:val="24"/>
                <w:szCs w:val="24"/>
              </w:rPr>
              <w:t>-</w:t>
            </w:r>
            <w:r>
              <w:rPr>
                <w:sz w:val="24"/>
                <w:szCs w:val="24"/>
              </w:rPr>
              <w:t>2010</w:t>
            </w:r>
          </w:p>
        </w:tc>
      </w:tr>
      <w:tr w14:paraId="0F343A8C">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0C4A8688">
            <w:pPr>
              <w:pStyle w:val="3"/>
              <w:spacing w:line="240" w:lineRule="auto"/>
              <w:ind w:firstLine="0" w:firstLineChars="0"/>
              <w:jc w:val="center"/>
              <w:rPr>
                <w:rFonts w:cs="宋体"/>
                <w:sz w:val="24"/>
                <w:szCs w:val="24"/>
              </w:rPr>
            </w:pPr>
            <w:r>
              <w:rPr>
                <w:sz w:val="24"/>
                <w:szCs w:val="24"/>
              </w:rPr>
              <w:t>日本</w:t>
            </w:r>
          </w:p>
        </w:tc>
        <w:tc>
          <w:tcPr>
            <w:tcW w:w="3344" w:type="dxa"/>
            <w:tcBorders>
              <w:top w:val="nil"/>
              <w:left w:val="nil"/>
              <w:bottom w:val="nil"/>
              <w:right w:val="nil"/>
            </w:tcBorders>
            <w:shd w:val="clear" w:color="auto" w:fill="FFFFFF"/>
            <w:vAlign w:val="center"/>
          </w:tcPr>
          <w:p w14:paraId="2217BEB0">
            <w:pPr>
              <w:pStyle w:val="3"/>
              <w:spacing w:line="240" w:lineRule="auto"/>
              <w:ind w:firstLine="0" w:firstLineChars="0"/>
              <w:jc w:val="center"/>
              <w:rPr>
                <w:rFonts w:cs="宋体"/>
                <w:sz w:val="24"/>
                <w:szCs w:val="24"/>
              </w:rPr>
            </w:pPr>
            <w:r>
              <w:rPr>
                <w:sz w:val="24"/>
                <w:szCs w:val="24"/>
              </w:rPr>
              <w:t>福岛核事故后“去核增煤”</w:t>
            </w:r>
          </w:p>
        </w:tc>
        <w:tc>
          <w:tcPr>
            <w:tcW w:w="1245" w:type="dxa"/>
            <w:tcBorders>
              <w:top w:val="nil"/>
              <w:left w:val="nil"/>
              <w:bottom w:val="nil"/>
              <w:right w:val="nil"/>
            </w:tcBorders>
            <w:shd w:val="clear" w:color="auto" w:fill="FFFFFF"/>
            <w:vAlign w:val="center"/>
          </w:tcPr>
          <w:p w14:paraId="03FB3105">
            <w:pPr>
              <w:pStyle w:val="3"/>
              <w:spacing w:line="240" w:lineRule="auto"/>
              <w:ind w:firstLine="0" w:firstLineChars="0"/>
              <w:jc w:val="center"/>
              <w:rPr>
                <w:rFonts w:cs="宋体"/>
                <w:sz w:val="24"/>
                <w:szCs w:val="24"/>
              </w:rPr>
            </w:pPr>
            <w:r>
              <w:rPr>
                <w:sz w:val="24"/>
                <w:szCs w:val="24"/>
              </w:rPr>
              <w:t>推高</w:t>
            </w:r>
          </w:p>
        </w:tc>
        <w:tc>
          <w:tcPr>
            <w:tcW w:w="1233" w:type="dxa"/>
            <w:tcBorders>
              <w:top w:val="nil"/>
              <w:left w:val="nil"/>
              <w:bottom w:val="nil"/>
              <w:right w:val="nil"/>
            </w:tcBorders>
            <w:shd w:val="clear" w:color="auto" w:fill="FFFFFF"/>
            <w:vAlign w:val="center"/>
          </w:tcPr>
          <w:p w14:paraId="56944071">
            <w:pPr>
              <w:pStyle w:val="3"/>
              <w:spacing w:line="240" w:lineRule="auto"/>
              <w:ind w:firstLine="0" w:firstLineChars="0"/>
              <w:jc w:val="center"/>
              <w:rPr>
                <w:rFonts w:cs="宋体"/>
                <w:sz w:val="24"/>
                <w:szCs w:val="24"/>
              </w:rPr>
            </w:pPr>
            <w:r>
              <w:rPr>
                <w:sz w:val="24"/>
                <w:szCs w:val="24"/>
              </w:rPr>
              <w:t>8%</w:t>
            </w:r>
          </w:p>
        </w:tc>
        <w:tc>
          <w:tcPr>
            <w:tcW w:w="1526" w:type="dxa"/>
            <w:tcBorders>
              <w:top w:val="nil"/>
              <w:left w:val="nil"/>
              <w:bottom w:val="nil"/>
              <w:right w:val="nil"/>
            </w:tcBorders>
            <w:shd w:val="clear" w:color="auto" w:fill="FFFFFF"/>
            <w:vAlign w:val="center"/>
          </w:tcPr>
          <w:p w14:paraId="10790EAA">
            <w:pPr>
              <w:pStyle w:val="3"/>
              <w:spacing w:line="240" w:lineRule="auto"/>
              <w:ind w:firstLine="0" w:firstLineChars="0"/>
              <w:jc w:val="center"/>
              <w:rPr>
                <w:rFonts w:cs="宋体"/>
                <w:sz w:val="24"/>
                <w:szCs w:val="24"/>
              </w:rPr>
            </w:pPr>
            <w:r>
              <w:rPr>
                <w:sz w:val="24"/>
                <w:szCs w:val="24"/>
              </w:rPr>
              <w:t>2011</w:t>
            </w:r>
            <w:r>
              <w:rPr>
                <w:rFonts w:hint="eastAsia"/>
                <w:sz w:val="24"/>
                <w:szCs w:val="24"/>
              </w:rPr>
              <w:t>-</w:t>
            </w:r>
            <w:r>
              <w:rPr>
                <w:sz w:val="24"/>
                <w:szCs w:val="24"/>
              </w:rPr>
              <w:t>2013</w:t>
            </w:r>
          </w:p>
        </w:tc>
      </w:tr>
      <w:tr w14:paraId="17534731">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61B6B578">
            <w:pPr>
              <w:pStyle w:val="3"/>
              <w:spacing w:line="240" w:lineRule="auto"/>
              <w:ind w:firstLine="0" w:firstLineChars="0"/>
              <w:jc w:val="center"/>
              <w:rPr>
                <w:rFonts w:cs="宋体"/>
                <w:sz w:val="24"/>
                <w:szCs w:val="24"/>
              </w:rPr>
            </w:pPr>
            <w:r>
              <w:rPr>
                <w:sz w:val="24"/>
                <w:szCs w:val="24"/>
              </w:rPr>
              <w:t>日本</w:t>
            </w:r>
          </w:p>
        </w:tc>
        <w:tc>
          <w:tcPr>
            <w:tcW w:w="3344" w:type="dxa"/>
            <w:tcBorders>
              <w:top w:val="nil"/>
              <w:left w:val="nil"/>
              <w:bottom w:val="nil"/>
              <w:right w:val="nil"/>
            </w:tcBorders>
            <w:shd w:val="clear" w:color="auto" w:fill="FFFFFF"/>
            <w:vAlign w:val="center"/>
          </w:tcPr>
          <w:p w14:paraId="395CA7AB">
            <w:pPr>
              <w:pStyle w:val="3"/>
              <w:spacing w:line="240" w:lineRule="auto"/>
              <w:ind w:firstLine="0" w:firstLineChars="0"/>
              <w:jc w:val="center"/>
              <w:rPr>
                <w:rFonts w:cs="宋体"/>
                <w:sz w:val="24"/>
                <w:szCs w:val="24"/>
              </w:rPr>
            </w:pPr>
            <w:r>
              <w:rPr>
                <w:sz w:val="24"/>
                <w:szCs w:val="24"/>
              </w:rPr>
              <w:t>日本新冠疫情冲击</w:t>
            </w:r>
          </w:p>
        </w:tc>
        <w:tc>
          <w:tcPr>
            <w:tcW w:w="1245" w:type="dxa"/>
            <w:tcBorders>
              <w:top w:val="nil"/>
              <w:left w:val="nil"/>
              <w:bottom w:val="nil"/>
              <w:right w:val="nil"/>
            </w:tcBorders>
            <w:shd w:val="clear" w:color="auto" w:fill="FFFFFF"/>
            <w:vAlign w:val="center"/>
          </w:tcPr>
          <w:p w14:paraId="32991441">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35AABFE1">
            <w:pPr>
              <w:pStyle w:val="3"/>
              <w:spacing w:line="240" w:lineRule="auto"/>
              <w:ind w:firstLine="0" w:firstLineChars="0"/>
              <w:jc w:val="center"/>
              <w:rPr>
                <w:rFonts w:cs="宋体"/>
                <w:sz w:val="24"/>
                <w:szCs w:val="24"/>
              </w:rPr>
            </w:pPr>
            <w:r>
              <w:rPr>
                <w:sz w:val="24"/>
                <w:szCs w:val="24"/>
              </w:rPr>
              <w:t>12%</w:t>
            </w:r>
          </w:p>
        </w:tc>
        <w:tc>
          <w:tcPr>
            <w:tcW w:w="1526" w:type="dxa"/>
            <w:tcBorders>
              <w:top w:val="nil"/>
              <w:left w:val="nil"/>
              <w:bottom w:val="nil"/>
              <w:right w:val="nil"/>
            </w:tcBorders>
            <w:shd w:val="clear" w:color="auto" w:fill="FFFFFF"/>
            <w:vAlign w:val="center"/>
          </w:tcPr>
          <w:p w14:paraId="728FF267">
            <w:pPr>
              <w:pStyle w:val="3"/>
              <w:spacing w:line="240" w:lineRule="auto"/>
              <w:ind w:firstLine="0" w:firstLineChars="0"/>
              <w:jc w:val="center"/>
              <w:rPr>
                <w:rFonts w:cs="宋体"/>
                <w:sz w:val="24"/>
                <w:szCs w:val="24"/>
              </w:rPr>
            </w:pPr>
            <w:r>
              <w:rPr>
                <w:sz w:val="24"/>
                <w:szCs w:val="24"/>
              </w:rPr>
              <w:t>2020</w:t>
            </w:r>
            <w:r>
              <w:rPr>
                <w:rFonts w:hint="eastAsia"/>
                <w:sz w:val="24"/>
                <w:szCs w:val="24"/>
              </w:rPr>
              <w:t>-</w:t>
            </w:r>
            <w:r>
              <w:rPr>
                <w:sz w:val="24"/>
                <w:szCs w:val="24"/>
              </w:rPr>
              <w:t>2021</w:t>
            </w:r>
          </w:p>
        </w:tc>
      </w:tr>
      <w:tr w14:paraId="71DE556C">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70DEDA52">
            <w:pPr>
              <w:pStyle w:val="3"/>
              <w:spacing w:line="240" w:lineRule="auto"/>
              <w:ind w:firstLine="0" w:firstLineChars="0"/>
              <w:jc w:val="center"/>
              <w:rPr>
                <w:rFonts w:cs="宋体"/>
                <w:sz w:val="24"/>
                <w:szCs w:val="24"/>
              </w:rPr>
            </w:pPr>
            <w:r>
              <w:rPr>
                <w:sz w:val="24"/>
                <w:szCs w:val="24"/>
              </w:rPr>
              <w:t>美国</w:t>
            </w:r>
          </w:p>
        </w:tc>
        <w:tc>
          <w:tcPr>
            <w:tcW w:w="3344" w:type="dxa"/>
            <w:tcBorders>
              <w:top w:val="nil"/>
              <w:left w:val="nil"/>
              <w:bottom w:val="nil"/>
              <w:right w:val="nil"/>
            </w:tcBorders>
            <w:shd w:val="clear" w:color="auto" w:fill="FFFFFF"/>
            <w:vAlign w:val="center"/>
          </w:tcPr>
          <w:p w14:paraId="306A6C7C">
            <w:pPr>
              <w:pStyle w:val="3"/>
              <w:spacing w:line="240" w:lineRule="auto"/>
              <w:ind w:firstLine="0" w:firstLineChars="0"/>
              <w:jc w:val="center"/>
              <w:rPr>
                <w:rFonts w:cs="宋体"/>
                <w:sz w:val="24"/>
                <w:szCs w:val="24"/>
              </w:rPr>
            </w:pPr>
            <w:r>
              <w:rPr>
                <w:sz w:val="24"/>
                <w:szCs w:val="24"/>
              </w:rPr>
              <w:t>次贷危机与全球金融危机</w:t>
            </w:r>
          </w:p>
        </w:tc>
        <w:tc>
          <w:tcPr>
            <w:tcW w:w="1245" w:type="dxa"/>
            <w:tcBorders>
              <w:top w:val="nil"/>
              <w:left w:val="nil"/>
              <w:bottom w:val="nil"/>
              <w:right w:val="nil"/>
            </w:tcBorders>
            <w:shd w:val="clear" w:color="auto" w:fill="FFFFFF"/>
            <w:vAlign w:val="center"/>
          </w:tcPr>
          <w:p w14:paraId="7DD08BB6">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448CCDF0">
            <w:pPr>
              <w:pStyle w:val="3"/>
              <w:spacing w:line="240" w:lineRule="auto"/>
              <w:ind w:firstLine="0" w:firstLineChars="0"/>
              <w:jc w:val="center"/>
              <w:rPr>
                <w:rFonts w:cs="宋体"/>
                <w:sz w:val="24"/>
                <w:szCs w:val="24"/>
              </w:rPr>
            </w:pPr>
            <w:r>
              <w:rPr>
                <w:sz w:val="24"/>
                <w:szCs w:val="24"/>
              </w:rPr>
              <w:t>20%</w:t>
            </w:r>
          </w:p>
        </w:tc>
        <w:tc>
          <w:tcPr>
            <w:tcW w:w="1526" w:type="dxa"/>
            <w:tcBorders>
              <w:top w:val="nil"/>
              <w:left w:val="nil"/>
              <w:bottom w:val="nil"/>
              <w:right w:val="nil"/>
            </w:tcBorders>
            <w:shd w:val="clear" w:color="auto" w:fill="FFFFFF"/>
            <w:vAlign w:val="center"/>
          </w:tcPr>
          <w:p w14:paraId="68C53DBC">
            <w:pPr>
              <w:pStyle w:val="3"/>
              <w:spacing w:line="240" w:lineRule="auto"/>
              <w:ind w:firstLine="0" w:firstLineChars="0"/>
              <w:jc w:val="center"/>
              <w:rPr>
                <w:rFonts w:cs="宋体"/>
                <w:sz w:val="24"/>
                <w:szCs w:val="24"/>
              </w:rPr>
            </w:pPr>
            <w:r>
              <w:rPr>
                <w:sz w:val="24"/>
                <w:szCs w:val="24"/>
              </w:rPr>
              <w:t>2008</w:t>
            </w:r>
            <w:r>
              <w:rPr>
                <w:rFonts w:hint="eastAsia"/>
                <w:sz w:val="24"/>
                <w:szCs w:val="24"/>
              </w:rPr>
              <w:t>-</w:t>
            </w:r>
            <w:r>
              <w:rPr>
                <w:sz w:val="24"/>
                <w:szCs w:val="24"/>
              </w:rPr>
              <w:t>2010</w:t>
            </w:r>
          </w:p>
        </w:tc>
      </w:tr>
      <w:tr w14:paraId="6A59C929">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7980014C">
            <w:pPr>
              <w:pStyle w:val="3"/>
              <w:spacing w:line="240" w:lineRule="auto"/>
              <w:ind w:firstLine="0" w:firstLineChars="0"/>
              <w:jc w:val="center"/>
              <w:rPr>
                <w:rFonts w:cs="宋体"/>
                <w:sz w:val="24"/>
                <w:szCs w:val="24"/>
              </w:rPr>
            </w:pPr>
            <w:r>
              <w:rPr>
                <w:sz w:val="24"/>
                <w:szCs w:val="24"/>
              </w:rPr>
              <w:t>美国</w:t>
            </w:r>
          </w:p>
        </w:tc>
        <w:tc>
          <w:tcPr>
            <w:tcW w:w="3344" w:type="dxa"/>
            <w:tcBorders>
              <w:top w:val="nil"/>
              <w:left w:val="nil"/>
              <w:bottom w:val="nil"/>
              <w:right w:val="nil"/>
            </w:tcBorders>
            <w:shd w:val="clear" w:color="auto" w:fill="FFFFFF"/>
            <w:vAlign w:val="center"/>
          </w:tcPr>
          <w:p w14:paraId="3EBEC48F">
            <w:pPr>
              <w:pStyle w:val="3"/>
              <w:spacing w:line="240" w:lineRule="auto"/>
              <w:ind w:firstLine="0" w:firstLineChars="0"/>
              <w:jc w:val="center"/>
              <w:rPr>
                <w:rFonts w:cs="宋体"/>
                <w:sz w:val="24"/>
                <w:szCs w:val="24"/>
              </w:rPr>
            </w:pPr>
            <w:r>
              <w:rPr>
                <w:sz w:val="24"/>
                <w:szCs w:val="24"/>
              </w:rPr>
              <w:t>特朗普时期传统能源复兴政策</w:t>
            </w:r>
          </w:p>
        </w:tc>
        <w:tc>
          <w:tcPr>
            <w:tcW w:w="1245" w:type="dxa"/>
            <w:tcBorders>
              <w:top w:val="nil"/>
              <w:left w:val="nil"/>
              <w:bottom w:val="nil"/>
              <w:right w:val="nil"/>
            </w:tcBorders>
            <w:shd w:val="clear" w:color="auto" w:fill="FFFFFF"/>
            <w:vAlign w:val="center"/>
          </w:tcPr>
          <w:p w14:paraId="378776D8">
            <w:pPr>
              <w:pStyle w:val="3"/>
              <w:spacing w:line="240" w:lineRule="auto"/>
              <w:ind w:firstLine="0" w:firstLineChars="0"/>
              <w:jc w:val="center"/>
              <w:rPr>
                <w:rFonts w:cs="宋体"/>
                <w:sz w:val="24"/>
                <w:szCs w:val="24"/>
              </w:rPr>
            </w:pPr>
            <w:r>
              <w:rPr>
                <w:sz w:val="24"/>
                <w:szCs w:val="24"/>
              </w:rPr>
              <w:t>推高</w:t>
            </w:r>
          </w:p>
        </w:tc>
        <w:tc>
          <w:tcPr>
            <w:tcW w:w="1233" w:type="dxa"/>
            <w:tcBorders>
              <w:top w:val="nil"/>
              <w:left w:val="nil"/>
              <w:bottom w:val="nil"/>
              <w:right w:val="nil"/>
            </w:tcBorders>
            <w:shd w:val="clear" w:color="auto" w:fill="FFFFFF"/>
            <w:vAlign w:val="center"/>
          </w:tcPr>
          <w:p w14:paraId="62E70E97">
            <w:pPr>
              <w:pStyle w:val="3"/>
              <w:spacing w:line="240" w:lineRule="auto"/>
              <w:ind w:firstLine="0" w:firstLineChars="0"/>
              <w:jc w:val="center"/>
              <w:rPr>
                <w:rFonts w:cs="宋体"/>
                <w:sz w:val="24"/>
                <w:szCs w:val="24"/>
              </w:rPr>
            </w:pPr>
            <w:r>
              <w:rPr>
                <w:sz w:val="24"/>
                <w:szCs w:val="24"/>
              </w:rPr>
              <w:t>10%</w:t>
            </w:r>
          </w:p>
        </w:tc>
        <w:tc>
          <w:tcPr>
            <w:tcW w:w="1526" w:type="dxa"/>
            <w:tcBorders>
              <w:top w:val="nil"/>
              <w:left w:val="nil"/>
              <w:bottom w:val="nil"/>
              <w:right w:val="nil"/>
            </w:tcBorders>
            <w:shd w:val="clear" w:color="auto" w:fill="FFFFFF"/>
            <w:vAlign w:val="center"/>
          </w:tcPr>
          <w:p w14:paraId="552793B1">
            <w:pPr>
              <w:pStyle w:val="3"/>
              <w:spacing w:line="240" w:lineRule="auto"/>
              <w:ind w:firstLine="0" w:firstLineChars="0"/>
              <w:jc w:val="center"/>
              <w:rPr>
                <w:rFonts w:cs="宋体"/>
                <w:sz w:val="24"/>
                <w:szCs w:val="24"/>
              </w:rPr>
            </w:pPr>
            <w:r>
              <w:rPr>
                <w:sz w:val="24"/>
                <w:szCs w:val="24"/>
              </w:rPr>
              <w:t>2018</w:t>
            </w:r>
            <w:r>
              <w:rPr>
                <w:rFonts w:hint="eastAsia"/>
                <w:sz w:val="24"/>
                <w:szCs w:val="24"/>
              </w:rPr>
              <w:t>-</w:t>
            </w:r>
            <w:r>
              <w:rPr>
                <w:sz w:val="24"/>
                <w:szCs w:val="24"/>
              </w:rPr>
              <w:t>2020</w:t>
            </w:r>
          </w:p>
        </w:tc>
      </w:tr>
      <w:tr w14:paraId="2148FEEF">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11871E43">
            <w:pPr>
              <w:pStyle w:val="3"/>
              <w:spacing w:line="240" w:lineRule="auto"/>
              <w:ind w:firstLine="0" w:firstLineChars="0"/>
              <w:jc w:val="center"/>
              <w:rPr>
                <w:rFonts w:cs="宋体"/>
                <w:sz w:val="24"/>
                <w:szCs w:val="24"/>
              </w:rPr>
            </w:pPr>
            <w:r>
              <w:rPr>
                <w:sz w:val="24"/>
                <w:szCs w:val="24"/>
              </w:rPr>
              <w:t>美国</w:t>
            </w:r>
          </w:p>
        </w:tc>
        <w:tc>
          <w:tcPr>
            <w:tcW w:w="3344" w:type="dxa"/>
            <w:tcBorders>
              <w:top w:val="nil"/>
              <w:left w:val="nil"/>
              <w:bottom w:val="nil"/>
              <w:right w:val="nil"/>
            </w:tcBorders>
            <w:shd w:val="clear" w:color="auto" w:fill="FFFFFF"/>
            <w:vAlign w:val="center"/>
          </w:tcPr>
          <w:p w14:paraId="07A0A731">
            <w:pPr>
              <w:pStyle w:val="3"/>
              <w:spacing w:line="240" w:lineRule="auto"/>
              <w:ind w:firstLine="0" w:firstLineChars="0"/>
              <w:jc w:val="center"/>
              <w:rPr>
                <w:rFonts w:cs="宋体"/>
                <w:sz w:val="24"/>
                <w:szCs w:val="24"/>
              </w:rPr>
            </w:pPr>
            <w:r>
              <w:rPr>
                <w:sz w:val="24"/>
                <w:szCs w:val="24"/>
              </w:rPr>
              <w:t>美国新冠疫情冲击</w:t>
            </w:r>
          </w:p>
        </w:tc>
        <w:tc>
          <w:tcPr>
            <w:tcW w:w="1245" w:type="dxa"/>
            <w:tcBorders>
              <w:top w:val="nil"/>
              <w:left w:val="nil"/>
              <w:bottom w:val="nil"/>
              <w:right w:val="nil"/>
            </w:tcBorders>
            <w:shd w:val="clear" w:color="auto" w:fill="FFFFFF"/>
            <w:vAlign w:val="center"/>
          </w:tcPr>
          <w:p w14:paraId="393AB4C7">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1C36160E">
            <w:pPr>
              <w:pStyle w:val="3"/>
              <w:spacing w:line="240" w:lineRule="auto"/>
              <w:ind w:firstLine="0" w:firstLineChars="0"/>
              <w:jc w:val="center"/>
              <w:rPr>
                <w:rFonts w:cs="宋体"/>
                <w:sz w:val="24"/>
                <w:szCs w:val="24"/>
              </w:rPr>
            </w:pPr>
            <w:r>
              <w:rPr>
                <w:sz w:val="24"/>
                <w:szCs w:val="24"/>
              </w:rPr>
              <w:t>12%</w:t>
            </w:r>
          </w:p>
        </w:tc>
        <w:tc>
          <w:tcPr>
            <w:tcW w:w="1526" w:type="dxa"/>
            <w:tcBorders>
              <w:top w:val="nil"/>
              <w:left w:val="nil"/>
              <w:bottom w:val="nil"/>
              <w:right w:val="nil"/>
            </w:tcBorders>
            <w:shd w:val="clear" w:color="auto" w:fill="FFFFFF"/>
            <w:vAlign w:val="center"/>
          </w:tcPr>
          <w:p w14:paraId="61F8CFCE">
            <w:pPr>
              <w:pStyle w:val="3"/>
              <w:spacing w:line="240" w:lineRule="auto"/>
              <w:ind w:firstLine="0" w:firstLineChars="0"/>
              <w:jc w:val="center"/>
              <w:rPr>
                <w:rFonts w:cs="宋体"/>
                <w:sz w:val="24"/>
                <w:szCs w:val="24"/>
              </w:rPr>
            </w:pPr>
            <w:r>
              <w:rPr>
                <w:sz w:val="24"/>
                <w:szCs w:val="24"/>
              </w:rPr>
              <w:t>2020</w:t>
            </w:r>
            <w:r>
              <w:rPr>
                <w:rFonts w:hint="eastAsia"/>
                <w:sz w:val="24"/>
                <w:szCs w:val="24"/>
              </w:rPr>
              <w:t>-</w:t>
            </w:r>
            <w:r>
              <w:rPr>
                <w:sz w:val="24"/>
                <w:szCs w:val="24"/>
              </w:rPr>
              <w:t>2021</w:t>
            </w:r>
          </w:p>
        </w:tc>
      </w:tr>
      <w:tr w14:paraId="082483D7">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0868DC49">
            <w:pPr>
              <w:pStyle w:val="3"/>
              <w:spacing w:line="240" w:lineRule="auto"/>
              <w:ind w:firstLine="0" w:firstLineChars="0"/>
              <w:jc w:val="center"/>
              <w:rPr>
                <w:rFonts w:cs="宋体"/>
                <w:sz w:val="24"/>
                <w:szCs w:val="24"/>
              </w:rPr>
            </w:pPr>
            <w:r>
              <w:rPr>
                <w:sz w:val="24"/>
                <w:szCs w:val="24"/>
              </w:rPr>
              <w:t>俄罗斯</w:t>
            </w:r>
          </w:p>
        </w:tc>
        <w:tc>
          <w:tcPr>
            <w:tcW w:w="3344" w:type="dxa"/>
            <w:tcBorders>
              <w:top w:val="nil"/>
              <w:left w:val="nil"/>
              <w:bottom w:val="nil"/>
              <w:right w:val="nil"/>
            </w:tcBorders>
            <w:shd w:val="clear" w:color="auto" w:fill="FFFFFF"/>
            <w:vAlign w:val="center"/>
          </w:tcPr>
          <w:p w14:paraId="39D79E9B">
            <w:pPr>
              <w:pStyle w:val="3"/>
              <w:spacing w:line="240" w:lineRule="auto"/>
              <w:ind w:firstLine="0" w:firstLineChars="0"/>
              <w:jc w:val="center"/>
              <w:rPr>
                <w:rFonts w:cs="宋体"/>
                <w:sz w:val="24"/>
                <w:szCs w:val="24"/>
              </w:rPr>
            </w:pPr>
            <w:r>
              <w:rPr>
                <w:sz w:val="24"/>
                <w:szCs w:val="24"/>
              </w:rPr>
              <w:t>全球金融危机与能源需求下降</w:t>
            </w:r>
          </w:p>
        </w:tc>
        <w:tc>
          <w:tcPr>
            <w:tcW w:w="1245" w:type="dxa"/>
            <w:tcBorders>
              <w:top w:val="nil"/>
              <w:left w:val="nil"/>
              <w:bottom w:val="nil"/>
              <w:right w:val="nil"/>
            </w:tcBorders>
            <w:shd w:val="clear" w:color="auto" w:fill="FFFFFF"/>
            <w:vAlign w:val="center"/>
          </w:tcPr>
          <w:p w14:paraId="1FEC8218">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4F4787C4">
            <w:pPr>
              <w:pStyle w:val="3"/>
              <w:spacing w:line="240" w:lineRule="auto"/>
              <w:ind w:firstLine="0" w:firstLineChars="0"/>
              <w:jc w:val="center"/>
              <w:rPr>
                <w:rFonts w:cs="宋体"/>
                <w:sz w:val="24"/>
                <w:szCs w:val="24"/>
              </w:rPr>
            </w:pPr>
            <w:r>
              <w:rPr>
                <w:sz w:val="24"/>
                <w:szCs w:val="24"/>
              </w:rPr>
              <w:t>12%</w:t>
            </w:r>
          </w:p>
        </w:tc>
        <w:tc>
          <w:tcPr>
            <w:tcW w:w="1526" w:type="dxa"/>
            <w:tcBorders>
              <w:top w:val="nil"/>
              <w:left w:val="nil"/>
              <w:bottom w:val="nil"/>
              <w:right w:val="nil"/>
            </w:tcBorders>
            <w:shd w:val="clear" w:color="auto" w:fill="FFFFFF"/>
            <w:vAlign w:val="center"/>
          </w:tcPr>
          <w:p w14:paraId="06305B20">
            <w:pPr>
              <w:pStyle w:val="3"/>
              <w:spacing w:line="240" w:lineRule="auto"/>
              <w:ind w:firstLine="0" w:firstLineChars="0"/>
              <w:jc w:val="center"/>
              <w:rPr>
                <w:rFonts w:cs="宋体"/>
                <w:sz w:val="24"/>
                <w:szCs w:val="24"/>
              </w:rPr>
            </w:pPr>
            <w:r>
              <w:rPr>
                <w:sz w:val="24"/>
                <w:szCs w:val="24"/>
              </w:rPr>
              <w:t>2008</w:t>
            </w:r>
            <w:r>
              <w:rPr>
                <w:rFonts w:hint="eastAsia"/>
                <w:sz w:val="24"/>
                <w:szCs w:val="24"/>
              </w:rPr>
              <w:t>-</w:t>
            </w:r>
            <w:r>
              <w:rPr>
                <w:sz w:val="24"/>
                <w:szCs w:val="24"/>
              </w:rPr>
              <w:t>2010</w:t>
            </w:r>
          </w:p>
        </w:tc>
      </w:tr>
      <w:tr w14:paraId="5841339F">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7BE27ED5">
            <w:pPr>
              <w:pStyle w:val="3"/>
              <w:spacing w:line="240" w:lineRule="auto"/>
              <w:ind w:firstLine="0" w:firstLineChars="0"/>
              <w:jc w:val="center"/>
              <w:rPr>
                <w:rFonts w:cs="宋体"/>
                <w:sz w:val="24"/>
                <w:szCs w:val="24"/>
              </w:rPr>
            </w:pPr>
            <w:r>
              <w:rPr>
                <w:sz w:val="24"/>
                <w:szCs w:val="24"/>
              </w:rPr>
              <w:t>俄罗斯</w:t>
            </w:r>
          </w:p>
        </w:tc>
        <w:tc>
          <w:tcPr>
            <w:tcW w:w="3344" w:type="dxa"/>
            <w:tcBorders>
              <w:top w:val="nil"/>
              <w:left w:val="nil"/>
              <w:bottom w:val="nil"/>
              <w:right w:val="nil"/>
            </w:tcBorders>
            <w:shd w:val="clear" w:color="auto" w:fill="FFFFFF"/>
            <w:vAlign w:val="center"/>
          </w:tcPr>
          <w:p w14:paraId="3B28A645">
            <w:pPr>
              <w:pStyle w:val="3"/>
              <w:spacing w:line="240" w:lineRule="auto"/>
              <w:ind w:firstLine="0" w:firstLineChars="0"/>
              <w:jc w:val="center"/>
              <w:rPr>
                <w:rFonts w:cs="宋体"/>
                <w:sz w:val="24"/>
                <w:szCs w:val="24"/>
              </w:rPr>
            </w:pPr>
            <w:r>
              <w:rPr>
                <w:sz w:val="24"/>
                <w:szCs w:val="24"/>
              </w:rPr>
              <w:t>克里米亚危机后经济制裁与长期衰退</w:t>
            </w:r>
          </w:p>
        </w:tc>
        <w:tc>
          <w:tcPr>
            <w:tcW w:w="1245" w:type="dxa"/>
            <w:tcBorders>
              <w:top w:val="nil"/>
              <w:left w:val="nil"/>
              <w:bottom w:val="nil"/>
              <w:right w:val="nil"/>
            </w:tcBorders>
            <w:shd w:val="clear" w:color="auto" w:fill="FFFFFF"/>
            <w:vAlign w:val="center"/>
          </w:tcPr>
          <w:p w14:paraId="217F6655">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2F858660">
            <w:pPr>
              <w:pStyle w:val="3"/>
              <w:spacing w:line="240" w:lineRule="auto"/>
              <w:ind w:firstLine="0" w:firstLineChars="0"/>
              <w:jc w:val="center"/>
              <w:rPr>
                <w:rFonts w:cs="宋体"/>
                <w:sz w:val="24"/>
                <w:szCs w:val="24"/>
              </w:rPr>
            </w:pPr>
            <w:r>
              <w:rPr>
                <w:sz w:val="24"/>
                <w:szCs w:val="24"/>
              </w:rPr>
              <w:t>10%</w:t>
            </w:r>
          </w:p>
        </w:tc>
        <w:tc>
          <w:tcPr>
            <w:tcW w:w="1526" w:type="dxa"/>
            <w:tcBorders>
              <w:top w:val="nil"/>
              <w:left w:val="nil"/>
              <w:bottom w:val="nil"/>
              <w:right w:val="nil"/>
            </w:tcBorders>
            <w:shd w:val="clear" w:color="auto" w:fill="FFFFFF"/>
            <w:vAlign w:val="center"/>
          </w:tcPr>
          <w:p w14:paraId="3080CCE5">
            <w:pPr>
              <w:pStyle w:val="3"/>
              <w:spacing w:line="240" w:lineRule="auto"/>
              <w:ind w:firstLine="0" w:firstLineChars="0"/>
              <w:jc w:val="center"/>
              <w:rPr>
                <w:rFonts w:cs="宋体"/>
                <w:sz w:val="24"/>
                <w:szCs w:val="24"/>
              </w:rPr>
            </w:pPr>
            <w:r>
              <w:rPr>
                <w:sz w:val="24"/>
                <w:szCs w:val="24"/>
              </w:rPr>
              <w:t>2014</w:t>
            </w:r>
            <w:r>
              <w:rPr>
                <w:rFonts w:hint="eastAsia"/>
                <w:sz w:val="24"/>
                <w:szCs w:val="24"/>
              </w:rPr>
              <w:t>-</w:t>
            </w:r>
            <w:r>
              <w:rPr>
                <w:sz w:val="24"/>
                <w:szCs w:val="24"/>
              </w:rPr>
              <w:t>2023</w:t>
            </w:r>
          </w:p>
        </w:tc>
      </w:tr>
      <w:tr w14:paraId="15131006">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bottom w:val="nil"/>
              <w:right w:val="nil"/>
            </w:tcBorders>
            <w:shd w:val="clear" w:color="auto" w:fill="FFFFFF"/>
            <w:vAlign w:val="center"/>
          </w:tcPr>
          <w:p w14:paraId="58665113">
            <w:pPr>
              <w:pStyle w:val="3"/>
              <w:spacing w:line="240" w:lineRule="auto"/>
              <w:ind w:firstLine="0" w:firstLineChars="0"/>
              <w:jc w:val="center"/>
              <w:rPr>
                <w:rFonts w:cs="宋体"/>
                <w:sz w:val="24"/>
                <w:szCs w:val="24"/>
              </w:rPr>
            </w:pPr>
            <w:r>
              <w:rPr>
                <w:sz w:val="24"/>
                <w:szCs w:val="24"/>
              </w:rPr>
              <w:t>俄罗斯</w:t>
            </w:r>
          </w:p>
        </w:tc>
        <w:tc>
          <w:tcPr>
            <w:tcW w:w="3344" w:type="dxa"/>
            <w:tcBorders>
              <w:top w:val="nil"/>
              <w:left w:val="nil"/>
              <w:bottom w:val="nil"/>
              <w:right w:val="nil"/>
            </w:tcBorders>
            <w:shd w:val="clear" w:color="auto" w:fill="FFFFFF"/>
            <w:vAlign w:val="center"/>
          </w:tcPr>
          <w:p w14:paraId="68411879">
            <w:pPr>
              <w:pStyle w:val="3"/>
              <w:spacing w:line="240" w:lineRule="auto"/>
              <w:ind w:firstLine="0" w:firstLineChars="0"/>
              <w:jc w:val="center"/>
              <w:rPr>
                <w:rFonts w:cs="宋体"/>
                <w:sz w:val="24"/>
                <w:szCs w:val="24"/>
              </w:rPr>
            </w:pPr>
            <w:r>
              <w:rPr>
                <w:sz w:val="24"/>
                <w:szCs w:val="24"/>
              </w:rPr>
              <w:t>俄罗斯新冠疫情与油价冲击</w:t>
            </w:r>
          </w:p>
        </w:tc>
        <w:tc>
          <w:tcPr>
            <w:tcW w:w="1245" w:type="dxa"/>
            <w:tcBorders>
              <w:top w:val="nil"/>
              <w:left w:val="nil"/>
              <w:bottom w:val="nil"/>
              <w:right w:val="nil"/>
            </w:tcBorders>
            <w:shd w:val="clear" w:color="auto" w:fill="FFFFFF"/>
            <w:vAlign w:val="center"/>
          </w:tcPr>
          <w:p w14:paraId="2454BA3E">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bottom w:val="nil"/>
              <w:right w:val="nil"/>
            </w:tcBorders>
            <w:shd w:val="clear" w:color="auto" w:fill="FFFFFF"/>
            <w:vAlign w:val="center"/>
          </w:tcPr>
          <w:p w14:paraId="61799FA8">
            <w:pPr>
              <w:pStyle w:val="3"/>
              <w:spacing w:line="240" w:lineRule="auto"/>
              <w:ind w:firstLine="0" w:firstLineChars="0"/>
              <w:jc w:val="center"/>
              <w:rPr>
                <w:rFonts w:cs="宋体"/>
                <w:sz w:val="24"/>
                <w:szCs w:val="24"/>
              </w:rPr>
            </w:pPr>
            <w:r>
              <w:rPr>
                <w:sz w:val="24"/>
                <w:szCs w:val="24"/>
              </w:rPr>
              <w:t>12%</w:t>
            </w:r>
          </w:p>
        </w:tc>
        <w:tc>
          <w:tcPr>
            <w:tcW w:w="1526" w:type="dxa"/>
            <w:tcBorders>
              <w:top w:val="nil"/>
              <w:left w:val="nil"/>
              <w:bottom w:val="nil"/>
              <w:right w:val="nil"/>
            </w:tcBorders>
            <w:shd w:val="clear" w:color="auto" w:fill="FFFFFF"/>
            <w:vAlign w:val="center"/>
          </w:tcPr>
          <w:p w14:paraId="11EEE6A5">
            <w:pPr>
              <w:pStyle w:val="3"/>
              <w:spacing w:line="240" w:lineRule="auto"/>
              <w:ind w:firstLine="0" w:firstLineChars="0"/>
              <w:jc w:val="center"/>
              <w:rPr>
                <w:rFonts w:cs="宋体"/>
                <w:sz w:val="24"/>
                <w:szCs w:val="24"/>
              </w:rPr>
            </w:pPr>
            <w:r>
              <w:rPr>
                <w:sz w:val="24"/>
                <w:szCs w:val="24"/>
              </w:rPr>
              <w:t>2020</w:t>
            </w:r>
            <w:r>
              <w:rPr>
                <w:rFonts w:hint="eastAsia"/>
                <w:sz w:val="24"/>
                <w:szCs w:val="24"/>
              </w:rPr>
              <w:t>-</w:t>
            </w:r>
            <w:r>
              <w:rPr>
                <w:sz w:val="24"/>
                <w:szCs w:val="24"/>
              </w:rPr>
              <w:t>2021</w:t>
            </w:r>
          </w:p>
        </w:tc>
      </w:tr>
      <w:tr w14:paraId="40D5F02C">
        <w:tblPrEx>
          <w:tblBorders>
            <w:top w:val="single" w:color="auto" w:sz="6" w:space="0"/>
            <w:left w:val="single" w:color="auto" w:sz="4" w:space="0"/>
            <w:bottom w:val="single" w:color="auto" w:sz="6"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Borders>
              <w:top w:val="nil"/>
              <w:left w:val="nil"/>
              <w:right w:val="nil"/>
            </w:tcBorders>
            <w:shd w:val="clear" w:color="auto" w:fill="FFFFFF"/>
            <w:vAlign w:val="center"/>
          </w:tcPr>
          <w:p w14:paraId="175A85FB">
            <w:pPr>
              <w:pStyle w:val="3"/>
              <w:spacing w:line="240" w:lineRule="auto"/>
              <w:ind w:firstLine="0" w:firstLineChars="0"/>
              <w:jc w:val="center"/>
              <w:rPr>
                <w:rFonts w:cs="宋体"/>
                <w:sz w:val="24"/>
                <w:szCs w:val="24"/>
              </w:rPr>
            </w:pPr>
            <w:r>
              <w:rPr>
                <w:sz w:val="24"/>
                <w:szCs w:val="24"/>
              </w:rPr>
              <w:t>俄罗斯</w:t>
            </w:r>
          </w:p>
        </w:tc>
        <w:tc>
          <w:tcPr>
            <w:tcW w:w="3344" w:type="dxa"/>
            <w:tcBorders>
              <w:top w:val="nil"/>
              <w:left w:val="nil"/>
              <w:right w:val="nil"/>
            </w:tcBorders>
            <w:shd w:val="clear" w:color="auto" w:fill="FFFFFF"/>
            <w:vAlign w:val="center"/>
          </w:tcPr>
          <w:p w14:paraId="06D2B2D2">
            <w:pPr>
              <w:pStyle w:val="3"/>
              <w:spacing w:line="240" w:lineRule="auto"/>
              <w:ind w:firstLine="0" w:firstLineChars="0"/>
              <w:jc w:val="center"/>
              <w:rPr>
                <w:rFonts w:cs="宋体"/>
                <w:sz w:val="24"/>
                <w:szCs w:val="24"/>
              </w:rPr>
            </w:pPr>
            <w:r>
              <w:rPr>
                <w:sz w:val="24"/>
                <w:szCs w:val="24"/>
              </w:rPr>
              <w:t>俄乌冲突与全面制裁升级</w:t>
            </w:r>
          </w:p>
        </w:tc>
        <w:tc>
          <w:tcPr>
            <w:tcW w:w="1245" w:type="dxa"/>
            <w:tcBorders>
              <w:top w:val="nil"/>
              <w:left w:val="nil"/>
              <w:right w:val="nil"/>
            </w:tcBorders>
            <w:shd w:val="clear" w:color="auto" w:fill="FFFFFF"/>
            <w:vAlign w:val="center"/>
          </w:tcPr>
          <w:p w14:paraId="5C22E473">
            <w:pPr>
              <w:pStyle w:val="3"/>
              <w:spacing w:line="240" w:lineRule="auto"/>
              <w:ind w:firstLine="0" w:firstLineChars="0"/>
              <w:jc w:val="center"/>
              <w:rPr>
                <w:rFonts w:cs="宋体"/>
                <w:sz w:val="24"/>
                <w:szCs w:val="24"/>
              </w:rPr>
            </w:pPr>
            <w:r>
              <w:rPr>
                <w:sz w:val="24"/>
                <w:szCs w:val="24"/>
              </w:rPr>
              <w:t>压低</w:t>
            </w:r>
          </w:p>
        </w:tc>
        <w:tc>
          <w:tcPr>
            <w:tcW w:w="1233" w:type="dxa"/>
            <w:tcBorders>
              <w:top w:val="nil"/>
              <w:left w:val="nil"/>
              <w:right w:val="nil"/>
            </w:tcBorders>
            <w:shd w:val="clear" w:color="auto" w:fill="FFFFFF"/>
            <w:vAlign w:val="center"/>
          </w:tcPr>
          <w:p w14:paraId="41A2F887">
            <w:pPr>
              <w:pStyle w:val="3"/>
              <w:spacing w:line="240" w:lineRule="auto"/>
              <w:ind w:firstLine="0" w:firstLineChars="0"/>
              <w:jc w:val="center"/>
              <w:rPr>
                <w:rFonts w:cs="宋体"/>
                <w:sz w:val="24"/>
                <w:szCs w:val="24"/>
              </w:rPr>
            </w:pPr>
            <w:r>
              <w:rPr>
                <w:sz w:val="24"/>
                <w:szCs w:val="24"/>
              </w:rPr>
              <w:t>18%</w:t>
            </w:r>
          </w:p>
        </w:tc>
        <w:tc>
          <w:tcPr>
            <w:tcW w:w="1526" w:type="dxa"/>
            <w:tcBorders>
              <w:top w:val="nil"/>
              <w:left w:val="nil"/>
              <w:right w:val="nil"/>
            </w:tcBorders>
            <w:shd w:val="clear" w:color="auto" w:fill="FFFFFF"/>
            <w:vAlign w:val="center"/>
          </w:tcPr>
          <w:p w14:paraId="24252A56">
            <w:pPr>
              <w:pStyle w:val="3"/>
              <w:spacing w:line="240" w:lineRule="auto"/>
              <w:ind w:firstLine="0" w:firstLineChars="0"/>
              <w:jc w:val="center"/>
              <w:rPr>
                <w:rFonts w:cs="宋体"/>
                <w:sz w:val="24"/>
                <w:szCs w:val="24"/>
              </w:rPr>
            </w:pPr>
            <w:r>
              <w:rPr>
                <w:sz w:val="24"/>
                <w:szCs w:val="24"/>
              </w:rPr>
              <w:t>2022</w:t>
            </w:r>
            <w:r>
              <w:rPr>
                <w:rFonts w:hint="eastAsia"/>
                <w:sz w:val="24"/>
                <w:szCs w:val="24"/>
              </w:rPr>
              <w:t>-</w:t>
            </w:r>
            <w:r>
              <w:rPr>
                <w:sz w:val="24"/>
                <w:szCs w:val="24"/>
              </w:rPr>
              <w:t>2023</w:t>
            </w:r>
          </w:p>
        </w:tc>
      </w:tr>
    </w:tbl>
    <w:p w14:paraId="6A6B9409">
      <w:pPr>
        <w:pStyle w:val="36"/>
        <w:spacing w:line="480" w:lineRule="exact"/>
        <w:ind w:firstLine="0" w:firstLineChars="0"/>
        <w:textAlignment w:val="center"/>
        <w:rPr>
          <w:rFonts w:cs="宋体"/>
          <w:sz w:val="24"/>
        </w:rPr>
      </w:pPr>
    </w:p>
    <w:p w14:paraId="5AB118BB">
      <w:pPr>
        <w:pStyle w:val="36"/>
        <w:spacing w:line="480" w:lineRule="exact"/>
        <w:ind w:firstLine="480"/>
        <w:textAlignment w:val="center"/>
        <w:rPr>
          <w:rFonts w:hint="eastAsia" w:eastAsia="宋体"/>
          <w:lang w:val="en-US" w:eastAsia="zh-CN"/>
        </w:rPr>
      </w:pPr>
      <w:r>
        <w:rPr>
          <w:rFonts w:hint="eastAsia" w:cs="宋体"/>
          <w:sz w:val="24"/>
        </w:rPr>
        <w:t>由于数据集及代码篇幅过多，详见支撑</w:t>
      </w:r>
      <w:r>
        <w:rPr>
          <w:rFonts w:hint="eastAsia" w:cs="宋体"/>
          <w:sz w:val="24"/>
          <w:lang w:val="en-US" w:eastAsia="zh-CN"/>
        </w:rPr>
        <w:t>材料</w:t>
      </w:r>
    </w:p>
    <w:sectPr>
      <w:foot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7FAE5">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BE37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71BE37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9F0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B9AFD">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26EF0">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30126EF0">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D3224">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4845E">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B9423">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82B31"/>
    <w:multiLevelType w:val="singleLevel"/>
    <w:tmpl w:val="88782B31"/>
    <w:lvl w:ilvl="0" w:tentative="0">
      <w:start w:val="4"/>
      <w:numFmt w:val="chineseCounting"/>
      <w:suff w:val="nothing"/>
      <w:lvlText w:val="%1、"/>
      <w:lvlJc w:val="left"/>
      <w:rPr>
        <w:rFonts w:hint="eastAsia" w:ascii="黑体" w:hAnsi="黑体" w:eastAsia="黑体" w:cs="黑体"/>
        <w:color w:val="000000"/>
      </w:rPr>
    </w:lvl>
  </w:abstractNum>
  <w:abstractNum w:abstractNumId="1">
    <w:nsid w:val="305BF689"/>
    <w:multiLevelType w:val="singleLevel"/>
    <w:tmpl w:val="305BF689"/>
    <w:lvl w:ilvl="0" w:tentative="0">
      <w:start w:val="3"/>
      <w:numFmt w:val="chineseCounting"/>
      <w:suff w:val="nothing"/>
      <w:lvlText w:val="%1、"/>
      <w:lvlJc w:val="left"/>
      <w:rPr>
        <w:rFonts w:hint="eastAsia" w:ascii="黑体" w:hAnsi="黑体" w:eastAsia="黑体" w:cs="黑体"/>
        <w:color w:val="000000"/>
      </w:rPr>
    </w:lvl>
  </w:abstractNum>
  <w:abstractNum w:abstractNumId="2">
    <w:nsid w:val="47301E0A"/>
    <w:multiLevelType w:val="singleLevel"/>
    <w:tmpl w:val="47301E0A"/>
    <w:lvl w:ilvl="0" w:tentative="0">
      <w:start w:val="1"/>
      <w:numFmt w:val="chineseCounting"/>
      <w:suff w:val="nothing"/>
      <w:lvlText w:val="（%1）"/>
      <w:lvlJc w:val="left"/>
      <w:rPr>
        <w:rFonts w:hint="eastAsia" w:ascii="楷体" w:hAnsi="楷体" w:eastAsia="楷体" w:cs="楷体"/>
        <w:color w:val="00000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549A"/>
    <w:rsid w:val="00023F44"/>
    <w:rsid w:val="00024E9F"/>
    <w:rsid w:val="0003634A"/>
    <w:rsid w:val="0005089F"/>
    <w:rsid w:val="000812DF"/>
    <w:rsid w:val="000863C4"/>
    <w:rsid w:val="000875B6"/>
    <w:rsid w:val="0009353B"/>
    <w:rsid w:val="000D3433"/>
    <w:rsid w:val="000D7338"/>
    <w:rsid w:val="000F7C41"/>
    <w:rsid w:val="0011177E"/>
    <w:rsid w:val="0011634A"/>
    <w:rsid w:val="001228D9"/>
    <w:rsid w:val="001465AD"/>
    <w:rsid w:val="00156F60"/>
    <w:rsid w:val="00162292"/>
    <w:rsid w:val="00171EC0"/>
    <w:rsid w:val="00172A27"/>
    <w:rsid w:val="001743DC"/>
    <w:rsid w:val="00174663"/>
    <w:rsid w:val="0018162A"/>
    <w:rsid w:val="0019596D"/>
    <w:rsid w:val="00197136"/>
    <w:rsid w:val="001C4CBC"/>
    <w:rsid w:val="001C4EDA"/>
    <w:rsid w:val="001D192B"/>
    <w:rsid w:val="001D6FDF"/>
    <w:rsid w:val="001E7F88"/>
    <w:rsid w:val="00251B0F"/>
    <w:rsid w:val="002746A5"/>
    <w:rsid w:val="0029520F"/>
    <w:rsid w:val="00297445"/>
    <w:rsid w:val="002C56FF"/>
    <w:rsid w:val="002D3837"/>
    <w:rsid w:val="002D6112"/>
    <w:rsid w:val="002D700F"/>
    <w:rsid w:val="002F19BE"/>
    <w:rsid w:val="002F525B"/>
    <w:rsid w:val="00311766"/>
    <w:rsid w:val="0031250D"/>
    <w:rsid w:val="00325BA6"/>
    <w:rsid w:val="003370C3"/>
    <w:rsid w:val="003429EF"/>
    <w:rsid w:val="0035321A"/>
    <w:rsid w:val="00362E71"/>
    <w:rsid w:val="00381025"/>
    <w:rsid w:val="0038313F"/>
    <w:rsid w:val="0038345D"/>
    <w:rsid w:val="003C1F2A"/>
    <w:rsid w:val="003E21D2"/>
    <w:rsid w:val="0041158F"/>
    <w:rsid w:val="00432715"/>
    <w:rsid w:val="004328EA"/>
    <w:rsid w:val="00455F10"/>
    <w:rsid w:val="004636FB"/>
    <w:rsid w:val="00473F24"/>
    <w:rsid w:val="00475731"/>
    <w:rsid w:val="004761FD"/>
    <w:rsid w:val="00496831"/>
    <w:rsid w:val="004A20D7"/>
    <w:rsid w:val="004A5A83"/>
    <w:rsid w:val="004C7A7D"/>
    <w:rsid w:val="004D3401"/>
    <w:rsid w:val="004F5663"/>
    <w:rsid w:val="004F74C4"/>
    <w:rsid w:val="00513FDB"/>
    <w:rsid w:val="00515205"/>
    <w:rsid w:val="00532F93"/>
    <w:rsid w:val="005447F9"/>
    <w:rsid w:val="00545A03"/>
    <w:rsid w:val="00553B23"/>
    <w:rsid w:val="00567078"/>
    <w:rsid w:val="00572BD8"/>
    <w:rsid w:val="00572C7F"/>
    <w:rsid w:val="00583780"/>
    <w:rsid w:val="00584CC3"/>
    <w:rsid w:val="005858D0"/>
    <w:rsid w:val="005931F4"/>
    <w:rsid w:val="005A0256"/>
    <w:rsid w:val="005A5D7F"/>
    <w:rsid w:val="005B126A"/>
    <w:rsid w:val="005B23B7"/>
    <w:rsid w:val="005D2FB4"/>
    <w:rsid w:val="005D71AE"/>
    <w:rsid w:val="006005BE"/>
    <w:rsid w:val="00603617"/>
    <w:rsid w:val="006350B0"/>
    <w:rsid w:val="00645768"/>
    <w:rsid w:val="006515F2"/>
    <w:rsid w:val="00662CDA"/>
    <w:rsid w:val="00666BF9"/>
    <w:rsid w:val="00672F9F"/>
    <w:rsid w:val="006763DA"/>
    <w:rsid w:val="00685B78"/>
    <w:rsid w:val="00691274"/>
    <w:rsid w:val="006A395C"/>
    <w:rsid w:val="006A4203"/>
    <w:rsid w:val="006A5525"/>
    <w:rsid w:val="006A5BEE"/>
    <w:rsid w:val="006C2A18"/>
    <w:rsid w:val="006C7F62"/>
    <w:rsid w:val="006D1087"/>
    <w:rsid w:val="006E6E39"/>
    <w:rsid w:val="00712D1F"/>
    <w:rsid w:val="00764CAE"/>
    <w:rsid w:val="00765DD5"/>
    <w:rsid w:val="007763C7"/>
    <w:rsid w:val="0077736D"/>
    <w:rsid w:val="0079297C"/>
    <w:rsid w:val="00797471"/>
    <w:rsid w:val="007B08BC"/>
    <w:rsid w:val="007C2CDB"/>
    <w:rsid w:val="007C3189"/>
    <w:rsid w:val="007D0A8D"/>
    <w:rsid w:val="007F733C"/>
    <w:rsid w:val="00803E26"/>
    <w:rsid w:val="00812840"/>
    <w:rsid w:val="00820256"/>
    <w:rsid w:val="008467F4"/>
    <w:rsid w:val="00873854"/>
    <w:rsid w:val="00883973"/>
    <w:rsid w:val="00890FFF"/>
    <w:rsid w:val="008A4941"/>
    <w:rsid w:val="008E32E4"/>
    <w:rsid w:val="0090209B"/>
    <w:rsid w:val="0094127C"/>
    <w:rsid w:val="00951D01"/>
    <w:rsid w:val="00954CF5"/>
    <w:rsid w:val="009665C5"/>
    <w:rsid w:val="0097261B"/>
    <w:rsid w:val="0098251E"/>
    <w:rsid w:val="00984C58"/>
    <w:rsid w:val="009900D4"/>
    <w:rsid w:val="00992728"/>
    <w:rsid w:val="009A2A32"/>
    <w:rsid w:val="009A4874"/>
    <w:rsid w:val="009A496A"/>
    <w:rsid w:val="009C4BB1"/>
    <w:rsid w:val="009F0C64"/>
    <w:rsid w:val="009F144A"/>
    <w:rsid w:val="00A01E4A"/>
    <w:rsid w:val="00A13905"/>
    <w:rsid w:val="00A320A7"/>
    <w:rsid w:val="00A3234D"/>
    <w:rsid w:val="00A41846"/>
    <w:rsid w:val="00A41BF0"/>
    <w:rsid w:val="00A4511B"/>
    <w:rsid w:val="00A540F9"/>
    <w:rsid w:val="00A565B7"/>
    <w:rsid w:val="00A636D9"/>
    <w:rsid w:val="00A65E31"/>
    <w:rsid w:val="00A7504C"/>
    <w:rsid w:val="00A940DC"/>
    <w:rsid w:val="00AA31D5"/>
    <w:rsid w:val="00AB535F"/>
    <w:rsid w:val="00AB7F14"/>
    <w:rsid w:val="00AC1C79"/>
    <w:rsid w:val="00AF0821"/>
    <w:rsid w:val="00B2552C"/>
    <w:rsid w:val="00B342BB"/>
    <w:rsid w:val="00B40B35"/>
    <w:rsid w:val="00B41C51"/>
    <w:rsid w:val="00B46346"/>
    <w:rsid w:val="00B660D7"/>
    <w:rsid w:val="00B674C6"/>
    <w:rsid w:val="00B71D0D"/>
    <w:rsid w:val="00B73C4C"/>
    <w:rsid w:val="00B772AF"/>
    <w:rsid w:val="00B83871"/>
    <w:rsid w:val="00BA0640"/>
    <w:rsid w:val="00BA672F"/>
    <w:rsid w:val="00BD45B5"/>
    <w:rsid w:val="00BD62DB"/>
    <w:rsid w:val="00C107D6"/>
    <w:rsid w:val="00C12752"/>
    <w:rsid w:val="00C21910"/>
    <w:rsid w:val="00C368AF"/>
    <w:rsid w:val="00C37E25"/>
    <w:rsid w:val="00C407C0"/>
    <w:rsid w:val="00C73DC8"/>
    <w:rsid w:val="00C94821"/>
    <w:rsid w:val="00C97053"/>
    <w:rsid w:val="00CA0F2A"/>
    <w:rsid w:val="00CB6387"/>
    <w:rsid w:val="00CC629D"/>
    <w:rsid w:val="00CD601D"/>
    <w:rsid w:val="00D10E62"/>
    <w:rsid w:val="00D23260"/>
    <w:rsid w:val="00D31AA4"/>
    <w:rsid w:val="00D41C0C"/>
    <w:rsid w:val="00D779E2"/>
    <w:rsid w:val="00D97D14"/>
    <w:rsid w:val="00DA11E9"/>
    <w:rsid w:val="00DD2CC4"/>
    <w:rsid w:val="00E15E0C"/>
    <w:rsid w:val="00E41C76"/>
    <w:rsid w:val="00E73DF0"/>
    <w:rsid w:val="00E81D4B"/>
    <w:rsid w:val="00E871E4"/>
    <w:rsid w:val="00E9164D"/>
    <w:rsid w:val="00EA3FD8"/>
    <w:rsid w:val="00EA7994"/>
    <w:rsid w:val="00EC4CDB"/>
    <w:rsid w:val="00EE4EA8"/>
    <w:rsid w:val="00EE63FA"/>
    <w:rsid w:val="00EE7760"/>
    <w:rsid w:val="00EF2FD5"/>
    <w:rsid w:val="00EF61CD"/>
    <w:rsid w:val="00EF7131"/>
    <w:rsid w:val="00F13F85"/>
    <w:rsid w:val="00F27441"/>
    <w:rsid w:val="00F463A3"/>
    <w:rsid w:val="00F531F3"/>
    <w:rsid w:val="00F61271"/>
    <w:rsid w:val="00F8157F"/>
    <w:rsid w:val="00F8236C"/>
    <w:rsid w:val="00F8683B"/>
    <w:rsid w:val="00FA3B31"/>
    <w:rsid w:val="00FB66DC"/>
    <w:rsid w:val="00FB7631"/>
    <w:rsid w:val="00FC2145"/>
    <w:rsid w:val="00FF0220"/>
    <w:rsid w:val="00FF489F"/>
    <w:rsid w:val="057B71FA"/>
    <w:rsid w:val="0653265B"/>
    <w:rsid w:val="06FB15AB"/>
    <w:rsid w:val="072F4F4B"/>
    <w:rsid w:val="076B151B"/>
    <w:rsid w:val="0BEA6CD9"/>
    <w:rsid w:val="0EFA6D2E"/>
    <w:rsid w:val="10C36704"/>
    <w:rsid w:val="11C14212"/>
    <w:rsid w:val="144E2772"/>
    <w:rsid w:val="175F13E4"/>
    <w:rsid w:val="1927714A"/>
    <w:rsid w:val="196E00E4"/>
    <w:rsid w:val="1AE97737"/>
    <w:rsid w:val="1BCB73C5"/>
    <w:rsid w:val="1C447F5A"/>
    <w:rsid w:val="1D4B149F"/>
    <w:rsid w:val="1F724B5F"/>
    <w:rsid w:val="1FFB6EE8"/>
    <w:rsid w:val="200A3A07"/>
    <w:rsid w:val="20BD3045"/>
    <w:rsid w:val="21E533F6"/>
    <w:rsid w:val="228C4BA7"/>
    <w:rsid w:val="23215CC3"/>
    <w:rsid w:val="23A61C99"/>
    <w:rsid w:val="24284DA4"/>
    <w:rsid w:val="25496D80"/>
    <w:rsid w:val="27E965F8"/>
    <w:rsid w:val="283A6A64"/>
    <w:rsid w:val="2A315B45"/>
    <w:rsid w:val="2BB86A0D"/>
    <w:rsid w:val="2DB63986"/>
    <w:rsid w:val="2DBB4CBC"/>
    <w:rsid w:val="2EC830D0"/>
    <w:rsid w:val="2F31727D"/>
    <w:rsid w:val="309A3ADC"/>
    <w:rsid w:val="3199108F"/>
    <w:rsid w:val="334B4FFB"/>
    <w:rsid w:val="384D4981"/>
    <w:rsid w:val="388114A1"/>
    <w:rsid w:val="38E67315"/>
    <w:rsid w:val="394C1291"/>
    <w:rsid w:val="39F939DF"/>
    <w:rsid w:val="3A5D55C2"/>
    <w:rsid w:val="3A5E388E"/>
    <w:rsid w:val="3A8748DC"/>
    <w:rsid w:val="3AEA375F"/>
    <w:rsid w:val="3C1E4281"/>
    <w:rsid w:val="3FDC0668"/>
    <w:rsid w:val="41D774C4"/>
    <w:rsid w:val="44421112"/>
    <w:rsid w:val="44A616A1"/>
    <w:rsid w:val="469F3D6C"/>
    <w:rsid w:val="48235212"/>
    <w:rsid w:val="4C6726C0"/>
    <w:rsid w:val="4F165675"/>
    <w:rsid w:val="4FAB400F"/>
    <w:rsid w:val="50EE4AFC"/>
    <w:rsid w:val="54212AF2"/>
    <w:rsid w:val="55132319"/>
    <w:rsid w:val="56146777"/>
    <w:rsid w:val="592A1068"/>
    <w:rsid w:val="59605975"/>
    <w:rsid w:val="5AAD1584"/>
    <w:rsid w:val="5BB209FC"/>
    <w:rsid w:val="5BBD4F0B"/>
    <w:rsid w:val="5D2D075A"/>
    <w:rsid w:val="5F0B6879"/>
    <w:rsid w:val="5F971F4F"/>
    <w:rsid w:val="61C80A51"/>
    <w:rsid w:val="62391E38"/>
    <w:rsid w:val="630F26B0"/>
    <w:rsid w:val="63220C33"/>
    <w:rsid w:val="63FD6018"/>
    <w:rsid w:val="640502D6"/>
    <w:rsid w:val="659820A8"/>
    <w:rsid w:val="65DD0AAC"/>
    <w:rsid w:val="66EB166F"/>
    <w:rsid w:val="68D20407"/>
    <w:rsid w:val="68DF6B1A"/>
    <w:rsid w:val="6A803B00"/>
    <w:rsid w:val="6ABC4ECB"/>
    <w:rsid w:val="6AC00A1E"/>
    <w:rsid w:val="6F520E52"/>
    <w:rsid w:val="703674CE"/>
    <w:rsid w:val="70FC6E6A"/>
    <w:rsid w:val="72E651DB"/>
    <w:rsid w:val="759F5B15"/>
    <w:rsid w:val="7A2F7467"/>
    <w:rsid w:val="7D2E186E"/>
    <w:rsid w:val="7D495FD0"/>
    <w:rsid w:val="7D662FE9"/>
    <w:rsid w:val="7F547970"/>
    <w:rsid w:val="7F587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000000"/>
      <w:kern w:val="2"/>
      <w:sz w:val="21"/>
      <w:szCs w:val="24"/>
      <w:lang w:val="en-US" w:eastAsia="zh-CN" w:bidi="ar-SA"/>
    </w:rPr>
  </w:style>
  <w:style w:type="paragraph" w:styleId="2">
    <w:name w:val="heading 1"/>
    <w:basedOn w:val="1"/>
    <w:next w:val="3"/>
    <w:link w:val="28"/>
    <w:qFormat/>
    <w:uiPriority w:val="9"/>
    <w:pPr>
      <w:spacing w:beforeAutospacing="1" w:afterAutospacing="1"/>
      <w:jc w:val="left"/>
      <w:outlineLvl w:val="0"/>
    </w:pPr>
    <w:rPr>
      <w:rFonts w:hint="eastAsia"/>
      <w:b/>
      <w:bCs/>
      <w:color w:val="000000" w:themeColor="text1"/>
      <w:sz w:val="48"/>
      <w:szCs w:val="48"/>
      <w14:textFill>
        <w14:solidFill>
          <w14:schemeClr w14:val="tx1"/>
        </w14:solidFill>
      </w14:textFill>
    </w:rPr>
  </w:style>
  <w:style w:type="paragraph" w:styleId="4">
    <w:name w:val="heading 2"/>
    <w:basedOn w:val="1"/>
    <w:next w:val="3"/>
    <w:link w:val="27"/>
    <w:semiHidden/>
    <w:unhideWhenUsed/>
    <w:qFormat/>
    <w:uiPriority w:val="0"/>
    <w:pPr>
      <w:spacing w:beforeAutospacing="1" w:afterAutospacing="1"/>
      <w:jc w:val="left"/>
      <w:outlineLvl w:val="1"/>
    </w:pPr>
    <w:rPr>
      <w:rFonts w:hint="eastAsia"/>
      <w:b/>
      <w:bCs/>
      <w:color w:val="000000" w:themeColor="text1"/>
      <w:kern w:val="0"/>
      <w:sz w:val="36"/>
      <w:szCs w:val="36"/>
      <w14:textFill>
        <w14:solidFill>
          <w14:schemeClr w14:val="tx1"/>
        </w14:solidFill>
      </w14:textFill>
    </w:rPr>
  </w:style>
  <w:style w:type="paragraph" w:styleId="5">
    <w:name w:val="heading 3"/>
    <w:next w:val="1"/>
    <w:semiHidden/>
    <w:unhideWhenUsed/>
    <w:qFormat/>
    <w:uiPriority w:val="0"/>
    <w:pPr>
      <w:spacing w:before="120" w:after="120"/>
      <w:outlineLvl w:val="2"/>
    </w:pPr>
    <w:rPr>
      <w:rFonts w:ascii="Times New Roman" w:hAnsi="Times New Roman" w:eastAsia="宋体" w:cs="宋体"/>
      <w:color w:val="000000" w:themeColor="text1"/>
      <w:sz w:val="28"/>
      <w:szCs w:val="24"/>
      <w:lang w:val="en-US" w:eastAsia="zh-CN" w:bidi="ar-SA"/>
      <w14:textFill>
        <w14:solidFill>
          <w14:schemeClr w14:val="tx1"/>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7"/>
    <w:qFormat/>
    <w:uiPriority w:val="0"/>
    <w:pPr>
      <w:spacing w:line="480" w:lineRule="exact"/>
      <w:ind w:firstLine="600" w:firstLineChars="200"/>
    </w:pPr>
    <w:rPr>
      <w:sz w:val="24"/>
    </w:rPr>
  </w:style>
  <w:style w:type="paragraph" w:styleId="6">
    <w:name w:val="caption"/>
    <w:basedOn w:val="1"/>
    <w:next w:val="1"/>
    <w:unhideWhenUsed/>
    <w:qFormat/>
    <w:uiPriority w:val="0"/>
    <w:rPr>
      <w:sz w:val="24"/>
    </w:rPr>
  </w:style>
  <w:style w:type="paragraph" w:styleId="7">
    <w:name w:val="annotation text"/>
    <w:basedOn w:val="1"/>
    <w:link w:val="43"/>
    <w:qFormat/>
    <w:uiPriority w:val="0"/>
    <w:pPr>
      <w:jc w:val="left"/>
    </w:pPr>
  </w:style>
  <w:style w:type="paragraph" w:styleId="8">
    <w:name w:val="toc 3"/>
    <w:basedOn w:val="1"/>
    <w:next w:val="1"/>
    <w:autoRedefine/>
    <w:qFormat/>
    <w:uiPriority w:val="39"/>
    <w:pPr>
      <w:ind w:left="840" w:leftChars="400"/>
    </w:pPr>
  </w:style>
  <w:style w:type="paragraph" w:styleId="9">
    <w:name w:val="footer"/>
    <w:basedOn w:val="1"/>
    <w:link w:val="34"/>
    <w:qFormat/>
    <w:uiPriority w:val="0"/>
    <w:pPr>
      <w:tabs>
        <w:tab w:val="center" w:pos="4153"/>
        <w:tab w:val="right" w:pos="8306"/>
      </w:tabs>
      <w:snapToGrid w:val="0"/>
      <w:jc w:val="left"/>
    </w:pPr>
    <w:rPr>
      <w:sz w:val="18"/>
      <w:szCs w:val="18"/>
    </w:rPr>
  </w:style>
  <w:style w:type="paragraph" w:styleId="10">
    <w:name w:val="header"/>
    <w:basedOn w:val="1"/>
    <w:link w:val="33"/>
    <w:qFormat/>
    <w:uiPriority w:val="0"/>
    <w:pP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 w:val="24"/>
    </w:rPr>
  </w:style>
  <w:style w:type="paragraph" w:styleId="14">
    <w:name w:val="Normal (Web)"/>
    <w:basedOn w:val="1"/>
    <w:qFormat/>
    <w:uiPriority w:val="0"/>
    <w:pPr>
      <w:spacing w:beforeAutospacing="1" w:afterAutospacing="1"/>
      <w:jc w:val="left"/>
    </w:pPr>
    <w:rPr>
      <w:kern w:val="0"/>
      <w:sz w:val="24"/>
    </w:rPr>
  </w:style>
  <w:style w:type="paragraph" w:styleId="15">
    <w:name w:val="annotation subject"/>
    <w:basedOn w:val="7"/>
    <w:next w:val="7"/>
    <w:link w:val="44"/>
    <w:qFormat/>
    <w:uiPriority w:val="0"/>
    <w:rPr>
      <w:b/>
      <w:bCs/>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rFonts w:ascii="Times New Roman" w:hAnsi="Times New Roman" w:eastAsia="宋体"/>
      <w:b/>
      <w:color w:val="000000"/>
    </w:rPr>
  </w:style>
  <w:style w:type="character" w:styleId="20">
    <w:name w:val="FollowedHyperlink"/>
    <w:basedOn w:val="18"/>
    <w:qFormat/>
    <w:uiPriority w:val="0"/>
    <w:rPr>
      <w:rFonts w:ascii="Times New Roman" w:hAnsi="Times New Roman" w:eastAsia="宋体"/>
      <w:color w:val="7E1FAD" w:themeColor="followedHyperlink"/>
      <w:u w:val="single"/>
      <w14:textFill>
        <w14:solidFill>
          <w14:schemeClr w14:val="folHlink"/>
        </w14:solidFill>
      </w14:textFill>
    </w:rPr>
  </w:style>
  <w:style w:type="character" w:styleId="21">
    <w:name w:val="Emphasis"/>
    <w:basedOn w:val="18"/>
    <w:qFormat/>
    <w:uiPriority w:val="0"/>
    <w:rPr>
      <w:rFonts w:ascii="Times New Roman" w:hAnsi="Times New Roman" w:eastAsia="宋体"/>
      <w:i/>
      <w:color w:val="000000"/>
    </w:rPr>
  </w:style>
  <w:style w:type="character" w:styleId="22">
    <w:name w:val="Hyperlink"/>
    <w:qFormat/>
    <w:uiPriority w:val="99"/>
    <w:rPr>
      <w:rFonts w:ascii="Times New Roman" w:hAnsi="Times New Roman" w:eastAsia="宋体"/>
      <w:color w:val="000000"/>
      <w:u w:val="single"/>
    </w:rPr>
  </w:style>
  <w:style w:type="character" w:styleId="23">
    <w:name w:val="HTML Code"/>
    <w:basedOn w:val="18"/>
    <w:qFormat/>
    <w:uiPriority w:val="0"/>
    <w:rPr>
      <w:rFonts w:ascii="Times New Roman" w:hAnsi="Times New Roman" w:eastAsia="宋体"/>
      <w:color w:val="000000"/>
      <w:sz w:val="20"/>
    </w:rPr>
  </w:style>
  <w:style w:type="character" w:styleId="24">
    <w:name w:val="annotation reference"/>
    <w:basedOn w:val="18"/>
    <w:qFormat/>
    <w:uiPriority w:val="0"/>
    <w:rPr>
      <w:rFonts w:ascii="Times New Roman" w:hAnsi="Times New Roman" w:eastAsia="宋体"/>
      <w:color w:val="000000"/>
      <w:sz w:val="21"/>
      <w:szCs w:val="21"/>
    </w:rPr>
  </w:style>
  <w:style w:type="paragraph" w:customStyle="1" w:styleId="25">
    <w:name w:val="二级标题"/>
    <w:basedOn w:val="1"/>
    <w:qFormat/>
    <w:uiPriority w:val="0"/>
    <w:pPr>
      <w:spacing w:before="50" w:beforeLines="50" w:after="50" w:afterLines="50" w:line="480" w:lineRule="exact"/>
      <w:ind w:firstLine="200" w:firstLineChars="200"/>
      <w:textAlignment w:val="center"/>
    </w:pPr>
    <w:rPr>
      <w:rFonts w:hint="eastAsia" w:eastAsia="楷体" w:cs="楷体"/>
      <w:sz w:val="28"/>
      <w:szCs w:val="28"/>
    </w:rPr>
  </w:style>
  <w:style w:type="paragraph" w:customStyle="1" w:styleId="26">
    <w:name w:val="一级标题"/>
    <w:basedOn w:val="1"/>
    <w:qFormat/>
    <w:uiPriority w:val="0"/>
    <w:pPr>
      <w:spacing w:before="50" w:beforeLines="50" w:after="50" w:afterLines="50" w:line="480" w:lineRule="exact"/>
      <w:textAlignment w:val="center"/>
    </w:pPr>
    <w:rPr>
      <w:rFonts w:eastAsia="黑体" w:cs="黑体"/>
      <w:sz w:val="30"/>
      <w:szCs w:val="30"/>
    </w:rPr>
  </w:style>
  <w:style w:type="character" w:customStyle="1" w:styleId="27">
    <w:name w:val="标题 2 字符"/>
    <w:basedOn w:val="18"/>
    <w:link w:val="4"/>
    <w:semiHidden/>
    <w:qFormat/>
    <w:uiPriority w:val="9"/>
    <w:rPr>
      <w:rFonts w:ascii="Times New Roman" w:hAnsi="Times New Roman" w:eastAsia="宋体" w:cstheme="majorBidi"/>
      <w:b/>
      <w:color w:val="000000" w:themeColor="text1"/>
      <w:sz w:val="28"/>
      <w:szCs w:val="32"/>
      <w14:textFill>
        <w14:solidFill>
          <w14:schemeClr w14:val="tx1"/>
        </w14:solidFill>
      </w14:textFill>
    </w:rPr>
  </w:style>
  <w:style w:type="character" w:customStyle="1" w:styleId="28">
    <w:name w:val="标题 1 字符"/>
    <w:basedOn w:val="18"/>
    <w:link w:val="2"/>
    <w:qFormat/>
    <w:uiPriority w:val="9"/>
    <w:rPr>
      <w:rFonts w:ascii="Times New Roman" w:hAnsi="Times New Roman" w:eastAsia="宋体" w:cstheme="majorBidi"/>
      <w:b/>
      <w:color w:val="000000" w:themeColor="text1"/>
      <w:sz w:val="28"/>
      <w:szCs w:val="40"/>
      <w14:textFill>
        <w14:solidFill>
          <w14:schemeClr w14:val="tx1"/>
        </w14:solidFill>
      </w14:textFill>
    </w:rPr>
  </w:style>
  <w:style w:type="paragraph" w:customStyle="1" w:styleId="29">
    <w:name w:val="三级标题"/>
    <w:basedOn w:val="1"/>
    <w:qFormat/>
    <w:uiPriority w:val="0"/>
    <w:pPr>
      <w:spacing w:line="480" w:lineRule="exact"/>
      <w:ind w:firstLine="481" w:firstLineChars="200"/>
      <w:textAlignment w:val="center"/>
    </w:pPr>
    <w:rPr>
      <w:rFonts w:cs="宋体"/>
      <w:b/>
      <w:bCs/>
      <w:sz w:val="24"/>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表注"/>
    <w:basedOn w:val="1"/>
    <w:link w:val="32"/>
    <w:qFormat/>
    <w:uiPriority w:val="0"/>
    <w:pPr>
      <w:tabs>
        <w:tab w:val="center" w:pos="4410"/>
      </w:tabs>
      <w:ind w:firstLine="200" w:firstLineChars="200"/>
      <w:jc w:val="left"/>
    </w:pPr>
    <w:rPr>
      <w:rFonts w:eastAsia="黑体"/>
      <w:sz w:val="18"/>
      <w:szCs w:val="18"/>
    </w:rPr>
  </w:style>
  <w:style w:type="character" w:customStyle="1" w:styleId="32">
    <w:name w:val="表注 字符"/>
    <w:link w:val="31"/>
    <w:qFormat/>
    <w:uiPriority w:val="0"/>
    <w:rPr>
      <w:rFonts w:ascii="Times New Roman" w:hAnsi="Times New Roman" w:eastAsia="黑体"/>
      <w:color w:val="000000"/>
      <w:sz w:val="18"/>
      <w:szCs w:val="18"/>
    </w:rPr>
  </w:style>
  <w:style w:type="character" w:customStyle="1" w:styleId="33">
    <w:name w:val="页眉 字符"/>
    <w:basedOn w:val="18"/>
    <w:link w:val="10"/>
    <w:qFormat/>
    <w:uiPriority w:val="0"/>
    <w:rPr>
      <w:rFonts w:ascii="Times New Roman" w:hAnsi="Times New Roman" w:eastAsia="宋体"/>
      <w:color w:val="000000"/>
      <w:kern w:val="2"/>
      <w:sz w:val="18"/>
      <w:szCs w:val="18"/>
    </w:rPr>
  </w:style>
  <w:style w:type="character" w:customStyle="1" w:styleId="34">
    <w:name w:val="页脚 字符"/>
    <w:basedOn w:val="18"/>
    <w:link w:val="9"/>
    <w:qFormat/>
    <w:uiPriority w:val="0"/>
    <w:rPr>
      <w:rFonts w:ascii="Times New Roman" w:hAnsi="Times New Roman" w:eastAsia="宋体"/>
      <w:color w:val="000000"/>
      <w:kern w:val="2"/>
      <w:sz w:val="18"/>
      <w:szCs w:val="18"/>
    </w:rPr>
  </w:style>
  <w:style w:type="paragraph" w:customStyle="1" w:styleId="35">
    <w:name w:val="Compact"/>
    <w:basedOn w:val="3"/>
    <w:qFormat/>
    <w:uiPriority w:val="0"/>
    <w:pPr>
      <w:spacing w:before="36" w:after="36" w:line="240" w:lineRule="auto"/>
      <w:ind w:firstLine="0" w:firstLineChars="0"/>
    </w:pPr>
  </w:style>
  <w:style w:type="paragraph" w:customStyle="1" w:styleId="36">
    <w:name w:val="论文正文"/>
    <w:basedOn w:val="1"/>
    <w:qFormat/>
    <w:uiPriority w:val="0"/>
    <w:pPr>
      <w:snapToGrid w:val="0"/>
      <w:spacing w:line="360" w:lineRule="exact"/>
      <w:ind w:firstLine="200" w:firstLineChars="200"/>
    </w:pPr>
  </w:style>
  <w:style w:type="paragraph" w:customStyle="1" w:styleId="37">
    <w:name w:val="图片"/>
    <w:basedOn w:val="1"/>
    <w:qFormat/>
    <w:uiPriority w:val="0"/>
    <w:pPr>
      <w:spacing w:line="480" w:lineRule="exact"/>
      <w:jc w:val="center"/>
      <w:textAlignment w:val="center"/>
    </w:pPr>
    <w:rPr>
      <w:sz w:val="24"/>
    </w:rPr>
  </w:style>
  <w:style w:type="character" w:styleId="38">
    <w:name w:val="Placeholder Text"/>
    <w:basedOn w:val="18"/>
    <w:unhideWhenUsed/>
    <w:qFormat/>
    <w:uiPriority w:val="99"/>
    <w:rPr>
      <w:rFonts w:ascii="Times New Roman" w:hAnsi="Times New Roman" w:eastAsia="宋体"/>
      <w:color w:val="000000"/>
    </w:rPr>
  </w:style>
  <w:style w:type="paragraph" w:styleId="39">
    <w:name w:val="List Paragraph"/>
    <w:basedOn w:val="1"/>
    <w:unhideWhenUsed/>
    <w:qFormat/>
    <w:uiPriority w:val="99"/>
    <w:pPr>
      <w:ind w:firstLine="420" w:firstLineChars="200"/>
    </w:pPr>
  </w:style>
  <w:style w:type="table" w:customStyle="1" w:styleId="40">
    <w:name w:val="无格式表格 31"/>
    <w:basedOn w:val="16"/>
    <w:qFormat/>
    <w:uiPriority w:val="43"/>
    <w:rPr>
      <w:rFonts w:asciiTheme="minorHAnsi" w:hAnsiTheme="minorHAnsi" w:eastAsiaTheme="minorEastAsia" w:cstheme="minorBidi"/>
      <w:kern w:val="2"/>
      <w:sz w:val="22"/>
      <w:szCs w:val="24"/>
      <w14:ligatures w14:val="standardContextual"/>
    </w:rPr>
    <w:tblStylePr w:type="firstRow">
      <w:rPr>
        <w:rFonts w:ascii="Times New Roman" w:hAnsi="Times New Roman" w:eastAsia="宋体"/>
        <w:b/>
        <w:bCs/>
        <w:caps/>
        <w:color w:val="000000"/>
      </w:rPr>
      <w:tcPr>
        <w:tcBorders>
          <w:bottom w:val="single" w:color="7E7E7E" w:themeColor="text1" w:themeTint="80" w:sz="4" w:space="0"/>
        </w:tcBorders>
      </w:tcPr>
    </w:tblStylePr>
    <w:tblStylePr w:type="lastRow">
      <w:rPr>
        <w:rFonts w:ascii="Times New Roman" w:hAnsi="Times New Roman" w:eastAsia="宋体"/>
        <w:b/>
        <w:bCs/>
        <w:caps/>
        <w:color w:val="000000"/>
      </w:rPr>
      <w:tcPr>
        <w:tcBorders>
          <w:top w:val="nil"/>
        </w:tcBorders>
      </w:tcPr>
    </w:tblStylePr>
    <w:tblStylePr w:type="firstCol">
      <w:rPr>
        <w:rFonts w:ascii="Times New Roman" w:hAnsi="Times New Roman" w:eastAsia="宋体"/>
        <w:b/>
        <w:bCs/>
        <w:caps/>
        <w:color w:val="000000"/>
      </w:rPr>
      <w:tcPr>
        <w:tcBorders>
          <w:right w:val="single" w:color="7E7E7E" w:themeColor="text1" w:themeTint="80" w:sz="4" w:space="0"/>
        </w:tcBorders>
      </w:tcPr>
    </w:tblStylePr>
    <w:tblStylePr w:type="lastCol">
      <w:rPr>
        <w:rFonts w:ascii="Times New Roman" w:hAnsi="Times New Roman" w:eastAsia="宋体"/>
        <w:b/>
        <w:bCs/>
        <w:caps/>
        <w:color w:val="000000"/>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customStyle="1" w:styleId="41">
    <w:name w:val="公文正文"/>
    <w:basedOn w:val="1"/>
    <w:qFormat/>
    <w:uiPriority w:val="0"/>
    <w:pPr>
      <w:spacing w:line="600" w:lineRule="exact"/>
      <w:ind w:firstLine="640" w:firstLineChars="200"/>
    </w:pPr>
    <w:rPr>
      <w:rFonts w:eastAsia="仿宋_GB2312"/>
      <w:sz w:val="32"/>
    </w:rPr>
  </w:style>
  <w:style w:type="paragraph" w:customStyle="1" w:styleId="42">
    <w:name w:val="书目1"/>
    <w:basedOn w:val="1"/>
    <w:next w:val="1"/>
    <w:unhideWhenUsed/>
    <w:qFormat/>
    <w:uiPriority w:val="37"/>
    <w:pPr>
      <w:tabs>
        <w:tab w:val="left" w:pos="504"/>
      </w:tabs>
      <w:ind w:left="504" w:hanging="504"/>
    </w:pPr>
  </w:style>
  <w:style w:type="character" w:customStyle="1" w:styleId="43">
    <w:name w:val="批注文字 字符"/>
    <w:basedOn w:val="18"/>
    <w:link w:val="7"/>
    <w:qFormat/>
    <w:uiPriority w:val="0"/>
    <w:rPr>
      <w:rFonts w:ascii="Times New Roman" w:hAnsi="Times New Roman" w:eastAsia="宋体"/>
      <w:color w:val="000000"/>
      <w:kern w:val="2"/>
      <w:sz w:val="21"/>
      <w:szCs w:val="24"/>
    </w:rPr>
  </w:style>
  <w:style w:type="character" w:customStyle="1" w:styleId="44">
    <w:name w:val="批注主题 字符"/>
    <w:basedOn w:val="43"/>
    <w:link w:val="15"/>
    <w:qFormat/>
    <w:uiPriority w:val="0"/>
    <w:rPr>
      <w:rFonts w:ascii="Times New Roman" w:hAnsi="Times New Roman" w:eastAsia="宋体"/>
      <w:b/>
      <w:bCs/>
      <w:color w:val="000000"/>
      <w:kern w:val="2"/>
      <w:sz w:val="21"/>
      <w:szCs w:val="24"/>
    </w:rPr>
  </w:style>
  <w:style w:type="paragraph" w:customStyle="1" w:styleId="45">
    <w:name w:val="修订1"/>
    <w:hidden/>
    <w:unhideWhenUsed/>
    <w:qFormat/>
    <w:uiPriority w:val="99"/>
    <w:rPr>
      <w:rFonts w:ascii="Times New Roman" w:hAnsi="Times New Roman" w:eastAsia="宋体" w:cs="Times New Roman"/>
      <w:color w:val="000000"/>
      <w:kern w:val="2"/>
      <w:sz w:val="21"/>
      <w:szCs w:val="24"/>
      <w:lang w:val="en-US" w:eastAsia="zh-CN" w:bidi="ar-SA"/>
    </w:rPr>
  </w:style>
  <w:style w:type="paragraph" w:customStyle="1" w:styleId="46">
    <w:name w:val="摘要标题"/>
    <w:basedOn w:val="3"/>
    <w:link w:val="48"/>
    <w:qFormat/>
    <w:uiPriority w:val="0"/>
    <w:pPr>
      <w:ind w:firstLine="200"/>
      <w:jc w:val="center"/>
      <w:outlineLvl w:val="0"/>
    </w:pPr>
    <w:rPr>
      <w:rFonts w:ascii="黑体" w:hAnsi="黑体" w:eastAsia="黑体" w:cs="黑体"/>
      <w:sz w:val="28"/>
      <w:szCs w:val="28"/>
    </w:rPr>
  </w:style>
  <w:style w:type="character" w:customStyle="1" w:styleId="47">
    <w:name w:val="正文文本 字符"/>
    <w:basedOn w:val="18"/>
    <w:link w:val="3"/>
    <w:qFormat/>
    <w:uiPriority w:val="0"/>
    <w:rPr>
      <w:color w:val="000000"/>
      <w:kern w:val="2"/>
      <w:sz w:val="24"/>
      <w:szCs w:val="24"/>
    </w:rPr>
  </w:style>
  <w:style w:type="character" w:customStyle="1" w:styleId="48">
    <w:name w:val="摘要标题 字符"/>
    <w:basedOn w:val="47"/>
    <w:link w:val="46"/>
    <w:qFormat/>
    <w:uiPriority w:val="0"/>
    <w:rPr>
      <w:rFonts w:ascii="黑体" w:hAnsi="黑体" w:eastAsia="黑体" w:cs="黑体"/>
      <w:color w:val="000000"/>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9E9E41-791E-4C81-B78F-E528F9340CA4}">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17632</Words>
  <Characters>23330</Characters>
  <Lines>589</Lines>
  <Paragraphs>166</Paragraphs>
  <TotalTime>0</TotalTime>
  <ScaleCrop>false</ScaleCrop>
  <LinksUpToDate>false</LinksUpToDate>
  <CharactersWithSpaces>24247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2026-05-31T14:13:00Z</dcterms:created>
  <dc:creator>19195</dc:creator>
  <cp:lastModifiedBy>WPS_1695702600</cp:lastModifiedBy>
  <dcterms:modified xsi:type="dcterms:W3CDTF">2026-06-01T11:51:17Z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DD6595CB99124434B13E0E4FFBF75991_13</vt:lpwstr>
  </property>
  <property fmtid="{D5CDD505-2E9C-101B-9397-08002B2CF9AE}" pid="4" name="KSOTemplateDocerSaveRecord">
    <vt:lpwstr>eyJoZGlkIjoiMTkyZTJiMDhiNzMxOTAxZmU0ZDFmYTBkNDk5OTUwMDEiLCJ1c2VySWQiOiIxNTQwMDIwMzU5In0=</vt:lpwstr>
  </property>
  <property fmtid="{D5CDD505-2E9C-101B-9397-08002B2CF9AE}" pid="5" name="ZOTERO_PREF_1">
    <vt:lpwstr>&lt;data data-version="3" zotero-version="7.0.30"&gt;&lt;session id="i4gNaXS3"/&gt;&lt;style id="http://www.zotero.org/styles/china-national-standard-gb-t-7714-2015-numeric" hasBibliography="1" bibliographyStyleHasBeenSet="1"/&gt;&lt;prefs&gt;&lt;pref name="fieldType" value="Field"</vt:lpwstr>
  </property>
  <property fmtid="{D5CDD505-2E9C-101B-9397-08002B2CF9AE}" pid="6" name="ZOTERO_PREF_2">
    <vt:lpwstr>/&gt;&lt;pref name="automaticJournalAbbreviations" value="true"/&gt;&lt;/prefs&gt;&lt;/data&gt;</vt:lpwstr>
  </property>
</Properties>
</file>