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D3796">
      <w:pPr>
        <w:keepNext/>
        <w:widowControl/>
        <w:spacing w:before="0" w:after="60" w:line="360" w:lineRule="auto"/>
        <w:ind w:left="0" w:right="0" w:firstLine="420"/>
        <w:jc w:val="both"/>
      </w:pPr>
      <w:bookmarkStart w:id="0" w:name="研发投入如何塑造中国省域碳中和技术创新"/>
      <w:bookmarkStart w:id="32" w:name="_GoBack"/>
      <w:bookmarkEnd w:id="32"/>
      <w:r>
        <w:rPr>
          <w:rFonts w:ascii="Times New Roman" w:hAnsi="Times New Roman" w:eastAsia="宋体"/>
          <w:b/>
          <w:color w:val="000000"/>
          <w:sz w:val="21"/>
        </w:rPr>
        <w:t>研发投入如何塑造中国省域碳中和技术创新？</w:t>
      </w:r>
      <w:r>
        <w:rPr>
          <w:rFonts w:ascii="Times New Roman" w:hAnsi="Times New Roman" w:eastAsia="宋体"/>
          <w:b/>
          <w:color w:val="000000"/>
          <w:sz w:val="21"/>
        </w:rPr>
        <w:br w:type="textWrapping"/>
      </w:r>
      <w:r>
        <w:rPr>
          <w:rFonts w:ascii="Times New Roman" w:hAnsi="Times New Roman" w:eastAsia="宋体"/>
          <w:b/>
          <w:color w:val="000000"/>
          <w:sz w:val="21"/>
        </w:rPr>
        <w:t>——状态跃迁、空间溢出与局部时空差异</w:t>
      </w:r>
    </w:p>
    <w:p w14:paraId="35957A2A">
      <w:pPr>
        <w:keepNext/>
        <w:spacing w:before="80" w:after="80"/>
        <w:ind w:firstLine="0"/>
        <w:jc w:val="center"/>
      </w:pPr>
      <w:bookmarkStart w:id="1" w:name="状态跃迁空间溢出与局部时空差异"/>
      <w:r>
        <w:rPr>
          <w:rFonts w:hint="eastAsia" w:ascii="Times New Roman" w:hAnsi="Times New Roman" w:eastAsia="黑体"/>
          <w:b/>
          <w:bCs/>
          <w:color w:val="000000"/>
          <w:sz w:val="24"/>
        </w:rPr>
        <w:t>摘</w:t>
      </w:r>
      <w:r>
        <w:rPr>
          <w:rFonts w:ascii="Times New Roman" w:hAnsi="Times New Roman" w:eastAsia="黑体"/>
          <w:b/>
          <w:bCs/>
          <w:color w:val="000000"/>
          <w:sz w:val="24"/>
        </w:rPr>
        <w:t xml:space="preserve"> </w:t>
      </w:r>
      <w:r>
        <w:rPr>
          <w:rFonts w:hint="eastAsia" w:ascii="Times New Roman" w:hAnsi="Times New Roman" w:eastAsia="黑体"/>
          <w:b/>
          <w:bCs/>
          <w:color w:val="000000"/>
          <w:sz w:val="24"/>
        </w:rPr>
        <w:t>要</w:t>
      </w:r>
    </w:p>
    <w:p w14:paraId="5EAA98CC">
      <w:pPr>
        <w:widowControl/>
        <w:spacing w:before="0" w:after="60" w:line="360" w:lineRule="auto"/>
        <w:ind w:left="0" w:right="0" w:firstLine="420"/>
        <w:jc w:val="both"/>
      </w:pPr>
      <w:r>
        <w:rPr>
          <w:rFonts w:hint="eastAsia" w:ascii="Times New Roman" w:hAnsi="Times New Roman" w:eastAsia="宋体"/>
          <w:color w:val="000000"/>
          <w:sz w:val="21"/>
        </w:rPr>
        <w:t>实现碳中和不仅取决于研发投入规模，更取决于研发形成的知识能否突破地区边界，并推动区域创新能力持续升级。基于2014—2023年中国大陆31个省级地区数据，本文以CPC</w:t>
      </w:r>
      <w:r>
        <w:rPr>
          <w:rFonts w:ascii="Times New Roman" w:hAnsi="Times New Roman" w:eastAsia="宋体"/>
          <w:color w:val="000000"/>
          <w:sz w:val="21"/>
        </w:rPr>
        <w:t xml:space="preserve"> </w:t>
      </w:r>
      <w:r>
        <w:rPr>
          <w:rFonts w:hint="eastAsia" w:ascii="Times New Roman" w:hAnsi="Times New Roman" w:eastAsia="宋体"/>
          <w:color w:val="000000"/>
          <w:sz w:val="21"/>
        </w:rPr>
        <w:t>Y02专利申请衡量碳中和技术创新活跃度，从创新状态演进、跨区域影响和时空差异三个层面考察研发投入对区域碳中和技术创新的作用。研究发现，中国省域碳中和技术创新具有明显的路径依赖，既有创新优势和劣势均具有较强持续性，区域差距因而难以在短期内自行消解。不过，地区的发展轨迹并非完全锁定：处于较高创新水平的邻域与中等水平地区向更高创新状态跃迁系统相伴，表明良好的区域创新环境可能成为突破既有发展路径的重要条件。进一步分析发现，研发投入带来的收益并不局限于投入地区本身，其与本地创新活跃度呈显著正向关系，同时表现出更为突出的跨区域正向关联，与知识扩散和网络外部性机制相容。这一空间优势存在明确的创新环节边界。当创新结果由专利申请转向发明专利授权时，本地正向关系依然存在，跨区域效应却转为负向，总体效应不再显著。跨省网络的收益集中于创新参与机会的扩散，发明授权环节则呈现不同的空间逻辑，这一边界为创新政策区分申请扩张与授权产出提供了直接依据。此外，研发投入与碳中和技术创新的关联具有明显的时空非平稳性，其强度随地区创新基础和时期条件变化；平均空间效应刻画整体水平，局部差异则提示政策需要在地区与时期维度上分层设计。本文由此表明，提升碳中和技术创新不能仅依靠单个地区增加研发投入，而需要同时关注跨区域知识流动、落后地区的吸收能力以及从创新参与到成果转化不同阶段的政策匹配，从而由“增加投入”进一步转向“提升区域创新网络的整体效率”。</w:t>
      </w:r>
    </w:p>
    <w:p w14:paraId="3D1C5308">
      <w:pPr>
        <w:widowControl/>
        <w:spacing w:before="0" w:after="60" w:line="360" w:lineRule="auto"/>
        <w:ind w:left="0" w:right="0" w:firstLine="420"/>
        <w:jc w:val="both"/>
      </w:pPr>
      <w:r>
        <w:rPr>
          <w:rFonts w:ascii="Times New Roman" w:hAnsi="Times New Roman" w:eastAsia="黑体"/>
          <w:b/>
          <w:color w:val="000000"/>
          <w:sz w:val="21"/>
        </w:rPr>
        <w:t>关键词：</w:t>
      </w:r>
      <w:r>
        <w:rPr>
          <w:rFonts w:ascii="Times New Roman" w:hAnsi="Times New Roman" w:eastAsia="宋体"/>
          <w:b w:val="0"/>
          <w:color w:val="000000"/>
          <w:sz w:val="21"/>
        </w:rPr>
        <w:t>碳中和技术创新；研发投入；空间Markov链；空间杜宾模型；空间溢出；时空地理加权回归</w:t>
      </w:r>
    </w:p>
    <w:bookmarkEnd w:id="0"/>
    <w:bookmarkEnd w:id="1"/>
    <w:p w14:paraId="7527CE1C">
      <w:pPr>
        <w:pStyle w:val="2"/>
        <w:keepNext/>
        <w:keepLines/>
        <w:spacing w:before="160" w:after="80"/>
        <w:ind w:firstLine="0"/>
      </w:pPr>
      <w:bookmarkStart w:id="2" w:name="引言"/>
      <w:r>
        <w:rPr>
          <w:rFonts w:ascii="Times New Roman" w:hAnsi="Times New Roman" w:eastAsia="黑体"/>
          <w:b/>
          <w:color w:val="000000"/>
          <w:sz w:val="32"/>
        </w:rPr>
        <w:t xml:space="preserve">1 </w:t>
      </w:r>
      <w:r>
        <w:rPr>
          <w:rFonts w:hint="eastAsia" w:ascii="Times New Roman" w:hAnsi="Times New Roman" w:eastAsia="黑体"/>
          <w:b/>
          <w:color w:val="000000"/>
          <w:sz w:val="32"/>
        </w:rPr>
        <w:t>引言</w:t>
      </w:r>
    </w:p>
    <w:p w14:paraId="44506A76">
      <w:pPr>
        <w:widowControl/>
        <w:spacing w:before="0" w:after="60" w:line="360" w:lineRule="auto"/>
        <w:ind w:left="0" w:right="0" w:firstLine="420"/>
        <w:jc w:val="both"/>
      </w:pPr>
      <w:r>
        <w:rPr>
          <w:rFonts w:hint="eastAsia" w:ascii="Times New Roman" w:hAnsi="Times New Roman" w:eastAsia="宋体"/>
          <w:i w:val="0"/>
          <w:color w:val="000000"/>
          <w:sz w:val="21"/>
        </w:rPr>
        <w:t>全球净零转型要求能源、工业、交通、建筑和废弃物治理等部门持续形成可规模化的减排、近零排放与负排放技术。这些技术是压低减排成本、实现深度脱碳的关键，但其形成依赖长期研发、试验示范和知识积累，不同技术路线的成熟度与扩散速度也不一致（IPCC 2023; IEA 2023）。由于碳中和目标具有明确的时间约束，而关键气候技术从研发到规模化应用往往需要数十年，尽早、有效地组织创新投入具有突出的紧迫性。作为全球最大的碳排放国，中国提出2030年前碳达峰、2060年前碳中和，并通过《2030年前碳达峰行动方案》和《科技支撑碳达峰碳中和实施方案（2022—2030年）》将技术创新纳入“双碳”战略实施体系。由此产生一个区域经济问题：各省增加研发投入（research and development，R&amp;D）能否扩大本地碳中和技术供给，又能否通过跨省知识联系改善其他地区的创新条件；对这一问题的回答，直接关系到稀缺研发资源能否在有限时间窗口内得到有效配置。</w:t>
      </w:r>
    </w:p>
    <w:p w14:paraId="6A91341F">
      <w:pPr>
        <w:widowControl/>
        <w:spacing w:before="0" w:after="60" w:line="360" w:lineRule="auto"/>
        <w:ind w:left="0" w:right="0" w:firstLine="420"/>
        <w:jc w:val="both"/>
      </w:pPr>
      <w:r>
        <w:rPr>
          <w:rFonts w:hint="eastAsia" w:ascii="Times New Roman" w:hAnsi="Times New Roman" w:eastAsia="宋体"/>
          <w:i w:val="0"/>
          <w:color w:val="000000"/>
          <w:sz w:val="21"/>
        </w:rPr>
        <w:t>碳中和技术创新具有突出的知识密集和空间网络属性。研发支出支持科研人员、设备购置和试验活动，扩大新知识产出并增强既有技术的吸收与再组合能力（Griliches 1990; Aghion and Jaravel 2015）。专利引用、人才流动、合作研发和技术交易使知识跨越行政边界，研发活动的收益因而可能超出投入地区（Jaffe et al. 1993; Audretsch and Feldman 1996）。与此同时，创新要素向优势地区集聚、地区间技术路线竞争和市场替代又会压缩邻近地区的收益（Bloom et al. 2013）。R&amp;D对省域碳中和技术创新的影响因此同时包含本地知识生产、空间反馈和网络外部性，普通非空间模型难以将这三类效应区分开来。</w:t>
      </w:r>
    </w:p>
    <w:p w14:paraId="15897CF8">
      <w:pPr>
        <w:widowControl/>
        <w:spacing w:before="0" w:after="60" w:line="360" w:lineRule="auto"/>
        <w:ind w:left="0" w:right="0" w:firstLine="420"/>
        <w:jc w:val="both"/>
      </w:pPr>
      <w:r>
        <w:rPr>
          <w:rFonts w:hint="eastAsia" w:ascii="Times New Roman" w:hAnsi="Times New Roman" w:eastAsia="宋体"/>
          <w:i w:val="0"/>
          <w:color w:val="000000"/>
          <w:sz w:val="21"/>
        </w:rPr>
        <w:t>识别碳中和技术创新还需要明确测度边界。合作专利分类体系（Cooperative Patent Classification，CPC）的Y02类为气候变化减缓与适应技术建立了跨行业识别标签，其气候技术识别能力强于传统绿色专利清单（Veefkind et al. 2012; Hindle 2024）。专利申请反映的是专利化知识产出的活跃程度，尚不包括技术质量、商业化程度和实际减排绩效（Rainville et al. 2024）。本文以省域碳中和技术专利创新活跃度为研究对象，并进一步用发明专利授权检验申请与授权两个环节的差异。</w:t>
      </w:r>
    </w:p>
    <w:p w14:paraId="729F07E4">
      <w:pPr>
        <w:widowControl/>
        <w:spacing w:before="0" w:after="60" w:line="360" w:lineRule="auto"/>
        <w:ind w:left="0" w:right="0" w:firstLine="420"/>
        <w:jc w:val="both"/>
      </w:pPr>
      <w:r>
        <w:rPr>
          <w:rFonts w:hint="eastAsia" w:ascii="Times New Roman" w:hAnsi="Times New Roman" w:eastAsia="宋体"/>
          <w:color w:val="000000"/>
          <w:sz w:val="21"/>
        </w:rPr>
        <w:t>现有研究为理解气候技术创新提供了丰富证据，但仍有三点有待深化。其一，多数研究只考察创新水平或回归系数，较少把省域技术状态的持续性、等级跃迁与邻域条件纳入同一框架。其二，部分空间研究直接解释空间杜宾模型（SDM）的原始系数，混同了模型参数与空间反馈后的边际效应；R&amp;D对本地与其他地区的影响需要经空间乘数分解分别识别。其三，全国平均效应难以反映地区知识基础与年度创新环境的差异，区域分组与时空地理加权回归（GTWR）的局部系数可以补充异质性与局部条件相关的信息。</w:t>
      </w:r>
    </w:p>
    <w:p w14:paraId="029C033F">
      <w:pPr>
        <w:widowControl/>
        <w:spacing w:before="0" w:after="60" w:line="360" w:lineRule="auto"/>
        <w:ind w:left="0" w:right="0" w:firstLine="420"/>
        <w:jc w:val="both"/>
      </w:pPr>
      <w:r>
        <w:rPr>
          <w:rFonts w:hint="eastAsia" w:ascii="Times New Roman" w:hAnsi="Times New Roman" w:eastAsia="宋体"/>
          <w:color w:val="000000"/>
          <w:sz w:val="21"/>
        </w:rPr>
        <w:t>本文使用2014—2023年中国大陆31个省级地区的面板数据开展实证分析。首先，用全局Moran’s I、Moran散点图和局部空间关联指标描述碳中和技术创新（carbon-neutral technology innovation，CNTI）的空间相关。其次，用传统与空间Markov链比较低、中、高状态的持续与跃迁概率。再次，在普通双向固定效应基准之上估计双向固定效应SDM，并以直接、间接和总效应作为R&amp;D空间影响的主要依据。最后，通过剔除特定年份和地区样本、替换因变量与空间权重矩阵检验结论对样本、指标与网络定义的稳健性，并借助区域分组和GTWR刻画局部时空差异。</w:t>
      </w:r>
    </w:p>
    <w:p w14:paraId="6947CED3">
      <w:pPr>
        <w:widowControl/>
        <w:spacing w:before="0" w:after="60" w:line="360" w:lineRule="auto"/>
        <w:ind w:left="0" w:right="0" w:firstLine="420"/>
        <w:jc w:val="both"/>
      </w:pPr>
      <w:r>
        <w:rPr>
          <w:rFonts w:hint="eastAsia" w:ascii="Times New Roman" w:hAnsi="Times New Roman" w:eastAsia="宋体"/>
          <w:color w:val="000000"/>
          <w:sz w:val="21"/>
        </w:rPr>
        <w:t>本文的贡献集中在三个方面。第一，在测度上，将Y02专利申请明确界定为碳中和技术专利创新活跃度，把宏观碳中和目标落实到可观察的技术知识产出，同时使用发明专利授权检验申请与授权环节的差异。第二，在方法上，传统与空间Markov链刻画状态持续和邻域条件，SDM空间乘数分解识别平均直接、间接和总效应，GTWR描述局部条件相关的时空变化，三类证据各自回答不同问题。第三，在经验上，本文识别出较高的状态黏性、邻域环境对中等状态跃迁的不对称关联，以及R&amp;D间接效应大于直接效应的全国平均特征，并揭示发明授权口径下空间效应方向发生变化，为研发政策区分创新阶段与区域网络条件提供了更细化的依据。</w:t>
      </w:r>
    </w:p>
    <w:p w14:paraId="75814653">
      <w:pPr>
        <w:widowControl/>
        <w:spacing w:before="0" w:after="60" w:line="360" w:lineRule="auto"/>
        <w:ind w:left="0" w:right="0" w:firstLine="420"/>
        <w:jc w:val="both"/>
      </w:pPr>
      <w:r>
        <w:rPr>
          <w:rFonts w:hint="eastAsia" w:ascii="Times New Roman" w:hAnsi="Times New Roman" w:eastAsia="宋体"/>
          <w:color w:val="000000"/>
          <w:sz w:val="21"/>
        </w:rPr>
        <w:t>余文安排如下：第2部分回顾碳中和技术创新测度、R&amp;D知识扩散和空间演化研究；第3部分提出理论机制与研究假设；第4部分说明指标、模型和数据；第5部分报告实证结果；第6部分给出结论、政策启示与研究展望。</w:t>
      </w:r>
    </w:p>
    <w:bookmarkEnd w:id="2"/>
    <w:p w14:paraId="32E023CF">
      <w:pPr>
        <w:pStyle w:val="2"/>
        <w:keepNext/>
        <w:keepLines/>
        <w:spacing w:before="160" w:after="80"/>
        <w:ind w:firstLine="0"/>
      </w:pPr>
      <w:bookmarkStart w:id="3" w:name="文献综述"/>
      <w:r>
        <w:rPr>
          <w:rFonts w:ascii="Times New Roman" w:hAnsi="Times New Roman" w:eastAsia="黑体"/>
          <w:b/>
          <w:color w:val="000000"/>
          <w:sz w:val="32"/>
        </w:rPr>
        <w:t xml:space="preserve">2 </w:t>
      </w:r>
      <w:r>
        <w:rPr>
          <w:rFonts w:hint="eastAsia" w:ascii="Times New Roman" w:hAnsi="Times New Roman" w:eastAsia="黑体"/>
          <w:b/>
          <w:color w:val="000000"/>
          <w:sz w:val="32"/>
        </w:rPr>
        <w:t>文献综述</w:t>
      </w:r>
    </w:p>
    <w:p w14:paraId="499D3A7F">
      <w:pPr>
        <w:pStyle w:val="4"/>
        <w:keepNext/>
        <w:keepLines/>
        <w:spacing w:before="160" w:after="80"/>
        <w:ind w:firstLine="0"/>
      </w:pPr>
      <w:bookmarkStart w:id="4" w:name="碳中和技术创新的测度与影响因素"/>
      <w:r>
        <w:rPr>
          <w:rFonts w:ascii="Times New Roman" w:hAnsi="Times New Roman" w:eastAsia="黑体"/>
          <w:b/>
          <w:color w:val="000000"/>
          <w:sz w:val="28"/>
        </w:rPr>
        <w:t xml:space="preserve">2.1 </w:t>
      </w:r>
      <w:r>
        <w:rPr>
          <w:rFonts w:hint="eastAsia" w:ascii="Times New Roman" w:hAnsi="Times New Roman" w:eastAsia="黑体"/>
          <w:b/>
          <w:color w:val="000000"/>
          <w:sz w:val="28"/>
        </w:rPr>
        <w:t>碳中和技术创新的测度与影响因素</w:t>
      </w:r>
    </w:p>
    <w:p w14:paraId="21E2FD16">
      <w:pPr>
        <w:widowControl/>
        <w:spacing w:before="0" w:after="60" w:line="360" w:lineRule="auto"/>
        <w:ind w:left="0" w:right="0" w:firstLine="420"/>
        <w:jc w:val="both"/>
      </w:pPr>
      <w:r>
        <w:rPr>
          <w:rFonts w:hint="eastAsia" w:ascii="Times New Roman" w:hAnsi="Times New Roman" w:eastAsia="宋体"/>
          <w:i w:val="0"/>
          <w:color w:val="000000"/>
          <w:sz w:val="21"/>
        </w:rPr>
        <w:t>环境技术创新研究通常以专利数量、专利授权或专利引用衡量可编码知识产出。专利数据具有技术分类清晰、地区和年份可追踪等优点，适合观察区域知识生产，但专利计数不等同于经济价值或技术质量（Griliches 1990; Acs et al. 2002; Hall and Harhoff 2012）。围绕气候目标，欧洲专利局建立的Y02标签把分散在传统专利分类中的气候变化减缓与适应技术重新组织为跨部门体系（Veefkind et al. 2012）。Rainville et al.（2024）比较绿色专利分类体系后发现，Y02具有较高的细分度和兼容性；Hindle（2024）则将其视为连接专利知识与气候行动的分类基础设施。Y02适合界定碳中和导向的技术活动，同时未纳入未申请专利的工艺知识、组织创新和实际减排效果。</w:t>
      </w:r>
    </w:p>
    <w:p w14:paraId="624378C6">
      <w:pPr>
        <w:widowControl/>
        <w:spacing w:before="0" w:after="60" w:line="360" w:lineRule="auto"/>
        <w:ind w:left="0" w:right="0" w:firstLine="420"/>
        <w:jc w:val="both"/>
      </w:pPr>
      <w:r>
        <w:rPr>
          <w:rFonts w:hint="eastAsia" w:ascii="Times New Roman" w:hAnsi="Times New Roman" w:eastAsia="宋体"/>
          <w:color w:val="000000"/>
          <w:sz w:val="21"/>
        </w:rPr>
        <w:t>近年来，中国研究开始直接采用“碳中和技术创新”这一口径，并将低碳、零碳和负碳技术纳入统一分析，以突破单一行业或单一减排技术的限制。其中，Geng et al.（2025）以Y02发明专利申请刻画城市碳中和技术创新并估计其空间效应；Gong and Xiao（2024）与Ding et al.（2025）则从科技金融、低碳约束与创新驱动政策组合考察其形成。本文沿用Y02技术边界，把申请量解释为创新活跃度，并用授权数据检验创新环节的变化，从而把申请参与与授权产出区分开来。</w:t>
      </w:r>
    </w:p>
    <w:p w14:paraId="05550B70">
      <w:pPr>
        <w:widowControl/>
        <w:spacing w:before="0" w:after="60" w:line="360" w:lineRule="auto"/>
        <w:ind w:left="0" w:right="0" w:firstLine="420"/>
        <w:jc w:val="both"/>
      </w:pPr>
      <w:r>
        <w:rPr>
          <w:rFonts w:hint="eastAsia" w:ascii="Times New Roman" w:hAnsi="Times New Roman" w:eastAsia="宋体"/>
          <w:i w:val="0"/>
          <w:color w:val="000000"/>
          <w:sz w:val="21"/>
        </w:rPr>
        <w:t>碳中和技术创新的影响因素涉及市场收益、政策约束、融资条件和创新基础。定向技术变迁理论指出，能源价格、环境规制和相对收益会改变研发方向（Popp 2002; Acemoglu et al. 2012）；预期碳价上升与低碳专利活动增加之间的关联，为收益诱导机制提供了近期证据（Cantone et al. 2023）。绿色金融、科技金融与数字基础设施能够缓解融资或信息约束，并影响地区技术吸收和创新组织方式（Cheng et al. 2023; Gong and Xiao 2024; Geng et al. 2025）。但无论来自市场、政策、融资还是创新基础，这些因素最终都要经由研发人员、设备、试验和知识重组转化为专利化产出，R&amp;D因此是连接政策环境与碳中和技术供给的关键投入。</w:t>
      </w:r>
    </w:p>
    <w:bookmarkEnd w:id="4"/>
    <w:p w14:paraId="2B4ADF31">
      <w:pPr>
        <w:pStyle w:val="4"/>
        <w:keepNext/>
        <w:keepLines/>
        <w:spacing w:before="160" w:after="80"/>
        <w:ind w:firstLine="0"/>
      </w:pPr>
      <w:bookmarkStart w:id="5" w:name="rd知识扩散与空间溢出"/>
      <w:r>
        <w:rPr>
          <w:rFonts w:ascii="Times New Roman" w:hAnsi="Times New Roman" w:eastAsia="黑体"/>
          <w:b/>
          <w:color w:val="000000"/>
          <w:sz w:val="28"/>
        </w:rPr>
        <w:t xml:space="preserve">2.2 </w:t>
      </w:r>
      <w:r>
        <w:rPr>
          <w:rFonts w:hint="eastAsia" w:ascii="Times New Roman" w:hAnsi="Times New Roman" w:eastAsia="黑体"/>
          <w:b/>
          <w:color w:val="000000"/>
          <w:sz w:val="28"/>
        </w:rPr>
        <w:t>R&amp;D、知识扩散与空间溢出</w:t>
      </w:r>
    </w:p>
    <w:p w14:paraId="32E718FC">
      <w:pPr>
        <w:widowControl/>
        <w:spacing w:before="0" w:after="60" w:line="360" w:lineRule="auto"/>
        <w:ind w:left="0" w:right="0" w:firstLine="420"/>
        <w:jc w:val="both"/>
      </w:pPr>
      <w:r>
        <w:rPr>
          <w:rFonts w:hint="eastAsia" w:ascii="Times New Roman" w:hAnsi="Times New Roman" w:eastAsia="宋体"/>
          <w:i w:val="0"/>
          <w:color w:val="000000"/>
          <w:sz w:val="21"/>
        </w:rPr>
        <w:t>R&amp;D对创新的本地作用来自知识生产和吸收能力两个方面。持续投入能够扩大研发活动规模、提高试错密度并形成累积性知识资产；既有知识基础又决定地区识别、吸收和重组外部技术的能力（Cohen and Levinthal 1990）。在环境技术领域，政策激励和研发投入共同改变清洁技术的预期回报与创新方向（Johnstone et al. 2010; Bai et al. 2019）。由于碳中和技术跨越能源、工业、建筑和交通等部门，研发投入还可能通过通用技术平台和产业链应用场景形成范围经济。</w:t>
      </w:r>
    </w:p>
    <w:p w14:paraId="5666C7E0">
      <w:pPr>
        <w:widowControl/>
        <w:spacing w:before="0" w:after="60" w:line="360" w:lineRule="auto"/>
        <w:ind w:left="0" w:right="0" w:firstLine="420"/>
        <w:jc w:val="both"/>
      </w:pPr>
      <w:r>
        <w:rPr>
          <w:rFonts w:hint="eastAsia" w:ascii="Times New Roman" w:hAnsi="Times New Roman" w:eastAsia="宋体"/>
          <w:i w:val="0"/>
          <w:color w:val="000000"/>
          <w:sz w:val="21"/>
        </w:rPr>
        <w:t>知识的部分非排他性使R&amp;D收益具有空间外部性。专利引用显示知识扩散具有地理本地化特征，大学、企业和研究机构的邻近能够降低隐性知识传递成本（Jaffe et al. 1993; Audretsch and Feldman 1996）。交通与数字基础设施、人才流动、合作研发和技术市场可以扩大知识可达范围，使空间邻近由单纯地理关系扩展为创新网络关系（Aghion and Jaravel 2015）。在碳中和技术领域，这一网络化特征同样明显：中国低碳专利申请已形成以东部沿海为重要节点的空间网络（Hu et al. 2023），全球气候减缓技术扩散也呈网络化特征（Zhang et al. 2024），区域绿色网络与环境创新之间则存在正向联系（Fabrizi et al. 2025）。</w:t>
      </w:r>
    </w:p>
    <w:p w14:paraId="14EA0C6D">
      <w:pPr>
        <w:widowControl/>
        <w:spacing w:before="0" w:after="60" w:line="360" w:lineRule="auto"/>
        <w:ind w:left="0" w:right="0" w:firstLine="420"/>
        <w:jc w:val="both"/>
      </w:pPr>
      <w:r>
        <w:rPr>
          <w:rFonts w:hint="eastAsia" w:ascii="Times New Roman" w:hAnsi="Times New Roman" w:eastAsia="宋体"/>
          <w:i w:val="0"/>
          <w:color w:val="000000"/>
          <w:sz w:val="21"/>
        </w:rPr>
        <w:t>空间联系并不保证所有地区同时受益。创新中心可能通过技术许可、人员培训和供应链协作向外扩散知识，也可能吸引稀缺人才与资金并强化核心地区优势。Bloom et al.（2013）区分技术溢出与产品市场竞争，说明知识外部性和竞争效应可能并存，省际R&amp;D的净空间效应取决于扩散、吸收与竞争的相对强度。空间乘数分解把本地反馈、跨地区反馈和总体网络效应分开，为识别净空间效应提供了合适的估计口径（LeSage and Pace 2009）。</w:t>
      </w:r>
    </w:p>
    <w:bookmarkEnd w:id="5"/>
    <w:p w14:paraId="03028658">
      <w:pPr>
        <w:pStyle w:val="4"/>
        <w:keepNext/>
        <w:keepLines/>
        <w:spacing w:before="160" w:after="80"/>
        <w:ind w:firstLine="0"/>
      </w:pPr>
      <w:bookmarkStart w:id="6" w:name="空间演化局部异质性与文献评述"/>
      <w:r>
        <w:rPr>
          <w:rFonts w:ascii="Times New Roman" w:hAnsi="Times New Roman" w:eastAsia="黑体"/>
          <w:b/>
          <w:color w:val="000000"/>
          <w:sz w:val="28"/>
        </w:rPr>
        <w:t xml:space="preserve">2.3 </w:t>
      </w:r>
      <w:r>
        <w:rPr>
          <w:rFonts w:hint="eastAsia" w:ascii="Times New Roman" w:hAnsi="Times New Roman" w:eastAsia="黑体"/>
          <w:b/>
          <w:color w:val="000000"/>
          <w:sz w:val="28"/>
        </w:rPr>
        <w:t>空间演化、局部异质性与文献评述</w:t>
      </w:r>
    </w:p>
    <w:p w14:paraId="3B531E07">
      <w:pPr>
        <w:widowControl/>
        <w:spacing w:before="0" w:after="60" w:line="360" w:lineRule="auto"/>
        <w:ind w:left="0" w:right="0" w:firstLine="420"/>
        <w:jc w:val="both"/>
      </w:pPr>
      <w:r>
        <w:rPr>
          <w:rFonts w:hint="eastAsia" w:ascii="Times New Roman" w:hAnsi="Times New Roman" w:eastAsia="宋体"/>
          <w:i w:val="0"/>
          <w:color w:val="000000"/>
          <w:sz w:val="21"/>
        </w:rPr>
        <w:t>区域创新差距不仅体现在同期空间集聚，还表现为状态持续和等级跃迁。传统Markov链以转移矩阵描述地区从低、中、高状态转向其他状态的概率；空间Markov链进一步把邻域状态作为条件，比较不同空间背景下的跃迁差异（Rey 2001; Le Gallo 2004）。该方法适合回答低水平地区是否容易被锁定、中等水平地区在高水平邻域中是否更易向上跃迁等问题，转移概率刻画的是状态演化的条件规律。</w:t>
      </w:r>
    </w:p>
    <w:p w14:paraId="534DA9B4">
      <w:pPr>
        <w:widowControl/>
        <w:spacing w:before="0" w:after="60" w:line="360" w:lineRule="auto"/>
        <w:ind w:left="0" w:right="0" w:firstLine="420"/>
        <w:jc w:val="both"/>
      </w:pPr>
      <w:r>
        <w:rPr>
          <w:rFonts w:hint="eastAsia" w:ascii="Times New Roman" w:hAnsi="Times New Roman" w:eastAsia="宋体"/>
          <w:i w:val="0"/>
          <w:color w:val="000000"/>
          <w:sz w:val="21"/>
        </w:rPr>
        <w:t>全国平均回归还可能难以反映局部关系。地区产业基础、创新网络位置和吸收能力不同，同一投入在不同时点和地区的条件相关系数可能变化。GTWR在空间距离之外引入时间距离，能够描述局部参数的时空非平稳分布（Huang et al. 2010; Comber et al. 2023）。You and Teirlinck（2024）表明区域既有技术相关性和政策方向会影响气候技术专业化，提示局部技术路径具有累积性。GTWR由此补充平均模型，给出局部条件相关的时空分布，其局部系数与SDM的空间效应分解回答不同问题。</w:t>
      </w:r>
    </w:p>
    <w:p w14:paraId="5272D320">
      <w:pPr>
        <w:widowControl/>
        <w:spacing w:before="0" w:after="60" w:line="360" w:lineRule="auto"/>
        <w:ind w:left="0" w:right="0" w:firstLine="420"/>
        <w:jc w:val="both"/>
      </w:pPr>
      <w:r>
        <w:rPr>
          <w:rFonts w:hint="eastAsia" w:ascii="Times New Roman" w:hAnsi="Times New Roman" w:eastAsia="宋体"/>
          <w:color w:val="000000"/>
          <w:sz w:val="21"/>
        </w:rPr>
        <w:t>综合而言，现有研究分别讨论了Y02测度、碳中和技术创新的驱动因素、创新网络和局部异质性，却较少在同一省域框架中连接状态跃迁、R&amp;D空间乘数效应和局部时空变化。不同专利环节与不同空间网络定义还可能改变R&amp;D效应的方向和量级。本文据此将传统与空间Markov链、双向固定效应SDM及GTWR串联起来，并以专利申请为基准、发明授权为替代口径，形成对创新活跃度、空间反馈和阶段差异的递进检验。</w:t>
      </w:r>
    </w:p>
    <w:bookmarkEnd w:id="3"/>
    <w:bookmarkEnd w:id="6"/>
    <w:p w14:paraId="18511F6E">
      <w:pPr>
        <w:pStyle w:val="2"/>
        <w:keepNext/>
        <w:keepLines/>
        <w:spacing w:before="160" w:after="80"/>
        <w:ind w:firstLine="0"/>
      </w:pPr>
      <w:bookmarkStart w:id="7" w:name="理论分析与研究假设"/>
      <w:r>
        <w:rPr>
          <w:rFonts w:ascii="Times New Roman" w:hAnsi="Times New Roman" w:eastAsia="黑体"/>
          <w:b/>
          <w:color w:val="000000"/>
          <w:sz w:val="32"/>
        </w:rPr>
        <w:t xml:space="preserve">3 </w:t>
      </w:r>
      <w:r>
        <w:rPr>
          <w:rFonts w:hint="eastAsia" w:ascii="Times New Roman" w:hAnsi="Times New Roman" w:eastAsia="黑体"/>
          <w:b/>
          <w:color w:val="000000"/>
          <w:sz w:val="32"/>
        </w:rPr>
        <w:t>理论分析与研究假设</w:t>
      </w:r>
    </w:p>
    <w:p w14:paraId="09C0CB30">
      <w:pPr>
        <w:pStyle w:val="4"/>
        <w:keepNext/>
        <w:keepLines/>
        <w:spacing w:before="160" w:after="80"/>
        <w:ind w:firstLine="0"/>
      </w:pPr>
      <w:bookmarkStart w:id="8" w:name="知识积累状态持续与邻域条件"/>
      <w:r>
        <w:rPr>
          <w:rFonts w:ascii="Times New Roman" w:hAnsi="Times New Roman" w:eastAsia="黑体"/>
          <w:b/>
          <w:color w:val="000000"/>
          <w:sz w:val="28"/>
        </w:rPr>
        <w:t>3.1 碳中和技术创新空间相关性的理论分析</w:t>
      </w:r>
    </w:p>
    <w:p w14:paraId="1BA37204">
      <w:pPr>
        <w:widowControl/>
        <w:spacing w:before="0" w:after="60" w:line="360" w:lineRule="auto"/>
        <w:ind w:left="0" w:right="0" w:firstLine="420"/>
        <w:jc w:val="both"/>
      </w:pPr>
      <w:r>
        <w:rPr>
          <w:rFonts w:hint="eastAsia" w:ascii="Times New Roman" w:hAnsi="Times New Roman" w:eastAsia="宋体"/>
          <w:i w:val="0"/>
          <w:color w:val="000000"/>
          <w:sz w:val="21"/>
        </w:rPr>
        <w:t>碳中和技术包含大量专用设备、工程经验和跨学科知识，其区域供给由既有科研机构、产业场景和研发人才共同支撑。知识积累理论（内生增长理论）强调，研发活动不仅直接产生新知识，还提高后续研发的生产率，研发存量越大的地区越容易在既有知识上实现再组合，知识生产因而具有显著的累积性与路径依赖（Romer 1990）。吸收能力理论进一步指出，能否识别、吸收并重组外部技术知识，取决于地区已有的知识基础与研发人员（Cohen and Levinthal 1990）。高水平地区凭借更大的研发项目池与专利组合持续强化自身优势，低水平地区若缺少试验设施、吸收能力和应用市场，则较难在短期内跨越技术门槛。由此，省域CNTI状态应具有较高保持概率，低水平与高水平状态均可能呈现路径依赖。</w:t>
      </w:r>
    </w:p>
    <w:p w14:paraId="1A83E683">
      <w:pPr>
        <w:widowControl/>
        <w:spacing w:before="0" w:after="60" w:line="360" w:lineRule="auto"/>
        <w:ind w:left="0" w:right="0" w:firstLine="420"/>
        <w:jc w:val="both"/>
      </w:pPr>
      <w:r>
        <w:rPr>
          <w:rFonts w:hint="eastAsia" w:ascii="Times New Roman" w:hAnsi="Times New Roman" w:eastAsia="宋体"/>
          <w:i w:val="0"/>
          <w:color w:val="000000"/>
          <w:sz w:val="21"/>
        </w:rPr>
        <w:t>邻域创新环境会改变状态跃迁条件。地区创新并非孤立进行，空间外部性与知识流动使处于高水平技术网络附近的地区更容易接触专利信息、科研合作和技术交易，吸收外部知识后可能提高向上跃迁概率；低水平邻域则可能限制可学习知识与合作伙伴的数量。但外部知识能否转化为本地创新，仍取决于吸收能力，吸收能力不足或要素持续外流同样可能造成锁定（Cohen and Levinthal 1990）。这一条件依赖的逻辑，可借助空间Markov矩阵加以检验，即比较不同邻域状态下的转移概率。</w:t>
      </w:r>
    </w:p>
    <w:bookmarkEnd w:id="8"/>
    <w:p w14:paraId="64A97528">
      <w:bookmarkStart w:id="9" w:name="rd的本地知识生产效应"/>
      <w:r>
        <w:t>基于上述分析，提出假设H1：省域CNTI具有正向空间相关和较强状态持续性，地区状态跃迁概率随邻域创新状态而变化。</w:t>
      </w:r>
    </w:p>
    <w:p w14:paraId="68D3FC1B">
      <w:pPr>
        <w:pStyle w:val="4"/>
        <w:keepNext/>
        <w:keepLines/>
        <w:spacing w:before="160" w:after="80"/>
        <w:ind w:firstLine="0"/>
      </w:pPr>
      <w:r>
        <w:rPr>
          <w:rFonts w:ascii="Times New Roman" w:hAnsi="Times New Roman" w:eastAsia="黑体"/>
          <w:b/>
          <w:color w:val="000000"/>
          <w:sz w:val="28"/>
        </w:rPr>
        <w:t>3.2 R&amp;D对碳中和技术创新空间溢出影响的理论分析</w:t>
      </w:r>
    </w:p>
    <w:p w14:paraId="59B6EFA9">
      <w:pPr>
        <w:widowControl/>
        <w:spacing w:before="0" w:after="60" w:line="360" w:lineRule="auto"/>
        <w:ind w:left="0" w:right="0" w:firstLine="420"/>
        <w:jc w:val="both"/>
      </w:pPr>
      <w:r>
        <w:rPr>
          <w:rFonts w:hint="eastAsia" w:ascii="Times New Roman" w:hAnsi="Times New Roman" w:eastAsia="宋体"/>
          <w:i w:val="0"/>
          <w:color w:val="000000"/>
          <w:sz w:val="21"/>
        </w:rPr>
        <w:t>研发投入对本地CNTI的直接作用来自知识生产与吸收能力两条路径。其一，知识生产函数视角下，研发活动与人员投入共同决定专利产出，R&amp;D投入直接支持科研人员、仪器设备、试验验证和专利申请活动，扩大可编码知识产出规模（Griliches 1990; Romer 1990）；对碳中和技术而言，研发还连接基础研究、工程放大与应用场景，持续投入有助于降低复杂技术的试错成本。其二，吸收能力理论表明，R&amp;D不仅“生产”知识，也“训练”地区识别、搜索和吸收外部知识的能力，专业人才与组织惯例的积累能够提升本地利用既有技术的效率（Cohen and Levinthal 1990）。因此，在控制省份固定特征、共同年份冲击以及能源、开放和产业条件后，R&amp;D增加应与本地Y02专利申请活跃度提高相关。</w:t>
      </w:r>
    </w:p>
    <w:bookmarkEnd w:id="9"/>
    <w:p w14:paraId="5F8E5ABF">
      <w:bookmarkStart w:id="10" w:name="rd的跨省空间效应与局部差异"/>
      <w:r>
        <w:rPr>
          <w:i w:val="0"/>
        </w:rPr>
        <w:t>研发投入的收益并不局限于投入地区。技术外部性理论指出，知识具有部分非排他性，专利信息、人才流动、合作研发和技术交易使知识跨越行政边界，邻近地区可以借助更低的搜索成本吸收外部知识并提高后续创新效率（Jaffe et al. 1993; Audretsch and Feldman 1996）。对碳中和技术而言，这一外部性更为突出：它本质上是绿色创新，生态创新理论强调绿色创新具有“双重外部性”，即在创新溢出之外还产生环境正外部性，其减排收益超出技术采用者本身，使跨地区知识扩散更接近社会最优（Rennings 2000; Porter and van der Linde 1995）。因此，R&amp;D投入不仅提升本地创新，还可能通过知识溢出改善其他地区的创新条件。</w:t>
      </w:r>
    </w:p>
    <w:p w14:paraId="186BD1DC">
      <w:r>
        <w:rPr>
          <w:i w:val="0"/>
        </w:rPr>
        <w:t>空间溢出的强度还受到网络互动与竞争效应的调节。同群效应理论表明，地区的研发决策与创新产出会受到创新网络中其他地区行为的影响，模仿、竞争与合作使地区之间形成相互依赖（Manski 1993）；中国低碳专利网络与全球气候技术扩散研究均显示，技术联系明显超出行政边界（Hu et al. 2023; Zhang et al. 2024）。与此同时，创新要素向优势地区集聚、产品市场竞争又会压缩邻近地区的创新收益，知识扩散与资源竞争两种力量的相对强弱决定净空间效应的方向（Bloom et al. 2013）。因此，R&amp;D的间接效应需要借助空间乘数分解加以识别，其符号与量级并非先验确定。</w:t>
      </w:r>
    </w:p>
    <w:p w14:paraId="75EEDD22">
      <w:r>
        <w:t>据此提出假设H2：R&amp;D投入对本地CNTI具有正向直接效应，并通过跨省知识联系产生平均正向的间接效应；间接效应的方向和量级随空间网络定义与专利创新环节而改变。</w:t>
      </w:r>
    </w:p>
    <w:p w14:paraId="3A2E24EA">
      <w:pPr>
        <w:pStyle w:val="4"/>
        <w:keepNext/>
        <w:keepLines/>
        <w:spacing w:before="160" w:after="80"/>
        <w:ind w:firstLine="0"/>
      </w:pPr>
      <w:r>
        <w:rPr>
          <w:rFonts w:ascii="Times New Roman" w:hAnsi="Times New Roman" w:eastAsia="黑体"/>
          <w:b/>
          <w:color w:val="000000"/>
          <w:sz w:val="28"/>
        </w:rPr>
        <w:t>3.3 R&amp;D对碳中和技术创新空间影响的局部差异理论分析</w:t>
      </w:r>
    </w:p>
    <w:p w14:paraId="68F05687">
      <w:pPr>
        <w:widowControl/>
        <w:spacing w:before="0" w:after="60" w:line="360" w:lineRule="auto"/>
        <w:ind w:left="0" w:right="0" w:firstLine="420"/>
        <w:jc w:val="both"/>
      </w:pPr>
      <w:r>
        <w:rPr>
          <w:rFonts w:hint="eastAsia" w:ascii="Times New Roman" w:hAnsi="Times New Roman" w:eastAsia="宋体"/>
          <w:i w:val="0"/>
          <w:color w:val="000000"/>
          <w:sz w:val="21"/>
        </w:rPr>
        <w:t>全国平均效应难以覆盖全部局部组合。吸收能力理论意味着，同一单位的R&amp;D投入在不同地区的边际产出并不相同：地区的知识基础、产业结构和创新网络位置不同，其识别、吸收和重组外部知识的能力也随之不同（Cohen and Levinthal 1990）。区域演化的相关多样性视角进一步表明，区域既有的技术相关性会塑造其气候技术专业化方向，局部技术路径具有累积性（You and Teirlinck 2024）。东部地区可能同时具有高研发密度与更强的要素吸引力，中西部和东北地区的吸收能力、产业应用场景及样本规模亦不相同，区域分组因而能够捕捉这种异质性。</w:t>
      </w:r>
    </w:p>
    <w:p w14:paraId="47946344">
      <w:pPr>
        <w:widowControl/>
        <w:spacing w:before="0" w:after="60" w:line="360" w:lineRule="auto"/>
        <w:ind w:left="0" w:right="0" w:firstLine="420"/>
        <w:jc w:val="both"/>
      </w:pPr>
      <w:r>
        <w:rPr>
          <w:rFonts w:hint="eastAsia" w:ascii="Times New Roman" w:hAnsi="Times New Roman" w:eastAsia="宋体"/>
          <w:i w:val="0"/>
          <w:color w:val="000000"/>
          <w:sz w:val="21"/>
        </w:rPr>
        <w:t>外部环境变化还会改变研发投入的边际关联。要素流动、制度条件与共同冲击使同一地区在不同年份的创新环境并不相同，时序变化同样影响条件相关；时空地理加权回归在空间距离之外引入时间距离，可用于描述局部参数的时空非平稳分布（Huang et al. 2010; Comber et al. 2023）。区域分组与局部加权估计由此刻画条件相关在空间与时间上的差异。</w:t>
      </w:r>
    </w:p>
    <w:p w14:paraId="4A509FFD">
      <w:pPr>
        <w:widowControl/>
        <w:spacing w:before="0" w:after="60" w:line="360" w:lineRule="auto"/>
        <w:ind w:left="0" w:right="0" w:firstLine="420"/>
        <w:jc w:val="both"/>
      </w:pPr>
      <w:r>
        <w:rPr>
          <w:rFonts w:hint="eastAsia" w:ascii="Times New Roman" w:hAnsi="Times New Roman" w:eastAsia="宋体"/>
          <w:color w:val="000000"/>
          <w:sz w:val="21"/>
        </w:rPr>
        <w:t>由此提出假设H3：R&amp;D与CNTI之间的局部条件相关具有时空非平稳性，全国平均效应在地区和年份之间存在差异。</w:t>
      </w:r>
    </w:p>
    <w:p w14:paraId="774CCCA0">
      <w:pPr>
        <w:keepLines/>
        <w:spacing w:before="80" w:after="60"/>
        <w:ind w:firstLine="0"/>
        <w:jc w:val="center"/>
      </w:pPr>
      <w:r>
        <w:drawing>
          <wp:inline distT="0" distB="0" distL="114300" distR="114300">
            <wp:extent cx="5759450" cy="2621280"/>
            <wp:effectExtent l="0" t="0" r="6350" b="7620"/>
            <wp:docPr id="31" name="Picture" descr="图1 研究逻辑与识别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图1 研究逻辑与识别框架"/>
                    <pic:cNvPicPr>
                      <a:picLocks noChangeAspect="1" noChangeArrowheads="1"/>
                    </pic:cNvPicPr>
                  </pic:nvPicPr>
                  <pic:blipFill>
                    <a:blip r:embed="rId6"/>
                    <a:stretch>
                      <a:fillRect/>
                    </a:stretch>
                  </pic:blipFill>
                  <pic:spPr>
                    <a:xfrm>
                      <a:off x="0" y="0"/>
                      <a:ext cx="5760000" cy="2621639"/>
                    </a:xfrm>
                    <a:prstGeom prst="rect">
                      <a:avLst/>
                    </a:prstGeom>
                    <a:noFill/>
                    <a:ln w="9525">
                      <a:noFill/>
                    </a:ln>
                  </pic:spPr>
                </pic:pic>
              </a:graphicData>
            </a:graphic>
          </wp:inline>
        </w:drawing>
      </w:r>
    </w:p>
    <w:p w14:paraId="4808B07F">
      <w:pPr>
        <w:pStyle w:val="3"/>
        <w:keepNext w:val="0"/>
        <w:spacing w:before="40" w:after="100"/>
        <w:ind w:firstLine="0"/>
        <w:jc w:val="center"/>
      </w:pPr>
      <w:r>
        <w:rPr>
          <w:rFonts w:hint="eastAsia" w:ascii="Times New Roman" w:hAnsi="Times New Roman" w:eastAsia="宋体"/>
          <w:b/>
          <w:bCs/>
          <w:color w:val="000000"/>
          <w:sz w:val="21"/>
        </w:rPr>
        <w:t>图1</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研究逻辑与识别框架</w:t>
      </w:r>
    </w:p>
    <w:bookmarkEnd w:id="7"/>
    <w:bookmarkEnd w:id="10"/>
    <w:p w14:paraId="0286E71B">
      <w:pPr>
        <w:pStyle w:val="2"/>
        <w:keepNext/>
        <w:keepLines/>
        <w:spacing w:before="160" w:after="80"/>
        <w:ind w:firstLine="0"/>
      </w:pPr>
      <w:bookmarkStart w:id="11" w:name="研究设计"/>
      <w:r>
        <w:rPr>
          <w:rFonts w:ascii="Times New Roman" w:hAnsi="Times New Roman" w:eastAsia="黑体"/>
          <w:b/>
          <w:color w:val="000000"/>
          <w:sz w:val="32"/>
        </w:rPr>
        <w:t xml:space="preserve">4 </w:t>
      </w:r>
      <w:r>
        <w:rPr>
          <w:rFonts w:hint="eastAsia" w:ascii="Times New Roman" w:hAnsi="Times New Roman" w:eastAsia="黑体"/>
          <w:b/>
          <w:color w:val="000000"/>
          <w:sz w:val="32"/>
        </w:rPr>
        <w:t>研究设计</w:t>
      </w:r>
    </w:p>
    <w:p w14:paraId="29A926E2">
      <w:pPr>
        <w:pStyle w:val="4"/>
        <w:keepNext/>
        <w:keepLines/>
        <w:spacing w:before="160" w:after="80"/>
        <w:ind w:firstLine="0"/>
      </w:pPr>
      <w:bookmarkStart w:id="12" w:name="变量测度"/>
      <w:r>
        <w:rPr>
          <w:rFonts w:ascii="Times New Roman" w:hAnsi="Times New Roman" w:eastAsia="黑体"/>
          <w:b/>
          <w:color w:val="000000"/>
          <w:sz w:val="28"/>
        </w:rPr>
        <w:t xml:space="preserve">4.1 </w:t>
      </w:r>
      <w:r>
        <w:rPr>
          <w:rFonts w:hint="eastAsia" w:ascii="Times New Roman" w:hAnsi="Times New Roman" w:eastAsia="黑体"/>
          <w:b/>
          <w:color w:val="000000"/>
          <w:sz w:val="28"/>
        </w:rPr>
        <w:t>变量测度</w:t>
      </w:r>
    </w:p>
    <w:p w14:paraId="20BE03BE">
      <w:pPr>
        <w:pStyle w:val="5"/>
        <w:keepNext/>
        <w:keepLines/>
        <w:spacing w:before="100" w:after="80"/>
        <w:ind w:firstLine="0"/>
      </w:pPr>
      <w:bookmarkStart w:id="13" w:name="被解释变量"/>
      <w:r>
        <w:rPr>
          <w:rFonts w:ascii="Times New Roman" w:hAnsi="Times New Roman" w:eastAsia="黑体"/>
          <w:b/>
          <w:color w:val="000000"/>
          <w:sz w:val="24"/>
        </w:rPr>
        <w:t xml:space="preserve">4.1.1 </w:t>
      </w:r>
      <w:r>
        <w:rPr>
          <w:rFonts w:hint="eastAsia" w:ascii="Times New Roman" w:hAnsi="Times New Roman" w:eastAsia="黑体"/>
          <w:b/>
          <w:color w:val="000000"/>
          <w:sz w:val="24"/>
        </w:rPr>
        <w:t>被解释变量</w:t>
      </w:r>
    </w:p>
    <w:bookmarkEnd w:id="13"/>
    <w:p w14:paraId="17B22FC0">
      <w:pPr>
        <w:widowControl/>
        <w:spacing w:before="0" w:after="60" w:line="360" w:lineRule="auto"/>
        <w:ind w:left="0" w:right="0" w:firstLine="420"/>
        <w:jc w:val="both"/>
      </w:pPr>
      <w:bookmarkStart w:id="14" w:name="核心解释变量与控制变量"/>
      <w:r>
        <w:rPr>
          <w:rFonts w:hint="eastAsia" w:ascii="Times New Roman" w:hAnsi="Times New Roman" w:eastAsia="宋体"/>
          <w:i w:val="0"/>
          <w:color w:val="000000"/>
          <w:sz w:val="21"/>
        </w:rPr>
        <w:t>本文基于合作专利分类体系（CPC）Y02识别与气候变化相关的技术专利，并据此测度省域碳中和技术创新（CNTI）。Y02体系覆盖建筑节能、温室气体处理、低碳能源生产与输配、生产过程、交通运输及废弃物处理等气候技术领域，能够较一般专利指标更有针对性地识别相关技术知识产出。考虑到专利申请量存在右偏分布并包含零值，本文对Y02专利申请量加1后取自然对数，具体表示为：</w:t>
      </w:r>
    </w:p>
    <w:p w14:paraId="630C3A1D">
      <w:pPr>
        <w:pStyle w:val="3"/>
        <w:keepNext/>
        <w:keepLines/>
        <w:spacing w:before="100" w:after="100"/>
        <w:ind w:firstLine="0"/>
        <w:jc w:val="center"/>
      </w:pPr>
      <m:oMathPara>
        <m:oMathParaPr>
          <m:jc m:val="center"/>
        </m:oMathParaPr>
        <m:oMath>
          <m:r>
            <m:rPr/>
            <m:t>CNT</m:t>
          </m:r>
          <m:sSub>
            <m:sSubPr/>
            <m:e>
              <m:r>
                <m:rPr/>
                <m:t>I</m:t>
              </m:r>
            </m:e>
            <m:sub>
              <m:r>
                <m:rPr/>
                <m:t>it</m:t>
              </m:r>
            </m:sub>
          </m:sSub>
          <m:r>
            <m:rPr>
              <m:sty m:val="p"/>
            </m:rPr>
            <m:t>=ln</m:t>
          </m:r>
          <m:d>
            <m:dPr>
              <m:sepChr m:val=""/>
            </m:dPr>
            <m:e>
              <m:r>
                <m:rPr/>
                <m:t>PA</m:t>
              </m:r>
              <m:sSubSup>
                <m:sSubSupPr/>
                <m:e>
                  <m:r>
                    <m:rPr/>
                    <m:t>T</m:t>
                  </m:r>
                </m:e>
                <m:sub>
                  <m:r>
                    <m:rPr/>
                    <m:t>it</m:t>
                  </m:r>
                </m:sub>
                <m:sup>
                  <m:r>
                    <m:rPr/>
                    <m:t>Y02</m:t>
                  </m:r>
                </m:sup>
              </m:sSubSup>
              <m:r>
                <m:rPr>
                  <m:sty m:val="p"/>
                </m:rPr>
                <m:t>+</m:t>
              </m:r>
              <m:r>
                <m:rPr/>
                <m:t>1</m:t>
              </m:r>
            </m:e>
          </m:d>
          <m:r>
            <m:rPr>
              <m:sty m:val="p"/>
            </m:rPr>
            <m:t>.</m:t>
          </m:r>
          <m:r>
            <m:rPr/>
            <m:t>  </m:t>
          </m:r>
          <m:r>
            <m:rPr>
              <m:nor/>
              <m:sty m:val="p"/>
            </m:rPr>
            <w:rPr>
              <w:b w:val="0"/>
              <w:i w:val="0"/>
            </w:rPr>
            <m:t>（1）</m:t>
          </m:r>
        </m:oMath>
      </m:oMathPara>
    </w:p>
    <w:p w14:paraId="003DBEE9">
      <w:pPr>
        <w:keepNext/>
        <w:keepLines/>
        <w:spacing w:before="100" w:after="100"/>
        <w:ind w:firstLine="0"/>
        <w:jc w:val="left"/>
      </w:pPr>
      <w:r>
        <w:rPr>
          <w:rFonts w:hint="eastAsia"/>
        </w:rPr>
        <w:t>式（1）中，</w:t>
      </w:r>
      <m:oMath>
        <m:r>
          <m:rPr/>
          <m:t>CNT</m:t>
        </m:r>
        <m:sSub>
          <m:sSubPr/>
          <m:e>
            <m:r>
              <m:rPr/>
              <m:t>I</m:t>
            </m:r>
          </m:e>
          <m:sub>
            <m:r>
              <m:rPr/>
              <m:t>it</m:t>
            </m:r>
          </m:sub>
        </m:sSub>
      </m:oMath>
      <w:r>
        <w:rPr>
          <w:rFonts w:hint="eastAsia"/>
        </w:rPr>
        <w:t>表示省份</w:t>
      </w:r>
      <m:oMath>
        <m:r>
          <m:rPr/>
          <m:t>i</m:t>
        </m:r>
      </m:oMath>
      <w:r>
        <w:rPr>
          <w:rFonts w:hint="eastAsia"/>
        </w:rPr>
        <w:t>在年份</w:t>
      </w:r>
      <m:oMath>
        <m:r>
          <m:rPr/>
          <m:t>t</m:t>
        </m:r>
      </m:oMath>
      <w:r>
        <w:rPr>
          <w:rFonts w:hint="eastAsia"/>
        </w:rPr>
        <w:t>的碳中和技术专利创新活跃度，</w:t>
      </w:r>
      <m:oMath>
        <m:r>
          <m:rPr/>
          <m:t>PA</m:t>
        </m:r>
        <m:sSubSup>
          <m:sSubSupPr/>
          <m:e>
            <m:r>
              <m:rPr/>
              <m:t>T</m:t>
            </m:r>
          </m:e>
          <m:sub>
            <m:r>
              <m:rPr/>
              <m:t>it</m:t>
            </m:r>
          </m:sub>
          <m:sup>
            <m:r>
              <m:rPr/>
              <m:t>Y02</m:t>
            </m:r>
          </m:sup>
        </m:sSubSup>
      </m:oMath>
      <w:r>
        <w:rPr>
          <w:rFonts w:hint="eastAsia"/>
        </w:rPr>
        <w:t>表示相应Y02专利申请量。为检验结论对创新产出测度口径的敏感性，稳健性检验进一步采用Y02发明专利授权量加1后的自然对数（GLIPL）。相较申请量，发明授权更侧重反映经过实质审查后的发明型技术产</w:t>
      </w:r>
      <w:r>
        <w:rPr>
          <w:rFonts w:ascii="宋体" w:hAnsi="宋体" w:eastAsia="宋体" w:cs="宋体"/>
          <w:sz w:val="24"/>
          <w:szCs w:val="24"/>
        </w:rPr>
        <w:t>出。</w:t>
      </w:r>
    </w:p>
    <w:p w14:paraId="72E02803">
      <w:pPr>
        <w:pStyle w:val="5"/>
        <w:keepNext/>
        <w:keepLines/>
        <w:spacing w:before="100" w:after="80"/>
        <w:ind w:firstLine="0"/>
      </w:pPr>
      <w:r>
        <w:rPr>
          <w:rFonts w:ascii="Times New Roman" w:hAnsi="Times New Roman" w:eastAsia="黑体"/>
          <w:b/>
          <w:color w:val="000000"/>
          <w:sz w:val="24"/>
        </w:rPr>
        <w:t xml:space="preserve">4.1.2 </w:t>
      </w:r>
      <w:r>
        <w:rPr>
          <w:rFonts w:hint="eastAsia" w:ascii="Times New Roman" w:hAnsi="Times New Roman" w:eastAsia="黑体"/>
          <w:b/>
          <w:color w:val="000000"/>
          <w:sz w:val="24"/>
        </w:rPr>
        <w:t>核心解释变量与控制变量</w:t>
      </w:r>
    </w:p>
    <w:p w14:paraId="0919B6D2">
      <w:pPr>
        <w:widowControl/>
        <w:spacing w:before="0" w:after="60" w:line="360" w:lineRule="auto"/>
        <w:ind w:left="0" w:right="0" w:firstLine="420"/>
        <w:jc w:val="both"/>
      </w:pPr>
      <w:r>
        <w:rPr>
          <w:rFonts w:hint="eastAsia" w:ascii="Times New Roman" w:hAnsi="Times New Roman" w:eastAsia="宋体"/>
          <w:color w:val="000000"/>
          <w:sz w:val="21"/>
        </w:rPr>
        <w:t>核心解释变量为R&amp;D投入强度，以省级R&amp;D投入乘以1000后除以地区生产总值计算。该口径与现有估计程序一致，系数应结合变量原始量纲解释。控制变量依次包括能源消耗强度（Energy）、外商直接投资水平（FDI）、城镇化率（Urban）、产业结构高级化（ISU）、工业化水平（IND）、技术市场发展水平（TMD）和对外开放程度（Open）。能源强度反映高能耗生产方式对研发资源和清洁技术需求的共同影响；FDI与开放程度控制外部资本、市场和技术来源；城镇化、产业结构与工业化控制人口和产业集聚形成的创新需求与应用场景；技术市场发展控制成果交易和转化条件。变量定义见表1。</w:t>
      </w:r>
    </w:p>
    <w:p w14:paraId="7AA77A79">
      <w:pPr>
        <w:pStyle w:val="3"/>
        <w:keepNext/>
        <w:spacing w:before="100" w:after="60"/>
        <w:ind w:firstLine="0"/>
        <w:jc w:val="center"/>
      </w:pPr>
      <w:r>
        <w:rPr>
          <w:rFonts w:hint="eastAsia" w:ascii="Times New Roman" w:hAnsi="Times New Roman" w:eastAsia="宋体"/>
          <w:b/>
          <w:bCs/>
          <w:color w:val="000000"/>
          <w:sz w:val="21"/>
        </w:rPr>
        <w:t>表1</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变量定义</w:t>
      </w:r>
    </w:p>
    <w:tbl>
      <w:tblPr>
        <w:tblStyle w:val="11"/>
        <w:tblW w:w="5000" w:type="pct"/>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2"/>
        <w:gridCol w:w="2322"/>
        <w:gridCol w:w="2322"/>
        <w:gridCol w:w="2322"/>
      </w:tblGrid>
      <w:tr w14:paraId="159B046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275" w:type="dxa"/>
            <w:tcBorders>
              <w:bottom w:val="single" w:color="7F8C8D" w:sz="6" w:space="0"/>
            </w:tcBorders>
            <w:shd w:val="clear" w:color="auto" w:fill="DCE6F1"/>
            <w:vAlign w:val="center"/>
          </w:tcPr>
          <w:p w14:paraId="22EA3FE9">
            <w:pPr>
              <w:keepNext/>
              <w:spacing w:before="20" w:after="20" w:line="240" w:lineRule="auto"/>
              <w:ind w:firstLine="0"/>
              <w:jc w:val="center"/>
            </w:pPr>
            <w:r>
              <w:rPr>
                <w:rFonts w:hint="eastAsia" w:ascii="Times New Roman" w:hAnsi="Times New Roman" w:eastAsia="宋体"/>
                <w:b/>
                <w:color w:val="000000"/>
                <w:sz w:val="18"/>
              </w:rPr>
              <w:t>类型</w:t>
            </w:r>
          </w:p>
        </w:tc>
        <w:tc>
          <w:tcPr>
            <w:tcW w:w="1474" w:type="dxa"/>
            <w:tcBorders>
              <w:bottom w:val="single" w:color="7F8C8D" w:sz="6" w:space="0"/>
            </w:tcBorders>
            <w:shd w:val="clear" w:color="auto" w:fill="DCE6F1"/>
            <w:vAlign w:val="center"/>
          </w:tcPr>
          <w:p w14:paraId="10C2BDCF">
            <w:pPr>
              <w:keepNext/>
              <w:spacing w:before="20" w:after="20" w:line="240" w:lineRule="auto"/>
              <w:ind w:firstLine="0"/>
              <w:jc w:val="center"/>
            </w:pPr>
            <w:r>
              <w:rPr>
                <w:rFonts w:hint="eastAsia" w:ascii="Times New Roman" w:hAnsi="Times New Roman" w:eastAsia="宋体"/>
                <w:b/>
                <w:color w:val="000000"/>
                <w:sz w:val="18"/>
              </w:rPr>
              <w:t>变量</w:t>
            </w:r>
          </w:p>
        </w:tc>
        <w:tc>
          <w:tcPr>
            <w:tcW w:w="2437" w:type="dxa"/>
            <w:tcBorders>
              <w:bottom w:val="single" w:color="7F8C8D" w:sz="6" w:space="0"/>
            </w:tcBorders>
            <w:shd w:val="clear" w:color="auto" w:fill="DCE6F1"/>
            <w:vAlign w:val="center"/>
          </w:tcPr>
          <w:p w14:paraId="0A30CD3F">
            <w:pPr>
              <w:keepNext/>
              <w:spacing w:before="20" w:after="20" w:line="240" w:lineRule="auto"/>
              <w:ind w:firstLine="0"/>
              <w:jc w:val="center"/>
            </w:pPr>
            <w:r>
              <w:rPr>
                <w:rFonts w:hint="eastAsia" w:ascii="Times New Roman" w:hAnsi="Times New Roman" w:eastAsia="宋体"/>
                <w:b/>
                <w:color w:val="000000"/>
                <w:sz w:val="18"/>
              </w:rPr>
              <w:t>含义</w:t>
            </w:r>
          </w:p>
        </w:tc>
        <w:tc>
          <w:tcPr>
            <w:tcW w:w="3883" w:type="dxa"/>
            <w:tcBorders>
              <w:bottom w:val="single" w:color="7F8C8D" w:sz="6" w:space="0"/>
            </w:tcBorders>
            <w:shd w:val="clear" w:color="auto" w:fill="DCE6F1"/>
            <w:vAlign w:val="center"/>
          </w:tcPr>
          <w:p w14:paraId="0C7B74E4">
            <w:pPr>
              <w:keepNext/>
              <w:spacing w:before="20" w:after="20" w:line="240" w:lineRule="auto"/>
              <w:ind w:firstLine="0"/>
              <w:jc w:val="center"/>
            </w:pPr>
            <w:r>
              <w:rPr>
                <w:rFonts w:hint="eastAsia" w:ascii="Times New Roman" w:hAnsi="Times New Roman" w:eastAsia="宋体"/>
                <w:b/>
                <w:color w:val="000000"/>
                <w:sz w:val="18"/>
              </w:rPr>
              <w:t>测度方式</w:t>
            </w:r>
          </w:p>
        </w:tc>
      </w:tr>
      <w:tr w14:paraId="7C82F6A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053FB48D">
            <w:pPr>
              <w:keepNext/>
              <w:spacing w:before="20" w:after="20" w:line="240" w:lineRule="auto"/>
              <w:ind w:firstLine="0"/>
              <w:jc w:val="center"/>
            </w:pPr>
            <w:r>
              <w:rPr>
                <w:rFonts w:hint="eastAsia" w:ascii="Times New Roman" w:hAnsi="Times New Roman" w:eastAsia="宋体"/>
                <w:b w:val="0"/>
                <w:color w:val="000000"/>
                <w:sz w:val="18"/>
              </w:rPr>
              <w:t>被解释变量</w:t>
            </w:r>
          </w:p>
        </w:tc>
        <w:tc>
          <w:tcPr>
            <w:tcW w:w="1474" w:type="dxa"/>
            <w:vAlign w:val="center"/>
          </w:tcPr>
          <w:p w14:paraId="1889D5EC">
            <w:pPr>
              <w:keepNext/>
              <w:spacing w:before="20" w:after="20" w:line="240" w:lineRule="auto"/>
              <w:ind w:firstLine="0"/>
              <w:jc w:val="center"/>
            </w:pPr>
            <w:r>
              <w:rPr>
                <w:rFonts w:hint="eastAsia" w:ascii="Times New Roman" w:hAnsi="Times New Roman" w:eastAsia="宋体"/>
                <w:b w:val="0"/>
                <w:color w:val="000000"/>
                <w:sz w:val="18"/>
              </w:rPr>
              <w:t>CNTI（GLPAL）</w:t>
            </w:r>
          </w:p>
        </w:tc>
        <w:tc>
          <w:tcPr>
            <w:tcW w:w="2437" w:type="dxa"/>
            <w:vAlign w:val="center"/>
          </w:tcPr>
          <w:p w14:paraId="697A6BB0">
            <w:pPr>
              <w:keepNext/>
              <w:spacing w:before="20" w:after="20" w:line="240" w:lineRule="auto"/>
              <w:ind w:firstLine="0"/>
              <w:jc w:val="center"/>
            </w:pPr>
            <w:r>
              <w:rPr>
                <w:rFonts w:hint="eastAsia" w:ascii="Times New Roman" w:hAnsi="Times New Roman" w:eastAsia="宋体"/>
                <w:b w:val="0"/>
                <w:color w:val="000000"/>
                <w:sz w:val="18"/>
              </w:rPr>
              <w:t>碳中和技术专利创新活跃度</w:t>
            </w:r>
          </w:p>
        </w:tc>
        <w:tc>
          <w:tcPr>
            <w:tcW w:w="3883" w:type="dxa"/>
            <w:vAlign w:val="center"/>
          </w:tcPr>
          <w:p w14:paraId="754210E9">
            <w:pPr>
              <w:keepNext/>
              <w:spacing w:before="20" w:after="20" w:line="240" w:lineRule="auto"/>
              <w:ind w:firstLine="0"/>
              <w:jc w:val="center"/>
            </w:pPr>
            <w:r>
              <w:rPr>
                <w:rFonts w:hint="eastAsia" w:ascii="Times New Roman" w:hAnsi="Times New Roman" w:eastAsia="宋体"/>
                <w:b w:val="0"/>
                <w:color w:val="000000"/>
                <w:sz w:val="18"/>
              </w:rPr>
              <w:t>ln（Y02专利申请量+1）</w:t>
            </w:r>
          </w:p>
        </w:tc>
      </w:tr>
      <w:tr w14:paraId="3FF644A5">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14CD6742">
            <w:pPr>
              <w:keepNext/>
              <w:spacing w:before="20" w:after="20" w:line="240" w:lineRule="auto"/>
              <w:ind w:firstLine="0"/>
              <w:jc w:val="center"/>
            </w:pPr>
            <w:r>
              <w:rPr>
                <w:rFonts w:hint="eastAsia" w:ascii="Times New Roman" w:hAnsi="Times New Roman" w:eastAsia="宋体"/>
                <w:b w:val="0"/>
                <w:color w:val="000000"/>
                <w:sz w:val="18"/>
              </w:rPr>
              <w:t>替代被解释变量</w:t>
            </w:r>
          </w:p>
        </w:tc>
        <w:tc>
          <w:tcPr>
            <w:tcW w:w="1474" w:type="dxa"/>
            <w:vAlign w:val="center"/>
          </w:tcPr>
          <w:p w14:paraId="7AAE63BB">
            <w:pPr>
              <w:keepNext/>
              <w:spacing w:before="20" w:after="20" w:line="240" w:lineRule="auto"/>
              <w:ind w:firstLine="0"/>
              <w:jc w:val="center"/>
            </w:pPr>
            <w:r>
              <w:rPr>
                <w:rFonts w:ascii="Times New Roman" w:hAnsi="Times New Roman" w:eastAsia="宋体"/>
                <w:b w:val="0"/>
                <w:color w:val="000000"/>
                <w:sz w:val="18"/>
              </w:rPr>
              <w:t>GLIPL</w:t>
            </w:r>
          </w:p>
        </w:tc>
        <w:tc>
          <w:tcPr>
            <w:tcW w:w="2437" w:type="dxa"/>
            <w:vAlign w:val="center"/>
          </w:tcPr>
          <w:p w14:paraId="60A35F99">
            <w:pPr>
              <w:keepNext/>
              <w:spacing w:before="20" w:after="20" w:line="240" w:lineRule="auto"/>
              <w:ind w:firstLine="0"/>
              <w:jc w:val="center"/>
            </w:pPr>
            <w:r>
              <w:rPr>
                <w:rFonts w:hint="eastAsia" w:ascii="Times New Roman" w:hAnsi="Times New Roman" w:eastAsia="宋体"/>
                <w:b w:val="0"/>
                <w:color w:val="000000"/>
                <w:sz w:val="18"/>
              </w:rPr>
              <w:t>碳中和发明专利授权产出</w:t>
            </w:r>
          </w:p>
        </w:tc>
        <w:tc>
          <w:tcPr>
            <w:tcW w:w="3883" w:type="dxa"/>
            <w:vAlign w:val="center"/>
          </w:tcPr>
          <w:p w14:paraId="64DDD8A9">
            <w:pPr>
              <w:keepNext/>
              <w:spacing w:before="20" w:after="20" w:line="240" w:lineRule="auto"/>
              <w:ind w:firstLine="0"/>
              <w:jc w:val="center"/>
            </w:pPr>
            <w:r>
              <w:rPr>
                <w:rFonts w:hint="eastAsia" w:ascii="Times New Roman" w:hAnsi="Times New Roman" w:eastAsia="宋体"/>
                <w:b w:val="0"/>
                <w:color w:val="000000"/>
                <w:sz w:val="18"/>
              </w:rPr>
              <w:t>ln（Y02发明专利授权量+1）</w:t>
            </w:r>
          </w:p>
        </w:tc>
      </w:tr>
      <w:tr w14:paraId="69B0D172">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6DA33A0F">
            <w:pPr>
              <w:keepNext/>
              <w:spacing w:before="20" w:after="20" w:line="240" w:lineRule="auto"/>
              <w:ind w:firstLine="0"/>
              <w:jc w:val="center"/>
            </w:pPr>
            <w:r>
              <w:rPr>
                <w:rFonts w:hint="eastAsia" w:ascii="Times New Roman" w:hAnsi="Times New Roman" w:eastAsia="宋体"/>
                <w:b w:val="0"/>
                <w:color w:val="000000"/>
                <w:sz w:val="18"/>
              </w:rPr>
              <w:t>核心解释变量</w:t>
            </w:r>
          </w:p>
        </w:tc>
        <w:tc>
          <w:tcPr>
            <w:tcW w:w="1474" w:type="dxa"/>
            <w:vAlign w:val="center"/>
          </w:tcPr>
          <w:p w14:paraId="0C7644EB">
            <w:pPr>
              <w:keepNext/>
              <w:spacing w:before="20" w:after="20" w:line="240" w:lineRule="auto"/>
              <w:ind w:firstLine="0"/>
              <w:jc w:val="center"/>
            </w:pPr>
            <w:r>
              <w:rPr>
                <w:rFonts w:ascii="Times New Roman" w:hAnsi="Times New Roman" w:eastAsia="宋体"/>
                <w:b w:val="0"/>
                <w:color w:val="000000"/>
                <w:sz w:val="18"/>
              </w:rPr>
              <w:t>R&amp;D</w:t>
            </w:r>
          </w:p>
        </w:tc>
        <w:tc>
          <w:tcPr>
            <w:tcW w:w="2437" w:type="dxa"/>
            <w:vAlign w:val="center"/>
          </w:tcPr>
          <w:p w14:paraId="19DF7C74">
            <w:pPr>
              <w:keepNext/>
              <w:spacing w:before="20" w:after="20" w:line="240" w:lineRule="auto"/>
              <w:ind w:firstLine="0"/>
              <w:jc w:val="center"/>
            </w:pPr>
            <w:r>
              <w:rPr>
                <w:rFonts w:hint="eastAsia" w:ascii="Times New Roman" w:hAnsi="Times New Roman" w:eastAsia="宋体"/>
                <w:b w:val="0"/>
                <w:color w:val="000000"/>
                <w:sz w:val="18"/>
              </w:rPr>
              <w:t>研发投入强度</w:t>
            </w:r>
          </w:p>
        </w:tc>
        <w:tc>
          <w:tcPr>
            <w:tcW w:w="3883" w:type="dxa"/>
            <w:vAlign w:val="center"/>
          </w:tcPr>
          <w:p w14:paraId="26120BD4">
            <w:pPr>
              <w:keepNext/>
              <w:spacing w:before="20" w:after="20" w:line="240" w:lineRule="auto"/>
              <w:ind w:firstLine="0"/>
              <w:jc w:val="center"/>
            </w:pPr>
            <w:r>
              <w:rPr>
                <w:rFonts w:hint="eastAsia" w:ascii="Times New Roman" w:hAnsi="Times New Roman" w:eastAsia="宋体"/>
                <w:b w:val="0"/>
                <w:color w:val="000000"/>
                <w:sz w:val="18"/>
              </w:rPr>
              <w:t>省级R&amp;D投入×1000/GDP</w:t>
            </w:r>
          </w:p>
        </w:tc>
      </w:tr>
      <w:tr w14:paraId="34E04A5B">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775259B5">
            <w:pPr>
              <w:keepNext/>
              <w:spacing w:before="20" w:after="20" w:line="240" w:lineRule="auto"/>
              <w:ind w:firstLine="0"/>
              <w:jc w:val="center"/>
            </w:pPr>
            <w:r>
              <w:rPr>
                <w:rFonts w:hint="eastAsia" w:ascii="Times New Roman" w:hAnsi="Times New Roman" w:eastAsia="宋体"/>
                <w:b w:val="0"/>
                <w:color w:val="000000"/>
                <w:sz w:val="18"/>
              </w:rPr>
              <w:t>控制变量</w:t>
            </w:r>
          </w:p>
        </w:tc>
        <w:tc>
          <w:tcPr>
            <w:tcW w:w="1474" w:type="dxa"/>
            <w:vAlign w:val="center"/>
          </w:tcPr>
          <w:p w14:paraId="6032AB8D">
            <w:pPr>
              <w:keepNext/>
              <w:spacing w:before="20" w:after="20" w:line="240" w:lineRule="auto"/>
              <w:ind w:firstLine="0"/>
              <w:jc w:val="center"/>
            </w:pPr>
            <w:r>
              <w:rPr>
                <w:rFonts w:ascii="Times New Roman" w:hAnsi="Times New Roman" w:eastAsia="宋体"/>
                <w:b w:val="0"/>
                <w:color w:val="000000"/>
                <w:sz w:val="18"/>
              </w:rPr>
              <w:t>Energy</w:t>
            </w:r>
          </w:p>
        </w:tc>
        <w:tc>
          <w:tcPr>
            <w:tcW w:w="2437" w:type="dxa"/>
            <w:vAlign w:val="center"/>
          </w:tcPr>
          <w:p w14:paraId="3D49A8EB">
            <w:pPr>
              <w:keepNext/>
              <w:spacing w:before="20" w:after="20" w:line="240" w:lineRule="auto"/>
              <w:ind w:firstLine="0"/>
              <w:jc w:val="center"/>
            </w:pPr>
            <w:r>
              <w:rPr>
                <w:rFonts w:hint="eastAsia" w:ascii="Times New Roman" w:hAnsi="Times New Roman" w:eastAsia="宋体"/>
                <w:b w:val="0"/>
                <w:color w:val="000000"/>
                <w:sz w:val="18"/>
              </w:rPr>
              <w:t>能源消耗强度</w:t>
            </w:r>
          </w:p>
        </w:tc>
        <w:tc>
          <w:tcPr>
            <w:tcW w:w="3883" w:type="dxa"/>
            <w:vAlign w:val="center"/>
          </w:tcPr>
          <w:p w14:paraId="7208A2C4">
            <w:pPr>
              <w:keepNext/>
              <w:spacing w:before="20" w:after="20" w:line="240" w:lineRule="auto"/>
              <w:ind w:firstLine="0"/>
              <w:jc w:val="center"/>
            </w:pPr>
            <w:r>
              <w:rPr>
                <w:rFonts w:hint="eastAsia" w:ascii="Times New Roman" w:hAnsi="Times New Roman" w:eastAsia="宋体"/>
                <w:b w:val="0"/>
                <w:color w:val="000000"/>
                <w:sz w:val="18"/>
              </w:rPr>
              <w:t>能源消耗总量/GDP</w:t>
            </w:r>
          </w:p>
        </w:tc>
      </w:tr>
      <w:tr w14:paraId="2287A2A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43FD7795">
            <w:pPr>
              <w:keepNext/>
              <w:spacing w:before="20" w:after="20" w:line="240" w:lineRule="auto"/>
              <w:ind w:firstLine="0"/>
              <w:jc w:val="center"/>
            </w:pPr>
            <w:r>
              <w:rPr>
                <w:rFonts w:hint="eastAsia" w:ascii="Times New Roman" w:hAnsi="Times New Roman" w:eastAsia="宋体"/>
                <w:b w:val="0"/>
                <w:color w:val="000000"/>
                <w:sz w:val="18"/>
              </w:rPr>
              <w:t>控制变量</w:t>
            </w:r>
          </w:p>
        </w:tc>
        <w:tc>
          <w:tcPr>
            <w:tcW w:w="1474" w:type="dxa"/>
            <w:vAlign w:val="center"/>
          </w:tcPr>
          <w:p w14:paraId="6D9BB046">
            <w:pPr>
              <w:keepNext/>
              <w:spacing w:before="20" w:after="20" w:line="240" w:lineRule="auto"/>
              <w:ind w:firstLine="0"/>
              <w:jc w:val="center"/>
            </w:pPr>
            <w:r>
              <w:rPr>
                <w:rFonts w:ascii="Times New Roman" w:hAnsi="Times New Roman" w:eastAsia="宋体"/>
                <w:b w:val="0"/>
                <w:color w:val="000000"/>
                <w:sz w:val="18"/>
              </w:rPr>
              <w:t>FDI</w:t>
            </w:r>
          </w:p>
        </w:tc>
        <w:tc>
          <w:tcPr>
            <w:tcW w:w="2437" w:type="dxa"/>
            <w:vAlign w:val="center"/>
          </w:tcPr>
          <w:p w14:paraId="27DBA57C">
            <w:pPr>
              <w:keepNext/>
              <w:spacing w:before="20" w:after="20" w:line="240" w:lineRule="auto"/>
              <w:ind w:firstLine="0"/>
              <w:jc w:val="center"/>
            </w:pPr>
            <w:r>
              <w:rPr>
                <w:rFonts w:hint="eastAsia" w:ascii="Times New Roman" w:hAnsi="Times New Roman" w:eastAsia="宋体"/>
                <w:b w:val="0"/>
                <w:color w:val="000000"/>
                <w:sz w:val="18"/>
              </w:rPr>
              <w:t>外商直接投资水平</w:t>
            </w:r>
          </w:p>
        </w:tc>
        <w:tc>
          <w:tcPr>
            <w:tcW w:w="3883" w:type="dxa"/>
            <w:vAlign w:val="center"/>
          </w:tcPr>
          <w:p w14:paraId="57BDA2F6">
            <w:pPr>
              <w:keepNext/>
              <w:spacing w:before="20" w:after="20" w:line="240" w:lineRule="auto"/>
              <w:ind w:firstLine="0"/>
              <w:jc w:val="center"/>
            </w:pPr>
            <w:r>
              <w:rPr>
                <w:rFonts w:hint="eastAsia" w:ascii="Times New Roman" w:hAnsi="Times New Roman" w:eastAsia="宋体"/>
                <w:b w:val="0"/>
                <w:color w:val="000000"/>
                <w:sz w:val="18"/>
              </w:rPr>
              <w:t>实际使用外资/GDP</w:t>
            </w:r>
          </w:p>
        </w:tc>
      </w:tr>
      <w:tr w14:paraId="16A739A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6CA6992C">
            <w:pPr>
              <w:keepNext/>
              <w:spacing w:before="20" w:after="20" w:line="240" w:lineRule="auto"/>
              <w:ind w:firstLine="0"/>
              <w:jc w:val="center"/>
            </w:pPr>
            <w:r>
              <w:rPr>
                <w:rFonts w:hint="eastAsia" w:ascii="Times New Roman" w:hAnsi="Times New Roman" w:eastAsia="宋体"/>
                <w:b w:val="0"/>
                <w:color w:val="000000"/>
                <w:sz w:val="18"/>
              </w:rPr>
              <w:t>控制变量</w:t>
            </w:r>
          </w:p>
        </w:tc>
        <w:tc>
          <w:tcPr>
            <w:tcW w:w="1474" w:type="dxa"/>
            <w:vAlign w:val="center"/>
          </w:tcPr>
          <w:p w14:paraId="7920C2AB">
            <w:pPr>
              <w:keepNext/>
              <w:spacing w:before="20" w:after="20" w:line="240" w:lineRule="auto"/>
              <w:ind w:firstLine="0"/>
              <w:jc w:val="center"/>
            </w:pPr>
            <w:r>
              <w:rPr>
                <w:rFonts w:ascii="Times New Roman" w:hAnsi="Times New Roman" w:eastAsia="宋体"/>
                <w:b w:val="0"/>
                <w:color w:val="000000"/>
                <w:sz w:val="18"/>
              </w:rPr>
              <w:t>Urban</w:t>
            </w:r>
          </w:p>
        </w:tc>
        <w:tc>
          <w:tcPr>
            <w:tcW w:w="2437" w:type="dxa"/>
            <w:vAlign w:val="center"/>
          </w:tcPr>
          <w:p w14:paraId="494630D1">
            <w:pPr>
              <w:keepNext/>
              <w:spacing w:before="20" w:after="20" w:line="240" w:lineRule="auto"/>
              <w:ind w:firstLine="0"/>
              <w:jc w:val="center"/>
            </w:pPr>
            <w:r>
              <w:rPr>
                <w:rFonts w:hint="eastAsia" w:ascii="Times New Roman" w:hAnsi="Times New Roman" w:eastAsia="宋体"/>
                <w:b w:val="0"/>
                <w:color w:val="000000"/>
                <w:sz w:val="18"/>
              </w:rPr>
              <w:t>城镇化率</w:t>
            </w:r>
          </w:p>
        </w:tc>
        <w:tc>
          <w:tcPr>
            <w:tcW w:w="3883" w:type="dxa"/>
            <w:vAlign w:val="center"/>
          </w:tcPr>
          <w:p w14:paraId="2603DEEB">
            <w:pPr>
              <w:keepNext/>
              <w:spacing w:before="20" w:after="20" w:line="240" w:lineRule="auto"/>
              <w:ind w:firstLine="0"/>
              <w:jc w:val="center"/>
            </w:pPr>
            <w:r>
              <w:rPr>
                <w:rFonts w:hint="eastAsia" w:ascii="Times New Roman" w:hAnsi="Times New Roman" w:eastAsia="宋体"/>
                <w:b w:val="0"/>
                <w:color w:val="000000"/>
                <w:sz w:val="18"/>
              </w:rPr>
              <w:t>城镇人口/常住人口</w:t>
            </w:r>
          </w:p>
        </w:tc>
      </w:tr>
      <w:tr w14:paraId="37BD3B2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3CA91572">
            <w:pPr>
              <w:keepNext/>
              <w:spacing w:before="20" w:after="20" w:line="240" w:lineRule="auto"/>
              <w:ind w:firstLine="0"/>
              <w:jc w:val="center"/>
            </w:pPr>
            <w:r>
              <w:rPr>
                <w:rFonts w:hint="eastAsia" w:ascii="Times New Roman" w:hAnsi="Times New Roman" w:eastAsia="宋体"/>
                <w:b w:val="0"/>
                <w:color w:val="000000"/>
                <w:sz w:val="18"/>
              </w:rPr>
              <w:t>控制变量</w:t>
            </w:r>
          </w:p>
        </w:tc>
        <w:tc>
          <w:tcPr>
            <w:tcW w:w="1474" w:type="dxa"/>
            <w:vAlign w:val="center"/>
          </w:tcPr>
          <w:p w14:paraId="562150DD">
            <w:pPr>
              <w:keepNext/>
              <w:spacing w:before="20" w:after="20" w:line="240" w:lineRule="auto"/>
              <w:ind w:firstLine="0"/>
              <w:jc w:val="center"/>
            </w:pPr>
            <w:r>
              <w:rPr>
                <w:rFonts w:ascii="Times New Roman" w:hAnsi="Times New Roman" w:eastAsia="宋体"/>
                <w:b w:val="0"/>
                <w:color w:val="000000"/>
                <w:sz w:val="18"/>
              </w:rPr>
              <w:t>ISU</w:t>
            </w:r>
          </w:p>
        </w:tc>
        <w:tc>
          <w:tcPr>
            <w:tcW w:w="2437" w:type="dxa"/>
            <w:vAlign w:val="center"/>
          </w:tcPr>
          <w:p w14:paraId="664502E1">
            <w:pPr>
              <w:keepNext/>
              <w:spacing w:before="20" w:after="20" w:line="240" w:lineRule="auto"/>
              <w:ind w:firstLine="0"/>
              <w:jc w:val="center"/>
            </w:pPr>
            <w:r>
              <w:rPr>
                <w:rFonts w:hint="eastAsia" w:ascii="Times New Roman" w:hAnsi="Times New Roman" w:eastAsia="宋体"/>
                <w:b w:val="0"/>
                <w:color w:val="000000"/>
                <w:sz w:val="18"/>
              </w:rPr>
              <w:t>产业结构高级化</w:t>
            </w:r>
          </w:p>
        </w:tc>
        <w:tc>
          <w:tcPr>
            <w:tcW w:w="3883" w:type="dxa"/>
            <w:vAlign w:val="center"/>
          </w:tcPr>
          <w:p w14:paraId="35DAB90B">
            <w:pPr>
              <w:keepNext/>
              <w:spacing w:before="20" w:after="20" w:line="240" w:lineRule="auto"/>
              <w:ind w:firstLine="0"/>
              <w:jc w:val="center"/>
            </w:pPr>
            <w:r>
              <w:rPr>
                <w:rFonts w:hint="eastAsia" w:ascii="Times New Roman" w:hAnsi="Times New Roman" w:eastAsia="宋体"/>
                <w:b w:val="0"/>
                <w:color w:val="000000"/>
                <w:sz w:val="18"/>
              </w:rPr>
              <w:t>三次产业增加值占比的层级加权指数</w:t>
            </w:r>
          </w:p>
        </w:tc>
      </w:tr>
      <w:tr w14:paraId="3741B51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339788AD">
            <w:pPr>
              <w:keepNext/>
              <w:spacing w:before="20" w:after="20" w:line="240" w:lineRule="auto"/>
              <w:ind w:firstLine="0"/>
              <w:jc w:val="center"/>
            </w:pPr>
            <w:r>
              <w:rPr>
                <w:rFonts w:hint="eastAsia" w:ascii="Times New Roman" w:hAnsi="Times New Roman" w:eastAsia="宋体"/>
                <w:b w:val="0"/>
                <w:color w:val="000000"/>
                <w:sz w:val="18"/>
              </w:rPr>
              <w:t>控制变量</w:t>
            </w:r>
          </w:p>
        </w:tc>
        <w:tc>
          <w:tcPr>
            <w:tcW w:w="1474" w:type="dxa"/>
            <w:vAlign w:val="center"/>
          </w:tcPr>
          <w:p w14:paraId="49BA200C">
            <w:pPr>
              <w:keepNext/>
              <w:spacing w:before="20" w:after="20" w:line="240" w:lineRule="auto"/>
              <w:ind w:firstLine="0"/>
              <w:jc w:val="center"/>
            </w:pPr>
            <w:r>
              <w:rPr>
                <w:rFonts w:ascii="Times New Roman" w:hAnsi="Times New Roman" w:eastAsia="宋体"/>
                <w:b w:val="0"/>
                <w:color w:val="000000"/>
                <w:sz w:val="18"/>
              </w:rPr>
              <w:t>IND</w:t>
            </w:r>
          </w:p>
        </w:tc>
        <w:tc>
          <w:tcPr>
            <w:tcW w:w="2437" w:type="dxa"/>
            <w:vAlign w:val="center"/>
          </w:tcPr>
          <w:p w14:paraId="6BC7C792">
            <w:pPr>
              <w:keepNext/>
              <w:spacing w:before="20" w:after="20" w:line="240" w:lineRule="auto"/>
              <w:ind w:firstLine="0"/>
              <w:jc w:val="center"/>
            </w:pPr>
            <w:r>
              <w:rPr>
                <w:rFonts w:hint="eastAsia" w:ascii="Times New Roman" w:hAnsi="Times New Roman" w:eastAsia="宋体"/>
                <w:b w:val="0"/>
                <w:color w:val="000000"/>
                <w:sz w:val="18"/>
              </w:rPr>
              <w:t>工业化水平</w:t>
            </w:r>
          </w:p>
        </w:tc>
        <w:tc>
          <w:tcPr>
            <w:tcW w:w="3883" w:type="dxa"/>
            <w:vAlign w:val="center"/>
          </w:tcPr>
          <w:p w14:paraId="4A91039A">
            <w:pPr>
              <w:keepNext/>
              <w:spacing w:before="20" w:after="20" w:line="240" w:lineRule="auto"/>
              <w:ind w:firstLine="0"/>
              <w:jc w:val="center"/>
            </w:pPr>
            <w:r>
              <w:rPr>
                <w:rFonts w:hint="eastAsia" w:ascii="Times New Roman" w:hAnsi="Times New Roman" w:eastAsia="宋体"/>
                <w:b w:val="0"/>
                <w:color w:val="000000"/>
                <w:sz w:val="18"/>
              </w:rPr>
              <w:t>工业增加值/GDP</w:t>
            </w:r>
          </w:p>
        </w:tc>
      </w:tr>
      <w:tr w14:paraId="3523640F">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1227C395">
            <w:pPr>
              <w:keepNext/>
              <w:spacing w:before="20" w:after="20" w:line="240" w:lineRule="auto"/>
              <w:ind w:firstLine="0"/>
              <w:jc w:val="center"/>
            </w:pPr>
            <w:r>
              <w:rPr>
                <w:rFonts w:hint="eastAsia" w:ascii="Times New Roman" w:hAnsi="Times New Roman" w:eastAsia="宋体"/>
                <w:b w:val="0"/>
                <w:color w:val="000000"/>
                <w:sz w:val="18"/>
              </w:rPr>
              <w:t>控制变量</w:t>
            </w:r>
          </w:p>
        </w:tc>
        <w:tc>
          <w:tcPr>
            <w:tcW w:w="1474" w:type="dxa"/>
            <w:vAlign w:val="center"/>
          </w:tcPr>
          <w:p w14:paraId="64BB97D0">
            <w:pPr>
              <w:keepNext/>
              <w:spacing w:before="20" w:after="20" w:line="240" w:lineRule="auto"/>
              <w:ind w:firstLine="0"/>
              <w:jc w:val="center"/>
            </w:pPr>
            <w:r>
              <w:rPr>
                <w:rFonts w:ascii="Times New Roman" w:hAnsi="Times New Roman" w:eastAsia="宋体"/>
                <w:b w:val="0"/>
                <w:color w:val="000000"/>
                <w:sz w:val="18"/>
              </w:rPr>
              <w:t>TMD</w:t>
            </w:r>
          </w:p>
        </w:tc>
        <w:tc>
          <w:tcPr>
            <w:tcW w:w="2437" w:type="dxa"/>
            <w:vAlign w:val="center"/>
          </w:tcPr>
          <w:p w14:paraId="255A7DE5">
            <w:pPr>
              <w:keepNext/>
              <w:spacing w:before="20" w:after="20" w:line="240" w:lineRule="auto"/>
              <w:ind w:firstLine="0"/>
              <w:jc w:val="center"/>
            </w:pPr>
            <w:r>
              <w:rPr>
                <w:rFonts w:hint="eastAsia" w:ascii="Times New Roman" w:hAnsi="Times New Roman" w:eastAsia="宋体"/>
                <w:b w:val="0"/>
                <w:color w:val="000000"/>
                <w:sz w:val="18"/>
              </w:rPr>
              <w:t>技术市场发展水平</w:t>
            </w:r>
          </w:p>
        </w:tc>
        <w:tc>
          <w:tcPr>
            <w:tcW w:w="3883" w:type="dxa"/>
            <w:vAlign w:val="center"/>
          </w:tcPr>
          <w:p w14:paraId="7DE1C378">
            <w:pPr>
              <w:keepNext/>
              <w:spacing w:before="20" w:after="20" w:line="240" w:lineRule="auto"/>
              <w:ind w:firstLine="0"/>
              <w:jc w:val="center"/>
            </w:pPr>
            <w:r>
              <w:rPr>
                <w:rFonts w:hint="eastAsia" w:ascii="Times New Roman" w:hAnsi="Times New Roman" w:eastAsia="宋体"/>
                <w:b w:val="0"/>
                <w:color w:val="000000"/>
                <w:sz w:val="18"/>
              </w:rPr>
              <w:t>技术市场成交额/GDP</w:t>
            </w:r>
          </w:p>
        </w:tc>
      </w:tr>
      <w:tr w14:paraId="5C7D7CE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275" w:type="dxa"/>
            <w:vAlign w:val="center"/>
          </w:tcPr>
          <w:p w14:paraId="791A34EF">
            <w:pPr>
              <w:spacing w:before="20" w:after="20" w:line="240" w:lineRule="auto"/>
              <w:ind w:firstLine="0"/>
              <w:jc w:val="center"/>
            </w:pPr>
            <w:r>
              <w:rPr>
                <w:rFonts w:hint="eastAsia" w:ascii="Times New Roman" w:hAnsi="Times New Roman" w:eastAsia="宋体"/>
                <w:b w:val="0"/>
                <w:color w:val="000000"/>
                <w:sz w:val="18"/>
              </w:rPr>
              <w:t>控制变量</w:t>
            </w:r>
          </w:p>
        </w:tc>
        <w:tc>
          <w:tcPr>
            <w:tcW w:w="1474" w:type="dxa"/>
            <w:vAlign w:val="center"/>
          </w:tcPr>
          <w:p w14:paraId="4575A256">
            <w:pPr>
              <w:spacing w:before="20" w:after="20" w:line="240" w:lineRule="auto"/>
              <w:ind w:firstLine="0"/>
              <w:jc w:val="center"/>
            </w:pPr>
            <w:r>
              <w:rPr>
                <w:rFonts w:ascii="Times New Roman" w:hAnsi="Times New Roman" w:eastAsia="宋体"/>
                <w:b w:val="0"/>
                <w:color w:val="000000"/>
                <w:sz w:val="18"/>
              </w:rPr>
              <w:t>Open</w:t>
            </w:r>
          </w:p>
        </w:tc>
        <w:tc>
          <w:tcPr>
            <w:tcW w:w="2437" w:type="dxa"/>
            <w:vAlign w:val="center"/>
          </w:tcPr>
          <w:p w14:paraId="1C4664B3">
            <w:pPr>
              <w:spacing w:before="20" w:after="20" w:line="240" w:lineRule="auto"/>
              <w:ind w:firstLine="0"/>
              <w:jc w:val="center"/>
            </w:pPr>
            <w:r>
              <w:rPr>
                <w:rFonts w:hint="eastAsia" w:ascii="Times New Roman" w:hAnsi="Times New Roman" w:eastAsia="宋体"/>
                <w:b w:val="0"/>
                <w:color w:val="000000"/>
                <w:sz w:val="18"/>
              </w:rPr>
              <w:t>对外开放程度</w:t>
            </w:r>
          </w:p>
        </w:tc>
        <w:tc>
          <w:tcPr>
            <w:tcW w:w="3883" w:type="dxa"/>
            <w:vAlign w:val="center"/>
          </w:tcPr>
          <w:p w14:paraId="4469AD43">
            <w:pPr>
              <w:spacing w:before="20" w:after="20" w:line="240" w:lineRule="auto"/>
              <w:ind w:firstLine="0"/>
              <w:jc w:val="center"/>
            </w:pPr>
            <w:r>
              <w:rPr>
                <w:rFonts w:hint="eastAsia" w:ascii="Times New Roman" w:hAnsi="Times New Roman" w:eastAsia="宋体"/>
                <w:b w:val="0"/>
                <w:color w:val="000000"/>
                <w:sz w:val="18"/>
              </w:rPr>
              <w:t>货物进出口总额/GDP</w:t>
            </w:r>
          </w:p>
        </w:tc>
      </w:tr>
    </w:tbl>
    <w:p w14:paraId="73E36249">
      <w:pPr>
        <w:widowControl/>
        <w:spacing w:before="0" w:after="60" w:line="360" w:lineRule="auto"/>
        <w:ind w:left="0" w:right="0" w:firstLine="420"/>
        <w:jc w:val="both"/>
      </w:pPr>
      <w:r>
        <w:rPr>
          <w:rFonts w:hint="eastAsia" w:ascii="Times New Roman" w:hAnsi="Times New Roman" w:eastAsia="宋体"/>
          <w:color w:val="000000"/>
          <w:sz w:val="21"/>
        </w:rPr>
        <w:t>表2报告主要变量的描述性统计。CNTI的均值和标准差分别为7.6299和1.3885，样本取值存在较明显差异；R&amp;D的均值为110.9769，标准差为62.9017，同样具有较大的离散程度。其余变量亦具有一定的跨地区和跨时期变动。</w:t>
      </w:r>
    </w:p>
    <w:p w14:paraId="7C4F43B5">
      <w:pPr>
        <w:pStyle w:val="3"/>
        <w:keepNext/>
        <w:spacing w:before="100" w:after="60"/>
        <w:ind w:firstLine="0"/>
        <w:jc w:val="center"/>
      </w:pPr>
      <w:r>
        <w:rPr>
          <w:rFonts w:hint="eastAsia" w:ascii="Times New Roman" w:hAnsi="Times New Roman" w:eastAsia="宋体"/>
          <w:b/>
          <w:bCs/>
          <w:color w:val="000000"/>
          <w:sz w:val="21"/>
        </w:rPr>
        <w:t>表2</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描述性统计</w:t>
      </w:r>
    </w:p>
    <w:tbl>
      <w:tblPr>
        <w:tblStyle w:val="11"/>
        <w:tblW w:w="0" w:type="auto"/>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20"/>
        <w:gridCol w:w="1320"/>
        <w:gridCol w:w="1320"/>
        <w:gridCol w:w="1320"/>
        <w:gridCol w:w="1320"/>
        <w:gridCol w:w="1320"/>
      </w:tblGrid>
      <w:tr w14:paraId="5D364BD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13" w:type="dxa"/>
            <w:tcBorders>
              <w:bottom w:val="single" w:color="7F8C8D" w:sz="6" w:space="0"/>
            </w:tcBorders>
            <w:shd w:val="clear" w:color="auto" w:fill="DCE6F1"/>
            <w:vAlign w:val="center"/>
          </w:tcPr>
          <w:p w14:paraId="18083FFC">
            <w:pPr>
              <w:keepNext/>
              <w:spacing w:before="20" w:after="20" w:line="240" w:lineRule="auto"/>
              <w:ind w:firstLine="0"/>
              <w:jc w:val="center"/>
            </w:pPr>
            <w:r>
              <w:rPr>
                <w:rFonts w:hint="eastAsia" w:ascii="Times New Roman" w:hAnsi="Times New Roman" w:eastAsia="宋体"/>
                <w:b/>
                <w:color w:val="000000"/>
                <w:sz w:val="18"/>
              </w:rPr>
              <w:t>变量</w:t>
            </w:r>
          </w:p>
        </w:tc>
        <w:tc>
          <w:tcPr>
            <w:tcW w:w="1513" w:type="dxa"/>
            <w:tcBorders>
              <w:bottom w:val="single" w:color="7F8C8D" w:sz="6" w:space="0"/>
            </w:tcBorders>
            <w:shd w:val="clear" w:color="auto" w:fill="DCE6F1"/>
            <w:vAlign w:val="center"/>
          </w:tcPr>
          <w:p w14:paraId="4D3829E7">
            <w:pPr>
              <w:keepNext/>
              <w:spacing w:before="20" w:after="20" w:line="240" w:lineRule="auto"/>
              <w:ind w:firstLine="0"/>
              <w:jc w:val="center"/>
            </w:pPr>
            <w:r>
              <w:rPr>
                <w:rFonts w:hint="eastAsia" w:ascii="Times New Roman" w:hAnsi="Times New Roman" w:eastAsia="宋体"/>
                <w:b/>
                <w:color w:val="000000"/>
                <w:sz w:val="18"/>
              </w:rPr>
              <w:t>观测值</w:t>
            </w:r>
          </w:p>
        </w:tc>
        <w:tc>
          <w:tcPr>
            <w:tcW w:w="1513" w:type="dxa"/>
            <w:tcBorders>
              <w:bottom w:val="single" w:color="7F8C8D" w:sz="6" w:space="0"/>
            </w:tcBorders>
            <w:shd w:val="clear" w:color="auto" w:fill="DCE6F1"/>
            <w:vAlign w:val="center"/>
          </w:tcPr>
          <w:p w14:paraId="536F01EA">
            <w:pPr>
              <w:keepNext/>
              <w:spacing w:before="20" w:after="20" w:line="240" w:lineRule="auto"/>
              <w:ind w:firstLine="0"/>
              <w:jc w:val="center"/>
            </w:pPr>
            <w:r>
              <w:rPr>
                <w:rFonts w:hint="eastAsia" w:ascii="Times New Roman" w:hAnsi="Times New Roman" w:eastAsia="宋体"/>
                <w:b/>
                <w:color w:val="000000"/>
                <w:sz w:val="18"/>
              </w:rPr>
              <w:t>均值</w:t>
            </w:r>
          </w:p>
        </w:tc>
        <w:tc>
          <w:tcPr>
            <w:tcW w:w="1513" w:type="dxa"/>
            <w:tcBorders>
              <w:bottom w:val="single" w:color="7F8C8D" w:sz="6" w:space="0"/>
            </w:tcBorders>
            <w:shd w:val="clear" w:color="auto" w:fill="DCE6F1"/>
            <w:vAlign w:val="center"/>
          </w:tcPr>
          <w:p w14:paraId="7BECA11D">
            <w:pPr>
              <w:keepNext/>
              <w:spacing w:before="20" w:after="20" w:line="240" w:lineRule="auto"/>
              <w:ind w:firstLine="0"/>
              <w:jc w:val="center"/>
            </w:pPr>
            <w:r>
              <w:rPr>
                <w:rFonts w:hint="eastAsia" w:ascii="Times New Roman" w:hAnsi="Times New Roman" w:eastAsia="宋体"/>
                <w:b/>
                <w:color w:val="000000"/>
                <w:sz w:val="18"/>
              </w:rPr>
              <w:t>标准差</w:t>
            </w:r>
          </w:p>
        </w:tc>
        <w:tc>
          <w:tcPr>
            <w:tcW w:w="1513" w:type="dxa"/>
            <w:tcBorders>
              <w:bottom w:val="single" w:color="7F8C8D" w:sz="6" w:space="0"/>
            </w:tcBorders>
            <w:shd w:val="clear" w:color="auto" w:fill="DCE6F1"/>
            <w:vAlign w:val="center"/>
          </w:tcPr>
          <w:p w14:paraId="7B293DB6">
            <w:pPr>
              <w:keepNext/>
              <w:spacing w:before="20" w:after="20" w:line="240" w:lineRule="auto"/>
              <w:ind w:firstLine="0"/>
              <w:jc w:val="center"/>
            </w:pPr>
            <w:r>
              <w:rPr>
                <w:rFonts w:hint="eastAsia" w:ascii="Times New Roman" w:hAnsi="Times New Roman" w:eastAsia="宋体"/>
                <w:b/>
                <w:color w:val="000000"/>
                <w:sz w:val="18"/>
              </w:rPr>
              <w:t>最小值</w:t>
            </w:r>
          </w:p>
        </w:tc>
        <w:tc>
          <w:tcPr>
            <w:tcW w:w="1513" w:type="dxa"/>
            <w:tcBorders>
              <w:bottom w:val="single" w:color="7F8C8D" w:sz="6" w:space="0"/>
            </w:tcBorders>
            <w:shd w:val="clear" w:color="auto" w:fill="DCE6F1"/>
            <w:vAlign w:val="center"/>
          </w:tcPr>
          <w:p w14:paraId="4038C3B0">
            <w:pPr>
              <w:keepNext/>
              <w:spacing w:before="20" w:after="20" w:line="240" w:lineRule="auto"/>
              <w:ind w:firstLine="0"/>
              <w:jc w:val="center"/>
            </w:pPr>
            <w:r>
              <w:rPr>
                <w:rFonts w:hint="eastAsia" w:ascii="Times New Roman" w:hAnsi="Times New Roman" w:eastAsia="宋体"/>
                <w:b/>
                <w:color w:val="000000"/>
                <w:sz w:val="18"/>
              </w:rPr>
              <w:t>最大值</w:t>
            </w:r>
          </w:p>
        </w:tc>
      </w:tr>
      <w:tr w14:paraId="15A991E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7F87CB19">
            <w:pPr>
              <w:keepNext/>
              <w:spacing w:before="20" w:after="20" w:line="240" w:lineRule="auto"/>
              <w:ind w:firstLine="0"/>
              <w:jc w:val="center"/>
            </w:pPr>
            <w:r>
              <w:rPr>
                <w:rFonts w:ascii="Times New Roman" w:hAnsi="Times New Roman" w:eastAsia="宋体"/>
                <w:b w:val="0"/>
                <w:color w:val="000000"/>
                <w:sz w:val="18"/>
              </w:rPr>
              <w:t>CNTI</w:t>
            </w:r>
          </w:p>
        </w:tc>
        <w:tc>
          <w:tcPr>
            <w:tcW w:w="1513" w:type="dxa"/>
            <w:vAlign w:val="center"/>
          </w:tcPr>
          <w:p w14:paraId="202E2874">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0D09BB1E">
            <w:pPr>
              <w:keepNext/>
              <w:spacing w:before="20" w:after="20" w:line="240" w:lineRule="auto"/>
              <w:ind w:firstLine="0"/>
              <w:jc w:val="center"/>
            </w:pPr>
            <w:r>
              <w:rPr>
                <w:rFonts w:ascii="Times New Roman" w:hAnsi="Times New Roman" w:eastAsia="宋体"/>
                <w:b w:val="0"/>
                <w:color w:val="000000"/>
                <w:sz w:val="18"/>
              </w:rPr>
              <w:t>7.6299</w:t>
            </w:r>
          </w:p>
        </w:tc>
        <w:tc>
          <w:tcPr>
            <w:tcW w:w="1513" w:type="dxa"/>
            <w:vAlign w:val="center"/>
          </w:tcPr>
          <w:p w14:paraId="5E401FF6">
            <w:pPr>
              <w:keepNext/>
              <w:spacing w:before="20" w:after="20" w:line="240" w:lineRule="auto"/>
              <w:ind w:firstLine="0"/>
              <w:jc w:val="center"/>
            </w:pPr>
            <w:r>
              <w:rPr>
                <w:rFonts w:ascii="Times New Roman" w:hAnsi="Times New Roman" w:eastAsia="宋体"/>
                <w:b w:val="0"/>
                <w:color w:val="000000"/>
                <w:sz w:val="18"/>
              </w:rPr>
              <w:t>1.3885</w:t>
            </w:r>
          </w:p>
        </w:tc>
        <w:tc>
          <w:tcPr>
            <w:tcW w:w="1513" w:type="dxa"/>
            <w:vAlign w:val="center"/>
          </w:tcPr>
          <w:p w14:paraId="3C7AD4BA">
            <w:pPr>
              <w:keepNext/>
              <w:spacing w:before="20" w:after="20" w:line="240" w:lineRule="auto"/>
              <w:ind w:firstLine="0"/>
              <w:jc w:val="center"/>
            </w:pPr>
            <w:r>
              <w:rPr>
                <w:rFonts w:ascii="Times New Roman" w:hAnsi="Times New Roman" w:eastAsia="宋体"/>
                <w:b w:val="0"/>
                <w:color w:val="000000"/>
                <w:sz w:val="18"/>
              </w:rPr>
              <w:t>1.0986</w:t>
            </w:r>
          </w:p>
        </w:tc>
        <w:tc>
          <w:tcPr>
            <w:tcW w:w="1513" w:type="dxa"/>
            <w:vAlign w:val="center"/>
          </w:tcPr>
          <w:p w14:paraId="7B343909">
            <w:pPr>
              <w:keepNext/>
              <w:spacing w:before="20" w:after="20" w:line="240" w:lineRule="auto"/>
              <w:ind w:firstLine="0"/>
              <w:jc w:val="center"/>
            </w:pPr>
            <w:r>
              <w:rPr>
                <w:rFonts w:ascii="Times New Roman" w:hAnsi="Times New Roman" w:eastAsia="宋体"/>
                <w:b w:val="0"/>
                <w:color w:val="000000"/>
                <w:sz w:val="18"/>
              </w:rPr>
              <w:t>10.4202</w:t>
            </w:r>
          </w:p>
        </w:tc>
      </w:tr>
      <w:tr w14:paraId="11BBCC9D">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1DF6D5B6">
            <w:pPr>
              <w:keepNext/>
              <w:spacing w:before="20" w:after="20" w:line="240" w:lineRule="auto"/>
              <w:ind w:firstLine="0"/>
              <w:jc w:val="center"/>
            </w:pPr>
            <w:r>
              <w:rPr>
                <w:rFonts w:ascii="Times New Roman" w:hAnsi="Times New Roman" w:eastAsia="宋体"/>
                <w:b w:val="0"/>
                <w:color w:val="000000"/>
                <w:sz w:val="18"/>
              </w:rPr>
              <w:t>GLIPL</w:t>
            </w:r>
          </w:p>
        </w:tc>
        <w:tc>
          <w:tcPr>
            <w:tcW w:w="1513" w:type="dxa"/>
            <w:vAlign w:val="center"/>
          </w:tcPr>
          <w:p w14:paraId="13508EA3">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70252913">
            <w:pPr>
              <w:keepNext/>
              <w:spacing w:before="20" w:after="20" w:line="240" w:lineRule="auto"/>
              <w:ind w:firstLine="0"/>
              <w:jc w:val="center"/>
            </w:pPr>
            <w:r>
              <w:rPr>
                <w:rFonts w:ascii="Times New Roman" w:hAnsi="Times New Roman" w:eastAsia="宋体"/>
                <w:b w:val="0"/>
                <w:color w:val="000000"/>
                <w:sz w:val="18"/>
              </w:rPr>
              <w:t>5.8006</w:t>
            </w:r>
          </w:p>
        </w:tc>
        <w:tc>
          <w:tcPr>
            <w:tcW w:w="1513" w:type="dxa"/>
            <w:vAlign w:val="center"/>
          </w:tcPr>
          <w:p w14:paraId="55510050">
            <w:pPr>
              <w:keepNext/>
              <w:spacing w:before="20" w:after="20" w:line="240" w:lineRule="auto"/>
              <w:ind w:firstLine="0"/>
              <w:jc w:val="center"/>
            </w:pPr>
            <w:r>
              <w:rPr>
                <w:rFonts w:ascii="Times New Roman" w:hAnsi="Times New Roman" w:eastAsia="宋体"/>
                <w:b w:val="0"/>
                <w:color w:val="000000"/>
                <w:sz w:val="18"/>
              </w:rPr>
              <w:t>1.4875</w:t>
            </w:r>
          </w:p>
        </w:tc>
        <w:tc>
          <w:tcPr>
            <w:tcW w:w="1513" w:type="dxa"/>
            <w:vAlign w:val="center"/>
          </w:tcPr>
          <w:p w14:paraId="0B6E365E">
            <w:pPr>
              <w:keepNext/>
              <w:spacing w:before="20" w:after="20" w:line="240" w:lineRule="auto"/>
              <w:ind w:firstLine="0"/>
              <w:jc w:val="center"/>
            </w:pPr>
            <w:r>
              <w:rPr>
                <w:rFonts w:ascii="Times New Roman" w:hAnsi="Times New Roman" w:eastAsia="宋体"/>
                <w:b w:val="0"/>
                <w:color w:val="000000"/>
                <w:sz w:val="18"/>
              </w:rPr>
              <w:t>0.0000</w:t>
            </w:r>
          </w:p>
        </w:tc>
        <w:tc>
          <w:tcPr>
            <w:tcW w:w="1513" w:type="dxa"/>
            <w:vAlign w:val="center"/>
          </w:tcPr>
          <w:p w14:paraId="29709899">
            <w:pPr>
              <w:keepNext/>
              <w:spacing w:before="20" w:after="20" w:line="240" w:lineRule="auto"/>
              <w:ind w:firstLine="0"/>
              <w:jc w:val="center"/>
            </w:pPr>
            <w:r>
              <w:rPr>
                <w:rFonts w:ascii="Times New Roman" w:hAnsi="Times New Roman" w:eastAsia="宋体"/>
                <w:b w:val="0"/>
                <w:color w:val="000000"/>
                <w:sz w:val="18"/>
              </w:rPr>
              <w:t>8.4327</w:t>
            </w:r>
          </w:p>
        </w:tc>
      </w:tr>
      <w:tr w14:paraId="1466301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3ACEF866">
            <w:pPr>
              <w:keepNext/>
              <w:spacing w:before="20" w:after="20" w:line="240" w:lineRule="auto"/>
              <w:ind w:firstLine="0"/>
              <w:jc w:val="center"/>
            </w:pPr>
            <w:r>
              <w:rPr>
                <w:rFonts w:ascii="Times New Roman" w:hAnsi="Times New Roman" w:eastAsia="宋体"/>
                <w:b w:val="0"/>
                <w:color w:val="000000"/>
                <w:sz w:val="18"/>
              </w:rPr>
              <w:t>R&amp;D</w:t>
            </w:r>
          </w:p>
        </w:tc>
        <w:tc>
          <w:tcPr>
            <w:tcW w:w="1513" w:type="dxa"/>
            <w:vAlign w:val="center"/>
          </w:tcPr>
          <w:p w14:paraId="7F379AEC">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31E87BDF">
            <w:pPr>
              <w:keepNext/>
              <w:spacing w:before="20" w:after="20" w:line="240" w:lineRule="auto"/>
              <w:ind w:firstLine="0"/>
              <w:jc w:val="center"/>
            </w:pPr>
            <w:r>
              <w:rPr>
                <w:rFonts w:ascii="Times New Roman" w:hAnsi="Times New Roman" w:eastAsia="宋体"/>
                <w:b w:val="0"/>
                <w:color w:val="000000"/>
                <w:sz w:val="18"/>
              </w:rPr>
              <w:t>110.9769</w:t>
            </w:r>
          </w:p>
        </w:tc>
        <w:tc>
          <w:tcPr>
            <w:tcW w:w="1513" w:type="dxa"/>
            <w:vAlign w:val="center"/>
          </w:tcPr>
          <w:p w14:paraId="33086F5B">
            <w:pPr>
              <w:keepNext/>
              <w:spacing w:before="20" w:after="20" w:line="240" w:lineRule="auto"/>
              <w:ind w:firstLine="0"/>
              <w:jc w:val="center"/>
            </w:pPr>
            <w:r>
              <w:rPr>
                <w:rFonts w:ascii="Times New Roman" w:hAnsi="Times New Roman" w:eastAsia="宋体"/>
                <w:b w:val="0"/>
                <w:color w:val="000000"/>
                <w:sz w:val="18"/>
              </w:rPr>
              <w:t>62.9017</w:t>
            </w:r>
          </w:p>
        </w:tc>
        <w:tc>
          <w:tcPr>
            <w:tcW w:w="1513" w:type="dxa"/>
            <w:vAlign w:val="center"/>
          </w:tcPr>
          <w:p w14:paraId="031E7DBA">
            <w:pPr>
              <w:keepNext/>
              <w:spacing w:before="20" w:after="20" w:line="240" w:lineRule="auto"/>
              <w:ind w:firstLine="0"/>
              <w:jc w:val="center"/>
            </w:pPr>
            <w:r>
              <w:rPr>
                <w:rFonts w:ascii="Times New Roman" w:hAnsi="Times New Roman" w:eastAsia="宋体"/>
                <w:b w:val="0"/>
                <w:color w:val="000000"/>
                <w:sz w:val="18"/>
              </w:rPr>
              <w:t>2.3617</w:t>
            </w:r>
          </w:p>
        </w:tc>
        <w:tc>
          <w:tcPr>
            <w:tcW w:w="1513" w:type="dxa"/>
            <w:vAlign w:val="center"/>
          </w:tcPr>
          <w:p w14:paraId="3921E1A0">
            <w:pPr>
              <w:keepNext/>
              <w:spacing w:before="20" w:after="20" w:line="240" w:lineRule="auto"/>
              <w:ind w:firstLine="0"/>
              <w:jc w:val="center"/>
            </w:pPr>
            <w:r>
              <w:rPr>
                <w:rFonts w:ascii="Times New Roman" w:hAnsi="Times New Roman" w:eastAsia="宋体"/>
                <w:b w:val="0"/>
                <w:color w:val="000000"/>
                <w:sz w:val="18"/>
              </w:rPr>
              <w:t>324.1566</w:t>
            </w:r>
          </w:p>
        </w:tc>
      </w:tr>
      <w:tr w14:paraId="700349B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108CAB48">
            <w:pPr>
              <w:keepNext/>
              <w:spacing w:before="20" w:after="20" w:line="240" w:lineRule="auto"/>
              <w:ind w:firstLine="0"/>
              <w:jc w:val="center"/>
            </w:pPr>
            <w:r>
              <w:rPr>
                <w:rFonts w:ascii="Times New Roman" w:hAnsi="Times New Roman" w:eastAsia="宋体"/>
                <w:b w:val="0"/>
                <w:color w:val="000000"/>
                <w:sz w:val="18"/>
              </w:rPr>
              <w:t>Energy</w:t>
            </w:r>
          </w:p>
        </w:tc>
        <w:tc>
          <w:tcPr>
            <w:tcW w:w="1513" w:type="dxa"/>
            <w:vAlign w:val="center"/>
          </w:tcPr>
          <w:p w14:paraId="79C7E73A">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5872461E">
            <w:pPr>
              <w:keepNext/>
              <w:spacing w:before="20" w:after="20" w:line="240" w:lineRule="auto"/>
              <w:ind w:firstLine="0"/>
              <w:jc w:val="center"/>
            </w:pPr>
            <w:r>
              <w:rPr>
                <w:rFonts w:ascii="Times New Roman" w:hAnsi="Times New Roman" w:eastAsia="宋体"/>
                <w:b w:val="0"/>
                <w:color w:val="000000"/>
                <w:sz w:val="18"/>
              </w:rPr>
              <w:t>0.7852</w:t>
            </w:r>
          </w:p>
        </w:tc>
        <w:tc>
          <w:tcPr>
            <w:tcW w:w="1513" w:type="dxa"/>
            <w:vAlign w:val="center"/>
          </w:tcPr>
          <w:p w14:paraId="096F58E2">
            <w:pPr>
              <w:keepNext/>
              <w:spacing w:before="20" w:after="20" w:line="240" w:lineRule="auto"/>
              <w:ind w:firstLine="0"/>
              <w:jc w:val="center"/>
            </w:pPr>
            <w:r>
              <w:rPr>
                <w:rFonts w:ascii="Times New Roman" w:hAnsi="Times New Roman" w:eastAsia="宋体"/>
                <w:b w:val="0"/>
                <w:color w:val="000000"/>
                <w:sz w:val="18"/>
              </w:rPr>
              <w:t>0.6322</w:t>
            </w:r>
          </w:p>
        </w:tc>
        <w:tc>
          <w:tcPr>
            <w:tcW w:w="1513" w:type="dxa"/>
            <w:vAlign w:val="center"/>
          </w:tcPr>
          <w:p w14:paraId="7CD918D8">
            <w:pPr>
              <w:keepNext/>
              <w:spacing w:before="20" w:after="20" w:line="240" w:lineRule="auto"/>
              <w:ind w:firstLine="0"/>
              <w:jc w:val="center"/>
            </w:pPr>
            <w:r>
              <w:rPr>
                <w:rFonts w:ascii="Times New Roman" w:hAnsi="Times New Roman" w:eastAsia="宋体"/>
                <w:b w:val="0"/>
                <w:color w:val="000000"/>
                <w:sz w:val="18"/>
              </w:rPr>
              <w:t>0.1532</w:t>
            </w:r>
          </w:p>
        </w:tc>
        <w:tc>
          <w:tcPr>
            <w:tcW w:w="1513" w:type="dxa"/>
            <w:vAlign w:val="center"/>
          </w:tcPr>
          <w:p w14:paraId="36571CA7">
            <w:pPr>
              <w:keepNext/>
              <w:spacing w:before="20" w:after="20" w:line="240" w:lineRule="auto"/>
              <w:ind w:firstLine="0"/>
              <w:jc w:val="center"/>
            </w:pPr>
            <w:r>
              <w:rPr>
                <w:rFonts w:ascii="Times New Roman" w:hAnsi="Times New Roman" w:eastAsia="宋体"/>
                <w:b w:val="0"/>
                <w:color w:val="000000"/>
                <w:sz w:val="18"/>
              </w:rPr>
              <w:t>4.5580</w:t>
            </w:r>
          </w:p>
        </w:tc>
      </w:tr>
      <w:tr w14:paraId="4FAD59F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11195E26">
            <w:pPr>
              <w:keepNext/>
              <w:spacing w:before="20" w:after="20" w:line="240" w:lineRule="auto"/>
              <w:ind w:firstLine="0"/>
              <w:jc w:val="center"/>
            </w:pPr>
            <w:r>
              <w:rPr>
                <w:rFonts w:ascii="Times New Roman" w:hAnsi="Times New Roman" w:eastAsia="宋体"/>
                <w:b w:val="0"/>
                <w:color w:val="000000"/>
                <w:sz w:val="18"/>
              </w:rPr>
              <w:t>FDI</w:t>
            </w:r>
          </w:p>
        </w:tc>
        <w:tc>
          <w:tcPr>
            <w:tcW w:w="1513" w:type="dxa"/>
            <w:vAlign w:val="center"/>
          </w:tcPr>
          <w:p w14:paraId="4DF31B96">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0C75E842">
            <w:pPr>
              <w:keepNext/>
              <w:spacing w:before="20" w:after="20" w:line="240" w:lineRule="auto"/>
              <w:ind w:firstLine="0"/>
              <w:jc w:val="center"/>
            </w:pPr>
            <w:r>
              <w:rPr>
                <w:rFonts w:ascii="Times New Roman" w:hAnsi="Times New Roman" w:eastAsia="宋体"/>
                <w:b w:val="0"/>
                <w:color w:val="000000"/>
                <w:sz w:val="18"/>
              </w:rPr>
              <w:t>0.0165</w:t>
            </w:r>
          </w:p>
        </w:tc>
        <w:tc>
          <w:tcPr>
            <w:tcW w:w="1513" w:type="dxa"/>
            <w:vAlign w:val="center"/>
          </w:tcPr>
          <w:p w14:paraId="3AE14AB8">
            <w:pPr>
              <w:keepNext/>
              <w:spacing w:before="20" w:after="20" w:line="240" w:lineRule="auto"/>
              <w:ind w:firstLine="0"/>
              <w:jc w:val="center"/>
            </w:pPr>
            <w:r>
              <w:rPr>
                <w:rFonts w:ascii="Times New Roman" w:hAnsi="Times New Roman" w:eastAsia="宋体"/>
                <w:b w:val="0"/>
                <w:color w:val="000000"/>
                <w:sz w:val="18"/>
              </w:rPr>
              <w:t>0.0161</w:t>
            </w:r>
          </w:p>
        </w:tc>
        <w:tc>
          <w:tcPr>
            <w:tcW w:w="1513" w:type="dxa"/>
            <w:vAlign w:val="center"/>
          </w:tcPr>
          <w:p w14:paraId="2A29E5A6">
            <w:pPr>
              <w:keepNext/>
              <w:spacing w:before="20" w:after="20" w:line="240" w:lineRule="auto"/>
              <w:ind w:firstLine="0"/>
              <w:jc w:val="center"/>
            </w:pPr>
            <w:r>
              <w:rPr>
                <w:rFonts w:ascii="Times New Roman" w:hAnsi="Times New Roman" w:eastAsia="宋体"/>
                <w:b w:val="0"/>
                <w:color w:val="000000"/>
                <w:sz w:val="18"/>
              </w:rPr>
              <w:t>0.0001</w:t>
            </w:r>
          </w:p>
        </w:tc>
        <w:tc>
          <w:tcPr>
            <w:tcW w:w="1513" w:type="dxa"/>
            <w:vAlign w:val="center"/>
          </w:tcPr>
          <w:p w14:paraId="22E6099D">
            <w:pPr>
              <w:keepNext/>
              <w:spacing w:before="20" w:after="20" w:line="240" w:lineRule="auto"/>
              <w:ind w:firstLine="0"/>
              <w:jc w:val="center"/>
            </w:pPr>
            <w:r>
              <w:rPr>
                <w:rFonts w:ascii="Times New Roman" w:hAnsi="Times New Roman" w:eastAsia="宋体"/>
                <w:b w:val="0"/>
                <w:color w:val="000000"/>
                <w:sz w:val="18"/>
              </w:rPr>
              <w:t>0.1210</w:t>
            </w:r>
          </w:p>
        </w:tc>
      </w:tr>
      <w:tr w14:paraId="5975B33A">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06980583">
            <w:pPr>
              <w:keepNext/>
              <w:spacing w:before="20" w:after="20" w:line="240" w:lineRule="auto"/>
              <w:ind w:firstLine="0"/>
              <w:jc w:val="center"/>
            </w:pPr>
            <w:r>
              <w:rPr>
                <w:rFonts w:ascii="Times New Roman" w:hAnsi="Times New Roman" w:eastAsia="宋体"/>
                <w:b w:val="0"/>
                <w:color w:val="000000"/>
                <w:sz w:val="18"/>
              </w:rPr>
              <w:t>Urban</w:t>
            </w:r>
          </w:p>
        </w:tc>
        <w:tc>
          <w:tcPr>
            <w:tcW w:w="1513" w:type="dxa"/>
            <w:vAlign w:val="center"/>
          </w:tcPr>
          <w:p w14:paraId="20D1CC96">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6F2C11CF">
            <w:pPr>
              <w:keepNext/>
              <w:spacing w:before="20" w:after="20" w:line="240" w:lineRule="auto"/>
              <w:ind w:firstLine="0"/>
              <w:jc w:val="center"/>
            </w:pPr>
            <w:r>
              <w:rPr>
                <w:rFonts w:ascii="Times New Roman" w:hAnsi="Times New Roman" w:eastAsia="宋体"/>
                <w:b w:val="0"/>
                <w:color w:val="000000"/>
                <w:sz w:val="18"/>
              </w:rPr>
              <w:t>0.6082</w:t>
            </w:r>
          </w:p>
        </w:tc>
        <w:tc>
          <w:tcPr>
            <w:tcW w:w="1513" w:type="dxa"/>
            <w:vAlign w:val="center"/>
          </w:tcPr>
          <w:p w14:paraId="6A916593">
            <w:pPr>
              <w:keepNext/>
              <w:spacing w:before="20" w:after="20" w:line="240" w:lineRule="auto"/>
              <w:ind w:firstLine="0"/>
              <w:jc w:val="center"/>
            </w:pPr>
            <w:r>
              <w:rPr>
                <w:rFonts w:ascii="Times New Roman" w:hAnsi="Times New Roman" w:eastAsia="宋体"/>
                <w:b w:val="0"/>
                <w:color w:val="000000"/>
                <w:sz w:val="18"/>
              </w:rPr>
              <w:t>0.1193</w:t>
            </w:r>
          </w:p>
        </w:tc>
        <w:tc>
          <w:tcPr>
            <w:tcW w:w="1513" w:type="dxa"/>
            <w:vAlign w:val="center"/>
          </w:tcPr>
          <w:p w14:paraId="5B2D1C8A">
            <w:pPr>
              <w:keepNext/>
              <w:spacing w:before="20" w:after="20" w:line="240" w:lineRule="auto"/>
              <w:ind w:firstLine="0"/>
              <w:jc w:val="center"/>
            </w:pPr>
            <w:r>
              <w:rPr>
                <w:rFonts w:ascii="Times New Roman" w:hAnsi="Times New Roman" w:eastAsia="宋体"/>
                <w:b w:val="0"/>
                <w:color w:val="000000"/>
                <w:sz w:val="18"/>
              </w:rPr>
              <w:t>0.2520</w:t>
            </w:r>
          </w:p>
        </w:tc>
        <w:tc>
          <w:tcPr>
            <w:tcW w:w="1513" w:type="dxa"/>
            <w:vAlign w:val="center"/>
          </w:tcPr>
          <w:p w14:paraId="591CA23F">
            <w:pPr>
              <w:keepNext/>
              <w:spacing w:before="20" w:after="20" w:line="240" w:lineRule="auto"/>
              <w:ind w:firstLine="0"/>
              <w:jc w:val="center"/>
            </w:pPr>
            <w:r>
              <w:rPr>
                <w:rFonts w:ascii="Times New Roman" w:hAnsi="Times New Roman" w:eastAsia="宋体"/>
                <w:b w:val="0"/>
                <w:color w:val="000000"/>
                <w:sz w:val="18"/>
              </w:rPr>
              <w:t>0.8950</w:t>
            </w:r>
          </w:p>
        </w:tc>
      </w:tr>
      <w:tr w14:paraId="2AA81B6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56BBD83D">
            <w:pPr>
              <w:keepNext/>
              <w:spacing w:before="20" w:after="20" w:line="240" w:lineRule="auto"/>
              <w:ind w:firstLine="0"/>
              <w:jc w:val="center"/>
            </w:pPr>
            <w:r>
              <w:rPr>
                <w:rFonts w:ascii="Times New Roman" w:hAnsi="Times New Roman" w:eastAsia="宋体"/>
                <w:b w:val="0"/>
                <w:color w:val="000000"/>
                <w:sz w:val="18"/>
              </w:rPr>
              <w:t>ISU</w:t>
            </w:r>
          </w:p>
        </w:tc>
        <w:tc>
          <w:tcPr>
            <w:tcW w:w="1513" w:type="dxa"/>
            <w:vAlign w:val="center"/>
          </w:tcPr>
          <w:p w14:paraId="0680B60B">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457A2660">
            <w:pPr>
              <w:keepNext/>
              <w:spacing w:before="20" w:after="20" w:line="240" w:lineRule="auto"/>
              <w:ind w:firstLine="0"/>
              <w:jc w:val="center"/>
            </w:pPr>
            <w:r>
              <w:rPr>
                <w:rFonts w:ascii="Times New Roman" w:hAnsi="Times New Roman" w:eastAsia="宋体"/>
                <w:b w:val="0"/>
                <w:color w:val="000000"/>
                <w:sz w:val="18"/>
              </w:rPr>
              <w:t>2.4112</w:t>
            </w:r>
          </w:p>
        </w:tc>
        <w:tc>
          <w:tcPr>
            <w:tcW w:w="1513" w:type="dxa"/>
            <w:vAlign w:val="center"/>
          </w:tcPr>
          <w:p w14:paraId="0283E333">
            <w:pPr>
              <w:keepNext/>
              <w:spacing w:before="20" w:after="20" w:line="240" w:lineRule="auto"/>
              <w:ind w:firstLine="0"/>
              <w:jc w:val="center"/>
            </w:pPr>
            <w:r>
              <w:rPr>
                <w:rFonts w:ascii="Times New Roman" w:hAnsi="Times New Roman" w:eastAsia="宋体"/>
                <w:b w:val="0"/>
                <w:color w:val="000000"/>
                <w:sz w:val="18"/>
              </w:rPr>
              <w:t>0.2032</w:t>
            </w:r>
          </w:p>
        </w:tc>
        <w:tc>
          <w:tcPr>
            <w:tcW w:w="1513" w:type="dxa"/>
            <w:vAlign w:val="center"/>
          </w:tcPr>
          <w:p w14:paraId="7FB78747">
            <w:pPr>
              <w:keepNext/>
              <w:spacing w:before="20" w:after="20" w:line="240" w:lineRule="auto"/>
              <w:ind w:firstLine="0"/>
              <w:jc w:val="center"/>
            </w:pPr>
            <w:r>
              <w:rPr>
                <w:rFonts w:ascii="Times New Roman" w:hAnsi="Times New Roman" w:eastAsia="宋体"/>
                <w:b w:val="0"/>
                <w:color w:val="000000"/>
                <w:sz w:val="18"/>
              </w:rPr>
              <w:t>0.1736</w:t>
            </w:r>
          </w:p>
        </w:tc>
        <w:tc>
          <w:tcPr>
            <w:tcW w:w="1513" w:type="dxa"/>
            <w:vAlign w:val="center"/>
          </w:tcPr>
          <w:p w14:paraId="662CD97F">
            <w:pPr>
              <w:keepNext/>
              <w:spacing w:before="20" w:after="20" w:line="240" w:lineRule="auto"/>
              <w:ind w:firstLine="0"/>
              <w:jc w:val="center"/>
            </w:pPr>
            <w:r>
              <w:rPr>
                <w:rFonts w:ascii="Times New Roman" w:hAnsi="Times New Roman" w:eastAsia="宋体"/>
                <w:b w:val="0"/>
                <w:color w:val="000000"/>
                <w:sz w:val="18"/>
              </w:rPr>
              <w:t>2.8461</w:t>
            </w:r>
          </w:p>
        </w:tc>
      </w:tr>
      <w:tr w14:paraId="37E2B69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432F816D">
            <w:pPr>
              <w:keepNext/>
              <w:spacing w:before="20" w:after="20" w:line="240" w:lineRule="auto"/>
              <w:ind w:firstLine="0"/>
              <w:jc w:val="center"/>
            </w:pPr>
            <w:r>
              <w:rPr>
                <w:rFonts w:ascii="Times New Roman" w:hAnsi="Times New Roman" w:eastAsia="宋体"/>
                <w:b w:val="0"/>
                <w:color w:val="000000"/>
                <w:sz w:val="18"/>
              </w:rPr>
              <w:t>IND</w:t>
            </w:r>
          </w:p>
        </w:tc>
        <w:tc>
          <w:tcPr>
            <w:tcW w:w="1513" w:type="dxa"/>
            <w:vAlign w:val="center"/>
          </w:tcPr>
          <w:p w14:paraId="50F381BD">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36DF18F5">
            <w:pPr>
              <w:keepNext/>
              <w:spacing w:before="20" w:after="20" w:line="240" w:lineRule="auto"/>
              <w:ind w:firstLine="0"/>
              <w:jc w:val="center"/>
            </w:pPr>
            <w:r>
              <w:rPr>
                <w:rFonts w:ascii="Times New Roman" w:hAnsi="Times New Roman" w:eastAsia="宋体"/>
                <w:b w:val="0"/>
                <w:color w:val="000000"/>
                <w:sz w:val="18"/>
              </w:rPr>
              <w:t>0.3007</w:t>
            </w:r>
          </w:p>
        </w:tc>
        <w:tc>
          <w:tcPr>
            <w:tcW w:w="1513" w:type="dxa"/>
            <w:vAlign w:val="center"/>
          </w:tcPr>
          <w:p w14:paraId="55ECD1EB">
            <w:pPr>
              <w:keepNext/>
              <w:spacing w:before="20" w:after="20" w:line="240" w:lineRule="auto"/>
              <w:ind w:firstLine="0"/>
              <w:jc w:val="center"/>
            </w:pPr>
            <w:r>
              <w:rPr>
                <w:rFonts w:ascii="Times New Roman" w:hAnsi="Times New Roman" w:eastAsia="宋体"/>
                <w:b w:val="0"/>
                <w:color w:val="000000"/>
                <w:sz w:val="18"/>
              </w:rPr>
              <w:t>0.0791</w:t>
            </w:r>
          </w:p>
        </w:tc>
        <w:tc>
          <w:tcPr>
            <w:tcW w:w="1513" w:type="dxa"/>
            <w:vAlign w:val="center"/>
          </w:tcPr>
          <w:p w14:paraId="1F1F9A5C">
            <w:pPr>
              <w:keepNext/>
              <w:spacing w:before="20" w:after="20" w:line="240" w:lineRule="auto"/>
              <w:ind w:firstLine="0"/>
              <w:jc w:val="center"/>
            </w:pPr>
            <w:r>
              <w:rPr>
                <w:rFonts w:ascii="Times New Roman" w:hAnsi="Times New Roman" w:eastAsia="宋体"/>
                <w:b w:val="0"/>
                <w:color w:val="000000"/>
                <w:sz w:val="18"/>
              </w:rPr>
              <w:t>0.0691</w:t>
            </w:r>
          </w:p>
        </w:tc>
        <w:tc>
          <w:tcPr>
            <w:tcW w:w="1513" w:type="dxa"/>
            <w:vAlign w:val="center"/>
          </w:tcPr>
          <w:p w14:paraId="1F652A9F">
            <w:pPr>
              <w:keepNext/>
              <w:spacing w:before="20" w:after="20" w:line="240" w:lineRule="auto"/>
              <w:ind w:firstLine="0"/>
              <w:jc w:val="center"/>
            </w:pPr>
            <w:r>
              <w:rPr>
                <w:rFonts w:ascii="Times New Roman" w:hAnsi="Times New Roman" w:eastAsia="宋体"/>
                <w:b w:val="0"/>
                <w:color w:val="000000"/>
                <w:sz w:val="18"/>
              </w:rPr>
              <w:t>0.4688</w:t>
            </w:r>
          </w:p>
        </w:tc>
      </w:tr>
      <w:tr w14:paraId="3CA22912">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4E9E308A">
            <w:pPr>
              <w:keepNext/>
              <w:spacing w:before="20" w:after="20" w:line="240" w:lineRule="auto"/>
              <w:ind w:firstLine="0"/>
              <w:jc w:val="center"/>
            </w:pPr>
            <w:r>
              <w:rPr>
                <w:rFonts w:ascii="Times New Roman" w:hAnsi="Times New Roman" w:eastAsia="宋体"/>
                <w:b w:val="0"/>
                <w:color w:val="000000"/>
                <w:sz w:val="18"/>
              </w:rPr>
              <w:t>TMD</w:t>
            </w:r>
          </w:p>
        </w:tc>
        <w:tc>
          <w:tcPr>
            <w:tcW w:w="1513" w:type="dxa"/>
            <w:vAlign w:val="center"/>
          </w:tcPr>
          <w:p w14:paraId="6428F89A">
            <w:pPr>
              <w:keepNext/>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26AD27B0">
            <w:pPr>
              <w:keepNext/>
              <w:spacing w:before="20" w:after="20" w:line="240" w:lineRule="auto"/>
              <w:ind w:firstLine="0"/>
              <w:jc w:val="center"/>
            </w:pPr>
            <w:r>
              <w:rPr>
                <w:rFonts w:ascii="Times New Roman" w:hAnsi="Times New Roman" w:eastAsia="宋体"/>
                <w:b w:val="0"/>
                <w:color w:val="000000"/>
                <w:sz w:val="18"/>
              </w:rPr>
              <w:t>0.0215</w:t>
            </w:r>
          </w:p>
        </w:tc>
        <w:tc>
          <w:tcPr>
            <w:tcW w:w="1513" w:type="dxa"/>
            <w:vAlign w:val="center"/>
          </w:tcPr>
          <w:p w14:paraId="3D32FD68">
            <w:pPr>
              <w:keepNext/>
              <w:spacing w:before="20" w:after="20" w:line="240" w:lineRule="auto"/>
              <w:ind w:firstLine="0"/>
              <w:jc w:val="center"/>
            </w:pPr>
            <w:r>
              <w:rPr>
                <w:rFonts w:ascii="Times New Roman" w:hAnsi="Times New Roman" w:eastAsia="宋体"/>
                <w:b w:val="0"/>
                <w:color w:val="000000"/>
                <w:sz w:val="18"/>
              </w:rPr>
              <w:t>0.0314</w:t>
            </w:r>
          </w:p>
        </w:tc>
        <w:tc>
          <w:tcPr>
            <w:tcW w:w="1513" w:type="dxa"/>
            <w:vAlign w:val="center"/>
          </w:tcPr>
          <w:p w14:paraId="51D3DCE3">
            <w:pPr>
              <w:keepNext/>
              <w:spacing w:before="20" w:after="20" w:line="240" w:lineRule="auto"/>
              <w:ind w:firstLine="0"/>
              <w:jc w:val="center"/>
            </w:pPr>
            <w:r>
              <w:rPr>
                <w:rFonts w:ascii="Times New Roman" w:hAnsi="Times New Roman" w:eastAsia="宋体"/>
                <w:b w:val="0"/>
                <w:color w:val="000000"/>
                <w:sz w:val="18"/>
              </w:rPr>
              <w:t>0.0000</w:t>
            </w:r>
          </w:p>
        </w:tc>
        <w:tc>
          <w:tcPr>
            <w:tcW w:w="1513" w:type="dxa"/>
            <w:vAlign w:val="center"/>
          </w:tcPr>
          <w:p w14:paraId="77D50DDE">
            <w:pPr>
              <w:keepNext/>
              <w:spacing w:before="20" w:after="20" w:line="240" w:lineRule="auto"/>
              <w:ind w:firstLine="0"/>
              <w:jc w:val="center"/>
            </w:pPr>
            <w:r>
              <w:rPr>
                <w:rFonts w:ascii="Times New Roman" w:hAnsi="Times New Roman" w:eastAsia="宋体"/>
                <w:b w:val="0"/>
                <w:color w:val="000000"/>
                <w:sz w:val="18"/>
              </w:rPr>
              <w:t>0.1803</w:t>
            </w:r>
          </w:p>
        </w:tc>
      </w:tr>
      <w:tr w14:paraId="12858099">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3CD39C42">
            <w:pPr>
              <w:spacing w:before="20" w:after="20" w:line="240" w:lineRule="auto"/>
              <w:ind w:firstLine="0"/>
              <w:jc w:val="center"/>
            </w:pPr>
            <w:r>
              <w:rPr>
                <w:rFonts w:ascii="Times New Roman" w:hAnsi="Times New Roman" w:eastAsia="宋体"/>
                <w:b w:val="0"/>
                <w:color w:val="000000"/>
                <w:sz w:val="18"/>
              </w:rPr>
              <w:t>Open</w:t>
            </w:r>
          </w:p>
        </w:tc>
        <w:tc>
          <w:tcPr>
            <w:tcW w:w="1513" w:type="dxa"/>
            <w:vAlign w:val="center"/>
          </w:tcPr>
          <w:p w14:paraId="35FD886A">
            <w:pPr>
              <w:spacing w:before="20" w:after="20" w:line="240" w:lineRule="auto"/>
              <w:ind w:firstLine="0"/>
              <w:jc w:val="center"/>
            </w:pPr>
            <w:r>
              <w:rPr>
                <w:rFonts w:ascii="Times New Roman" w:hAnsi="Times New Roman" w:eastAsia="宋体"/>
                <w:b w:val="0"/>
                <w:color w:val="000000"/>
                <w:sz w:val="18"/>
              </w:rPr>
              <w:t>310</w:t>
            </w:r>
          </w:p>
        </w:tc>
        <w:tc>
          <w:tcPr>
            <w:tcW w:w="1513" w:type="dxa"/>
            <w:vAlign w:val="center"/>
          </w:tcPr>
          <w:p w14:paraId="3F1C3493">
            <w:pPr>
              <w:spacing w:before="20" w:after="20" w:line="240" w:lineRule="auto"/>
              <w:ind w:firstLine="0"/>
              <w:jc w:val="center"/>
            </w:pPr>
            <w:r>
              <w:rPr>
                <w:rFonts w:ascii="Times New Roman" w:hAnsi="Times New Roman" w:eastAsia="宋体"/>
                <w:b w:val="0"/>
                <w:color w:val="000000"/>
                <w:sz w:val="18"/>
              </w:rPr>
              <w:t>0.2416</w:t>
            </w:r>
          </w:p>
        </w:tc>
        <w:tc>
          <w:tcPr>
            <w:tcW w:w="1513" w:type="dxa"/>
            <w:vAlign w:val="center"/>
          </w:tcPr>
          <w:p w14:paraId="7612C452">
            <w:pPr>
              <w:spacing w:before="20" w:after="20" w:line="240" w:lineRule="auto"/>
              <w:ind w:firstLine="0"/>
              <w:jc w:val="center"/>
            </w:pPr>
            <w:r>
              <w:rPr>
                <w:rFonts w:ascii="Times New Roman" w:hAnsi="Times New Roman" w:eastAsia="宋体"/>
                <w:b w:val="0"/>
                <w:color w:val="000000"/>
                <w:sz w:val="18"/>
              </w:rPr>
              <w:t>0.2355</w:t>
            </w:r>
          </w:p>
        </w:tc>
        <w:tc>
          <w:tcPr>
            <w:tcW w:w="1513" w:type="dxa"/>
            <w:vAlign w:val="center"/>
          </w:tcPr>
          <w:p w14:paraId="1F4ABCE3">
            <w:pPr>
              <w:spacing w:before="20" w:after="20" w:line="240" w:lineRule="auto"/>
              <w:ind w:firstLine="0"/>
              <w:jc w:val="center"/>
            </w:pPr>
            <w:r>
              <w:rPr>
                <w:rFonts w:ascii="Times New Roman" w:hAnsi="Times New Roman" w:eastAsia="宋体"/>
                <w:b w:val="0"/>
                <w:color w:val="000000"/>
                <w:sz w:val="18"/>
              </w:rPr>
              <w:t>0.0071</w:t>
            </w:r>
          </w:p>
        </w:tc>
        <w:tc>
          <w:tcPr>
            <w:tcW w:w="1513" w:type="dxa"/>
            <w:vAlign w:val="center"/>
          </w:tcPr>
          <w:p w14:paraId="75E0C2AD">
            <w:pPr>
              <w:spacing w:before="20" w:after="20" w:line="240" w:lineRule="auto"/>
              <w:ind w:firstLine="0"/>
              <w:jc w:val="center"/>
            </w:pPr>
            <w:r>
              <w:rPr>
                <w:rFonts w:ascii="Times New Roman" w:hAnsi="Times New Roman" w:eastAsia="宋体"/>
                <w:b w:val="0"/>
                <w:color w:val="000000"/>
                <w:sz w:val="18"/>
              </w:rPr>
              <w:t>1.1144</w:t>
            </w:r>
          </w:p>
        </w:tc>
      </w:tr>
      <w:bookmarkEnd w:id="12"/>
      <w:bookmarkEnd w:id="14"/>
    </w:tbl>
    <w:p w14:paraId="4825E26B">
      <w:pPr>
        <w:pStyle w:val="4"/>
        <w:keepNext/>
        <w:keepLines/>
        <w:spacing w:before="160" w:after="80"/>
        <w:ind w:firstLine="0"/>
      </w:pPr>
      <w:bookmarkStart w:id="15" w:name="探索性空间数据分析传统markov与空间markov"/>
      <w:r>
        <w:rPr>
          <w:rFonts w:ascii="Times New Roman" w:hAnsi="Times New Roman" w:eastAsia="黑体"/>
          <w:b/>
          <w:color w:val="000000"/>
          <w:sz w:val="28"/>
        </w:rPr>
        <w:t>4.2 探索性空间检验：莫兰指数与空间马尔科夫链</w:t>
      </w:r>
    </w:p>
    <w:p w14:paraId="46EBEB11">
      <w:pPr>
        <w:pStyle w:val="5"/>
      </w:pPr>
      <w:r>
        <w:t>4.2.1 莫兰指数</w:t>
      </w:r>
    </w:p>
    <w:p w14:paraId="1D48B654">
      <w:pPr>
        <w:widowControl/>
        <w:spacing w:before="0" w:after="60" w:line="360" w:lineRule="auto"/>
        <w:ind w:left="0" w:right="0" w:firstLine="420"/>
        <w:jc w:val="both"/>
      </w:pPr>
      <w:r>
        <w:rPr>
          <w:rFonts w:hint="eastAsia" w:ascii="Times New Roman" w:hAnsi="Times New Roman" w:eastAsia="宋体"/>
          <w:color w:val="000000"/>
          <w:sz w:val="21"/>
        </w:rPr>
        <w:t>探索性空间数据分析（Exploratory</w:t>
      </w:r>
      <w:r>
        <w:rPr>
          <w:rFonts w:ascii="Times New Roman" w:hAnsi="Times New Roman" w:eastAsia="宋体"/>
          <w:color w:val="000000"/>
          <w:sz w:val="21"/>
        </w:rPr>
        <w:t xml:space="preserve"> Spatial Data </w:t>
      </w:r>
      <w:r>
        <w:rPr>
          <w:rFonts w:hint="eastAsia" w:ascii="Times New Roman" w:hAnsi="Times New Roman" w:eastAsia="宋体"/>
          <w:color w:val="000000"/>
          <w:sz w:val="21"/>
        </w:rPr>
        <w:t>Analysis，ESDA）首先使用全局Moran’s</w:t>
      </w:r>
      <w:r>
        <w:rPr>
          <w:rFonts w:ascii="Times New Roman" w:hAnsi="Times New Roman" w:eastAsia="宋体"/>
          <w:color w:val="000000"/>
          <w:sz w:val="21"/>
        </w:rPr>
        <w:t xml:space="preserve"> </w:t>
      </w:r>
      <w:r>
        <w:rPr>
          <w:rFonts w:hint="eastAsia" w:ascii="Times New Roman" w:hAnsi="Times New Roman" w:eastAsia="宋体"/>
          <w:color w:val="000000"/>
          <w:sz w:val="21"/>
        </w:rPr>
        <w:t>I检验省域CNTI的总体空间相关：</w:t>
      </w:r>
    </w:p>
    <w:p w14:paraId="5ACDC23A">
      <w:pPr>
        <w:pStyle w:val="3"/>
        <w:keepNext/>
        <w:keepLines/>
        <w:spacing w:before="100" w:after="100"/>
        <w:ind w:firstLine="0"/>
        <w:jc w:val="center"/>
      </w:pPr>
      <m:oMathPara>
        <m:oMathParaPr>
          <m:jc m:val="center"/>
        </m:oMathParaPr>
        <m:oMath>
          <m:r>
            <m:rPr/>
            <m:t>I</m:t>
          </m:r>
          <m:r>
            <m:rPr>
              <m:sty m:val="p"/>
            </m:rPr>
            <m:t>=</m:t>
          </m:r>
          <m:f>
            <m:fPr/>
            <m:num>
              <m:r>
                <m:rPr/>
                <m:t>n</m:t>
              </m:r>
            </m:num>
            <m:den>
              <m:sSub>
                <m:sSubPr/>
                <m:e>
                  <m:r>
                    <m:rPr/>
                    <m:t>S</m:t>
                  </m:r>
                </m:e>
                <m:sub>
                  <m:r>
                    <m:rPr/>
                    <m:t>0</m:t>
                  </m:r>
                </m:sub>
              </m:sSub>
            </m:den>
          </m:f>
          <m:f>
            <m:fPr/>
            <m:num>
              <m:nary>
                <m:naryPr>
                  <m:chr m:val="∑"/>
                  <m:limLoc m:val="undOvr"/>
                  <m:supHide m:val="1"/>
                </m:naryPr>
                <m:sub>
                  <m:r>
                    <m:rPr/>
                    <m:t>i</m:t>
                  </m:r>
                </m:sub>
                <m:sup>
                  <m:r>
                    <m:rPr/>
                    <m:t>​</m:t>
                  </m:r>
                </m:sup>
                <m:e>
                  <m:nary>
                    <m:naryPr>
                      <m:chr m:val="∑"/>
                      <m:limLoc m:val="undOvr"/>
                      <m:supHide m:val="1"/>
                    </m:naryPr>
                    <m:sub>
                      <m:r>
                        <m:rPr/>
                        <m:t>j</m:t>
                      </m:r>
                    </m:sub>
                    <m:sup>
                      <m:r>
                        <m:rPr/>
                        <m:t>​</m:t>
                      </m:r>
                    </m:sup>
                    <m:e>
                      <m:sSub>
                        <m:sSubPr/>
                        <m:e>
                          <m:r>
                            <m:rPr/>
                            <m:t>w</m:t>
                          </m:r>
                        </m:e>
                        <m:sub>
                          <m:r>
                            <m:rPr/>
                            <m:t>ij</m:t>
                          </m:r>
                        </m:sub>
                      </m:sSub>
                    </m:e>
                  </m:nary>
                </m:e>
              </m:nary>
              <m:r>
                <m:rPr>
                  <m:sty m:val="p"/>
                </m:rPr>
                <m:t>(</m:t>
              </m:r>
              <m:sSub>
                <m:sSubPr/>
                <m:e>
                  <m:r>
                    <m:rPr/>
                    <m:t>y</m:t>
                  </m:r>
                </m:e>
                <m:sub>
                  <m:r>
                    <m:rPr/>
                    <m:t>i</m:t>
                  </m:r>
                </m:sub>
              </m:sSub>
              <m:r>
                <m:rPr>
                  <m:sty m:val="p"/>
                </m:rPr>
                <m:t>−</m:t>
              </m:r>
              <m:acc>
                <m:accPr>
                  <m:chr m:val="‾"/>
                </m:accPr>
                <m:e>
                  <m:r>
                    <m:rPr/>
                    <m:t>y</m:t>
                  </m:r>
                </m:e>
              </m:acc>
              <m:r>
                <m:rPr>
                  <m:sty m:val="p"/>
                </m:rPr>
                <m:t>)(</m:t>
              </m:r>
              <m:sSub>
                <m:sSubPr/>
                <m:e>
                  <m:r>
                    <m:rPr/>
                    <m:t>y</m:t>
                  </m:r>
                </m:e>
                <m:sub>
                  <m:r>
                    <m:rPr/>
                    <m:t>j</m:t>
                  </m:r>
                </m:sub>
              </m:sSub>
              <m:r>
                <m:rPr>
                  <m:sty m:val="p"/>
                </m:rPr>
                <m:t>−</m:t>
              </m:r>
              <m:acc>
                <m:accPr>
                  <m:chr m:val="‾"/>
                </m:accPr>
                <m:e>
                  <m:r>
                    <m:rPr/>
                    <m:t>y</m:t>
                  </m:r>
                </m:e>
              </m:acc>
              <m:r>
                <m:rPr>
                  <m:sty m:val="p"/>
                </m:rPr>
                <m:t>)</m:t>
              </m:r>
            </m:num>
            <m:den>
              <m:nary>
                <m:naryPr>
                  <m:chr m:val="∑"/>
                  <m:limLoc m:val="undOvr"/>
                  <m:supHide m:val="1"/>
                </m:naryPr>
                <m:sub>
                  <m:r>
                    <m:rPr/>
                    <m:t>i</m:t>
                  </m:r>
                </m:sub>
                <m:sup>
                  <m:r>
                    <m:rPr/>
                    <m:t>​</m:t>
                  </m:r>
                </m:sup>
                <m:e>
                  <m:r>
                    <m:rPr>
                      <m:sty m:val="p"/>
                    </m:rPr>
                    <m:t>(</m:t>
                  </m:r>
                </m:e>
              </m:nary>
              <m:sSub>
                <m:sSubPr/>
                <m:e>
                  <m:r>
                    <m:rPr/>
                    <m:t>y</m:t>
                  </m:r>
                </m:e>
                <m:sub>
                  <m:r>
                    <m:rPr/>
                    <m:t>i</m:t>
                  </m:r>
                </m:sub>
              </m:sSub>
              <m:r>
                <m:rPr>
                  <m:sty m:val="p"/>
                </m:rPr>
                <m:t>−</m:t>
              </m:r>
              <m:acc>
                <m:accPr>
                  <m:chr m:val="‾"/>
                </m:accPr>
                <m:e>
                  <m:r>
                    <m:rPr/>
                    <m:t>y</m:t>
                  </m:r>
                </m:e>
              </m:acc>
              <m:sSup>
                <m:sSupPr/>
                <m:e>
                  <m:r>
                    <m:rPr>
                      <m:sty m:val="p"/>
                    </m:rPr>
                    <m:t>)</m:t>
                  </m:r>
                </m:e>
                <m:sup>
                  <m:r>
                    <m:rPr/>
                    <m:t>2</m:t>
                  </m:r>
                </m:sup>
              </m:sSup>
            </m:den>
          </m:f>
          <m:r>
            <m:rPr>
              <m:sty m:val="p"/>
            </m:rPr>
            <m:t>,</m:t>
          </m:r>
          <m:r>
            <m:rPr/>
            <m:t> </m:t>
          </m:r>
          <m:sSub>
            <m:sSubPr/>
            <m:e>
              <m:r>
                <m:rPr/>
                <m:t>S</m:t>
              </m:r>
            </m:e>
            <m:sub>
              <m:r>
                <m:rPr/>
                <m:t>0</m:t>
              </m:r>
            </m:sub>
          </m:sSub>
          <m:r>
            <m:rPr>
              <m:sty m:val="p"/>
            </m:rPr>
            <m:t>=</m:t>
          </m:r>
          <m:nary>
            <m:naryPr>
              <m:chr m:val="∑"/>
              <m:limLoc m:val="undOvr"/>
              <m:supHide m:val="1"/>
            </m:naryPr>
            <m:sub>
              <m:r>
                <m:rPr/>
                <m:t>i</m:t>
              </m:r>
            </m:sub>
            <m:sup>
              <m:r>
                <m:rPr/>
                <m:t>​</m:t>
              </m:r>
            </m:sup>
            <m:e>
              <m:nary>
                <m:naryPr>
                  <m:chr m:val="∑"/>
                  <m:limLoc m:val="undOvr"/>
                  <m:supHide m:val="1"/>
                </m:naryPr>
                <m:sub>
                  <m:r>
                    <m:rPr/>
                    <m:t>j</m:t>
                  </m:r>
                </m:sub>
                <m:sup>
                  <m:r>
                    <m:rPr/>
                    <m:t>​</m:t>
                  </m:r>
                </m:sup>
                <m:e>
                  <m:sSub>
                    <m:sSubPr/>
                    <m:e>
                      <m:r>
                        <m:rPr/>
                        <m:t>w</m:t>
                      </m:r>
                    </m:e>
                    <m:sub>
                      <m:r>
                        <m:rPr/>
                        <m:t>ij</m:t>
                      </m:r>
                    </m:sub>
                  </m:sSub>
                </m:e>
              </m:nary>
            </m:e>
          </m:nary>
          <m:r>
            <m:rPr>
              <m:sty m:val="p"/>
            </m:rPr>
            <m:t>.</m:t>
          </m:r>
          <m:r>
            <m:rPr/>
            <m:t>  </m:t>
          </m:r>
          <m:r>
            <m:rPr>
              <m:nor/>
              <m:sty m:val="p"/>
            </m:rPr>
            <w:rPr>
              <w:b w:val="0"/>
              <w:i w:val="0"/>
            </w:rPr>
            <m:t>（2）</m:t>
          </m:r>
        </m:oMath>
      </m:oMathPara>
    </w:p>
    <w:p w14:paraId="245758B9">
      <w:pPr>
        <w:keepNext/>
        <w:keepLines/>
        <w:spacing w:before="100" w:after="100"/>
        <w:ind w:firstLine="0"/>
        <w:jc w:val="left"/>
      </w:pPr>
      <w:r>
        <w:rPr>
          <w:rFonts w:hint="eastAsia"/>
        </w:rPr>
        <w:t>式（2）中，</w:t>
      </w:r>
      <m:oMath>
        <m:r>
          <m:rPr/>
          <m:t>n</m:t>
        </m:r>
      </m:oMath>
      <w:r>
        <w:rPr>
          <w:rFonts w:hint="eastAsia"/>
        </w:rPr>
        <w:t>为省份数量，</w:t>
      </w:r>
      <m:oMath>
        <m:sSub>
          <m:sSubPr/>
          <m:e>
            <m:r>
              <m:rPr/>
              <m:t>y</m:t>
            </m:r>
          </m:e>
          <m:sub>
            <m:r>
              <m:rPr/>
              <m:t>i</m:t>
            </m:r>
          </m:sub>
        </m:sSub>
      </m:oMath>
      <w:r>
        <w:rPr>
          <w:rFonts w:hint="eastAsia"/>
        </w:rPr>
        <w:t>与</w:t>
      </w:r>
      <m:oMath>
        <m:sSub>
          <m:sSubPr/>
          <m:e>
            <m:r>
              <m:rPr/>
              <m:t>y</m:t>
            </m:r>
          </m:e>
          <m:sub>
            <m:r>
              <m:rPr/>
              <m:t>j</m:t>
            </m:r>
          </m:sub>
        </m:sSub>
      </m:oMath>
      <w:r>
        <w:rPr>
          <w:rFonts w:hint="eastAsia"/>
        </w:rPr>
        <w:t>分别为地区</w:t>
      </w:r>
      <m:oMath>
        <m:r>
          <m:rPr/>
          <m:t>i</m:t>
        </m:r>
      </m:oMath>
      <w:r>
        <w:rPr>
          <w:rFonts w:hint="eastAsia"/>
        </w:rPr>
        <w:t>与</w:t>
      </w:r>
      <m:oMath>
        <m:r>
          <m:rPr/>
          <m:t>j</m:t>
        </m:r>
      </m:oMath>
      <w:r>
        <w:rPr>
          <w:rFonts w:hint="eastAsia"/>
        </w:rPr>
        <w:t>的CNTI，</w:t>
      </w:r>
      <m:oMath>
        <m:acc>
          <m:accPr>
            <m:chr m:val="‾"/>
          </m:accPr>
          <m:e>
            <m:r>
              <m:rPr/>
              <m:t>y</m:t>
            </m:r>
          </m:e>
        </m:acc>
      </m:oMath>
      <w:r>
        <w:rPr>
          <w:rFonts w:hint="eastAsia"/>
        </w:rPr>
        <w:t>为当年省域均值，</w:t>
      </w:r>
      <m:oMath>
        <m:sSub>
          <m:sSubPr/>
          <m:e>
            <m:r>
              <m:rPr/>
              <m:t>w</m:t>
            </m:r>
          </m:e>
          <m:sub>
            <m:r>
              <m:rPr/>
              <m:t>ij</m:t>
            </m:r>
          </m:sub>
        </m:sSub>
      </m:oMath>
      <w:r>
        <w:rPr>
          <w:rFonts w:hint="eastAsia"/>
        </w:rPr>
        <w:t>为空间权重矩阵</w:t>
      </w:r>
      <m:oMath>
        <m:r>
          <m:rPr/>
          <m:t>W</m:t>
        </m:r>
      </m:oMath>
      <w:r>
        <w:rPr>
          <w:rFonts w:hint="eastAsia"/>
        </w:rPr>
        <w:t>的第</w:t>
      </w:r>
      <m:oMath>
        <m:r>
          <m:rPr/>
          <m:t>i</m:t>
        </m:r>
      </m:oMath>
      <w:r>
        <w:rPr>
          <w:rFonts w:hint="eastAsia"/>
        </w:rPr>
        <w:t>行第</w:t>
      </w:r>
      <m:oMath>
        <m:r>
          <m:rPr/>
          <m:t>j</m:t>
        </m:r>
      </m:oMath>
      <w:r>
        <w:rPr>
          <w:rFonts w:hint="eastAsia"/>
        </w:rPr>
        <w:t>列元素，</w:t>
      </w:r>
      <m:oMath>
        <m:sSub>
          <m:sSubPr/>
          <m:e>
            <m:r>
              <m:rPr/>
              <m:t>S</m:t>
            </m:r>
          </m:e>
          <m:sub>
            <m:r>
              <m:rPr/>
              <m:t>0</m:t>
            </m:r>
          </m:sub>
        </m:sSub>
      </m:oMath>
      <w:r>
        <w:rPr>
          <w:rFonts w:hint="eastAsia"/>
        </w:rPr>
        <w:t>为权重元素总和。</w:t>
      </w:r>
      <m:oMath>
        <m:r>
          <m:rPr/>
          <m:t>I</m:t>
        </m:r>
        <m:r>
          <m:rPr>
            <m:sty m:val="p"/>
          </m:rPr>
          <m:t>&gt;</m:t>
        </m:r>
        <m:r>
          <m:rPr/>
          <m:t>0</m:t>
        </m:r>
      </m:oMath>
      <w:r>
        <w:rPr>
          <w:rFonts w:hint="eastAsia"/>
        </w:rPr>
        <w:t>表示相似取值在空间上共同出现，</w:t>
      </w:r>
      <m:oMath>
        <m:r>
          <m:rPr/>
          <m:t>I</m:t>
        </m:r>
        <m:r>
          <m:rPr>
            <m:sty m:val="p"/>
          </m:rPr>
          <m:t>&lt;</m:t>
        </m:r>
        <m:r>
          <m:rPr/>
          <m:t>0</m:t>
        </m:r>
      </m:oMath>
      <w:r>
        <w:rPr>
          <w:rFonts w:hint="eastAsia"/>
        </w:rPr>
        <w:t>表示高低值相邻，显著性通过随机置换检验判断。局部Moran’s</w:t>
      </w:r>
      <w:r>
        <w:t xml:space="preserve"> </w:t>
      </w:r>
      <w:r>
        <w:rPr>
          <w:rFonts w:hint="eastAsia"/>
        </w:rPr>
        <w:t>I用于识别高—高、低—低、高—低和低—高类型：</w:t>
      </w:r>
    </w:p>
    <w:p w14:paraId="091F81D5">
      <w:pPr>
        <w:pStyle w:val="3"/>
        <w:keepNext/>
        <w:keepLines/>
        <w:spacing w:before="100" w:after="100"/>
        <w:ind w:firstLine="0"/>
        <w:jc w:val="left"/>
      </w:pPr>
      <m:oMathPara>
        <m:oMathParaPr>
          <m:jc m:val="center"/>
        </m:oMathParaPr>
        <m:oMath>
          <m:sSub>
            <m:sSubPr/>
            <m:e>
              <m:r>
                <m:rPr/>
                <m:t>I</m:t>
              </m:r>
            </m:e>
            <m:sub>
              <m:r>
                <m:rPr/>
                <m:t>i</m:t>
              </m:r>
            </m:sub>
          </m:sSub>
          <m:r>
            <m:rPr>
              <m:sty m:val="p"/>
            </m:rPr>
            <m:t>=</m:t>
          </m:r>
          <m:sSub>
            <m:sSubPr/>
            <m:e>
              <m:r>
                <m:rPr/>
                <m:t>z</m:t>
              </m:r>
            </m:e>
            <m:sub>
              <m:r>
                <m:rPr/>
                <m:t>i</m:t>
              </m:r>
            </m:sub>
          </m:sSub>
          <m:nary>
            <m:naryPr>
              <m:chr m:val="∑"/>
              <m:limLoc m:val="undOvr"/>
              <m:supHide m:val="1"/>
            </m:naryPr>
            <m:sub>
              <m:r>
                <m:rPr/>
                <m:t>j</m:t>
              </m:r>
            </m:sub>
            <m:sup>
              <m:r>
                <m:rPr/>
                <m:t>​</m:t>
              </m:r>
            </m:sup>
            <m:e>
              <m:sSub>
                <m:sSubPr/>
                <m:e>
                  <m:r>
                    <m:rPr/>
                    <m:t>w</m:t>
                  </m:r>
                </m:e>
                <m:sub>
                  <m:r>
                    <m:rPr/>
                    <m:t>ij</m:t>
                  </m:r>
                </m:sub>
              </m:sSub>
            </m:e>
          </m:nary>
          <m:sSub>
            <m:sSubPr/>
            <m:e>
              <m:r>
                <m:rPr/>
                <m:t>z</m:t>
              </m:r>
            </m:e>
            <m:sub>
              <m:r>
                <m:rPr/>
                <m:t>j</m:t>
              </m:r>
            </m:sub>
          </m:sSub>
          <m:r>
            <m:rPr>
              <m:sty m:val="p"/>
            </m:rPr>
            <m:t>.</m:t>
          </m:r>
          <m:r>
            <m:rPr/>
            <m:t>  </m:t>
          </m:r>
          <m:r>
            <m:rPr>
              <m:nor/>
              <m:sty m:val="p"/>
            </m:rPr>
            <w:rPr>
              <w:b w:val="0"/>
              <w:i w:val="0"/>
            </w:rPr>
            <m:t>（3）</m:t>
          </m:r>
        </m:oMath>
      </m:oMathPara>
    </w:p>
    <w:p w14:paraId="33C09914">
      <w:pPr>
        <w:keepNext/>
        <w:keepLines/>
        <w:spacing w:before="100" w:after="100"/>
        <w:ind w:firstLine="0"/>
        <w:jc w:val="left"/>
      </w:pPr>
      <w:r>
        <w:rPr>
          <w:rFonts w:hint="eastAsia"/>
        </w:rPr>
        <w:t>式（3）中，</w:t>
      </w:r>
      <m:oMath>
        <m:sSub>
          <m:sSubPr/>
          <m:e>
            <m:r>
              <m:rPr/>
              <m:t>z</m:t>
            </m:r>
          </m:e>
          <m:sub>
            <m:r>
              <m:rPr/>
              <m:t>i</m:t>
            </m:r>
          </m:sub>
        </m:sSub>
      </m:oMath>
      <w:r>
        <w:rPr>
          <w:rFonts w:hint="eastAsia"/>
        </w:rPr>
        <w:t>和</w:t>
      </w:r>
      <m:oMath>
        <m:sSub>
          <m:sSubPr/>
          <m:e>
            <m:r>
              <m:rPr/>
              <m:t>z</m:t>
            </m:r>
          </m:e>
          <m:sub>
            <m:r>
              <m:rPr/>
              <m:t>j</m:t>
            </m:r>
          </m:sub>
        </m:sSub>
      </m:oMath>
      <w:r>
        <w:rPr>
          <w:rFonts w:hint="eastAsia"/>
        </w:rPr>
        <w:t>为标准化后的CNTI。局部类型通过相应显著性检验后进入局部空间关联指标（Local</w:t>
      </w:r>
      <w:r>
        <w:t xml:space="preserve"> Indicators of Spatial </w:t>
      </w:r>
      <w:r>
        <w:rPr>
          <w:rFonts w:hint="eastAsia"/>
        </w:rPr>
        <w:t>Association，LISA）聚类图。</w:t>
      </w:r>
    </w:p>
    <w:p w14:paraId="2D75BCA1">
      <w:pPr>
        <w:pStyle w:val="5"/>
      </w:pPr>
      <w:r>
        <w:t>4.2.2 空间马尔科夫链</w:t>
      </w:r>
    </w:p>
    <w:bookmarkEnd w:id="15"/>
    <w:p w14:paraId="5FCD3C64">
      <w:pPr>
        <w:widowControl/>
        <w:spacing w:before="0" w:after="60" w:line="360" w:lineRule="auto"/>
        <w:ind w:left="0" w:right="0" w:firstLine="420"/>
        <w:jc w:val="left"/>
      </w:pPr>
      <w:bookmarkStart w:id="16" w:name="双向固定效应基准与空间杜宾模型"/>
      <w:r>
        <w:rPr>
          <w:rFonts w:hint="eastAsia" w:ascii="Times New Roman" w:hAnsi="Times New Roman" w:eastAsia="宋体"/>
          <w:color w:val="000000"/>
          <w:sz w:val="21"/>
        </w:rPr>
        <w:t>为进一步刻画省域CNTI状态的持续与跃迁，本文按照各年度CNTI分位点将省份划分为低、中、高三类状态，并首先构建一年期传统Markov转移矩阵。由状态(k)向状态(l)转移的概率表示为：</w:t>
      </w:r>
    </w:p>
    <w:p w14:paraId="4CD26039">
      <w:pPr>
        <w:pStyle w:val="3"/>
        <w:keepNext/>
        <w:keepLines/>
        <w:spacing w:before="100" w:after="100"/>
        <w:ind w:firstLine="0"/>
        <w:jc w:val="center"/>
      </w:pPr>
      <m:oMathPara>
        <m:oMathParaPr>
          <m:jc m:val="center"/>
        </m:oMathParaPr>
        <m:oMath>
          <m:sSub>
            <m:sSubPr/>
            <m:e>
              <m:r>
                <m:rPr/>
                <m:t>p</m:t>
              </m:r>
            </m:e>
            <m:sub>
              <m:r>
                <m:rPr/>
                <m:t>kl</m:t>
              </m:r>
            </m:sub>
          </m:sSub>
          <m:r>
            <m:rPr>
              <m:sty m:val="p"/>
            </m:rPr>
            <m:t>=</m:t>
          </m:r>
          <m:f>
            <m:fPr/>
            <m:num>
              <m:sSub>
                <m:sSubPr/>
                <m:e>
                  <m:r>
                    <m:rPr/>
                    <m:t>n</m:t>
                  </m:r>
                </m:e>
                <m:sub>
                  <m:r>
                    <m:rPr/>
                    <m:t>kl</m:t>
                  </m:r>
                </m:sub>
              </m:sSub>
            </m:num>
            <m:den>
              <m:nary>
                <m:naryPr>
                  <m:chr m:val="∑"/>
                  <m:limLoc m:val="undOvr"/>
                  <m:supHide m:val="1"/>
                </m:naryPr>
                <m:sub>
                  <m:r>
                    <m:rPr/>
                    <m:t>l</m:t>
                  </m:r>
                </m:sub>
                <m:sup>
                  <m:r>
                    <m:rPr/>
                    <m:t>​</m:t>
                  </m:r>
                </m:sup>
                <m:e>
                  <m:sSub>
                    <m:sSubPr/>
                    <m:e>
                      <m:r>
                        <m:rPr/>
                        <m:t>n</m:t>
                      </m:r>
                    </m:e>
                    <m:sub>
                      <m:r>
                        <m:rPr/>
                        <m:t>kl</m:t>
                      </m:r>
                    </m:sub>
                  </m:sSub>
                </m:e>
              </m:nary>
            </m:den>
          </m:f>
          <m:r>
            <m:rPr>
              <m:sty m:val="p"/>
            </m:rPr>
            <m:t>,</m:t>
          </m:r>
          <m:r>
            <m:rPr/>
            <m:t>  k</m:t>
          </m:r>
          <m:r>
            <m:rPr>
              <m:sty m:val="p"/>
            </m:rPr>
            <m:t>,</m:t>
          </m:r>
          <m:r>
            <m:rPr/>
            <m:t>l</m:t>
          </m:r>
          <m:r>
            <m:rPr>
              <m:sty m:val="p"/>
            </m:rPr>
            <m:t>∈{</m:t>
          </m:r>
          <m:r>
            <m:rPr/>
            <m:t>L</m:t>
          </m:r>
          <m:r>
            <m:rPr>
              <m:sty m:val="p"/>
            </m:rPr>
            <m:t>,</m:t>
          </m:r>
          <m:r>
            <m:rPr/>
            <m:t>M</m:t>
          </m:r>
          <m:r>
            <m:rPr>
              <m:sty m:val="p"/>
            </m:rPr>
            <m:t>,</m:t>
          </m:r>
          <m:r>
            <m:rPr/>
            <m:t>H</m:t>
          </m:r>
          <m:r>
            <m:rPr>
              <m:sty m:val="p"/>
            </m:rPr>
            <m:t>}.</m:t>
          </m:r>
          <m:r>
            <m:rPr/>
            <m:t>  </m:t>
          </m:r>
          <m:r>
            <m:rPr>
              <m:nor/>
              <m:sty m:val="p"/>
            </m:rPr>
            <w:rPr>
              <w:b w:val="0"/>
              <w:i w:val="0"/>
            </w:rPr>
            <m:t>（4）</m:t>
          </m:r>
        </m:oMath>
      </m:oMathPara>
    </w:p>
    <w:p w14:paraId="395AF4D3">
      <w:pPr>
        <w:keepNext/>
        <w:keepLines/>
        <w:spacing w:before="100" w:after="100"/>
        <w:ind w:firstLine="0"/>
        <w:jc w:val="left"/>
      </w:pPr>
      <w:r>
        <w:rPr>
          <w:rFonts w:hint="eastAsia"/>
        </w:rPr>
        <w:t>式（4）中，</w:t>
      </w:r>
      <m:oMath>
        <m:sSub>
          <m:sSubPr/>
          <m:e>
            <m:r>
              <m:rPr/>
              <m:t>n</m:t>
            </m:r>
          </m:e>
          <m:sub>
            <m:r>
              <m:rPr/>
              <m:t>kl</m:t>
            </m:r>
          </m:sub>
        </m:sSub>
      </m:oMath>
      <w:r>
        <w:rPr>
          <w:rFonts w:hint="eastAsia"/>
        </w:rPr>
        <w:t>表示期初处于状态</w:t>
      </w:r>
      <m:oMath>
        <m:r>
          <m:rPr/>
          <m:t>k</m:t>
        </m:r>
      </m:oMath>
      <w:r>
        <w:rPr>
          <w:rFonts w:hint="eastAsia"/>
        </w:rPr>
        <w:t>、下一期转为状态</w:t>
      </w:r>
      <m:oMath>
        <m:r>
          <m:rPr/>
          <m:t>l</m:t>
        </m:r>
      </m:oMath>
      <w:r>
        <w:rPr>
          <w:rFonts w:hint="eastAsia"/>
        </w:rPr>
        <w:t>的观测次数，</w:t>
      </w:r>
      <m:oMath>
        <m:sSub>
          <m:sSubPr/>
          <m:e>
            <m:r>
              <m:rPr/>
              <m:t>p</m:t>
            </m:r>
          </m:e>
          <m:sub>
            <m:r>
              <m:rPr/>
              <m:t>kl</m:t>
            </m:r>
          </m:sub>
        </m:sSub>
      </m:oMath>
      <w:r>
        <w:rPr>
          <w:rFonts w:hint="eastAsia"/>
        </w:rPr>
        <w:t>为对应转移概率，</w:t>
      </w:r>
      <m:oMath>
        <m:r>
          <m:rPr/>
          <m:t>L</m:t>
        </m:r>
      </m:oMath>
      <w:r>
        <w:t>、</w:t>
      </w:r>
      <m:oMath>
        <m:r>
          <m:rPr/>
          <m:t>M</m:t>
        </m:r>
      </m:oMath>
      <w:r>
        <w:rPr>
          <w:rFonts w:hint="eastAsia"/>
        </w:rPr>
        <w:t>和</w:t>
      </w:r>
      <m:oMath>
        <m:r>
          <m:rPr/>
          <m:t>H</m:t>
        </m:r>
      </m:oMath>
      <w:r>
        <w:rPr>
          <w:rFonts w:hint="eastAsia"/>
        </w:rPr>
        <w:t>分别表示低、中和高状态。空间Markov链进一步以期初空间滞后值所属状态</w:t>
      </w:r>
      <m:oMath>
        <m:r>
          <m:rPr/>
          <m:t>m</m:t>
        </m:r>
      </m:oMath>
      <w:r>
        <w:rPr>
          <w:rFonts w:hint="eastAsia"/>
        </w:rPr>
        <w:t>为条件：</w:t>
      </w:r>
    </w:p>
    <w:p w14:paraId="792A5D3A">
      <w:pPr>
        <w:pStyle w:val="3"/>
        <w:keepNext/>
        <w:keepLines/>
        <w:spacing w:before="100" w:after="100"/>
        <w:ind w:firstLine="0"/>
        <w:jc w:val="center"/>
      </w:pPr>
      <m:oMathPara>
        <m:oMathParaPr>
          <m:jc m:val="center"/>
        </m:oMathParaPr>
        <m:oMath>
          <m:sSub>
            <m:sSubPr/>
            <m:e>
              <m:r>
                <m:rPr/>
                <m:t>p</m:t>
              </m:r>
            </m:e>
            <m:sub>
              <m:r>
                <m:rPr/>
                <m:t>kl</m:t>
              </m:r>
              <m:r>
                <m:rPr>
                  <m:sty m:val="p"/>
                </m:rPr>
                <m:t>∣</m:t>
              </m:r>
              <m:r>
                <m:rPr/>
                <m:t>m</m:t>
              </m:r>
            </m:sub>
          </m:sSub>
          <m:r>
            <m:rPr>
              <m:sty m:val="p"/>
            </m:rPr>
            <m:t>=</m:t>
          </m:r>
          <m:f>
            <m:fPr/>
            <m:num>
              <m:sSub>
                <m:sSubPr/>
                <m:e>
                  <m:r>
                    <m:rPr/>
                    <m:t>n</m:t>
                  </m:r>
                </m:e>
                <m:sub>
                  <m:r>
                    <m:rPr/>
                    <m:t>kl</m:t>
                  </m:r>
                  <m:r>
                    <m:rPr>
                      <m:sty m:val="p"/>
                    </m:rPr>
                    <m:t>∣</m:t>
                  </m:r>
                  <m:r>
                    <m:rPr/>
                    <m:t>m</m:t>
                  </m:r>
                </m:sub>
              </m:sSub>
            </m:num>
            <m:den>
              <m:nary>
                <m:naryPr>
                  <m:chr m:val="∑"/>
                  <m:limLoc m:val="undOvr"/>
                  <m:supHide m:val="1"/>
                </m:naryPr>
                <m:sub>
                  <m:r>
                    <m:rPr/>
                    <m:t>l</m:t>
                  </m:r>
                </m:sub>
                <m:sup>
                  <m:r>
                    <m:rPr/>
                    <m:t>​</m:t>
                  </m:r>
                </m:sup>
                <m:e>
                  <m:sSub>
                    <m:sSubPr/>
                    <m:e>
                      <m:r>
                        <m:rPr/>
                        <m:t>n</m:t>
                      </m:r>
                    </m:e>
                    <m:sub>
                      <m:r>
                        <m:rPr/>
                        <m:t>kl</m:t>
                      </m:r>
                      <m:r>
                        <m:rPr>
                          <m:sty m:val="p"/>
                        </m:rPr>
                        <m:t>∣</m:t>
                      </m:r>
                      <m:r>
                        <m:rPr/>
                        <m:t>m</m:t>
                      </m:r>
                    </m:sub>
                  </m:sSub>
                </m:e>
              </m:nary>
            </m:den>
          </m:f>
          <m:r>
            <m:rPr>
              <m:sty m:val="p"/>
            </m:rPr>
            <m:t>,</m:t>
          </m:r>
          <m:r>
            <m:rPr/>
            <m:t>  m</m:t>
          </m:r>
          <m:r>
            <m:rPr>
              <m:sty m:val="p"/>
            </m:rPr>
            <m:t>∈{</m:t>
          </m:r>
          <m:r>
            <m:rPr/>
            <m:t>L</m:t>
          </m:r>
          <m:r>
            <m:rPr>
              <m:sty m:val="p"/>
            </m:rPr>
            <m:t>,</m:t>
          </m:r>
          <m:r>
            <m:rPr/>
            <m:t>M</m:t>
          </m:r>
          <m:r>
            <m:rPr>
              <m:sty m:val="p"/>
            </m:rPr>
            <m:t>,</m:t>
          </m:r>
          <m:r>
            <m:rPr/>
            <m:t>H</m:t>
          </m:r>
          <m:r>
            <m:rPr>
              <m:sty m:val="p"/>
            </m:rPr>
            <m:t>}.</m:t>
          </m:r>
          <m:r>
            <m:rPr/>
            <m:t>  </m:t>
          </m:r>
          <m:r>
            <m:rPr>
              <m:nor/>
              <m:sty m:val="p"/>
            </m:rPr>
            <w:rPr>
              <w:b w:val="0"/>
              <w:i w:val="0"/>
            </w:rPr>
            <m:t>（5）</m:t>
          </m:r>
        </m:oMath>
      </m:oMathPara>
    </w:p>
    <w:p w14:paraId="5701762B">
      <w:pPr>
        <w:keepNext/>
        <w:keepLines/>
        <w:spacing w:before="100" w:after="100"/>
        <w:ind w:firstLine="0"/>
        <w:jc w:val="left"/>
      </w:pPr>
      <w:r>
        <w:rPr>
          <w:rFonts w:hint="eastAsia"/>
        </w:rPr>
        <w:t>式（5）中，</w:t>
      </w:r>
      <m:oMath>
        <m:sSub>
          <m:sSubPr/>
          <m:e>
            <m:r>
              <m:rPr/>
              <m:t>n</m:t>
            </m:r>
          </m:e>
          <m:sub>
            <m:r>
              <m:rPr/>
              <m:t>kl</m:t>
            </m:r>
            <m:r>
              <m:rPr>
                <m:sty m:val="p"/>
              </m:rPr>
              <m:t>∣</m:t>
            </m:r>
            <m:r>
              <m:rPr/>
              <m:t>m</m:t>
            </m:r>
          </m:sub>
        </m:sSub>
      </m:oMath>
      <w:r>
        <w:rPr>
          <w:rFonts w:hint="eastAsia"/>
        </w:rPr>
        <w:t>为邻域状态</w:t>
      </w:r>
      <m:oMath>
        <m:r>
          <m:rPr/>
          <m:t>m</m:t>
        </m:r>
      </m:oMath>
      <w:r>
        <w:rPr>
          <w:rFonts w:hint="eastAsia"/>
        </w:rPr>
        <w:t>条件下由</w:t>
      </w:r>
      <m:oMath>
        <m:r>
          <m:rPr/>
          <m:t>k</m:t>
        </m:r>
      </m:oMath>
      <w:r>
        <w:rPr>
          <w:rFonts w:hint="eastAsia"/>
        </w:rPr>
        <w:t>转向</w:t>
      </w:r>
      <m:oMath>
        <m:r>
          <m:rPr/>
          <m:t>l</m:t>
        </m:r>
      </m:oMath>
      <w:r>
        <w:rPr>
          <w:rFonts w:hint="eastAsia"/>
        </w:rPr>
        <w:t>的次数。比较</w:t>
      </w:r>
      <m:oMath>
        <m:sSub>
          <m:sSubPr/>
          <m:e>
            <m:r>
              <m:rPr/>
              <m:t>p</m:t>
            </m:r>
          </m:e>
          <m:sub>
            <m:r>
              <m:rPr/>
              <m:t>kl</m:t>
            </m:r>
            <m:r>
              <m:rPr>
                <m:sty m:val="p"/>
              </m:rPr>
              <m:t>∣</m:t>
            </m:r>
            <m:r>
              <m:rPr/>
              <m:t>m</m:t>
            </m:r>
          </m:sub>
        </m:sSub>
      </m:oMath>
      <w:r>
        <w:rPr>
          <w:rFonts w:hint="eastAsia"/>
        </w:rPr>
        <w:t>与</w:t>
      </w:r>
      <m:oMath>
        <m:sSub>
          <m:sSubPr/>
          <m:e>
            <m:r>
              <m:rPr/>
              <m:t>p</m:t>
            </m:r>
          </m:e>
          <m:sub>
            <m:r>
              <m:rPr/>
              <m:t>kl</m:t>
            </m:r>
          </m:sub>
        </m:sSub>
      </m:oMath>
      <w:r>
        <w:rPr>
          <w:rFonts w:hint="eastAsia"/>
        </w:rPr>
        <w:t>可以判断邻域条件是否伴随不同的状态迁移路径。传统与空间Markov分析均为描述性动态证据。</w:t>
      </w:r>
    </w:p>
    <w:p w14:paraId="2FB18E1B">
      <w:pPr>
        <w:pStyle w:val="4"/>
        <w:keepNext/>
        <w:keepLines/>
        <w:spacing w:before="160" w:after="80"/>
        <w:ind w:firstLine="0"/>
      </w:pPr>
      <w:r>
        <w:rPr>
          <w:rFonts w:ascii="Times New Roman" w:hAnsi="Times New Roman" w:eastAsia="黑体"/>
          <w:b/>
          <w:color w:val="000000"/>
          <w:sz w:val="28"/>
        </w:rPr>
        <w:t>4.3 空间杜宾模型</w:t>
      </w:r>
    </w:p>
    <w:bookmarkEnd w:id="16"/>
    <w:p w14:paraId="4AAFAA72">
      <w:pPr>
        <w:widowControl/>
        <w:spacing w:before="0" w:after="60" w:line="360" w:lineRule="auto"/>
        <w:ind w:left="0" w:right="0" w:firstLine="420"/>
        <w:jc w:val="both"/>
      </w:pPr>
      <w:bookmarkStart w:id="17" w:name="时空地理加权回归"/>
      <w:r>
        <w:rPr>
          <w:rFonts w:hint="eastAsia" w:ascii="Times New Roman" w:hAnsi="Times New Roman" w:eastAsia="宋体"/>
          <w:color w:val="000000"/>
          <w:sz w:val="21"/>
        </w:rPr>
        <w:t>首先采用控制省份固定效应和年份固定效应的普通面板模型考察R&amp;D与CNTI之间的基本关系，模型设定如下：</w:t>
      </w:r>
    </w:p>
    <w:p w14:paraId="44CFE62C">
      <w:pPr>
        <w:pStyle w:val="3"/>
        <w:keepNext/>
        <w:keepLines/>
        <w:spacing w:before="100" w:after="100"/>
        <w:ind w:firstLine="0"/>
        <w:jc w:val="center"/>
      </w:pPr>
      <m:oMathPara>
        <m:oMathParaPr>
          <m:jc m:val="center"/>
        </m:oMathParaPr>
        <m:oMath>
          <m:r>
            <m:rPr/>
            <m:t>CNT</m:t>
          </m:r>
          <m:sSub>
            <m:sSubPr/>
            <m:e>
              <m:r>
                <m:rPr/>
                <m:t>I</m:t>
              </m:r>
            </m:e>
            <m:sub>
              <m:r>
                <m:rPr/>
                <m:t>it</m:t>
              </m:r>
            </m:sub>
          </m:sSub>
          <m:r>
            <m:rPr>
              <m:sty m:val="p"/>
            </m:rPr>
            <m:t>=</m:t>
          </m:r>
          <m:r>
            <m:rPr/>
            <m:t>α</m:t>
          </m:r>
          <m:r>
            <m:rPr>
              <m:sty m:val="p"/>
            </m:rPr>
            <m:t>+</m:t>
          </m:r>
          <m:r>
            <m:rPr/>
            <m:t>βR</m:t>
          </m:r>
          <m:sSub>
            <m:sSubPr/>
            <m:e>
              <m:r>
                <m:rPr/>
                <m:t>D</m:t>
              </m:r>
            </m:e>
            <m:sub>
              <m:r>
                <m:rPr/>
                <m:t>it</m:t>
              </m:r>
            </m:sub>
          </m:sSub>
          <m:r>
            <m:rPr>
              <m:sty m:val="p"/>
            </m:rPr>
            <m:t>+</m:t>
          </m:r>
          <m:sSup>
            <m:sSupPr/>
            <m:e>
              <m:r>
                <m:rPr/>
                <m:t>γ</m:t>
              </m:r>
            </m:e>
            <m:sup>
              <m:r>
                <m:rPr>
                  <m:sty m:val="p"/>
                </m:rPr>
                <m:t>′</m:t>
              </m:r>
            </m:sup>
          </m:sSup>
          <m:sSub>
            <m:sSubPr/>
            <m:e>
              <m:r>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r>
            <m:rPr>
              <m:sty m:val="p"/>
            </m:rPr>
            <m:t>.</m:t>
          </m:r>
          <m:r>
            <m:rPr/>
            <m:t>  </m:t>
          </m:r>
          <m:r>
            <m:rPr>
              <m:nor/>
              <m:sty m:val="p"/>
            </m:rPr>
            <w:rPr>
              <w:b w:val="0"/>
              <w:i w:val="0"/>
            </w:rPr>
            <m:t>（6）</m:t>
          </m:r>
        </m:oMath>
      </m:oMathPara>
    </w:p>
    <w:p w14:paraId="30BDC7B9">
      <w:pPr>
        <w:keepNext/>
        <w:keepLines/>
        <w:spacing w:before="100" w:after="100"/>
        <w:ind w:firstLine="0"/>
        <w:jc w:val="left"/>
        <w:rPr>
          <w:rFonts w:hint="eastAsia"/>
        </w:rPr>
      </w:pPr>
      <w:r>
        <w:rPr>
          <w:rFonts w:hint="eastAsia"/>
        </w:rPr>
        <w:t>式（6）中，</w:t>
      </w:r>
      <m:oMath>
        <m:r>
          <m:rPr/>
          <m:t>R</m:t>
        </m:r>
        <m:sSub>
          <m:sSubPr/>
          <m:e>
            <m:r>
              <m:rPr/>
              <m:t>D</m:t>
            </m:r>
          </m:e>
          <m:sub>
            <m:r>
              <m:rPr/>
              <m:t>it</m:t>
            </m:r>
          </m:sub>
        </m:sSub>
      </m:oMath>
      <w:r>
        <w:rPr>
          <w:rFonts w:hint="eastAsia"/>
        </w:rPr>
        <w:t>为R&amp;D投入强度，</w:t>
      </w:r>
      <m:oMath>
        <m:sSub>
          <m:sSubPr/>
          <m:e>
            <m:r>
              <m:rPr/>
              <m:t>X</m:t>
            </m:r>
          </m:e>
          <m:sub>
            <m:r>
              <m:rPr/>
              <m:t>it</m:t>
            </m:r>
          </m:sub>
        </m:sSub>
      </m:oMath>
      <w:r>
        <w:rPr>
          <w:rFonts w:hint="eastAsia"/>
        </w:rPr>
        <w:t>为控制变量构成的向量，</w:t>
      </w:r>
      <m:oMath>
        <m:r>
          <m:rPr/>
          <m:t>β</m:t>
        </m:r>
      </m:oMath>
      <w:r>
        <w:rPr>
          <w:rFonts w:hint="eastAsia"/>
        </w:rPr>
        <w:t>和</w:t>
      </w:r>
      <m:oMath>
        <m:r>
          <m:rPr/>
          <m:t>γ</m:t>
        </m:r>
      </m:oMath>
      <w:r>
        <w:rPr>
          <w:rFonts w:hint="eastAsia"/>
        </w:rPr>
        <w:t>为待估参数，</w:t>
      </w:r>
      <m:oMath>
        <m:sSub>
          <m:sSubPr/>
          <m:e>
            <m:r>
              <m:rPr/>
              <m:t>μ</m:t>
            </m:r>
          </m:e>
          <m:sub>
            <m:r>
              <m:rPr/>
              <m:t>i</m:t>
            </m:r>
          </m:sub>
        </m:sSub>
      </m:oMath>
      <w:r>
        <w:rPr>
          <w:rFonts w:hint="eastAsia"/>
        </w:rPr>
        <w:t>与</w:t>
      </w:r>
      <m:oMath>
        <m:sSub>
          <m:sSubPr/>
          <m:e>
            <m:r>
              <m:rPr/>
              <m:t>λ</m:t>
            </m:r>
          </m:e>
          <m:sub>
            <m:r>
              <m:rPr/>
              <m:t>t</m:t>
            </m:r>
          </m:sub>
        </m:sSub>
      </m:oMath>
      <w:r>
        <w:rPr>
          <w:rFonts w:hint="eastAsia"/>
        </w:rPr>
        <w:t>分别为省份固定效应和年份固定效应，</w:t>
      </w:r>
      <m:oMath>
        <m:sSub>
          <m:sSubPr/>
          <m:e>
            <m:r>
              <m:rPr/>
              <m:t>ε</m:t>
            </m:r>
          </m:e>
          <m:sub>
            <m:r>
              <m:rPr/>
              <m:t>it</m:t>
            </m:r>
          </m:sub>
        </m:sSub>
      </m:oMath>
      <w:r>
        <w:rPr>
          <w:rFonts w:hint="eastAsia"/>
        </w:rPr>
        <w:t>为随机扰动项。该模型用于估计控制地区异质性和共同年份冲击后R&amp;D与本地区CNTI之间的平均条件关联，并作为非空间基准模型。</w:t>
      </w:r>
    </w:p>
    <w:p w14:paraId="51015E07">
      <w:pPr>
        <w:keepNext/>
        <w:keepLines/>
        <w:spacing w:before="100" w:after="100"/>
        <w:ind w:firstLine="0"/>
        <w:jc w:val="left"/>
      </w:pPr>
      <w:r>
        <w:rPr>
          <w:rFonts w:hint="eastAsia"/>
        </w:rPr>
        <w:t>考虑到省域CNTI及其影响因素可能存在空间关联，本文进一步采用同时包含被解释变量和解释变量空间滞后项的空间杜宾模型（SDM），具体设定如下：</w:t>
      </w:r>
    </w:p>
    <w:p w14:paraId="6A74A354">
      <w:pPr>
        <w:pStyle w:val="3"/>
        <w:keepNext/>
        <w:keepLines/>
        <w:spacing w:before="100" w:after="100"/>
        <w:ind w:firstLine="0"/>
        <w:jc w:val="center"/>
      </w:pPr>
      <m:oMathPara>
        <m:oMathParaPr>
          <m:jc m:val="center"/>
        </m:oMathParaPr>
        <m:oMath>
          <m:r>
            <m:rPr/>
            <m:t>CNT</m:t>
          </m:r>
          <m:sSub>
            <m:sSubPr/>
            <m:e>
              <m:r>
                <m:rPr/>
                <m:t>I</m:t>
              </m:r>
            </m:e>
            <m:sub>
              <m:r>
                <m:rPr/>
                <m:t>it</m:t>
              </m:r>
            </m:sub>
          </m:sSub>
          <m:r>
            <m:rPr>
              <m:sty m:val="p"/>
            </m:rPr>
            <m:t>=</m:t>
          </m:r>
          <m:r>
            <m:rPr/>
            <m:t>ρ</m:t>
          </m:r>
          <m:nary>
            <m:naryPr>
              <m:chr m:val="∑"/>
              <m:limLoc m:val="undOvr"/>
              <m:supHide m:val="1"/>
            </m:naryPr>
            <m:sub>
              <m:r>
                <m:rPr/>
                <m:t>j</m:t>
              </m:r>
            </m:sub>
            <m:sup>
              <m:r>
                <m:rPr/>
                <m:t>​</m:t>
              </m:r>
            </m:sup>
            <m:e>
              <m:sSub>
                <m:sSubPr/>
                <m:e>
                  <m:r>
                    <m:rPr/>
                    <m:t>w</m:t>
                  </m:r>
                </m:e>
                <m:sub>
                  <m:r>
                    <m:rPr/>
                    <m:t>ij</m:t>
                  </m:r>
                </m:sub>
              </m:sSub>
            </m:e>
          </m:nary>
          <m:r>
            <m:rPr/>
            <m:t>CNT</m:t>
          </m:r>
          <m:sSub>
            <m:sSubPr/>
            <m:e>
              <m:r>
                <m:rPr/>
                <m:t>I</m:t>
              </m:r>
            </m:e>
            <m:sub>
              <m:r>
                <m:rPr/>
                <m:t>jt</m:t>
              </m:r>
            </m:sub>
          </m:sSub>
          <m:r>
            <m:rPr>
              <m:sty m:val="p"/>
            </m:rPr>
            <m:t>+</m:t>
          </m:r>
          <m:r>
            <m:rPr/>
            <m:t>βR</m:t>
          </m:r>
          <m:sSub>
            <m:sSubPr/>
            <m:e>
              <m:r>
                <m:rPr/>
                <m:t>D</m:t>
              </m:r>
            </m:e>
            <m:sub>
              <m:r>
                <m:rPr/>
                <m:t>it</m:t>
              </m:r>
            </m:sub>
          </m:sSub>
          <m:r>
            <m:rPr>
              <m:sty m:val="p"/>
            </m:rPr>
            <m:t>+</m:t>
          </m:r>
          <m:sSup>
            <m:sSupPr/>
            <m:e>
              <m:r>
                <m:rPr/>
                <m:t>γ</m:t>
              </m:r>
            </m:e>
            <m:sup>
              <m:r>
                <m:rPr>
                  <m:sty m:val="p"/>
                </m:rPr>
                <m:t>′</m:t>
              </m:r>
            </m:sup>
          </m:sSup>
          <m:sSub>
            <m:sSubPr/>
            <m:e>
              <m:r>
                <m:rPr/>
                <m:t>X</m:t>
              </m:r>
            </m:e>
            <m:sub>
              <m:r>
                <m:rPr/>
                <m:t>it</m:t>
              </m:r>
            </m:sub>
          </m:sSub>
          <m:r>
            <m:rPr>
              <m:sty m:val="p"/>
            </m:rPr>
            <m:t>+</m:t>
          </m:r>
          <m:r>
            <m:rPr/>
            <m:t>θ</m:t>
          </m:r>
          <m:nary>
            <m:naryPr>
              <m:chr m:val="∑"/>
              <m:limLoc m:val="undOvr"/>
              <m:supHide m:val="1"/>
            </m:naryPr>
            <m:sub>
              <m:r>
                <m:rPr/>
                <m:t>j</m:t>
              </m:r>
            </m:sub>
            <m:sup>
              <m:r>
                <m:rPr/>
                <m:t>​</m:t>
              </m:r>
            </m:sup>
            <m:e>
              <m:sSub>
                <m:sSubPr/>
                <m:e>
                  <m:r>
                    <m:rPr/>
                    <m:t>w</m:t>
                  </m:r>
                </m:e>
                <m:sub>
                  <m:r>
                    <m:rPr/>
                    <m:t>ij</m:t>
                  </m:r>
                </m:sub>
              </m:sSub>
            </m:e>
          </m:nary>
          <m:r>
            <m:rPr/>
            <m:t>R</m:t>
          </m:r>
          <m:sSub>
            <m:sSubPr/>
            <m:e>
              <m:r>
                <m:rPr/>
                <m:t>D</m:t>
              </m:r>
            </m:e>
            <m:sub>
              <m:r>
                <m:rPr/>
                <m:t>jt</m:t>
              </m:r>
            </m:sub>
          </m:sSub>
          <m:r>
            <m:rPr>
              <m:sty m:val="p"/>
            </m:rPr>
            <m:t>+</m:t>
          </m:r>
          <m:sSup>
            <m:sSupPr/>
            <m:e>
              <m:r>
                <m:rPr/>
                <m:t>δ</m:t>
              </m:r>
            </m:e>
            <m:sup>
              <m:r>
                <m:rPr>
                  <m:sty m:val="p"/>
                </m:rPr>
                <m:t>′</m:t>
              </m:r>
            </m:sup>
          </m:sSup>
          <m:nary>
            <m:naryPr>
              <m:chr m:val="∑"/>
              <m:limLoc m:val="undOvr"/>
              <m:supHide m:val="1"/>
            </m:naryPr>
            <m:sub>
              <m:r>
                <m:rPr/>
                <m:t>j</m:t>
              </m:r>
            </m:sub>
            <m:sup>
              <m:r>
                <m:rPr/>
                <m:t>​</m:t>
              </m:r>
            </m:sup>
            <m:e>
              <m:sSub>
                <m:sSubPr/>
                <m:e>
                  <m:r>
                    <m:rPr/>
                    <m:t>w</m:t>
                  </m:r>
                </m:e>
                <m:sub>
                  <m:r>
                    <m:rPr/>
                    <m:t>ij</m:t>
                  </m:r>
                </m:sub>
              </m:sSub>
            </m:e>
          </m:nary>
          <m:sSub>
            <m:sSubPr/>
            <m:e>
              <m:r>
                <m:rPr/>
                <m:t>X</m:t>
              </m:r>
            </m:e>
            <m:sub>
              <m:r>
                <m:rPr/>
                <m:t>jt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r>
            <m:rPr>
              <m:sty m:val="p"/>
            </m:rPr>
            <m:t>.</m:t>
          </m:r>
          <m:r>
            <m:rPr/>
            <m:t>  </m:t>
          </m:r>
          <m:r>
            <m:rPr>
              <m:nor/>
              <m:sty m:val="p"/>
            </m:rPr>
            <w:rPr>
              <w:b w:val="0"/>
              <w:i w:val="0"/>
            </w:rPr>
            <m:t>（7）</m:t>
          </m:r>
        </m:oMath>
      </m:oMathPara>
    </w:p>
    <w:p w14:paraId="21E7B737">
      <w:pPr>
        <w:pStyle w:val="3"/>
        <w:keepNext/>
        <w:keepLines/>
        <w:spacing w:before="100" w:after="100"/>
        <w:ind w:firstLine="0"/>
        <w:jc w:val="left"/>
      </w:pPr>
      <w:r>
        <w:rPr>
          <w:rFonts w:hint="eastAsia"/>
        </w:rPr>
        <w:t>式（7）中，</w:t>
      </w:r>
      <m:oMath>
        <m:r>
          <m:rPr/>
          <m:t>ρ</m:t>
        </m:r>
      </m:oMath>
      <w:r>
        <w:rPr>
          <w:rFonts w:hint="eastAsia"/>
        </w:rPr>
        <w:t>为空间自回归参数，</w:t>
      </w:r>
      <m:oMath>
        <m:r>
          <m:rPr/>
          <m:t>θ</m:t>
        </m:r>
      </m:oMath>
      <w:r>
        <w:rPr>
          <w:rFonts w:hint="eastAsia"/>
        </w:rPr>
        <w:t>和</w:t>
      </w:r>
      <m:oMath>
        <m:r>
          <m:rPr/>
          <m:t>δ</m:t>
        </m:r>
      </m:oMath>
      <w:r>
        <w:rPr>
          <w:rFonts w:hint="eastAsia"/>
        </w:rPr>
        <w:t>分别为R&amp;D及控制变量空间滞后项的系数，其余符号与式（6）一致。</w:t>
      </w:r>
      <m:oMath>
        <m:r>
          <m:rPr/>
          <m:t>ρ</m:t>
        </m:r>
      </m:oMath>
      <w:r>
        <w:rPr>
          <w:rFonts w:hint="eastAsia"/>
        </w:rPr>
        <w:t>刻画控制解释变量及其空间滞后项后的条件空间反馈方向。由于SDM包含空间反馈，模型中的原始回归参数不能直接等同于本地效应和空间溢出效应。</w:t>
      </w:r>
      <w:r>
        <w:rPr>
          <w:rFonts w:hint="eastAsia"/>
          <w:highlight w:val="none"/>
        </w:rPr>
        <w:t>参考LeSage and Pace（2009）</w:t>
      </w:r>
      <w:r>
        <w:rPr>
          <w:rFonts w:hint="eastAsia"/>
        </w:rPr>
        <w:t>，将模型写成约化形式后，第k个解释变量的空间影响矩阵表示为：</w:t>
      </w:r>
    </w:p>
    <w:p w14:paraId="15437E46">
      <w:pPr>
        <w:pStyle w:val="3"/>
        <w:keepNext/>
        <w:keepLines/>
        <w:spacing w:before="100" w:after="100"/>
        <w:ind w:firstLine="0"/>
        <w:jc w:val="center"/>
      </w:pPr>
      <m:oMathPara>
        <m:oMathParaPr>
          <m:jc m:val="center"/>
        </m:oMathParaPr>
        <m:oMath>
          <m:sSub>
            <m:sSubPr/>
            <m:e>
              <m:r>
                <m:rPr/>
                <m:t>S</m:t>
              </m:r>
            </m:e>
            <m:sub>
              <m:r>
                <m:rPr/>
                <m:t>k</m:t>
              </m:r>
            </m:sub>
          </m:sSub>
          <m:r>
            <m:rPr>
              <m:sty m:val="p"/>
            </m:rPr>
            <m:t>(</m:t>
          </m:r>
          <m:r>
            <m:rPr/>
            <m:t>W</m:t>
          </m:r>
          <m:r>
            <m:rPr>
              <m:sty m:val="p"/>
            </m:rPr>
            <m:t>)=</m:t>
          </m:r>
          <m:sSup>
            <m:sSupPr/>
            <m:e>
              <m:d>
                <m:dPr>
                  <m:sepChr m:val=""/>
                </m:dPr>
                <m:e>
                  <m:sSub>
                    <m:sSubPr/>
                    <m:e>
                      <m:r>
                        <m:rPr/>
                        <m:t>I</m:t>
                      </m:r>
                    </m:e>
                    <m:sub>
                      <m:r>
                        <m:rPr/>
                        <m:t>n</m:t>
                      </m:r>
                    </m:sub>
                  </m:sSub>
                  <m:r>
                    <m:rPr>
                      <m:sty m:val="p"/>
                    </m:rPr>
                    <m:t>−</m:t>
                  </m:r>
                  <m:r>
                    <m:rPr/>
                    <m:t>ρW</m:t>
                  </m:r>
                </m:e>
              </m:d>
            </m:e>
            <m:sup>
              <m:r>
                <m:rPr>
                  <m:sty m:val="p"/>
                </m:rPr>
                <m:t>−</m:t>
              </m:r>
              <m:r>
                <m:rPr/>
                <m:t>1</m:t>
              </m:r>
            </m:sup>
          </m:sSup>
          <m:d>
            <m:dPr>
              <m:sepChr m:val=""/>
            </m:dPr>
            <m:e>
              <m:sSub>
                <m:sSubPr/>
                <m:e>
                  <m:r>
                    <m:rPr/>
                    <m:t>β</m:t>
                  </m:r>
                </m:e>
                <m:sub>
                  <m:r>
                    <m:rPr/>
                    <m:t>k</m:t>
                  </m:r>
                </m:sub>
              </m:sSub>
              <m:sSub>
                <m:sSubPr/>
                <m:e>
                  <m:r>
                    <m:rPr/>
                    <m:t>I</m:t>
                  </m:r>
                </m:e>
                <m:sub>
                  <m:r>
                    <m:rPr/>
                    <m:t>n</m:t>
                  </m:r>
                </m:sub>
              </m:sSub>
              <m:r>
                <m:rPr>
                  <m:sty m:val="p"/>
                </m:rPr>
                <m:t>+</m:t>
              </m:r>
              <m:sSub>
                <m:sSubPr/>
                <m:e>
                  <m:r>
                    <m:rPr/>
                    <m:t>θ</m:t>
                  </m:r>
                </m:e>
                <m:sub>
                  <m:r>
                    <m:rPr/>
                    <m:t>k</m:t>
                  </m:r>
                </m:sub>
              </m:sSub>
              <m:r>
                <m:rPr/>
                <m:t>W</m:t>
              </m:r>
            </m:e>
          </m:d>
          <m:r>
            <m:rPr>
              <m:sty m:val="p"/>
            </m:rPr>
            <m:t>.</m:t>
          </m:r>
          <m:r>
            <m:rPr/>
            <m:t>  </m:t>
          </m:r>
          <m:r>
            <m:rPr>
              <m:nor/>
              <m:sty m:val="p"/>
            </m:rPr>
            <w:rPr>
              <w:b w:val="0"/>
              <w:i w:val="0"/>
            </w:rPr>
            <m:t>（8）</m:t>
          </m:r>
        </m:oMath>
      </m:oMathPara>
    </w:p>
    <w:p w14:paraId="7F1E5A4A">
      <w:pPr>
        <w:keepNext/>
        <w:keepLines/>
        <w:spacing w:before="100" w:after="100"/>
        <w:ind w:firstLine="0"/>
        <w:jc w:val="left"/>
      </w:pPr>
      <w:r>
        <w:rPr>
          <w:rFonts w:hint="eastAsia"/>
        </w:rPr>
        <w:t>式（8）中，</w:t>
      </w:r>
      <m:oMath>
        <m:sSub>
          <m:sSubPr/>
          <m:e>
            <m:r>
              <m:rPr/>
              <m:t>I</m:t>
            </m:r>
          </m:e>
          <m:sub>
            <m:r>
              <m:rPr/>
              <m:t>n</m:t>
            </m:r>
          </m:sub>
        </m:sSub>
      </m:oMath>
      <w:r>
        <w:rPr>
          <w:rFonts w:hint="eastAsia"/>
        </w:rPr>
        <w:t>为</w:t>
      </w:r>
      <m:oMath>
        <m:r>
          <m:rPr/>
          <m:t>n</m:t>
        </m:r>
      </m:oMath>
      <w:r>
        <w:rPr>
          <w:rFonts w:hint="eastAsia"/>
        </w:rPr>
        <w:t>阶单位矩阵，</w:t>
      </w:r>
      <m:oMath>
        <m:sSub>
          <m:sSubPr/>
          <m:e>
            <m:r>
              <m:rPr/>
              <m:t>β</m:t>
            </m:r>
          </m:e>
          <m:sub>
            <m:r>
              <m:rPr/>
              <m:t>k</m:t>
            </m:r>
          </m:sub>
        </m:sSub>
      </m:oMath>
      <w:r>
        <w:rPr>
          <w:rFonts w:hint="eastAsia"/>
        </w:rPr>
        <w:t>和</w:t>
      </w:r>
      <m:oMath>
        <m:sSub>
          <m:sSubPr/>
          <m:e>
            <m:r>
              <m:rPr/>
              <m:t>θ</m:t>
            </m:r>
          </m:e>
          <m:sub>
            <m:r>
              <m:rPr/>
              <m:t>k</m:t>
            </m:r>
          </m:sub>
        </m:sSub>
      </m:oMath>
      <w:r>
        <w:rPr>
          <w:rFonts w:hint="eastAsia"/>
        </w:rPr>
        <w:t>分别为第</w:t>
      </w:r>
      <m:oMath>
        <m:r>
          <m:rPr/>
          <m:t>k</m:t>
        </m:r>
      </m:oMath>
      <w:r>
        <w:rPr>
          <w:rFonts w:hint="eastAsia"/>
        </w:rPr>
        <w:t>个解释变量及其空间滞后项的参数。</w:t>
      </w:r>
      <m:oMath>
        <m:sSub>
          <m:sSubPr/>
          <m:e>
            <m:r>
              <m:rPr/>
              <m:t>S</m:t>
            </m:r>
          </m:e>
          <m:sub>
            <m:r>
              <m:rPr/>
              <m:t>k</m:t>
            </m:r>
          </m:sub>
        </m:sSub>
        <m:r>
          <m:rPr>
            <m:sty m:val="p"/>
          </m:rPr>
          <m:t>(</m:t>
        </m:r>
        <m:r>
          <m:rPr/>
          <m:t>W</m:t>
        </m:r>
        <m:r>
          <m:rPr>
            <m:sty m:val="p"/>
          </m:rPr>
          <m:t>)</m:t>
        </m:r>
      </m:oMath>
      <w:r>
        <w:rPr>
          <w:rFonts w:hint="eastAsia"/>
        </w:rPr>
        <w:t>对角元素平均值为直接效应，行和平均值为总效应，总效应与直接效应之差为间接效应。本文关于R&amp;D空间影响的结论以式（8）的效应分解为准。</w:t>
      </w:r>
    </w:p>
    <w:p w14:paraId="4CA515A5">
      <w:pPr>
        <w:pStyle w:val="4"/>
        <w:keepNext/>
        <w:keepLines/>
        <w:spacing w:before="160" w:after="80"/>
        <w:ind w:firstLine="0"/>
      </w:pPr>
      <w:r>
        <w:rPr>
          <w:rFonts w:ascii="Times New Roman" w:hAnsi="Times New Roman" w:eastAsia="黑体"/>
          <w:b/>
          <w:color w:val="000000"/>
          <w:sz w:val="28"/>
        </w:rPr>
        <w:t xml:space="preserve">4.4 </w:t>
      </w:r>
      <w:r>
        <w:rPr>
          <w:rFonts w:hint="eastAsia" w:ascii="Times New Roman" w:hAnsi="Times New Roman" w:eastAsia="黑体"/>
          <w:b/>
          <w:color w:val="000000"/>
          <w:sz w:val="28"/>
        </w:rPr>
        <w:t>时空地理加权回归</w:t>
      </w:r>
    </w:p>
    <w:p w14:paraId="7291AEC7">
      <w:pPr>
        <w:widowControl/>
        <w:spacing w:after="60"/>
        <w:rPr>
          <w:rFonts w:hint="eastAsia" w:eastAsia="宋体"/>
          <w:color w:val="auto"/>
          <w:lang w:eastAsia="zh-CN"/>
        </w:rPr>
      </w:pPr>
      <w:r>
        <w:rPr>
          <w:color w:val="auto"/>
        </w:rPr>
        <w:t>为进一步识别研发投入与碳中和技术创新关系的局部时空差异，本文采用时空地理加权回归模型。GTWR 在 GWR 的基础上引入时间维度，使局部回归系数能够同时随空间位置和时间变化，从而刻画不同地区和时期的非平稳关系，其基本形式为</w:t>
      </w:r>
      <w:r>
        <w:rPr>
          <w:rFonts w:hint="eastAsia"/>
          <w:color w:val="auto"/>
          <w:lang w:eastAsia="zh-CN"/>
        </w:rPr>
        <w:t>：</w:t>
      </w:r>
    </w:p>
    <w:p w14:paraId="63D308E0">
      <w:pPr>
        <w:widowControl/>
        <w:spacing w:before="0" w:after="60" w:line="360" w:lineRule="auto"/>
        <w:ind w:left="0" w:right="0" w:firstLine="420"/>
        <w:jc w:val="both"/>
      </w:pPr>
    </w:p>
    <w:p w14:paraId="7910911D">
      <w:pPr>
        <w:pStyle w:val="3"/>
        <w:keepNext/>
        <w:keepLines/>
        <w:spacing w:before="100" w:after="100"/>
        <w:ind w:firstLine="0"/>
        <w:jc w:val="center"/>
      </w:pPr>
      <m:oMathPara>
        <m:oMathParaPr>
          <m:jc m:val="center"/>
        </m:oMathParaPr>
        <m:oMath>
          <m:r>
            <m:rPr/>
            <m:t>CNT</m:t>
          </m:r>
          <m:sSub>
            <m:sSubPr/>
            <m:e>
              <m:r>
                <m:rPr/>
                <m:t>I</m:t>
              </m:r>
            </m:e>
            <m:sub>
              <m:r>
                <m:rPr/>
                <m:t>i</m:t>
              </m:r>
            </m:sub>
          </m:sSub>
          <m:r>
            <m:rPr>
              <m:sty m:val="p"/>
            </m:rPr>
            <m:t>=</m:t>
          </m:r>
          <m:sSub>
            <m:sSubPr/>
            <m:e>
              <m:r>
                <m:rPr/>
                <m:t>β</m:t>
              </m:r>
            </m:e>
            <m:sub>
              <m:r>
                <m:rPr/>
                <m:t>0</m:t>
              </m:r>
            </m:sub>
          </m:sSub>
          <m:r>
            <m:rPr>
              <m:sty m:val="p"/>
            </m:rPr>
            <m:t>(</m:t>
          </m:r>
          <m:sSub>
            <m:sSubPr/>
            <m:e>
              <m:r>
                <m:rPr/>
                <m:t>u</m:t>
              </m:r>
            </m:e>
            <m:sub>
              <m:r>
                <m:rPr/>
                <m:t>i</m:t>
              </m:r>
            </m:sub>
          </m:sSub>
          <m:r>
            <m:rPr>
              <m:sty m:val="p"/>
            </m:rPr>
            <m:t>,</m:t>
          </m:r>
          <m:sSub>
            <m:sSubPr/>
            <m:e>
              <m:r>
                <m:rPr/>
                <m:t>v</m:t>
              </m:r>
            </m:e>
            <m:sub>
              <m:r>
                <m:rPr/>
                <m:t>i</m:t>
              </m:r>
            </m:sub>
          </m:sSub>
          <m:r>
            <m:rPr>
              <m:sty m:val="p"/>
            </m:rPr>
            <m:t>,</m:t>
          </m:r>
          <m:sSub>
            <m:sSubPr/>
            <m:e>
              <m:r>
                <m:rPr/>
                <m:t>t</m:t>
              </m:r>
            </m:e>
            <m:sub>
              <m:r>
                <m:rPr/>
                <m:t>i</m:t>
              </m:r>
            </m:sub>
          </m:sSub>
          <m:r>
            <m:rPr>
              <m:sty m:val="p"/>
            </m:rPr>
            <m:t>)+</m:t>
          </m:r>
          <m:nary>
            <m:naryPr>
              <m:chr m:val="∑"/>
              <m:limLoc m:val="undOvr"/>
            </m:naryPr>
            <m:sub>
              <m:r>
                <m:rPr/>
                <m:t>k</m:t>
              </m:r>
              <m:r>
                <m:rPr>
                  <m:sty m:val="p"/>
                </m:rPr>
                <m:t>=</m:t>
              </m:r>
              <m:r>
                <m:rPr/>
                <m:t>1</m:t>
              </m:r>
            </m:sub>
            <m:sup>
              <m:r>
                <m:rPr/>
                <m:t>K</m:t>
              </m:r>
            </m:sup>
            <m:e>
              <m:sSub>
                <m:sSubPr/>
                <m:e>
                  <m:r>
                    <m:rPr/>
                    <m:t>β</m:t>
                  </m:r>
                </m:e>
                <m:sub>
                  <m:r>
                    <m:rPr/>
                    <m:t>k</m:t>
                  </m:r>
                </m:sub>
              </m:sSub>
            </m:e>
          </m:nary>
          <m:r>
            <m:rPr>
              <m:sty m:val="p"/>
            </m:rPr>
            <m:t>(</m:t>
          </m:r>
          <m:sSub>
            <m:sSubPr/>
            <m:e>
              <m:r>
                <m:rPr/>
                <m:t>u</m:t>
              </m:r>
            </m:e>
            <m:sub>
              <m:r>
                <m:rPr/>
                <m:t>i</m:t>
              </m:r>
            </m:sub>
          </m:sSub>
          <m:r>
            <m:rPr>
              <m:sty m:val="p"/>
            </m:rPr>
            <m:t>,</m:t>
          </m:r>
          <m:sSub>
            <m:sSubPr/>
            <m:e>
              <m:r>
                <m:rPr/>
                <m:t>v</m:t>
              </m:r>
            </m:e>
            <m:sub>
              <m:r>
                <m:rPr/>
                <m:t>i</m:t>
              </m:r>
            </m:sub>
          </m:sSub>
          <m:r>
            <m:rPr>
              <m:sty m:val="p"/>
            </m:rPr>
            <m:t>,</m:t>
          </m:r>
          <m:sSub>
            <m:sSubPr/>
            <m:e>
              <m:r>
                <m:rPr/>
                <m:t>t</m:t>
              </m:r>
            </m:e>
            <m:sub>
              <m:r>
                <m:rPr/>
                <m:t>i</m:t>
              </m:r>
            </m:sub>
          </m:sSub>
          <m:r>
            <m:rPr>
              <m:sty m:val="p"/>
            </m:rPr>
            <m:t>)</m:t>
          </m:r>
          <m:sSub>
            <m:sSubPr/>
            <m:e>
              <m:r>
                <m:rPr/>
                <m:t>x</m:t>
              </m:r>
            </m:e>
            <m:sub>
              <m:r>
                <m:rPr/>
                <m:t>ik</m:t>
              </m:r>
            </m:sub>
          </m:sSub>
          <m:r>
            <m:rPr>
              <m:sty m:val="p"/>
            </m:rPr>
            <m:t>+</m:t>
          </m:r>
          <m:sSub>
            <m:sSubPr/>
            <m:e>
              <m:r>
                <m:rPr/>
                <m:t>ε</m:t>
              </m:r>
            </m:e>
            <m:sub>
              <m:r>
                <m:rPr/>
                <m:t>i</m:t>
              </m:r>
            </m:sub>
          </m:sSub>
          <m:r>
            <m:rPr>
              <m:sty m:val="p"/>
            </m:rPr>
            <m:t>.</m:t>
          </m:r>
          <m:r>
            <m:rPr/>
            <m:t>  </m:t>
          </m:r>
          <m:r>
            <m:rPr>
              <m:nor/>
              <m:sty m:val="p"/>
            </m:rPr>
            <w:rPr>
              <w:b w:val="0"/>
              <w:i w:val="0"/>
            </w:rPr>
            <m:t>（9）</m:t>
          </m:r>
        </m:oMath>
      </m:oMathPara>
    </w:p>
    <w:p w14:paraId="3BD0F81D">
      <w:pPr>
        <w:keepNext/>
        <w:keepLines/>
        <w:spacing w:before="100" w:after="100"/>
        <w:ind w:firstLine="0"/>
        <w:jc w:val="left"/>
        <w:rPr>
          <w:color w:val="auto"/>
        </w:rPr>
      </w:pPr>
      <w:r>
        <w:rPr>
          <w:rFonts w:hint="eastAsia"/>
          <w:color w:val="auto"/>
        </w:rPr>
        <w:t>式（9）中，</w:t>
      </w:r>
      <m:oMath>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u</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oMath>
      <w:r>
        <w:rPr>
          <w:rFonts w:hint="eastAsia"/>
          <w:color w:val="auto"/>
        </w:rPr>
        <w:t>为观测点地理坐标，</w:t>
      </w:r>
      <m:oMath>
        <m:sSub>
          <m:sSubPr>
            <m:ctrlPr>
              <w:rPr>
                <w:rFonts w:ascii="Cambria Math" w:hAnsi="Cambria Math"/>
                <w:color w:val="auto"/>
              </w:rPr>
            </m:ctrlPr>
          </m:sSubPr>
          <m:e>
            <m:r>
              <m:rPr/>
              <w:rPr>
                <w:rFonts w:ascii="Cambria Math" w:hAnsi="Cambria Math"/>
                <w:color w:val="auto"/>
              </w:rPr>
              <m:t>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oMath>
      <w:r>
        <w:rPr>
          <w:rFonts w:hint="eastAsia"/>
          <w:color w:val="auto"/>
        </w:rPr>
        <w:t>为年份，</w:t>
      </w:r>
      <m:oMath>
        <m:sSub>
          <m:sSubPr>
            <m:ctrlPr>
              <w:rPr>
                <w:rFonts w:ascii="Cambria Math" w:hAnsi="Cambria Math"/>
                <w:color w:val="auto"/>
              </w:rPr>
            </m:ctrlPr>
          </m:sSubPr>
          <m:e>
            <m:r>
              <m:rPr/>
              <w:rPr>
                <w:rFonts w:ascii="Cambria Math" w:hAnsi="Cambria Math"/>
                <w:color w:val="auto"/>
              </w:rPr>
              <m:t>x</m:t>
            </m:r>
            <m:ctrlPr>
              <w:rPr>
                <w:rFonts w:ascii="Cambria Math" w:hAnsi="Cambria Math"/>
                <w:color w:val="auto"/>
              </w:rPr>
            </m:ctrlPr>
          </m:e>
          <m:sub>
            <m:r>
              <m:rPr/>
              <w:rPr>
                <w:rFonts w:ascii="Cambria Math" w:hAnsi="Cambria Math"/>
                <w:color w:val="auto"/>
              </w:rPr>
              <m:t>ik</m:t>
            </m:r>
            <m:ctrlPr>
              <w:rPr>
                <w:rFonts w:ascii="Cambria Math" w:hAnsi="Cambria Math"/>
                <w:color w:val="auto"/>
              </w:rPr>
            </m:ctrlPr>
          </m:sub>
        </m:sSub>
      </m:oMath>
      <w:r>
        <w:rPr>
          <w:rFonts w:hint="eastAsia"/>
          <w:color w:val="auto"/>
        </w:rPr>
        <w:t>为第</w:t>
      </w:r>
      <m:oMath>
        <m:r>
          <m:rPr/>
          <w:rPr>
            <w:rFonts w:ascii="Cambria Math" w:hAnsi="Cambria Math"/>
            <w:color w:val="auto"/>
          </w:rPr>
          <m:t>k</m:t>
        </m:r>
      </m:oMath>
      <w:r>
        <w:rPr>
          <w:rFonts w:hint="eastAsia"/>
          <w:color w:val="auto"/>
        </w:rPr>
        <w:t>个解释变量，</w:t>
      </w:r>
      <m:oMath>
        <m:sSub>
          <m:sSubPr>
            <m:ctrlPr>
              <w:rPr>
                <w:rFonts w:ascii="Cambria Math" w:hAnsi="Cambria Math"/>
                <w:color w:val="auto"/>
              </w:rPr>
            </m:ctrlPr>
          </m:sSubPr>
          <m:e>
            <m:r>
              <m:rPr/>
              <w:rPr>
                <w:rFonts w:ascii="Cambria Math" w:hAnsi="Cambria Math"/>
                <w:color w:val="auto"/>
              </w:rPr>
              <m:t>β</m:t>
            </m:r>
            <m:ctrlPr>
              <w:rPr>
                <w:rFonts w:ascii="Cambria Math" w:hAnsi="Cambria Math"/>
                <w:color w:val="auto"/>
              </w:rPr>
            </m:ctrlPr>
          </m:e>
          <m:sub>
            <m:r>
              <m:rPr/>
              <w:rPr>
                <w:rFonts w:ascii="Cambria Math" w:hAnsi="Cambria Math"/>
                <w:color w:val="auto"/>
              </w:rPr>
              <m:t>k</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u</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v</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sSub>
          <m:sSubPr>
            <m:ctrlPr>
              <w:rPr>
                <w:rFonts w:ascii="Cambria Math" w:hAnsi="Cambria Math"/>
                <w:color w:val="auto"/>
              </w:rPr>
            </m:ctrlPr>
          </m:sSubPr>
          <m:e>
            <m:r>
              <m:rPr/>
              <w:rPr>
                <w:rFonts w:ascii="Cambria Math" w:hAnsi="Cambria Math"/>
                <w:color w:val="auto"/>
              </w:rPr>
              <m:t>t</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r>
          <m:rPr>
            <m:sty m:val="p"/>
          </m:rPr>
          <w:rPr>
            <w:rFonts w:ascii="Cambria Math" w:hAnsi="Cambria Math"/>
            <w:color w:val="auto"/>
          </w:rPr>
          <m:t>)</m:t>
        </m:r>
      </m:oMath>
      <w:r>
        <w:rPr>
          <w:rFonts w:hint="eastAsia"/>
          <w:color w:val="auto"/>
        </w:rPr>
        <w:t>为随空间位置和时间变化的局部系数，</w:t>
      </w:r>
      <m:oMath>
        <m:sSub>
          <m:sSubPr>
            <m:ctrlPr>
              <w:rPr>
                <w:rFonts w:ascii="Cambria Math" w:hAnsi="Cambria Math"/>
                <w:color w:val="auto"/>
              </w:rPr>
            </m:ctrlPr>
          </m:sSubPr>
          <m:e>
            <m:r>
              <m:rPr/>
              <w:rPr>
                <w:rFonts w:ascii="Cambria Math" w:hAnsi="Cambria Math"/>
                <w:color w:val="auto"/>
              </w:rPr>
              <m:t>ε</m:t>
            </m:r>
            <m:ctrlPr>
              <w:rPr>
                <w:rFonts w:ascii="Cambria Math" w:hAnsi="Cambria Math"/>
                <w:color w:val="auto"/>
              </w:rPr>
            </m:ctrlPr>
          </m:e>
          <m:sub>
            <m:r>
              <m:rPr/>
              <w:rPr>
                <w:rFonts w:ascii="Cambria Math" w:hAnsi="Cambria Math"/>
                <w:color w:val="auto"/>
              </w:rPr>
              <m:t>i</m:t>
            </m:r>
            <m:ctrlPr>
              <w:rPr>
                <w:rFonts w:ascii="Cambria Math" w:hAnsi="Cambria Math"/>
                <w:color w:val="auto"/>
              </w:rPr>
            </m:ctrlPr>
          </m:sub>
        </m:sSub>
      </m:oMath>
      <w:r>
        <w:rPr>
          <w:rFonts w:hint="eastAsia"/>
          <w:color w:val="auto"/>
        </w:rPr>
        <w:t>为</w:t>
      </w:r>
      <w:r>
        <w:rPr>
          <w:rFonts w:hint="eastAsia"/>
          <w:color w:val="auto"/>
          <w:lang w:val="en-US" w:eastAsia="zh-CN"/>
        </w:rPr>
        <w:t>随机</w:t>
      </w:r>
      <w:r>
        <w:rPr>
          <w:rFonts w:hint="eastAsia"/>
          <w:color w:val="auto"/>
        </w:rPr>
        <w:t>扰动项。GTWR 根据观测点之间的空间距离与时间距离构造时空距离，并通过时空权重矩阵对邻近观测赋予更高权重。模型带宽依据 AICc 准则进行优化，以确定局部估计的有效邻域。为比较不同模型对样本时空特征的刻画能力，本文进一步估计 OLS、GWR 和 GTWR，并比较其决定系数、调整后决定系数、残差平方和、均方误差及 AICc。结果显示，GWR 在 R²、调整后 R²、SSR 和 MSE 等指标上表现较优，而 GTWR 的 AICc 最低。考虑到 AICc 同时兼顾模型拟合程度与模型复杂度，本文采用 GTWR 进一步刻画研发投入及控制变量与碳中和技术创新之间的局部时空非平稳性，并通过年度平均局部系数分析其时间演化特征。</w:t>
      </w:r>
    </w:p>
    <w:bookmarkEnd w:id="17"/>
    <w:p w14:paraId="0A1F650A">
      <w:pPr>
        <w:pStyle w:val="4"/>
        <w:keepNext/>
        <w:keepLines/>
        <w:spacing w:before="160" w:after="80"/>
        <w:ind w:firstLine="0"/>
      </w:pPr>
      <w:bookmarkStart w:id="18" w:name="数据来源与空间权重矩阵"/>
      <w:r>
        <w:rPr>
          <w:rFonts w:ascii="Times New Roman" w:hAnsi="Times New Roman" w:eastAsia="黑体"/>
          <w:b/>
          <w:color w:val="000000"/>
          <w:sz w:val="28"/>
        </w:rPr>
        <w:t xml:space="preserve">4.5 </w:t>
      </w:r>
      <w:r>
        <w:rPr>
          <w:rFonts w:hint="eastAsia" w:ascii="Times New Roman" w:hAnsi="Times New Roman" w:eastAsia="黑体"/>
          <w:b/>
          <w:color w:val="000000"/>
          <w:sz w:val="28"/>
        </w:rPr>
        <w:t>数据来源与空间权重矩阵</w:t>
      </w:r>
    </w:p>
    <w:p w14:paraId="0C72B2AD">
      <w:pPr>
        <w:widowControl/>
        <w:spacing w:before="0" w:after="60" w:line="360" w:lineRule="auto"/>
        <w:ind w:left="0" w:right="0" w:firstLine="420"/>
        <w:jc w:val="both"/>
      </w:pPr>
      <w:r>
        <w:rPr>
          <w:rFonts w:hint="eastAsia" w:ascii="Times New Roman" w:hAnsi="Times New Roman" w:eastAsia="宋体"/>
          <w:color w:val="000000"/>
          <w:sz w:val="21"/>
        </w:rPr>
        <w:t>样本覆盖2014—2023年中国大陆31个省级地区，共310个省年观测。香港、澳门和台湾因统计口径及数据连续性差异未纳入估计。Y02专利数据按CPC分类体系整理；R&amp;D、人口、产业、外资、贸易和技术市场指标来自国家统计局、历年《中国统计年鉴》和相关省级统计资料，能源数据来自《中国能源统计年鉴》。原始面板未发现缺失值或重复省年记录。</w:t>
      </w:r>
    </w:p>
    <w:p w14:paraId="282CD74F">
      <w:pPr>
        <w:widowControl/>
        <w:spacing w:before="0" w:after="60" w:line="360" w:lineRule="auto"/>
        <w:ind w:left="0" w:right="0" w:firstLine="420"/>
        <w:jc w:val="both"/>
        <w:rPr>
          <w:color w:val="000000"/>
        </w:rPr>
      </w:pPr>
      <w:r>
        <w:rPr>
          <w:rFonts w:hint="eastAsia" w:ascii="Times New Roman" w:hAnsi="Times New Roman" w:eastAsia="宋体"/>
          <w:color w:val="000000"/>
          <w:sz w:val="21"/>
          <w:highlight w:val="none"/>
        </w:rPr>
        <w:t>空间权重矩阵界定空间计量模型所刻画的省际关联。基准模型依据省级地区地理坐标构造距离衰减矩阵，对角元素设为0并进行行标准化。为考察估计结果对距离衰减形式和非地理邻近关系的敏感性，稳健性分析另行采用地理距离平方倒数矩阵，并借鉴Zhou（2023）将地理距离与经济距离加权嵌套的做法，将同一思路扩展至创新邻近。具体而言，在嵌套矩阵中，地理距离权重取两省地理距离的倒数，经济距离权重取两省样本期平均人均GDP差额绝对值的倒数，创新距离权重取两省样本期平均专利申请量差额绝对值的倒数；经济—地理嵌套权重为0.5×经济距离权重+0.5×地理距离权重，创新—地理嵌套权重为0.5×创新距离权重+0.5×地理距离权重，各矩阵对角元素均设为0。地理距离矩阵刻画物理接近，经济距离和创新距离矩阵分别刻画发展水平与创新基础的相似性；三类替代设定用于检验估计结果对空间联系定义的敏感性。</w:t>
      </w:r>
    </w:p>
    <w:bookmarkEnd w:id="11"/>
    <w:bookmarkEnd w:id="18"/>
    <w:p w14:paraId="4C0DD645">
      <w:pPr>
        <w:pStyle w:val="2"/>
        <w:keepNext/>
        <w:keepLines/>
        <w:spacing w:before="160" w:after="80"/>
        <w:ind w:firstLine="0"/>
      </w:pPr>
      <w:bookmarkStart w:id="19" w:name="实证结果"/>
      <w:r>
        <w:rPr>
          <w:rFonts w:ascii="Times New Roman" w:hAnsi="Times New Roman" w:eastAsia="黑体"/>
          <w:b/>
          <w:color w:val="000000"/>
          <w:sz w:val="32"/>
        </w:rPr>
        <w:t xml:space="preserve">5 </w:t>
      </w:r>
      <w:r>
        <w:rPr>
          <w:rFonts w:hint="eastAsia" w:ascii="Times New Roman" w:hAnsi="Times New Roman" w:eastAsia="黑体"/>
          <w:b/>
          <w:color w:val="000000"/>
          <w:sz w:val="32"/>
        </w:rPr>
        <w:t>实证结果</w:t>
      </w:r>
    </w:p>
    <w:p w14:paraId="426B552B">
      <w:pPr>
        <w:pStyle w:val="4"/>
        <w:keepNext/>
        <w:keepLines/>
        <w:spacing w:before="160" w:after="80"/>
        <w:ind w:firstLine="0"/>
      </w:pPr>
      <w:bookmarkStart w:id="20" w:name="cnti的空间分布与空间相关"/>
      <w:r>
        <w:rPr>
          <w:rFonts w:ascii="Times New Roman" w:hAnsi="Times New Roman" w:eastAsia="黑体"/>
          <w:b/>
          <w:color w:val="000000"/>
          <w:sz w:val="28"/>
        </w:rPr>
        <w:t>5.1 CNTI空间探索性分析</w:t>
      </w:r>
    </w:p>
    <w:p w14:paraId="2CDDBC77">
      <w:pPr>
        <w:pStyle w:val="5"/>
      </w:pPr>
      <w:r>
        <w:t>5.1.1 空间分布</w:t>
      </w:r>
    </w:p>
    <w:p w14:paraId="3C85F7CA">
      <w:pPr>
        <w:widowControl/>
        <w:spacing w:before="0" w:after="60" w:line="360" w:lineRule="auto"/>
        <w:ind w:left="0" w:right="0" w:firstLine="420"/>
        <w:jc w:val="both"/>
      </w:pPr>
      <w:r>
        <w:rPr>
          <w:rFonts w:hint="eastAsia" w:ascii="Times New Roman" w:hAnsi="Times New Roman" w:eastAsia="宋体"/>
          <w:color w:val="000000"/>
          <w:sz w:val="21"/>
        </w:rPr>
        <w:t>图2显示，省域CNTI总体呈现“东高西低”的空间分布格局，高值地区主要集中于东部沿海。对比2014、2017、2020和2023年四个时点可以发现，2017—2020年高值范围逐步向部分中部地区扩展；至2023年，东部核心地区仍保持较高水平，西部多数地区仍处于相对低值区间。</w:t>
      </w:r>
    </w:p>
    <w:p w14:paraId="11FE4855">
      <w:pPr>
        <w:keepLines/>
        <w:spacing w:before="80" w:after="60"/>
        <w:ind w:firstLine="0"/>
        <w:jc w:val="center"/>
      </w:pPr>
      <w:r>
        <w:drawing>
          <wp:inline distT="0" distB="0" distL="114300" distR="114300">
            <wp:extent cx="5759450" cy="3236595"/>
            <wp:effectExtent l="0" t="0" r="0" b="0"/>
            <wp:docPr id="44" name="Picture" descr="2014、2017、2020和2023年CNTI的空间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2014、2017、2020和2023年CNTI的空间分布"/>
                    <pic:cNvPicPr>
                      <a:picLocks noChangeAspect="1" noChangeArrowheads="1"/>
                    </pic:cNvPicPr>
                  </pic:nvPicPr>
                  <pic:blipFill>
                    <a:blip r:embed="rId7"/>
                    <a:stretch>
                      <a:fillRect/>
                    </a:stretch>
                  </pic:blipFill>
                  <pic:spPr>
                    <a:xfrm>
                      <a:off x="0" y="0"/>
                      <a:ext cx="5760000" cy="3236649"/>
                    </a:xfrm>
                    <a:prstGeom prst="rect">
                      <a:avLst/>
                    </a:prstGeom>
                    <a:noFill/>
                    <a:ln w="9525">
                      <a:noFill/>
                    </a:ln>
                  </pic:spPr>
                </pic:pic>
              </a:graphicData>
            </a:graphic>
          </wp:inline>
        </w:drawing>
      </w:r>
    </w:p>
    <w:p w14:paraId="071725E3">
      <w:pPr>
        <w:pStyle w:val="3"/>
        <w:keepNext w:val="0"/>
        <w:spacing w:before="40" w:after="100"/>
        <w:ind w:firstLine="0"/>
        <w:jc w:val="center"/>
      </w:pPr>
      <w:r>
        <w:rPr>
          <w:rFonts w:hint="eastAsia" w:ascii="Times New Roman" w:hAnsi="Times New Roman" w:eastAsia="宋体"/>
          <w:b/>
          <w:bCs/>
          <w:color w:val="000000"/>
          <w:sz w:val="21"/>
        </w:rPr>
        <w:t>图2</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2014、2017、2020和2023年CNTI的空间分布</w:t>
      </w:r>
    </w:p>
    <w:p w14:paraId="2E166D9D">
      <w:pPr>
        <w:pStyle w:val="5"/>
      </w:pPr>
      <w:r>
        <w:t>5.1.2 空间依赖</w:t>
      </w:r>
    </w:p>
    <w:p w14:paraId="06FAA86E">
      <w:pPr>
        <w:widowControl/>
        <w:spacing w:before="0" w:after="60" w:line="360" w:lineRule="auto"/>
        <w:ind w:left="0" w:right="0" w:firstLine="420"/>
        <w:jc w:val="both"/>
        <w:rPr>
          <w:rFonts w:hint="eastAsia" w:eastAsia="宋体"/>
          <w:lang w:eastAsia="zh-CN"/>
        </w:rPr>
      </w:pPr>
      <w:r>
        <w:rPr>
          <w:rFonts w:hint="eastAsia" w:ascii="Times New Roman" w:hAnsi="Times New Roman" w:eastAsia="宋体"/>
          <w:color w:val="000000"/>
          <w:sz w:val="21"/>
        </w:rPr>
        <w:t>表3报告了2014—2023年CNTI的全局Moran’s I。各年份指数均为正并在1%水平显著，表明省域碳中和技术创新存在显著的正向空间相关。Moran’s I由2014年的0.077上升至2020年的0.116，此后逐步回落至2023年的0.097，表明样本期内省域CNTI的空间关联始终存在，但其集聚程度呈现先增强后减弱的动态变化</w:t>
      </w:r>
      <w:r>
        <w:rPr>
          <w:rFonts w:hint="eastAsia"/>
          <w:color w:val="000000"/>
          <w:sz w:val="21"/>
          <w:lang w:eastAsia="zh-CN"/>
        </w:rPr>
        <w:t>。</w:t>
      </w:r>
    </w:p>
    <w:p w14:paraId="14118BE6">
      <w:pPr>
        <w:widowControl/>
        <w:spacing w:before="0" w:after="60" w:line="360" w:lineRule="auto"/>
        <w:ind w:left="0" w:right="0" w:firstLine="420"/>
        <w:jc w:val="both"/>
      </w:pPr>
    </w:p>
    <w:p w14:paraId="52DF7FE4">
      <w:pPr>
        <w:pStyle w:val="3"/>
        <w:keepNext/>
        <w:pageBreakBefore/>
        <w:spacing w:before="100" w:after="60"/>
        <w:ind w:firstLine="0"/>
        <w:jc w:val="center"/>
      </w:pPr>
      <w:r>
        <w:rPr>
          <w:rFonts w:hint="eastAsia" w:ascii="Times New Roman" w:hAnsi="Times New Roman" w:eastAsia="宋体"/>
          <w:b/>
          <w:bCs/>
          <w:color w:val="000000"/>
          <w:sz w:val="21"/>
        </w:rPr>
        <w:t>表3</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CNTI的全局Moran’s</w:t>
      </w:r>
      <w:r>
        <w:rPr>
          <w:rFonts w:ascii="Times New Roman" w:hAnsi="Times New Roman" w:eastAsia="宋体"/>
          <w:b/>
          <w:bCs/>
          <w:color w:val="000000"/>
          <w:sz w:val="21"/>
        </w:rPr>
        <w:t xml:space="preserve"> I</w:t>
      </w:r>
    </w:p>
    <w:tbl>
      <w:tblPr>
        <w:tblStyle w:val="11"/>
        <w:tblW w:w="0" w:type="auto"/>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20"/>
        <w:gridCol w:w="1320"/>
        <w:gridCol w:w="1320"/>
        <w:gridCol w:w="1320"/>
        <w:gridCol w:w="1320"/>
        <w:gridCol w:w="1320"/>
      </w:tblGrid>
      <w:tr w14:paraId="504B36D3">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13" w:type="dxa"/>
            <w:tcBorders>
              <w:bottom w:val="single" w:color="7F8C8D" w:sz="6" w:space="0"/>
            </w:tcBorders>
            <w:shd w:val="clear" w:color="auto" w:fill="DCE6F1"/>
            <w:vAlign w:val="center"/>
          </w:tcPr>
          <w:p w14:paraId="214C5D0D">
            <w:pPr>
              <w:keepNext/>
              <w:spacing w:before="20" w:after="20" w:line="240" w:lineRule="auto"/>
              <w:ind w:firstLine="0"/>
              <w:jc w:val="center"/>
            </w:pPr>
            <w:r>
              <w:rPr>
                <w:rFonts w:hint="eastAsia" w:ascii="Times New Roman" w:hAnsi="Times New Roman" w:eastAsia="宋体"/>
                <w:b/>
                <w:color w:val="000000"/>
                <w:sz w:val="18"/>
              </w:rPr>
              <w:t>年份</w:t>
            </w:r>
          </w:p>
        </w:tc>
        <w:tc>
          <w:tcPr>
            <w:tcW w:w="1513" w:type="dxa"/>
            <w:tcBorders>
              <w:bottom w:val="single" w:color="7F8C8D" w:sz="6" w:space="0"/>
            </w:tcBorders>
            <w:shd w:val="clear" w:color="auto" w:fill="DCE6F1"/>
            <w:vAlign w:val="center"/>
          </w:tcPr>
          <w:p w14:paraId="1DADC47B">
            <w:pPr>
              <w:keepNext/>
              <w:spacing w:before="20" w:after="20" w:line="240" w:lineRule="auto"/>
              <w:ind w:firstLine="0"/>
              <w:jc w:val="center"/>
            </w:pPr>
            <w:r>
              <w:rPr>
                <w:rFonts w:ascii="Times New Roman" w:hAnsi="Times New Roman" w:eastAsia="宋体"/>
                <w:b/>
                <w:color w:val="000000"/>
                <w:sz w:val="18"/>
              </w:rPr>
              <w:t>Moran’s I</w:t>
            </w:r>
          </w:p>
        </w:tc>
        <w:tc>
          <w:tcPr>
            <w:tcW w:w="1513" w:type="dxa"/>
            <w:tcBorders>
              <w:bottom w:val="single" w:color="7F8C8D" w:sz="6" w:space="0"/>
            </w:tcBorders>
            <w:shd w:val="clear" w:color="auto" w:fill="DCE6F1"/>
            <w:vAlign w:val="center"/>
          </w:tcPr>
          <w:p w14:paraId="5045A811">
            <w:pPr>
              <w:keepNext/>
              <w:spacing w:before="20" w:after="20" w:line="240" w:lineRule="auto"/>
              <w:ind w:firstLine="0"/>
              <w:jc w:val="center"/>
            </w:pPr>
            <w:r>
              <w:rPr>
                <w:rFonts w:hint="eastAsia" w:ascii="Times New Roman" w:hAnsi="Times New Roman" w:eastAsia="宋体"/>
                <w:b/>
                <w:color w:val="000000"/>
                <w:sz w:val="18"/>
              </w:rPr>
              <w:t>Z值</w:t>
            </w:r>
          </w:p>
        </w:tc>
        <w:tc>
          <w:tcPr>
            <w:tcW w:w="1513" w:type="dxa"/>
            <w:tcBorders>
              <w:bottom w:val="single" w:color="7F8C8D" w:sz="6" w:space="0"/>
            </w:tcBorders>
            <w:shd w:val="clear" w:color="auto" w:fill="DCE6F1"/>
            <w:vAlign w:val="center"/>
          </w:tcPr>
          <w:p w14:paraId="6CB24545">
            <w:pPr>
              <w:keepNext/>
              <w:spacing w:before="20" w:after="20" w:line="240" w:lineRule="auto"/>
              <w:ind w:firstLine="0"/>
              <w:jc w:val="center"/>
            </w:pPr>
            <w:r>
              <w:rPr>
                <w:rFonts w:hint="eastAsia" w:ascii="Times New Roman" w:hAnsi="Times New Roman" w:eastAsia="宋体"/>
                <w:b/>
                <w:color w:val="000000"/>
                <w:sz w:val="18"/>
              </w:rPr>
              <w:t>年份</w:t>
            </w:r>
          </w:p>
        </w:tc>
        <w:tc>
          <w:tcPr>
            <w:tcW w:w="1513" w:type="dxa"/>
            <w:tcBorders>
              <w:bottom w:val="single" w:color="7F8C8D" w:sz="6" w:space="0"/>
            </w:tcBorders>
            <w:shd w:val="clear" w:color="auto" w:fill="DCE6F1"/>
            <w:vAlign w:val="center"/>
          </w:tcPr>
          <w:p w14:paraId="588D8D87">
            <w:pPr>
              <w:keepNext/>
              <w:spacing w:before="20" w:after="20" w:line="240" w:lineRule="auto"/>
              <w:ind w:firstLine="0"/>
              <w:jc w:val="center"/>
            </w:pPr>
            <w:r>
              <w:rPr>
                <w:rFonts w:ascii="Times New Roman" w:hAnsi="Times New Roman" w:eastAsia="宋体"/>
                <w:b/>
                <w:color w:val="000000"/>
                <w:sz w:val="18"/>
              </w:rPr>
              <w:t>Moran’s I</w:t>
            </w:r>
          </w:p>
        </w:tc>
        <w:tc>
          <w:tcPr>
            <w:tcW w:w="1513" w:type="dxa"/>
            <w:tcBorders>
              <w:bottom w:val="single" w:color="7F8C8D" w:sz="6" w:space="0"/>
            </w:tcBorders>
            <w:shd w:val="clear" w:color="auto" w:fill="DCE6F1"/>
            <w:vAlign w:val="center"/>
          </w:tcPr>
          <w:p w14:paraId="2BAA16FD">
            <w:pPr>
              <w:keepNext/>
              <w:spacing w:before="20" w:after="20" w:line="240" w:lineRule="auto"/>
              <w:ind w:firstLine="0"/>
              <w:jc w:val="center"/>
            </w:pPr>
            <w:r>
              <w:rPr>
                <w:rFonts w:hint="eastAsia" w:ascii="Times New Roman" w:hAnsi="Times New Roman" w:eastAsia="宋体"/>
                <w:b/>
                <w:color w:val="000000"/>
                <w:sz w:val="18"/>
              </w:rPr>
              <w:t>Z值</w:t>
            </w:r>
          </w:p>
        </w:tc>
      </w:tr>
      <w:tr w14:paraId="2E7A01D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6F6F9193">
            <w:pPr>
              <w:keepNext/>
              <w:spacing w:before="20" w:after="20" w:line="240" w:lineRule="auto"/>
              <w:ind w:firstLine="0"/>
              <w:jc w:val="center"/>
            </w:pPr>
            <w:r>
              <w:rPr>
                <w:rFonts w:ascii="Times New Roman" w:hAnsi="Times New Roman" w:eastAsia="宋体"/>
                <w:b w:val="0"/>
                <w:color w:val="000000"/>
                <w:sz w:val="18"/>
              </w:rPr>
              <w:t>2014</w:t>
            </w:r>
          </w:p>
        </w:tc>
        <w:tc>
          <w:tcPr>
            <w:tcW w:w="1513" w:type="dxa"/>
            <w:vAlign w:val="center"/>
          </w:tcPr>
          <w:p w14:paraId="3795B9C2">
            <w:pPr>
              <w:keepNext/>
              <w:spacing w:before="20" w:after="20" w:line="240" w:lineRule="auto"/>
              <w:ind w:firstLine="0"/>
              <w:jc w:val="center"/>
            </w:pPr>
            <w:r>
              <w:rPr>
                <w:rFonts w:ascii="Times New Roman" w:hAnsi="Times New Roman" w:eastAsia="宋体"/>
                <w:b w:val="0"/>
                <w:color w:val="000000"/>
                <w:sz w:val="18"/>
              </w:rPr>
              <w:t>0.077***</w:t>
            </w:r>
          </w:p>
        </w:tc>
        <w:tc>
          <w:tcPr>
            <w:tcW w:w="1513" w:type="dxa"/>
            <w:vAlign w:val="center"/>
          </w:tcPr>
          <w:p w14:paraId="5147AFE1">
            <w:pPr>
              <w:keepNext/>
              <w:spacing w:before="20" w:after="20" w:line="240" w:lineRule="auto"/>
              <w:ind w:firstLine="0"/>
              <w:jc w:val="center"/>
            </w:pPr>
            <w:r>
              <w:rPr>
                <w:rFonts w:ascii="Times New Roman" w:hAnsi="Times New Roman" w:eastAsia="宋体"/>
                <w:b w:val="0"/>
                <w:color w:val="000000"/>
                <w:sz w:val="18"/>
              </w:rPr>
              <w:t>3.376</w:t>
            </w:r>
          </w:p>
        </w:tc>
        <w:tc>
          <w:tcPr>
            <w:tcW w:w="1513" w:type="dxa"/>
            <w:vAlign w:val="center"/>
          </w:tcPr>
          <w:p w14:paraId="32CC0C70">
            <w:pPr>
              <w:keepNext/>
              <w:spacing w:before="20" w:after="20" w:line="240" w:lineRule="auto"/>
              <w:ind w:firstLine="0"/>
              <w:jc w:val="center"/>
            </w:pPr>
            <w:r>
              <w:rPr>
                <w:rFonts w:ascii="Times New Roman" w:hAnsi="Times New Roman" w:eastAsia="宋体"/>
                <w:b w:val="0"/>
                <w:color w:val="000000"/>
                <w:sz w:val="18"/>
              </w:rPr>
              <w:t>2019</w:t>
            </w:r>
          </w:p>
        </w:tc>
        <w:tc>
          <w:tcPr>
            <w:tcW w:w="1513" w:type="dxa"/>
            <w:vAlign w:val="center"/>
          </w:tcPr>
          <w:p w14:paraId="5F7F8D3E">
            <w:pPr>
              <w:keepNext/>
              <w:spacing w:before="20" w:after="20" w:line="240" w:lineRule="auto"/>
              <w:ind w:firstLine="0"/>
              <w:jc w:val="center"/>
            </w:pPr>
            <w:r>
              <w:rPr>
                <w:rFonts w:ascii="Times New Roman" w:hAnsi="Times New Roman" w:eastAsia="宋体"/>
                <w:b w:val="0"/>
                <w:color w:val="000000"/>
                <w:sz w:val="18"/>
              </w:rPr>
              <w:t>0.115***</w:t>
            </w:r>
          </w:p>
        </w:tc>
        <w:tc>
          <w:tcPr>
            <w:tcW w:w="1513" w:type="dxa"/>
            <w:vAlign w:val="center"/>
          </w:tcPr>
          <w:p w14:paraId="50FDD294">
            <w:pPr>
              <w:keepNext/>
              <w:spacing w:before="20" w:after="20" w:line="240" w:lineRule="auto"/>
              <w:ind w:firstLine="0"/>
              <w:jc w:val="center"/>
            </w:pPr>
            <w:r>
              <w:rPr>
                <w:rFonts w:ascii="Times New Roman" w:hAnsi="Times New Roman" w:eastAsia="宋体"/>
                <w:b w:val="0"/>
                <w:color w:val="000000"/>
                <w:sz w:val="18"/>
              </w:rPr>
              <w:t>4.303</w:t>
            </w:r>
          </w:p>
        </w:tc>
      </w:tr>
      <w:tr w14:paraId="395C794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1B31CC5E">
            <w:pPr>
              <w:keepNext/>
              <w:spacing w:before="20" w:after="20" w:line="240" w:lineRule="auto"/>
              <w:ind w:firstLine="0"/>
              <w:jc w:val="center"/>
            </w:pPr>
            <w:r>
              <w:rPr>
                <w:rFonts w:ascii="Times New Roman" w:hAnsi="Times New Roman" w:eastAsia="宋体"/>
                <w:b w:val="0"/>
                <w:color w:val="000000"/>
                <w:sz w:val="18"/>
              </w:rPr>
              <w:t>2015</w:t>
            </w:r>
          </w:p>
        </w:tc>
        <w:tc>
          <w:tcPr>
            <w:tcW w:w="1513" w:type="dxa"/>
            <w:vAlign w:val="center"/>
          </w:tcPr>
          <w:p w14:paraId="032B1E25">
            <w:pPr>
              <w:keepNext/>
              <w:spacing w:before="20" w:after="20" w:line="240" w:lineRule="auto"/>
              <w:ind w:firstLine="0"/>
              <w:jc w:val="center"/>
            </w:pPr>
            <w:r>
              <w:rPr>
                <w:rFonts w:ascii="Times New Roman" w:hAnsi="Times New Roman" w:eastAsia="宋体"/>
                <w:b w:val="0"/>
                <w:color w:val="000000"/>
                <w:sz w:val="18"/>
              </w:rPr>
              <w:t>0.079***</w:t>
            </w:r>
          </w:p>
        </w:tc>
        <w:tc>
          <w:tcPr>
            <w:tcW w:w="1513" w:type="dxa"/>
            <w:vAlign w:val="center"/>
          </w:tcPr>
          <w:p w14:paraId="3A7159D9">
            <w:pPr>
              <w:keepNext/>
              <w:spacing w:before="20" w:after="20" w:line="240" w:lineRule="auto"/>
              <w:ind w:firstLine="0"/>
              <w:jc w:val="center"/>
            </w:pPr>
            <w:r>
              <w:rPr>
                <w:rFonts w:ascii="Times New Roman" w:hAnsi="Times New Roman" w:eastAsia="宋体"/>
                <w:b w:val="0"/>
                <w:color w:val="000000"/>
                <w:sz w:val="18"/>
              </w:rPr>
              <w:t>3.507</w:t>
            </w:r>
          </w:p>
        </w:tc>
        <w:tc>
          <w:tcPr>
            <w:tcW w:w="1513" w:type="dxa"/>
            <w:vAlign w:val="center"/>
          </w:tcPr>
          <w:p w14:paraId="242F6AB3">
            <w:pPr>
              <w:keepNext/>
              <w:spacing w:before="20" w:after="20" w:line="240" w:lineRule="auto"/>
              <w:ind w:firstLine="0"/>
              <w:jc w:val="center"/>
            </w:pPr>
            <w:r>
              <w:rPr>
                <w:rFonts w:ascii="Times New Roman" w:hAnsi="Times New Roman" w:eastAsia="宋体"/>
                <w:b w:val="0"/>
                <w:color w:val="000000"/>
                <w:sz w:val="18"/>
              </w:rPr>
              <w:t>2020</w:t>
            </w:r>
          </w:p>
        </w:tc>
        <w:tc>
          <w:tcPr>
            <w:tcW w:w="1513" w:type="dxa"/>
            <w:vAlign w:val="center"/>
          </w:tcPr>
          <w:p w14:paraId="4026F53E">
            <w:pPr>
              <w:keepNext/>
              <w:spacing w:before="20" w:after="20" w:line="240" w:lineRule="auto"/>
              <w:ind w:firstLine="0"/>
              <w:jc w:val="center"/>
            </w:pPr>
            <w:r>
              <w:rPr>
                <w:rFonts w:ascii="Times New Roman" w:hAnsi="Times New Roman" w:eastAsia="宋体"/>
                <w:b w:val="0"/>
                <w:color w:val="000000"/>
                <w:sz w:val="18"/>
              </w:rPr>
              <w:t>0.116***</w:t>
            </w:r>
          </w:p>
        </w:tc>
        <w:tc>
          <w:tcPr>
            <w:tcW w:w="1513" w:type="dxa"/>
            <w:vAlign w:val="center"/>
          </w:tcPr>
          <w:p w14:paraId="0CDCA507">
            <w:pPr>
              <w:keepNext/>
              <w:spacing w:before="20" w:after="20" w:line="240" w:lineRule="auto"/>
              <w:ind w:firstLine="0"/>
              <w:jc w:val="center"/>
            </w:pPr>
            <w:r>
              <w:rPr>
                <w:rFonts w:ascii="Times New Roman" w:hAnsi="Times New Roman" w:eastAsia="宋体"/>
                <w:b w:val="0"/>
                <w:color w:val="000000"/>
                <w:sz w:val="18"/>
              </w:rPr>
              <w:t>4.342</w:t>
            </w:r>
          </w:p>
        </w:tc>
      </w:tr>
      <w:tr w14:paraId="46FC43DD">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60FBE5F2">
            <w:pPr>
              <w:keepNext/>
              <w:spacing w:before="20" w:after="20" w:line="240" w:lineRule="auto"/>
              <w:ind w:firstLine="0"/>
              <w:jc w:val="center"/>
            </w:pPr>
            <w:r>
              <w:rPr>
                <w:rFonts w:ascii="Times New Roman" w:hAnsi="Times New Roman" w:eastAsia="宋体"/>
                <w:b w:val="0"/>
                <w:color w:val="000000"/>
                <w:sz w:val="18"/>
              </w:rPr>
              <w:t>2016</w:t>
            </w:r>
          </w:p>
        </w:tc>
        <w:tc>
          <w:tcPr>
            <w:tcW w:w="1513" w:type="dxa"/>
            <w:vAlign w:val="center"/>
          </w:tcPr>
          <w:p w14:paraId="66F5FCDB">
            <w:pPr>
              <w:keepNext/>
              <w:spacing w:before="20" w:after="20" w:line="240" w:lineRule="auto"/>
              <w:ind w:firstLine="0"/>
              <w:jc w:val="center"/>
            </w:pPr>
            <w:r>
              <w:rPr>
                <w:rFonts w:ascii="Times New Roman" w:hAnsi="Times New Roman" w:eastAsia="宋体"/>
                <w:b w:val="0"/>
                <w:color w:val="000000"/>
                <w:sz w:val="18"/>
              </w:rPr>
              <w:t>0.107***</w:t>
            </w:r>
          </w:p>
        </w:tc>
        <w:tc>
          <w:tcPr>
            <w:tcW w:w="1513" w:type="dxa"/>
            <w:vAlign w:val="center"/>
          </w:tcPr>
          <w:p w14:paraId="0D3E9A10">
            <w:pPr>
              <w:keepNext/>
              <w:spacing w:before="20" w:after="20" w:line="240" w:lineRule="auto"/>
              <w:ind w:firstLine="0"/>
              <w:jc w:val="center"/>
            </w:pPr>
            <w:r>
              <w:rPr>
                <w:rFonts w:ascii="Times New Roman" w:hAnsi="Times New Roman" w:eastAsia="宋体"/>
                <w:b w:val="0"/>
                <w:color w:val="000000"/>
                <w:sz w:val="18"/>
              </w:rPr>
              <w:t>4.053</w:t>
            </w:r>
          </w:p>
        </w:tc>
        <w:tc>
          <w:tcPr>
            <w:tcW w:w="1513" w:type="dxa"/>
            <w:vAlign w:val="center"/>
          </w:tcPr>
          <w:p w14:paraId="3EA849C8">
            <w:pPr>
              <w:keepNext/>
              <w:spacing w:before="20" w:after="20" w:line="240" w:lineRule="auto"/>
              <w:ind w:firstLine="0"/>
              <w:jc w:val="center"/>
            </w:pPr>
            <w:r>
              <w:rPr>
                <w:rFonts w:ascii="Times New Roman" w:hAnsi="Times New Roman" w:eastAsia="宋体"/>
                <w:b w:val="0"/>
                <w:color w:val="000000"/>
                <w:sz w:val="18"/>
              </w:rPr>
              <w:t>2021</w:t>
            </w:r>
          </w:p>
        </w:tc>
        <w:tc>
          <w:tcPr>
            <w:tcW w:w="1513" w:type="dxa"/>
            <w:vAlign w:val="center"/>
          </w:tcPr>
          <w:p w14:paraId="4F3791A6">
            <w:pPr>
              <w:keepNext/>
              <w:spacing w:before="20" w:after="20" w:line="240" w:lineRule="auto"/>
              <w:ind w:firstLine="0"/>
              <w:jc w:val="center"/>
            </w:pPr>
            <w:r>
              <w:rPr>
                <w:rFonts w:ascii="Times New Roman" w:hAnsi="Times New Roman" w:eastAsia="宋体"/>
                <w:b w:val="0"/>
                <w:color w:val="000000"/>
                <w:sz w:val="18"/>
              </w:rPr>
              <w:t>0.104***</w:t>
            </w:r>
          </w:p>
        </w:tc>
        <w:tc>
          <w:tcPr>
            <w:tcW w:w="1513" w:type="dxa"/>
            <w:vAlign w:val="center"/>
          </w:tcPr>
          <w:p w14:paraId="3F3FCA75">
            <w:pPr>
              <w:keepNext/>
              <w:spacing w:before="20" w:after="20" w:line="240" w:lineRule="auto"/>
              <w:ind w:firstLine="0"/>
              <w:jc w:val="center"/>
            </w:pPr>
            <w:r>
              <w:rPr>
                <w:rFonts w:ascii="Times New Roman" w:hAnsi="Times New Roman" w:eastAsia="宋体"/>
                <w:b w:val="0"/>
                <w:color w:val="000000"/>
                <w:sz w:val="18"/>
              </w:rPr>
              <w:t>4.007</w:t>
            </w:r>
          </w:p>
        </w:tc>
      </w:tr>
      <w:tr w14:paraId="44370E5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10EE95AD">
            <w:pPr>
              <w:keepNext/>
              <w:spacing w:before="20" w:after="20" w:line="240" w:lineRule="auto"/>
              <w:ind w:firstLine="0"/>
              <w:jc w:val="center"/>
            </w:pPr>
            <w:r>
              <w:rPr>
                <w:rFonts w:ascii="Times New Roman" w:hAnsi="Times New Roman" w:eastAsia="宋体"/>
                <w:b w:val="0"/>
                <w:color w:val="000000"/>
                <w:sz w:val="18"/>
              </w:rPr>
              <w:t>2017</w:t>
            </w:r>
          </w:p>
        </w:tc>
        <w:tc>
          <w:tcPr>
            <w:tcW w:w="1513" w:type="dxa"/>
            <w:vAlign w:val="center"/>
          </w:tcPr>
          <w:p w14:paraId="64BF2F78">
            <w:pPr>
              <w:keepNext/>
              <w:spacing w:before="20" w:after="20" w:line="240" w:lineRule="auto"/>
              <w:ind w:firstLine="0"/>
              <w:jc w:val="center"/>
            </w:pPr>
            <w:r>
              <w:rPr>
                <w:rFonts w:ascii="Times New Roman" w:hAnsi="Times New Roman" w:eastAsia="宋体"/>
                <w:b w:val="0"/>
                <w:color w:val="000000"/>
                <w:sz w:val="18"/>
              </w:rPr>
              <w:t>0.098***</w:t>
            </w:r>
          </w:p>
        </w:tc>
        <w:tc>
          <w:tcPr>
            <w:tcW w:w="1513" w:type="dxa"/>
            <w:vAlign w:val="center"/>
          </w:tcPr>
          <w:p w14:paraId="21CF2E10">
            <w:pPr>
              <w:keepNext/>
              <w:spacing w:before="20" w:after="20" w:line="240" w:lineRule="auto"/>
              <w:ind w:firstLine="0"/>
              <w:jc w:val="center"/>
            </w:pPr>
            <w:r>
              <w:rPr>
                <w:rFonts w:ascii="Times New Roman" w:hAnsi="Times New Roman" w:eastAsia="宋体"/>
                <w:b w:val="0"/>
                <w:color w:val="000000"/>
                <w:sz w:val="18"/>
              </w:rPr>
              <w:t>3.809</w:t>
            </w:r>
          </w:p>
        </w:tc>
        <w:tc>
          <w:tcPr>
            <w:tcW w:w="1513" w:type="dxa"/>
            <w:vAlign w:val="center"/>
          </w:tcPr>
          <w:p w14:paraId="4DB3B1BE">
            <w:pPr>
              <w:keepNext/>
              <w:spacing w:before="20" w:after="20" w:line="240" w:lineRule="auto"/>
              <w:ind w:firstLine="0"/>
              <w:jc w:val="center"/>
            </w:pPr>
            <w:r>
              <w:rPr>
                <w:rFonts w:ascii="Times New Roman" w:hAnsi="Times New Roman" w:eastAsia="宋体"/>
                <w:b w:val="0"/>
                <w:color w:val="000000"/>
                <w:sz w:val="18"/>
              </w:rPr>
              <w:t>2022</w:t>
            </w:r>
          </w:p>
        </w:tc>
        <w:tc>
          <w:tcPr>
            <w:tcW w:w="1513" w:type="dxa"/>
            <w:vAlign w:val="center"/>
          </w:tcPr>
          <w:p w14:paraId="3FF66D25">
            <w:pPr>
              <w:keepNext/>
              <w:spacing w:before="20" w:after="20" w:line="240" w:lineRule="auto"/>
              <w:ind w:firstLine="0"/>
              <w:jc w:val="center"/>
            </w:pPr>
            <w:r>
              <w:rPr>
                <w:rFonts w:ascii="Times New Roman" w:hAnsi="Times New Roman" w:eastAsia="宋体"/>
                <w:b w:val="0"/>
                <w:color w:val="000000"/>
                <w:sz w:val="18"/>
              </w:rPr>
              <w:t>0.103***</w:t>
            </w:r>
          </w:p>
        </w:tc>
        <w:tc>
          <w:tcPr>
            <w:tcW w:w="1513" w:type="dxa"/>
            <w:vAlign w:val="center"/>
          </w:tcPr>
          <w:p w14:paraId="0B839F9A">
            <w:pPr>
              <w:keepNext/>
              <w:spacing w:before="20" w:after="20" w:line="240" w:lineRule="auto"/>
              <w:ind w:firstLine="0"/>
              <w:jc w:val="center"/>
            </w:pPr>
            <w:r>
              <w:rPr>
                <w:rFonts w:ascii="Times New Roman" w:hAnsi="Times New Roman" w:eastAsia="宋体"/>
                <w:b w:val="0"/>
                <w:color w:val="000000"/>
                <w:sz w:val="18"/>
              </w:rPr>
              <w:t>3.970</w:t>
            </w:r>
          </w:p>
        </w:tc>
      </w:tr>
      <w:tr w14:paraId="56517D5F">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2A177A85">
            <w:pPr>
              <w:spacing w:before="20" w:after="20" w:line="240" w:lineRule="auto"/>
              <w:ind w:firstLine="0"/>
              <w:jc w:val="center"/>
            </w:pPr>
            <w:r>
              <w:rPr>
                <w:rFonts w:ascii="Times New Roman" w:hAnsi="Times New Roman" w:eastAsia="宋体"/>
                <w:b w:val="0"/>
                <w:color w:val="000000"/>
                <w:sz w:val="18"/>
              </w:rPr>
              <w:t>2018</w:t>
            </w:r>
          </w:p>
        </w:tc>
        <w:tc>
          <w:tcPr>
            <w:tcW w:w="1513" w:type="dxa"/>
            <w:vAlign w:val="center"/>
          </w:tcPr>
          <w:p w14:paraId="47825ECF">
            <w:pPr>
              <w:spacing w:before="20" w:after="20" w:line="240" w:lineRule="auto"/>
              <w:ind w:firstLine="0"/>
              <w:jc w:val="center"/>
            </w:pPr>
            <w:r>
              <w:rPr>
                <w:rFonts w:ascii="Times New Roman" w:hAnsi="Times New Roman" w:eastAsia="宋体"/>
                <w:b w:val="0"/>
                <w:color w:val="000000"/>
                <w:sz w:val="18"/>
              </w:rPr>
              <w:t>0.109***</w:t>
            </w:r>
          </w:p>
        </w:tc>
        <w:tc>
          <w:tcPr>
            <w:tcW w:w="1513" w:type="dxa"/>
            <w:vAlign w:val="center"/>
          </w:tcPr>
          <w:p w14:paraId="4522ACB9">
            <w:pPr>
              <w:spacing w:before="20" w:after="20" w:line="240" w:lineRule="auto"/>
              <w:ind w:firstLine="0"/>
              <w:jc w:val="center"/>
            </w:pPr>
            <w:r>
              <w:rPr>
                <w:rFonts w:ascii="Times New Roman" w:hAnsi="Times New Roman" w:eastAsia="宋体"/>
                <w:b w:val="0"/>
                <w:color w:val="000000"/>
                <w:sz w:val="18"/>
              </w:rPr>
              <w:t>4.112</w:t>
            </w:r>
          </w:p>
        </w:tc>
        <w:tc>
          <w:tcPr>
            <w:tcW w:w="1513" w:type="dxa"/>
            <w:vAlign w:val="center"/>
          </w:tcPr>
          <w:p w14:paraId="2E36171C">
            <w:pPr>
              <w:spacing w:before="20" w:after="20" w:line="240" w:lineRule="auto"/>
              <w:ind w:firstLine="0"/>
              <w:jc w:val="center"/>
            </w:pPr>
            <w:r>
              <w:rPr>
                <w:rFonts w:ascii="Times New Roman" w:hAnsi="Times New Roman" w:eastAsia="宋体"/>
                <w:b w:val="0"/>
                <w:color w:val="000000"/>
                <w:sz w:val="18"/>
              </w:rPr>
              <w:t>2023</w:t>
            </w:r>
          </w:p>
        </w:tc>
        <w:tc>
          <w:tcPr>
            <w:tcW w:w="1513" w:type="dxa"/>
            <w:vAlign w:val="center"/>
          </w:tcPr>
          <w:p w14:paraId="726CFC33">
            <w:pPr>
              <w:spacing w:before="20" w:after="20" w:line="240" w:lineRule="auto"/>
              <w:ind w:firstLine="0"/>
              <w:jc w:val="center"/>
            </w:pPr>
            <w:r>
              <w:rPr>
                <w:rFonts w:ascii="Times New Roman" w:hAnsi="Times New Roman" w:eastAsia="宋体"/>
                <w:b w:val="0"/>
                <w:color w:val="000000"/>
                <w:sz w:val="18"/>
              </w:rPr>
              <w:t>0.097***</w:t>
            </w:r>
          </w:p>
        </w:tc>
        <w:tc>
          <w:tcPr>
            <w:tcW w:w="1513" w:type="dxa"/>
            <w:vAlign w:val="center"/>
          </w:tcPr>
          <w:p w14:paraId="5238C260">
            <w:pPr>
              <w:spacing w:before="20" w:after="20" w:line="240" w:lineRule="auto"/>
              <w:ind w:firstLine="0"/>
              <w:jc w:val="center"/>
            </w:pPr>
            <w:r>
              <w:rPr>
                <w:rFonts w:ascii="Times New Roman" w:hAnsi="Times New Roman" w:eastAsia="宋体"/>
                <w:b w:val="0"/>
                <w:color w:val="000000"/>
                <w:sz w:val="18"/>
              </w:rPr>
              <w:t>3.828</w:t>
            </w:r>
          </w:p>
        </w:tc>
      </w:tr>
    </w:tbl>
    <w:p w14:paraId="1725C6AA">
      <w:pPr>
        <w:pStyle w:val="3"/>
        <w:spacing w:before="40" w:after="80" w:line="240" w:lineRule="auto"/>
        <w:ind w:firstLine="0"/>
        <w:jc w:val="both"/>
      </w:pPr>
      <w:r>
        <w:rPr>
          <w:rFonts w:hint="eastAsia" w:ascii="Times New Roman" w:hAnsi="Times New Roman" w:eastAsia="宋体"/>
          <w:color w:val="000000"/>
          <w:sz w:val="18"/>
        </w:rPr>
        <w:t>注：***表示在1%水平显著。</w:t>
      </w:r>
    </w:p>
    <w:p w14:paraId="25382D62">
      <w:pPr>
        <w:widowControl/>
        <w:spacing w:before="0" w:after="60" w:line="360" w:lineRule="auto"/>
        <w:ind w:left="0" w:right="0" w:firstLine="420"/>
        <w:jc w:val="both"/>
        <w:rPr>
          <w:rFonts w:hint="eastAsia" w:ascii="Times New Roman" w:hAnsi="Times New Roman" w:eastAsia="宋体"/>
          <w:color w:val="000000"/>
          <w:sz w:val="21"/>
        </w:rPr>
      </w:pPr>
      <w:r>
        <w:rPr>
          <w:rFonts w:hint="eastAsia" w:ascii="Times New Roman" w:hAnsi="Times New Roman" w:eastAsia="宋体"/>
          <w:color w:val="000000"/>
          <w:sz w:val="21"/>
        </w:rPr>
        <w:t>为进一步考察省域CNTI的局部空间关联特征，图3绘制了2014、2017、2020和2023年的Moran散点图。四个年份的拟合线均呈正斜率，省份主要分布于第一和第三象限，说明高创新水平地区较多与高水平邻域相邻，低创新水平地区也较多与低水平邻域相邻，表现出较明显的同类空间集聚特征。少数省份落入第二和第四象限，表明局部地区仍存在高低值错位现象。</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6"/>
        <w:gridCol w:w="4536"/>
      </w:tblGrid>
      <w:tr w14:paraId="466A5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393" w:type="dxa"/>
            <w:vAlign w:val="center"/>
          </w:tcPr>
          <w:p w14:paraId="5FC12C1A">
            <w:pPr>
              <w:spacing w:after="40"/>
              <w:jc w:val="center"/>
              <w:rPr>
                <w:rFonts w:hint="eastAsia" w:eastAsia="宋体"/>
                <w:lang w:eastAsia="zh-CN"/>
              </w:rPr>
            </w:pPr>
            <w:r>
              <w:rPr>
                <w:rFonts w:hint="eastAsia" w:eastAsia="宋体"/>
                <w:lang w:eastAsia="zh-CN"/>
              </w:rPr>
              <w:drawing>
                <wp:inline distT="0" distB="0" distL="114300" distR="114300">
                  <wp:extent cx="2457450" cy="1720850"/>
                  <wp:effectExtent l="0" t="0" r="6350" b="6350"/>
                  <wp:docPr id="5" name="图片 5" descr="2afaa3e673e9b42d46b1c0cbcf259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afaa3e673e9b42d46b1c0cbcf2598aa"/>
                          <pic:cNvPicPr>
                            <a:picLocks noChangeAspect="1"/>
                          </pic:cNvPicPr>
                        </pic:nvPicPr>
                        <pic:blipFill>
                          <a:blip r:embed="rId8"/>
                          <a:stretch>
                            <a:fillRect/>
                          </a:stretch>
                        </pic:blipFill>
                        <pic:spPr>
                          <a:xfrm>
                            <a:off x="0" y="0"/>
                            <a:ext cx="2457450" cy="1720850"/>
                          </a:xfrm>
                          <a:prstGeom prst="rect">
                            <a:avLst/>
                          </a:prstGeom>
                        </pic:spPr>
                      </pic:pic>
                    </a:graphicData>
                  </a:graphic>
                </wp:inline>
              </w:drawing>
            </w:r>
          </w:p>
          <w:p w14:paraId="7E0D5D97">
            <w:pPr>
              <w:spacing w:after="40"/>
              <w:ind w:firstLine="381" w:firstLineChars="200"/>
              <w:jc w:val="center"/>
            </w:pPr>
            <w:r>
              <w:rPr>
                <w:rFonts w:ascii="Times New Roman" w:hAnsi="Times New Roman" w:eastAsia="黑体"/>
                <w:b/>
                <w:color w:val="000000"/>
                <w:sz w:val="19"/>
              </w:rPr>
              <w:t>(a) 2014</w:t>
            </w:r>
          </w:p>
        </w:tc>
        <w:tc>
          <w:tcPr>
            <w:tcW w:w="4393" w:type="dxa"/>
            <w:vAlign w:val="center"/>
          </w:tcPr>
          <w:p w14:paraId="529CE5C1">
            <w:pPr>
              <w:spacing w:after="40"/>
              <w:jc w:val="center"/>
              <w:rPr>
                <w:rFonts w:hint="eastAsia" w:eastAsia="宋体"/>
                <w:lang w:eastAsia="zh-CN"/>
              </w:rPr>
            </w:pPr>
            <w:r>
              <w:rPr>
                <w:rFonts w:hint="eastAsia" w:eastAsia="宋体"/>
                <w:lang w:eastAsia="zh-CN"/>
              </w:rPr>
              <w:drawing>
                <wp:inline distT="0" distB="0" distL="114300" distR="114300">
                  <wp:extent cx="2467610" cy="1729740"/>
                  <wp:effectExtent l="0" t="0" r="8890" b="10160"/>
                  <wp:docPr id="6" name="图片 6" descr="5fe7e862adc113bb94469b32765b8e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e7e862adc113bb94469b32765b8e3e"/>
                          <pic:cNvPicPr>
                            <a:picLocks noChangeAspect="1"/>
                          </pic:cNvPicPr>
                        </pic:nvPicPr>
                        <pic:blipFill>
                          <a:blip r:embed="rId9"/>
                          <a:stretch>
                            <a:fillRect/>
                          </a:stretch>
                        </pic:blipFill>
                        <pic:spPr>
                          <a:xfrm>
                            <a:off x="0" y="0"/>
                            <a:ext cx="2467610" cy="1729740"/>
                          </a:xfrm>
                          <a:prstGeom prst="rect">
                            <a:avLst/>
                          </a:prstGeom>
                        </pic:spPr>
                      </pic:pic>
                    </a:graphicData>
                  </a:graphic>
                </wp:inline>
              </w:drawing>
            </w:r>
          </w:p>
          <w:p w14:paraId="594AAB63">
            <w:pPr>
              <w:spacing w:after="40"/>
              <w:ind w:firstLine="381" w:firstLineChars="200"/>
              <w:jc w:val="center"/>
            </w:pPr>
            <w:r>
              <w:rPr>
                <w:rFonts w:ascii="Times New Roman" w:hAnsi="Times New Roman" w:eastAsia="黑体"/>
                <w:b/>
                <w:color w:val="000000"/>
                <w:sz w:val="19"/>
              </w:rPr>
              <w:t>(b) 2017</w:t>
            </w:r>
          </w:p>
        </w:tc>
      </w:tr>
      <w:tr w14:paraId="3C2EB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393" w:type="dxa"/>
            <w:vAlign w:val="center"/>
          </w:tcPr>
          <w:p w14:paraId="03E65E72">
            <w:pPr>
              <w:spacing w:after="40"/>
              <w:jc w:val="center"/>
              <w:rPr>
                <w:rFonts w:hint="eastAsia" w:eastAsia="宋体"/>
                <w:lang w:eastAsia="zh-CN"/>
              </w:rPr>
            </w:pPr>
            <w:r>
              <w:rPr>
                <w:rFonts w:hint="eastAsia" w:eastAsia="宋体"/>
                <w:lang w:eastAsia="zh-CN"/>
              </w:rPr>
              <w:drawing>
                <wp:inline distT="0" distB="0" distL="114300" distR="114300">
                  <wp:extent cx="2477770" cy="1715135"/>
                  <wp:effectExtent l="0" t="0" r="11430" b="12065"/>
                  <wp:docPr id="7" name="图片 7" descr="bd11b8ddeaec2853c37fe749033f5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11b8ddeaec2853c37fe749033f5b00"/>
                          <pic:cNvPicPr>
                            <a:picLocks noChangeAspect="1"/>
                          </pic:cNvPicPr>
                        </pic:nvPicPr>
                        <pic:blipFill>
                          <a:blip r:embed="rId10"/>
                          <a:stretch>
                            <a:fillRect/>
                          </a:stretch>
                        </pic:blipFill>
                        <pic:spPr>
                          <a:xfrm>
                            <a:off x="0" y="0"/>
                            <a:ext cx="2477770" cy="1715135"/>
                          </a:xfrm>
                          <a:prstGeom prst="rect">
                            <a:avLst/>
                          </a:prstGeom>
                        </pic:spPr>
                      </pic:pic>
                    </a:graphicData>
                  </a:graphic>
                </wp:inline>
              </w:drawing>
            </w:r>
          </w:p>
          <w:p w14:paraId="15AC3F41">
            <w:pPr>
              <w:spacing w:after="40"/>
              <w:ind w:firstLine="381" w:firstLineChars="200"/>
              <w:jc w:val="center"/>
            </w:pPr>
            <w:r>
              <w:rPr>
                <w:rFonts w:ascii="Times New Roman" w:hAnsi="Times New Roman" w:eastAsia="黑体"/>
                <w:b/>
                <w:color w:val="000000"/>
                <w:sz w:val="19"/>
              </w:rPr>
              <w:t>(c) 2020</w:t>
            </w:r>
          </w:p>
        </w:tc>
        <w:tc>
          <w:tcPr>
            <w:tcW w:w="4393" w:type="dxa"/>
            <w:vAlign w:val="center"/>
          </w:tcPr>
          <w:p w14:paraId="580E3CF6">
            <w:pPr>
              <w:spacing w:after="40"/>
              <w:jc w:val="center"/>
              <w:rPr>
                <w:rFonts w:hint="eastAsia" w:eastAsia="宋体"/>
                <w:lang w:eastAsia="zh-CN"/>
              </w:rPr>
            </w:pPr>
            <w:r>
              <w:rPr>
                <w:rFonts w:hint="eastAsia" w:eastAsia="宋体"/>
                <w:lang w:eastAsia="zh-CN"/>
              </w:rPr>
              <w:drawing>
                <wp:inline distT="0" distB="0" distL="114300" distR="114300">
                  <wp:extent cx="2465705" cy="1741170"/>
                  <wp:effectExtent l="0" t="0" r="10795" b="11430"/>
                  <wp:docPr id="8" name="图片 8" descr="7422b59856630a486c434162ab4ed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422b59856630a486c434162ab4ed09e"/>
                          <pic:cNvPicPr>
                            <a:picLocks noChangeAspect="1"/>
                          </pic:cNvPicPr>
                        </pic:nvPicPr>
                        <pic:blipFill>
                          <a:blip r:embed="rId11"/>
                          <a:stretch>
                            <a:fillRect/>
                          </a:stretch>
                        </pic:blipFill>
                        <pic:spPr>
                          <a:xfrm>
                            <a:off x="0" y="0"/>
                            <a:ext cx="2465705" cy="1741170"/>
                          </a:xfrm>
                          <a:prstGeom prst="rect">
                            <a:avLst/>
                          </a:prstGeom>
                        </pic:spPr>
                      </pic:pic>
                    </a:graphicData>
                  </a:graphic>
                </wp:inline>
              </w:drawing>
            </w:r>
          </w:p>
          <w:p w14:paraId="2DA80057">
            <w:pPr>
              <w:spacing w:after="40"/>
              <w:ind w:firstLine="381" w:firstLineChars="200"/>
              <w:jc w:val="center"/>
            </w:pPr>
            <w:r>
              <w:rPr>
                <w:rFonts w:ascii="Times New Roman" w:hAnsi="Times New Roman" w:eastAsia="黑体"/>
                <w:b/>
                <w:color w:val="000000"/>
                <w:sz w:val="19"/>
              </w:rPr>
              <w:t>(d) 2023</w:t>
            </w:r>
          </w:p>
        </w:tc>
      </w:tr>
    </w:tbl>
    <w:p w14:paraId="6D13EA95">
      <w:pPr>
        <w:pStyle w:val="3"/>
        <w:keepNext w:val="0"/>
        <w:spacing w:before="40" w:after="100"/>
        <w:ind w:firstLine="0"/>
        <w:jc w:val="center"/>
      </w:pPr>
      <w:r>
        <w:rPr>
          <w:rFonts w:hint="eastAsia" w:ascii="Times New Roman" w:hAnsi="Times New Roman" w:eastAsia="宋体"/>
          <w:b/>
          <w:bCs/>
          <w:color w:val="000000"/>
          <w:sz w:val="21"/>
        </w:rPr>
        <w:t>图3</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2014、2017、2020和2023年CNTI的Moran散点图</w:t>
      </w:r>
    </w:p>
    <w:p w14:paraId="2F03BB0A">
      <w:pPr>
        <w:widowControl/>
        <w:spacing w:before="0" w:after="60" w:line="360" w:lineRule="auto"/>
        <w:ind w:left="0" w:right="0" w:firstLine="420"/>
        <w:jc w:val="both"/>
      </w:pPr>
      <w:r>
        <w:rPr>
          <w:rFonts w:hint="eastAsia" w:ascii="Times New Roman" w:hAnsi="Times New Roman" w:eastAsia="宋体"/>
          <w:color w:val="000000"/>
          <w:sz w:val="21"/>
        </w:rPr>
        <w:t>Moran散点图反映的是省域CNTI与空间滞后项的象限分布，显著的局部集聚还需结合LISA检验判断。图4显示，高—高集聚区主要分布于东部及部分中部地区，低—低集聚区则更多位于西部地区；高—低和低—高类型数量相对较少，且不同年份间存在一定变化。与此同时，多数省份未通过局部空间相关性检验，说明省域CNTI的空间集聚主要集中于部分地区，而非形成全国范围的普遍集聚。</w:t>
      </w:r>
    </w:p>
    <w:p w14:paraId="7D4E92A3">
      <w:pPr>
        <w:keepLines/>
        <w:spacing w:before="80" w:after="60"/>
        <w:ind w:firstLine="0"/>
        <w:jc w:val="center"/>
      </w:pPr>
      <w:r>
        <w:drawing>
          <wp:inline distT="0" distB="0" distL="114300" distR="114300">
            <wp:extent cx="5759450" cy="3236595"/>
            <wp:effectExtent l="0" t="0" r="0" b="0"/>
            <wp:docPr id="47" name="Picture" descr="2014、2017、2020和2023年CNTI的LISA聚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2014、2017、2020和2023年CNTI的LISA聚类"/>
                    <pic:cNvPicPr>
                      <a:picLocks noChangeAspect="1" noChangeArrowheads="1"/>
                    </pic:cNvPicPr>
                  </pic:nvPicPr>
                  <pic:blipFill>
                    <a:blip r:embed="rId12"/>
                    <a:stretch>
                      <a:fillRect/>
                    </a:stretch>
                  </pic:blipFill>
                  <pic:spPr>
                    <a:xfrm>
                      <a:off x="0" y="0"/>
                      <a:ext cx="5760000" cy="3237088"/>
                    </a:xfrm>
                    <a:prstGeom prst="rect">
                      <a:avLst/>
                    </a:prstGeom>
                    <a:noFill/>
                    <a:ln w="9525">
                      <a:noFill/>
                    </a:ln>
                  </pic:spPr>
                </pic:pic>
              </a:graphicData>
            </a:graphic>
          </wp:inline>
        </w:drawing>
      </w:r>
    </w:p>
    <w:p w14:paraId="47F726EB">
      <w:pPr>
        <w:pStyle w:val="3"/>
        <w:keepNext w:val="0"/>
        <w:spacing w:before="40" w:after="100"/>
        <w:ind w:firstLine="0"/>
        <w:jc w:val="center"/>
      </w:pPr>
      <w:r>
        <w:rPr>
          <w:rFonts w:hint="eastAsia" w:ascii="Times New Roman" w:hAnsi="Times New Roman" w:eastAsia="宋体"/>
          <w:b/>
          <w:bCs/>
          <w:color w:val="000000"/>
          <w:sz w:val="21"/>
        </w:rPr>
        <w:t>图4</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2014、2017、2020和2023年CNTI的LISA聚类</w:t>
      </w:r>
    </w:p>
    <w:bookmarkEnd w:id="20"/>
    <w:p w14:paraId="6E4C1A4B">
      <w:pPr>
        <w:pStyle w:val="5"/>
        <w:keepNext/>
        <w:keepLines/>
        <w:spacing w:before="160" w:after="80"/>
        <w:ind w:firstLine="0"/>
      </w:pPr>
      <w:bookmarkStart w:id="21" w:name="markov状态转移与空间条件差异"/>
      <w:r>
        <w:rPr>
          <w:rFonts w:ascii="Times New Roman" w:hAnsi="Times New Roman" w:eastAsia="黑体"/>
          <w:b/>
          <w:color w:val="000000"/>
          <w:sz w:val="28"/>
        </w:rPr>
        <w:t>5.1.3 空间跃迁</w:t>
      </w:r>
    </w:p>
    <w:p w14:paraId="02B1F342">
      <w:pPr>
        <w:widowControl/>
        <w:spacing w:before="0" w:after="60" w:line="360" w:lineRule="auto"/>
        <w:ind w:left="0" w:right="0" w:firstLine="420"/>
        <w:jc w:val="both"/>
      </w:pPr>
      <w:r>
        <w:rPr>
          <w:rFonts w:hint="eastAsia" w:ascii="Times New Roman" w:hAnsi="Times New Roman" w:eastAsia="宋体"/>
          <w:color w:val="000000"/>
          <w:sz w:val="21"/>
        </w:rPr>
        <w:t>表4报告了2014—2023年CNTI的传统Markov转移概率。低、中、高三类状态的保持概率分别为95.96%、88.89%和93.33%，均明显高于向其他状态转移的概率，表明省域CNTI具有较强的状态稳定性。与此同时，低状态向高状态、高状态向低状态的跨级转移概率均为0，状态变化主要发生在低—中和中—高相邻等级之间，说明省域碳中和技术创新存在较明显的路径依赖，短期内实现跨越式跃迁的可能性较低</w:t>
      </w:r>
      <w:r>
        <w:rPr>
          <w:rFonts w:hint="eastAsia"/>
          <w:color w:val="000000"/>
          <w:sz w:val="21"/>
          <w:lang w:eastAsia="zh-CN"/>
        </w:rPr>
        <w:t>。</w:t>
      </w:r>
    </w:p>
    <w:p w14:paraId="4F700370">
      <w:pPr>
        <w:pStyle w:val="3"/>
        <w:keepNext/>
        <w:spacing w:before="100" w:after="60"/>
        <w:ind w:firstLine="0"/>
        <w:jc w:val="center"/>
      </w:pPr>
      <w:r>
        <w:rPr>
          <w:rFonts w:hint="eastAsia" w:ascii="Times New Roman" w:hAnsi="Times New Roman" w:eastAsia="宋体"/>
          <w:b/>
          <w:bCs/>
          <w:color w:val="000000"/>
          <w:sz w:val="21"/>
        </w:rPr>
        <w:t>表4</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CNTI的传统Markov转移概率</w:t>
      </w:r>
    </w:p>
    <w:tbl>
      <w:tblPr>
        <w:tblStyle w:val="11"/>
        <w:tblW w:w="0" w:type="auto"/>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0"/>
        <w:gridCol w:w="1980"/>
        <w:gridCol w:w="1980"/>
        <w:gridCol w:w="1980"/>
      </w:tblGrid>
      <w:tr w14:paraId="49FA63E3">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7" w:type="dxa"/>
            <w:tcBorders>
              <w:bottom w:val="single" w:color="7F8C8D" w:sz="6" w:space="0"/>
            </w:tcBorders>
            <w:shd w:val="clear" w:color="auto" w:fill="DCE6F1"/>
            <w:vAlign w:val="center"/>
          </w:tcPr>
          <w:p w14:paraId="39487397">
            <w:pPr>
              <w:keepNext/>
              <w:spacing w:before="20" w:after="20" w:line="240" w:lineRule="auto"/>
              <w:ind w:firstLine="0"/>
              <w:jc w:val="center"/>
            </w:pPr>
            <w:r>
              <w:rPr>
                <w:rFonts w:hint="eastAsia" w:ascii="Times New Roman" w:hAnsi="Times New Roman" w:eastAsia="宋体"/>
                <w:b/>
                <w:color w:val="000000"/>
                <w:sz w:val="18"/>
              </w:rPr>
              <w:t>期初状态</w:t>
            </w:r>
          </w:p>
        </w:tc>
        <w:tc>
          <w:tcPr>
            <w:tcW w:w="2267" w:type="dxa"/>
            <w:tcBorders>
              <w:bottom w:val="single" w:color="7F8C8D" w:sz="6" w:space="0"/>
            </w:tcBorders>
            <w:shd w:val="clear" w:color="auto" w:fill="DCE6F1"/>
            <w:vAlign w:val="center"/>
          </w:tcPr>
          <w:p w14:paraId="1D8395CD">
            <w:pPr>
              <w:keepNext/>
              <w:spacing w:before="20" w:after="20" w:line="240" w:lineRule="auto"/>
              <w:ind w:firstLine="0"/>
              <w:jc w:val="center"/>
            </w:pPr>
            <w:r>
              <w:rPr>
                <w:rFonts w:hint="eastAsia" w:ascii="Times New Roman" w:hAnsi="Times New Roman" w:eastAsia="宋体"/>
                <w:b/>
                <w:color w:val="000000"/>
                <w:sz w:val="18"/>
              </w:rPr>
              <w:t>转向低状态（%）</w:t>
            </w:r>
          </w:p>
        </w:tc>
        <w:tc>
          <w:tcPr>
            <w:tcW w:w="2267" w:type="dxa"/>
            <w:tcBorders>
              <w:bottom w:val="single" w:color="7F8C8D" w:sz="6" w:space="0"/>
            </w:tcBorders>
            <w:shd w:val="clear" w:color="auto" w:fill="DCE6F1"/>
            <w:vAlign w:val="center"/>
          </w:tcPr>
          <w:p w14:paraId="2996A734">
            <w:pPr>
              <w:keepNext/>
              <w:spacing w:before="20" w:after="20" w:line="240" w:lineRule="auto"/>
              <w:ind w:firstLine="0"/>
              <w:jc w:val="center"/>
            </w:pPr>
            <w:r>
              <w:rPr>
                <w:rFonts w:hint="eastAsia" w:ascii="Times New Roman" w:hAnsi="Times New Roman" w:eastAsia="宋体"/>
                <w:b/>
                <w:color w:val="000000"/>
                <w:sz w:val="18"/>
              </w:rPr>
              <w:t>转向中状态（%）</w:t>
            </w:r>
          </w:p>
        </w:tc>
        <w:tc>
          <w:tcPr>
            <w:tcW w:w="2267" w:type="dxa"/>
            <w:tcBorders>
              <w:bottom w:val="single" w:color="7F8C8D" w:sz="6" w:space="0"/>
            </w:tcBorders>
            <w:shd w:val="clear" w:color="auto" w:fill="DCE6F1"/>
            <w:vAlign w:val="center"/>
          </w:tcPr>
          <w:p w14:paraId="3E48A5F5">
            <w:pPr>
              <w:keepNext/>
              <w:spacing w:before="20" w:after="20" w:line="240" w:lineRule="auto"/>
              <w:ind w:firstLine="0"/>
              <w:jc w:val="center"/>
            </w:pPr>
            <w:r>
              <w:rPr>
                <w:rFonts w:hint="eastAsia" w:ascii="Times New Roman" w:hAnsi="Times New Roman" w:eastAsia="宋体"/>
                <w:b/>
                <w:color w:val="000000"/>
                <w:sz w:val="18"/>
              </w:rPr>
              <w:t>转向高状态（%）</w:t>
            </w:r>
          </w:p>
        </w:tc>
      </w:tr>
      <w:tr w14:paraId="19BD723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7" w:type="dxa"/>
            <w:vAlign w:val="center"/>
          </w:tcPr>
          <w:p w14:paraId="297B170A">
            <w:pPr>
              <w:keepNext/>
              <w:spacing w:before="20" w:after="20" w:line="240" w:lineRule="auto"/>
              <w:ind w:firstLine="0"/>
              <w:jc w:val="center"/>
            </w:pPr>
            <w:r>
              <w:rPr>
                <w:rFonts w:hint="eastAsia" w:ascii="Times New Roman" w:hAnsi="Times New Roman" w:eastAsia="宋体"/>
                <w:b w:val="0"/>
                <w:color w:val="000000"/>
                <w:sz w:val="18"/>
              </w:rPr>
              <w:t>低状态</w:t>
            </w:r>
          </w:p>
        </w:tc>
        <w:tc>
          <w:tcPr>
            <w:tcW w:w="2267" w:type="dxa"/>
            <w:vAlign w:val="center"/>
          </w:tcPr>
          <w:p w14:paraId="2DA08396">
            <w:pPr>
              <w:keepNext/>
              <w:spacing w:before="20" w:after="20" w:line="240" w:lineRule="auto"/>
              <w:ind w:firstLine="0"/>
              <w:jc w:val="center"/>
            </w:pPr>
            <w:r>
              <w:rPr>
                <w:rFonts w:ascii="Times New Roman" w:hAnsi="Times New Roman" w:eastAsia="宋体"/>
                <w:b w:val="0"/>
                <w:color w:val="000000"/>
                <w:sz w:val="18"/>
              </w:rPr>
              <w:t>95.96</w:t>
            </w:r>
          </w:p>
        </w:tc>
        <w:tc>
          <w:tcPr>
            <w:tcW w:w="2267" w:type="dxa"/>
            <w:vAlign w:val="center"/>
          </w:tcPr>
          <w:p w14:paraId="60109477">
            <w:pPr>
              <w:keepNext/>
              <w:spacing w:before="20" w:after="20" w:line="240" w:lineRule="auto"/>
              <w:ind w:firstLine="0"/>
              <w:jc w:val="center"/>
            </w:pPr>
            <w:r>
              <w:rPr>
                <w:rFonts w:ascii="Times New Roman" w:hAnsi="Times New Roman" w:eastAsia="宋体"/>
                <w:b w:val="0"/>
                <w:color w:val="000000"/>
                <w:sz w:val="18"/>
              </w:rPr>
              <w:t>4.04</w:t>
            </w:r>
          </w:p>
        </w:tc>
        <w:tc>
          <w:tcPr>
            <w:tcW w:w="2267" w:type="dxa"/>
            <w:vAlign w:val="center"/>
          </w:tcPr>
          <w:p w14:paraId="6500578C">
            <w:pPr>
              <w:keepNext/>
              <w:spacing w:before="20" w:after="20" w:line="240" w:lineRule="auto"/>
              <w:ind w:firstLine="0"/>
              <w:jc w:val="center"/>
            </w:pPr>
            <w:r>
              <w:rPr>
                <w:rFonts w:ascii="Times New Roman" w:hAnsi="Times New Roman" w:eastAsia="宋体"/>
                <w:b w:val="0"/>
                <w:color w:val="000000"/>
                <w:sz w:val="18"/>
              </w:rPr>
              <w:t>0.00</w:t>
            </w:r>
          </w:p>
        </w:tc>
      </w:tr>
      <w:tr w14:paraId="756341D9">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7" w:type="dxa"/>
            <w:vAlign w:val="center"/>
          </w:tcPr>
          <w:p w14:paraId="4DA18EDC">
            <w:pPr>
              <w:keepNext/>
              <w:spacing w:before="20" w:after="20" w:line="240" w:lineRule="auto"/>
              <w:ind w:firstLine="0"/>
              <w:jc w:val="center"/>
            </w:pPr>
            <w:r>
              <w:rPr>
                <w:rFonts w:hint="eastAsia" w:ascii="Times New Roman" w:hAnsi="Times New Roman" w:eastAsia="宋体"/>
                <w:b w:val="0"/>
                <w:color w:val="000000"/>
                <w:sz w:val="18"/>
              </w:rPr>
              <w:t>中状态</w:t>
            </w:r>
          </w:p>
        </w:tc>
        <w:tc>
          <w:tcPr>
            <w:tcW w:w="2267" w:type="dxa"/>
            <w:vAlign w:val="center"/>
          </w:tcPr>
          <w:p w14:paraId="7838E25F">
            <w:pPr>
              <w:keepNext/>
              <w:spacing w:before="20" w:after="20" w:line="240" w:lineRule="auto"/>
              <w:ind w:firstLine="0"/>
              <w:jc w:val="center"/>
            </w:pPr>
            <w:r>
              <w:rPr>
                <w:rFonts w:ascii="Times New Roman" w:hAnsi="Times New Roman" w:eastAsia="宋体"/>
                <w:b w:val="0"/>
                <w:color w:val="000000"/>
                <w:sz w:val="18"/>
              </w:rPr>
              <w:t>4.44</w:t>
            </w:r>
          </w:p>
        </w:tc>
        <w:tc>
          <w:tcPr>
            <w:tcW w:w="2267" w:type="dxa"/>
            <w:vAlign w:val="center"/>
          </w:tcPr>
          <w:p w14:paraId="438A8287">
            <w:pPr>
              <w:keepNext/>
              <w:spacing w:before="20" w:after="20" w:line="240" w:lineRule="auto"/>
              <w:ind w:firstLine="0"/>
              <w:jc w:val="center"/>
            </w:pPr>
            <w:r>
              <w:rPr>
                <w:rFonts w:ascii="Times New Roman" w:hAnsi="Times New Roman" w:eastAsia="宋体"/>
                <w:b w:val="0"/>
                <w:color w:val="000000"/>
                <w:sz w:val="18"/>
              </w:rPr>
              <w:t>88.89</w:t>
            </w:r>
          </w:p>
        </w:tc>
        <w:tc>
          <w:tcPr>
            <w:tcW w:w="2267" w:type="dxa"/>
            <w:vAlign w:val="center"/>
          </w:tcPr>
          <w:p w14:paraId="2411A753">
            <w:pPr>
              <w:keepNext/>
              <w:spacing w:before="20" w:after="20" w:line="240" w:lineRule="auto"/>
              <w:ind w:firstLine="0"/>
              <w:jc w:val="center"/>
            </w:pPr>
            <w:r>
              <w:rPr>
                <w:rFonts w:ascii="Times New Roman" w:hAnsi="Times New Roman" w:eastAsia="宋体"/>
                <w:b w:val="0"/>
                <w:color w:val="000000"/>
                <w:sz w:val="18"/>
              </w:rPr>
              <w:t>6.67</w:t>
            </w:r>
          </w:p>
        </w:tc>
      </w:tr>
      <w:tr w14:paraId="480E250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7" w:type="dxa"/>
            <w:vAlign w:val="center"/>
          </w:tcPr>
          <w:p w14:paraId="252D13F2">
            <w:pPr>
              <w:spacing w:before="20" w:after="20" w:line="240" w:lineRule="auto"/>
              <w:ind w:firstLine="0"/>
              <w:jc w:val="center"/>
            </w:pPr>
            <w:r>
              <w:rPr>
                <w:rFonts w:hint="eastAsia" w:ascii="Times New Roman" w:hAnsi="Times New Roman" w:eastAsia="宋体"/>
                <w:b w:val="0"/>
                <w:color w:val="000000"/>
                <w:sz w:val="18"/>
              </w:rPr>
              <w:t>高状态</w:t>
            </w:r>
          </w:p>
        </w:tc>
        <w:tc>
          <w:tcPr>
            <w:tcW w:w="2267" w:type="dxa"/>
            <w:vAlign w:val="center"/>
          </w:tcPr>
          <w:p w14:paraId="31332D57">
            <w:pPr>
              <w:spacing w:before="20" w:after="20" w:line="240" w:lineRule="auto"/>
              <w:ind w:firstLine="0"/>
              <w:jc w:val="center"/>
            </w:pPr>
            <w:r>
              <w:rPr>
                <w:rFonts w:ascii="Times New Roman" w:hAnsi="Times New Roman" w:eastAsia="宋体"/>
                <w:b w:val="0"/>
                <w:color w:val="000000"/>
                <w:sz w:val="18"/>
              </w:rPr>
              <w:t>0.00</w:t>
            </w:r>
          </w:p>
        </w:tc>
        <w:tc>
          <w:tcPr>
            <w:tcW w:w="2267" w:type="dxa"/>
            <w:vAlign w:val="center"/>
          </w:tcPr>
          <w:p w14:paraId="056BBACC">
            <w:pPr>
              <w:spacing w:before="20" w:after="20" w:line="240" w:lineRule="auto"/>
              <w:ind w:firstLine="0"/>
              <w:jc w:val="center"/>
            </w:pPr>
            <w:r>
              <w:rPr>
                <w:rFonts w:ascii="Times New Roman" w:hAnsi="Times New Roman" w:eastAsia="宋体"/>
                <w:b w:val="0"/>
                <w:color w:val="000000"/>
                <w:sz w:val="18"/>
              </w:rPr>
              <w:t>6.67</w:t>
            </w:r>
          </w:p>
        </w:tc>
        <w:tc>
          <w:tcPr>
            <w:tcW w:w="2267" w:type="dxa"/>
            <w:vAlign w:val="center"/>
          </w:tcPr>
          <w:p w14:paraId="15C784E7">
            <w:pPr>
              <w:spacing w:before="20" w:after="20" w:line="240" w:lineRule="auto"/>
              <w:ind w:firstLine="0"/>
              <w:jc w:val="center"/>
            </w:pPr>
            <w:r>
              <w:rPr>
                <w:rFonts w:ascii="Times New Roman" w:hAnsi="Times New Roman" w:eastAsia="宋体"/>
                <w:b w:val="0"/>
                <w:color w:val="000000"/>
                <w:sz w:val="18"/>
              </w:rPr>
              <w:t>93.33</w:t>
            </w:r>
          </w:p>
        </w:tc>
      </w:tr>
    </w:tbl>
    <w:p w14:paraId="71837F68">
      <w:pPr>
        <w:pStyle w:val="3"/>
        <w:spacing w:before="40" w:after="80" w:line="240" w:lineRule="auto"/>
        <w:ind w:firstLine="0"/>
        <w:jc w:val="both"/>
      </w:pPr>
      <w:r>
        <w:rPr>
          <w:rFonts w:hint="eastAsia" w:ascii="Times New Roman" w:hAnsi="Times New Roman" w:eastAsia="宋体"/>
          <w:color w:val="000000"/>
          <w:sz w:val="18"/>
        </w:rPr>
        <w:t>注：状态按各年度CNTI的分位点划分；每行概率之和为100%。</w:t>
      </w:r>
    </w:p>
    <w:p w14:paraId="47443CC3">
      <w:pPr>
        <w:widowControl/>
        <w:spacing w:before="0" w:after="60" w:line="360" w:lineRule="auto"/>
        <w:ind w:left="0" w:right="0" w:firstLine="420"/>
        <w:jc w:val="both"/>
      </w:pPr>
      <w:r>
        <w:rPr>
          <w:rFonts w:hint="eastAsia" w:ascii="Times New Roman" w:hAnsi="Times New Roman" w:eastAsia="宋体"/>
          <w:color w:val="000000"/>
          <w:sz w:val="21"/>
        </w:rPr>
        <w:t>进一步考虑邻域创新状态后，表5显示不同空间背景下的转移概率出现明显分化。中状态地区在低、中、高三类邻域下向高状态转移的概率分别为0、4.44%和16.67%，向低状态转移的概率则分别为14.29%、2.22%和0；高状态地区的保持概率也随邻域状态提高由85.71%上升至95.31%。可见，较高水平邻域与中状态地区向上跃迁以及高状态地区维持既有优势相伴。需要注意的是，高状态邻域下低状态向中状态转移的概率达到50%，但该条件单元的转移次数较少，不宜据此作一般化判断。上述结果表明，邻域创新环境与省域CNTI的状态迁移存在系统关联，与假设H1的预期一致。</w:t>
      </w:r>
    </w:p>
    <w:p w14:paraId="2FCE2790">
      <w:pPr>
        <w:pStyle w:val="3"/>
        <w:keepNext/>
        <w:spacing w:before="100" w:after="60"/>
        <w:ind w:firstLine="0"/>
        <w:jc w:val="center"/>
      </w:pPr>
      <w:r>
        <w:rPr>
          <w:rFonts w:hint="eastAsia" w:ascii="Times New Roman" w:hAnsi="Times New Roman" w:eastAsia="宋体"/>
          <w:b/>
          <w:bCs/>
          <w:color w:val="000000"/>
          <w:sz w:val="21"/>
        </w:rPr>
        <w:t>表5</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邻域状态条件下CNTI的空间Markov转移概率</w:t>
      </w:r>
    </w:p>
    <w:tbl>
      <w:tblPr>
        <w:tblStyle w:val="11"/>
        <w:tblW w:w="5000" w:type="pct"/>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8"/>
        <w:gridCol w:w="1858"/>
        <w:gridCol w:w="1858"/>
        <w:gridCol w:w="1858"/>
        <w:gridCol w:w="1858"/>
      </w:tblGrid>
      <w:tr w14:paraId="2570253D">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00" w:type="dxa"/>
            <w:tcBorders>
              <w:bottom w:val="single" w:color="7F8C8D" w:sz="6" w:space="0"/>
            </w:tcBorders>
            <w:shd w:val="clear" w:color="auto" w:fill="DCE6F1"/>
            <w:vAlign w:val="center"/>
          </w:tcPr>
          <w:p w14:paraId="17EA9F78">
            <w:pPr>
              <w:keepNext/>
              <w:spacing w:before="20" w:after="20" w:line="240" w:lineRule="auto"/>
              <w:ind w:firstLine="0"/>
              <w:jc w:val="center"/>
            </w:pPr>
            <w:r>
              <w:rPr>
                <w:rFonts w:hint="eastAsia" w:ascii="Times New Roman" w:hAnsi="Times New Roman" w:eastAsia="宋体"/>
                <w:b/>
                <w:color w:val="000000"/>
                <w:sz w:val="18"/>
              </w:rPr>
              <w:t>邻域状态</w:t>
            </w:r>
          </w:p>
        </w:tc>
        <w:tc>
          <w:tcPr>
            <w:tcW w:w="1700" w:type="dxa"/>
            <w:tcBorders>
              <w:bottom w:val="single" w:color="7F8C8D" w:sz="6" w:space="0"/>
            </w:tcBorders>
            <w:shd w:val="clear" w:color="auto" w:fill="DCE6F1"/>
            <w:vAlign w:val="center"/>
          </w:tcPr>
          <w:p w14:paraId="661EAB89">
            <w:pPr>
              <w:keepNext/>
              <w:spacing w:before="20" w:after="20" w:line="240" w:lineRule="auto"/>
              <w:ind w:firstLine="0"/>
              <w:jc w:val="center"/>
            </w:pPr>
            <w:r>
              <w:rPr>
                <w:rFonts w:hint="eastAsia" w:ascii="Times New Roman" w:hAnsi="Times New Roman" w:eastAsia="宋体"/>
                <w:b/>
                <w:color w:val="000000"/>
                <w:sz w:val="18"/>
              </w:rPr>
              <w:t>期初状态</w:t>
            </w:r>
          </w:p>
        </w:tc>
        <w:tc>
          <w:tcPr>
            <w:tcW w:w="1887" w:type="dxa"/>
            <w:tcBorders>
              <w:bottom w:val="single" w:color="7F8C8D" w:sz="6" w:space="0"/>
            </w:tcBorders>
            <w:shd w:val="clear" w:color="auto" w:fill="DCE6F1"/>
            <w:vAlign w:val="center"/>
          </w:tcPr>
          <w:p w14:paraId="33F04C70">
            <w:pPr>
              <w:keepNext/>
              <w:spacing w:before="20" w:after="20" w:line="240" w:lineRule="auto"/>
              <w:ind w:firstLine="0"/>
              <w:jc w:val="center"/>
            </w:pPr>
            <w:r>
              <w:rPr>
                <w:rFonts w:hint="eastAsia" w:ascii="Times New Roman" w:hAnsi="Times New Roman" w:eastAsia="宋体"/>
                <w:b/>
                <w:color w:val="000000"/>
                <w:sz w:val="18"/>
              </w:rPr>
              <w:t>转向低状态（%）</w:t>
            </w:r>
          </w:p>
        </w:tc>
        <w:tc>
          <w:tcPr>
            <w:tcW w:w="1887" w:type="dxa"/>
            <w:tcBorders>
              <w:bottom w:val="single" w:color="7F8C8D" w:sz="6" w:space="0"/>
            </w:tcBorders>
            <w:shd w:val="clear" w:color="auto" w:fill="DCE6F1"/>
            <w:vAlign w:val="center"/>
          </w:tcPr>
          <w:p w14:paraId="6DC61AD5">
            <w:pPr>
              <w:keepNext/>
              <w:spacing w:before="20" w:after="20" w:line="240" w:lineRule="auto"/>
              <w:ind w:firstLine="0"/>
              <w:jc w:val="center"/>
            </w:pPr>
            <w:r>
              <w:rPr>
                <w:rFonts w:hint="eastAsia" w:ascii="Times New Roman" w:hAnsi="Times New Roman" w:eastAsia="宋体"/>
                <w:b/>
                <w:color w:val="000000"/>
                <w:sz w:val="18"/>
              </w:rPr>
              <w:t>转向中状态（%）</w:t>
            </w:r>
          </w:p>
        </w:tc>
        <w:tc>
          <w:tcPr>
            <w:tcW w:w="1893" w:type="dxa"/>
            <w:tcBorders>
              <w:bottom w:val="single" w:color="7F8C8D" w:sz="6" w:space="0"/>
            </w:tcBorders>
            <w:shd w:val="clear" w:color="auto" w:fill="DCE6F1"/>
            <w:vAlign w:val="center"/>
          </w:tcPr>
          <w:p w14:paraId="1E71C9D0">
            <w:pPr>
              <w:keepNext/>
              <w:spacing w:before="20" w:after="20" w:line="240" w:lineRule="auto"/>
              <w:ind w:firstLine="0"/>
              <w:jc w:val="center"/>
            </w:pPr>
            <w:r>
              <w:rPr>
                <w:rFonts w:hint="eastAsia" w:ascii="Times New Roman" w:hAnsi="Times New Roman" w:eastAsia="宋体"/>
                <w:b/>
                <w:color w:val="000000"/>
                <w:sz w:val="18"/>
              </w:rPr>
              <w:t>转向高状态（%）</w:t>
            </w:r>
          </w:p>
        </w:tc>
      </w:tr>
      <w:tr w14:paraId="3EC6945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10EA77D3">
            <w:pPr>
              <w:keepNext/>
              <w:spacing w:before="20" w:after="20" w:line="240" w:lineRule="auto"/>
              <w:ind w:firstLine="0"/>
              <w:jc w:val="center"/>
            </w:pPr>
            <w:r>
              <w:rPr>
                <w:rFonts w:hint="eastAsia" w:ascii="Times New Roman" w:hAnsi="Times New Roman" w:eastAsia="宋体"/>
                <w:b w:val="0"/>
                <w:color w:val="000000"/>
                <w:sz w:val="18"/>
              </w:rPr>
              <w:t>低状态邻域</w:t>
            </w:r>
          </w:p>
        </w:tc>
        <w:tc>
          <w:tcPr>
            <w:tcW w:w="1700" w:type="dxa"/>
            <w:vAlign w:val="center"/>
          </w:tcPr>
          <w:p w14:paraId="42D725C2">
            <w:pPr>
              <w:keepNext/>
              <w:spacing w:before="20" w:after="20" w:line="240" w:lineRule="auto"/>
              <w:ind w:firstLine="0"/>
              <w:jc w:val="center"/>
            </w:pPr>
            <w:r>
              <w:rPr>
                <w:rFonts w:hint="eastAsia" w:ascii="Times New Roman" w:hAnsi="Times New Roman" w:eastAsia="宋体"/>
                <w:b w:val="0"/>
                <w:color w:val="000000"/>
                <w:sz w:val="18"/>
              </w:rPr>
              <w:t>低状态</w:t>
            </w:r>
          </w:p>
        </w:tc>
        <w:tc>
          <w:tcPr>
            <w:tcW w:w="1887" w:type="dxa"/>
            <w:vAlign w:val="center"/>
          </w:tcPr>
          <w:p w14:paraId="54C826F4">
            <w:pPr>
              <w:keepNext/>
              <w:spacing w:before="20" w:after="20" w:line="240" w:lineRule="auto"/>
              <w:ind w:firstLine="0"/>
              <w:jc w:val="center"/>
            </w:pPr>
            <w:r>
              <w:rPr>
                <w:rFonts w:ascii="Times New Roman" w:hAnsi="Times New Roman" w:eastAsia="宋体"/>
                <w:b w:val="0"/>
                <w:color w:val="000000"/>
                <w:sz w:val="18"/>
              </w:rPr>
              <w:t>96.88</w:t>
            </w:r>
          </w:p>
        </w:tc>
        <w:tc>
          <w:tcPr>
            <w:tcW w:w="1887" w:type="dxa"/>
            <w:vAlign w:val="center"/>
          </w:tcPr>
          <w:p w14:paraId="0721D191">
            <w:pPr>
              <w:keepNext/>
              <w:spacing w:before="20" w:after="20" w:line="240" w:lineRule="auto"/>
              <w:ind w:firstLine="0"/>
              <w:jc w:val="center"/>
            </w:pPr>
            <w:r>
              <w:rPr>
                <w:rFonts w:ascii="Times New Roman" w:hAnsi="Times New Roman" w:eastAsia="宋体"/>
                <w:b w:val="0"/>
                <w:color w:val="000000"/>
                <w:sz w:val="18"/>
              </w:rPr>
              <w:t>3.12</w:t>
            </w:r>
          </w:p>
        </w:tc>
        <w:tc>
          <w:tcPr>
            <w:tcW w:w="1893" w:type="dxa"/>
            <w:vAlign w:val="center"/>
          </w:tcPr>
          <w:p w14:paraId="2B940E4E">
            <w:pPr>
              <w:keepNext/>
              <w:spacing w:before="20" w:after="20" w:line="240" w:lineRule="auto"/>
              <w:ind w:firstLine="0"/>
              <w:jc w:val="center"/>
            </w:pPr>
            <w:r>
              <w:rPr>
                <w:rFonts w:ascii="Times New Roman" w:hAnsi="Times New Roman" w:eastAsia="宋体"/>
                <w:b w:val="0"/>
                <w:color w:val="000000"/>
                <w:sz w:val="18"/>
              </w:rPr>
              <w:t>0.00</w:t>
            </w:r>
          </w:p>
        </w:tc>
      </w:tr>
      <w:tr w14:paraId="5B4D493B">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06C61D5A">
            <w:pPr>
              <w:keepNext/>
              <w:spacing w:before="20" w:after="20" w:line="240" w:lineRule="auto"/>
              <w:ind w:firstLine="0"/>
              <w:jc w:val="center"/>
            </w:pPr>
            <w:r>
              <w:rPr>
                <w:rFonts w:hint="eastAsia" w:ascii="Times New Roman" w:hAnsi="Times New Roman" w:eastAsia="宋体"/>
                <w:b w:val="0"/>
                <w:color w:val="000000"/>
                <w:sz w:val="18"/>
              </w:rPr>
              <w:t>低状态邻域</w:t>
            </w:r>
          </w:p>
        </w:tc>
        <w:tc>
          <w:tcPr>
            <w:tcW w:w="1700" w:type="dxa"/>
            <w:vAlign w:val="center"/>
          </w:tcPr>
          <w:p w14:paraId="38327FCE">
            <w:pPr>
              <w:keepNext/>
              <w:spacing w:before="20" w:after="20" w:line="240" w:lineRule="auto"/>
              <w:ind w:firstLine="0"/>
              <w:jc w:val="center"/>
            </w:pPr>
            <w:r>
              <w:rPr>
                <w:rFonts w:hint="eastAsia" w:ascii="Times New Roman" w:hAnsi="Times New Roman" w:eastAsia="宋体"/>
                <w:b w:val="0"/>
                <w:color w:val="000000"/>
                <w:sz w:val="18"/>
              </w:rPr>
              <w:t>中状态</w:t>
            </w:r>
          </w:p>
        </w:tc>
        <w:tc>
          <w:tcPr>
            <w:tcW w:w="1887" w:type="dxa"/>
            <w:vAlign w:val="center"/>
          </w:tcPr>
          <w:p w14:paraId="3D8E67F4">
            <w:pPr>
              <w:keepNext/>
              <w:spacing w:before="20" w:after="20" w:line="240" w:lineRule="auto"/>
              <w:ind w:firstLine="0"/>
              <w:jc w:val="center"/>
            </w:pPr>
            <w:r>
              <w:rPr>
                <w:rFonts w:ascii="Times New Roman" w:hAnsi="Times New Roman" w:eastAsia="宋体"/>
                <w:b w:val="0"/>
                <w:color w:val="000000"/>
                <w:sz w:val="18"/>
              </w:rPr>
              <w:t>14.29</w:t>
            </w:r>
          </w:p>
        </w:tc>
        <w:tc>
          <w:tcPr>
            <w:tcW w:w="1887" w:type="dxa"/>
            <w:vAlign w:val="center"/>
          </w:tcPr>
          <w:p w14:paraId="452ADE25">
            <w:pPr>
              <w:keepNext/>
              <w:spacing w:before="20" w:after="20" w:line="240" w:lineRule="auto"/>
              <w:ind w:firstLine="0"/>
              <w:jc w:val="center"/>
            </w:pPr>
            <w:r>
              <w:rPr>
                <w:rFonts w:ascii="Times New Roman" w:hAnsi="Times New Roman" w:eastAsia="宋体"/>
                <w:b w:val="0"/>
                <w:color w:val="000000"/>
                <w:sz w:val="18"/>
              </w:rPr>
              <w:t>85.71</w:t>
            </w:r>
          </w:p>
        </w:tc>
        <w:tc>
          <w:tcPr>
            <w:tcW w:w="1893" w:type="dxa"/>
            <w:vAlign w:val="center"/>
          </w:tcPr>
          <w:p w14:paraId="3D726A67">
            <w:pPr>
              <w:keepNext/>
              <w:spacing w:before="20" w:after="20" w:line="240" w:lineRule="auto"/>
              <w:ind w:firstLine="0"/>
              <w:jc w:val="center"/>
            </w:pPr>
            <w:r>
              <w:rPr>
                <w:rFonts w:ascii="Times New Roman" w:hAnsi="Times New Roman" w:eastAsia="宋体"/>
                <w:b w:val="0"/>
                <w:color w:val="000000"/>
                <w:sz w:val="18"/>
              </w:rPr>
              <w:t>0.00</w:t>
            </w:r>
          </w:p>
        </w:tc>
      </w:tr>
      <w:tr w14:paraId="330DE65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5552F351">
            <w:pPr>
              <w:keepNext/>
              <w:spacing w:before="20" w:after="20" w:line="240" w:lineRule="auto"/>
              <w:ind w:firstLine="0"/>
              <w:jc w:val="center"/>
            </w:pPr>
            <w:r>
              <w:rPr>
                <w:rFonts w:hint="eastAsia" w:ascii="Times New Roman" w:hAnsi="Times New Roman" w:eastAsia="宋体"/>
                <w:b w:val="0"/>
                <w:color w:val="000000"/>
                <w:sz w:val="18"/>
              </w:rPr>
              <w:t>低状态邻域</w:t>
            </w:r>
          </w:p>
        </w:tc>
        <w:tc>
          <w:tcPr>
            <w:tcW w:w="1700" w:type="dxa"/>
            <w:vAlign w:val="center"/>
          </w:tcPr>
          <w:p w14:paraId="393013BE">
            <w:pPr>
              <w:keepNext/>
              <w:spacing w:before="20" w:after="20" w:line="240" w:lineRule="auto"/>
              <w:ind w:firstLine="0"/>
              <w:jc w:val="center"/>
            </w:pPr>
            <w:r>
              <w:rPr>
                <w:rFonts w:hint="eastAsia" w:ascii="Times New Roman" w:hAnsi="Times New Roman" w:eastAsia="宋体"/>
                <w:b w:val="0"/>
                <w:color w:val="000000"/>
                <w:sz w:val="18"/>
              </w:rPr>
              <w:t>高状态</w:t>
            </w:r>
          </w:p>
        </w:tc>
        <w:tc>
          <w:tcPr>
            <w:tcW w:w="1887" w:type="dxa"/>
            <w:vAlign w:val="center"/>
          </w:tcPr>
          <w:p w14:paraId="3CD9DCAC">
            <w:pPr>
              <w:keepNext/>
              <w:spacing w:before="20" w:after="20" w:line="240" w:lineRule="auto"/>
              <w:ind w:firstLine="0"/>
              <w:jc w:val="center"/>
            </w:pPr>
            <w:r>
              <w:rPr>
                <w:rFonts w:ascii="Times New Roman" w:hAnsi="Times New Roman" w:eastAsia="宋体"/>
                <w:b w:val="0"/>
                <w:color w:val="000000"/>
                <w:sz w:val="18"/>
              </w:rPr>
              <w:t>0.00</w:t>
            </w:r>
          </w:p>
        </w:tc>
        <w:tc>
          <w:tcPr>
            <w:tcW w:w="1887" w:type="dxa"/>
            <w:vAlign w:val="center"/>
          </w:tcPr>
          <w:p w14:paraId="21D1261A">
            <w:pPr>
              <w:keepNext/>
              <w:spacing w:before="20" w:after="20" w:line="240" w:lineRule="auto"/>
              <w:ind w:firstLine="0"/>
              <w:jc w:val="center"/>
            </w:pPr>
            <w:r>
              <w:rPr>
                <w:rFonts w:ascii="Times New Roman" w:hAnsi="Times New Roman" w:eastAsia="宋体"/>
                <w:b w:val="0"/>
                <w:color w:val="000000"/>
                <w:sz w:val="18"/>
              </w:rPr>
              <w:t>14.29</w:t>
            </w:r>
          </w:p>
        </w:tc>
        <w:tc>
          <w:tcPr>
            <w:tcW w:w="1893" w:type="dxa"/>
            <w:vAlign w:val="center"/>
          </w:tcPr>
          <w:p w14:paraId="680A2B26">
            <w:pPr>
              <w:keepNext/>
              <w:spacing w:before="20" w:after="20" w:line="240" w:lineRule="auto"/>
              <w:ind w:firstLine="0"/>
              <w:jc w:val="center"/>
            </w:pPr>
            <w:r>
              <w:rPr>
                <w:rFonts w:ascii="Times New Roman" w:hAnsi="Times New Roman" w:eastAsia="宋体"/>
                <w:b w:val="0"/>
                <w:color w:val="000000"/>
                <w:sz w:val="18"/>
              </w:rPr>
              <w:t>85.71</w:t>
            </w:r>
          </w:p>
        </w:tc>
      </w:tr>
      <w:tr w14:paraId="2542A19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0A10449B">
            <w:pPr>
              <w:keepNext/>
              <w:spacing w:before="20" w:after="20" w:line="240" w:lineRule="auto"/>
              <w:ind w:firstLine="0"/>
              <w:jc w:val="center"/>
            </w:pPr>
            <w:r>
              <w:rPr>
                <w:rFonts w:hint="eastAsia" w:ascii="Times New Roman" w:hAnsi="Times New Roman" w:eastAsia="宋体"/>
                <w:b w:val="0"/>
                <w:color w:val="000000"/>
                <w:sz w:val="18"/>
              </w:rPr>
              <w:t>中状态邻域</w:t>
            </w:r>
          </w:p>
        </w:tc>
        <w:tc>
          <w:tcPr>
            <w:tcW w:w="1700" w:type="dxa"/>
            <w:vAlign w:val="center"/>
          </w:tcPr>
          <w:p w14:paraId="5D2B7485">
            <w:pPr>
              <w:keepNext/>
              <w:spacing w:before="20" w:after="20" w:line="240" w:lineRule="auto"/>
              <w:ind w:firstLine="0"/>
              <w:jc w:val="center"/>
            </w:pPr>
            <w:r>
              <w:rPr>
                <w:rFonts w:hint="eastAsia" w:ascii="Times New Roman" w:hAnsi="Times New Roman" w:eastAsia="宋体"/>
                <w:b w:val="0"/>
                <w:color w:val="000000"/>
                <w:sz w:val="18"/>
              </w:rPr>
              <w:t>低状态</w:t>
            </w:r>
          </w:p>
        </w:tc>
        <w:tc>
          <w:tcPr>
            <w:tcW w:w="1887" w:type="dxa"/>
            <w:vAlign w:val="center"/>
          </w:tcPr>
          <w:p w14:paraId="4E34B326">
            <w:pPr>
              <w:keepNext/>
              <w:spacing w:before="20" w:after="20" w:line="240" w:lineRule="auto"/>
              <w:ind w:firstLine="0"/>
              <w:jc w:val="center"/>
            </w:pPr>
            <w:r>
              <w:rPr>
                <w:rFonts w:ascii="Times New Roman" w:hAnsi="Times New Roman" w:eastAsia="宋体"/>
                <w:b w:val="0"/>
                <w:color w:val="000000"/>
                <w:sz w:val="18"/>
              </w:rPr>
              <w:t>96.97</w:t>
            </w:r>
          </w:p>
        </w:tc>
        <w:tc>
          <w:tcPr>
            <w:tcW w:w="1887" w:type="dxa"/>
            <w:vAlign w:val="center"/>
          </w:tcPr>
          <w:p w14:paraId="68DF0250">
            <w:pPr>
              <w:keepNext/>
              <w:spacing w:before="20" w:after="20" w:line="240" w:lineRule="auto"/>
              <w:ind w:firstLine="0"/>
              <w:jc w:val="center"/>
            </w:pPr>
            <w:r>
              <w:rPr>
                <w:rFonts w:ascii="Times New Roman" w:hAnsi="Times New Roman" w:eastAsia="宋体"/>
                <w:b w:val="0"/>
                <w:color w:val="000000"/>
                <w:sz w:val="18"/>
              </w:rPr>
              <w:t>3.03</w:t>
            </w:r>
          </w:p>
        </w:tc>
        <w:tc>
          <w:tcPr>
            <w:tcW w:w="1893" w:type="dxa"/>
            <w:vAlign w:val="center"/>
          </w:tcPr>
          <w:p w14:paraId="31686F0F">
            <w:pPr>
              <w:keepNext/>
              <w:spacing w:before="20" w:after="20" w:line="240" w:lineRule="auto"/>
              <w:ind w:firstLine="0"/>
              <w:jc w:val="center"/>
            </w:pPr>
            <w:r>
              <w:rPr>
                <w:rFonts w:ascii="Times New Roman" w:hAnsi="Times New Roman" w:eastAsia="宋体"/>
                <w:b w:val="0"/>
                <w:color w:val="000000"/>
                <w:sz w:val="18"/>
              </w:rPr>
              <w:t>0.00</w:t>
            </w:r>
          </w:p>
        </w:tc>
      </w:tr>
      <w:tr w14:paraId="75CA9EDF">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4BF2D1ED">
            <w:pPr>
              <w:keepNext/>
              <w:spacing w:before="20" w:after="20" w:line="240" w:lineRule="auto"/>
              <w:ind w:firstLine="0"/>
              <w:jc w:val="center"/>
            </w:pPr>
            <w:r>
              <w:rPr>
                <w:rFonts w:hint="eastAsia" w:ascii="Times New Roman" w:hAnsi="Times New Roman" w:eastAsia="宋体"/>
                <w:b w:val="0"/>
                <w:color w:val="000000"/>
                <w:sz w:val="18"/>
              </w:rPr>
              <w:t>中状态邻域</w:t>
            </w:r>
          </w:p>
        </w:tc>
        <w:tc>
          <w:tcPr>
            <w:tcW w:w="1700" w:type="dxa"/>
            <w:vAlign w:val="center"/>
          </w:tcPr>
          <w:p w14:paraId="25759A7C">
            <w:pPr>
              <w:keepNext/>
              <w:spacing w:before="20" w:after="20" w:line="240" w:lineRule="auto"/>
              <w:ind w:firstLine="0"/>
              <w:jc w:val="center"/>
            </w:pPr>
            <w:r>
              <w:rPr>
                <w:rFonts w:hint="eastAsia" w:ascii="Times New Roman" w:hAnsi="Times New Roman" w:eastAsia="宋体"/>
                <w:b w:val="0"/>
                <w:color w:val="000000"/>
                <w:sz w:val="18"/>
              </w:rPr>
              <w:t>中状态</w:t>
            </w:r>
          </w:p>
        </w:tc>
        <w:tc>
          <w:tcPr>
            <w:tcW w:w="1887" w:type="dxa"/>
            <w:vAlign w:val="center"/>
          </w:tcPr>
          <w:p w14:paraId="6FC2E689">
            <w:pPr>
              <w:keepNext/>
              <w:spacing w:before="20" w:after="20" w:line="240" w:lineRule="auto"/>
              <w:ind w:firstLine="0"/>
              <w:jc w:val="center"/>
            </w:pPr>
            <w:r>
              <w:rPr>
                <w:rFonts w:ascii="Times New Roman" w:hAnsi="Times New Roman" w:eastAsia="宋体"/>
                <w:b w:val="0"/>
                <w:color w:val="000000"/>
                <w:sz w:val="18"/>
              </w:rPr>
              <w:t>2.22</w:t>
            </w:r>
          </w:p>
        </w:tc>
        <w:tc>
          <w:tcPr>
            <w:tcW w:w="1887" w:type="dxa"/>
            <w:vAlign w:val="center"/>
          </w:tcPr>
          <w:p w14:paraId="18AAF248">
            <w:pPr>
              <w:keepNext/>
              <w:spacing w:before="20" w:after="20" w:line="240" w:lineRule="auto"/>
              <w:ind w:firstLine="0"/>
              <w:jc w:val="center"/>
            </w:pPr>
            <w:r>
              <w:rPr>
                <w:rFonts w:ascii="Times New Roman" w:hAnsi="Times New Roman" w:eastAsia="宋体"/>
                <w:b w:val="0"/>
                <w:color w:val="000000"/>
                <w:sz w:val="18"/>
              </w:rPr>
              <w:t>93.33</w:t>
            </w:r>
          </w:p>
        </w:tc>
        <w:tc>
          <w:tcPr>
            <w:tcW w:w="1893" w:type="dxa"/>
            <w:vAlign w:val="center"/>
          </w:tcPr>
          <w:p w14:paraId="1E65882E">
            <w:pPr>
              <w:keepNext/>
              <w:spacing w:before="20" w:after="20" w:line="240" w:lineRule="auto"/>
              <w:ind w:firstLine="0"/>
              <w:jc w:val="center"/>
            </w:pPr>
            <w:r>
              <w:rPr>
                <w:rFonts w:ascii="Times New Roman" w:hAnsi="Times New Roman" w:eastAsia="宋体"/>
                <w:b w:val="0"/>
                <w:color w:val="000000"/>
                <w:sz w:val="18"/>
              </w:rPr>
              <w:t>4.44</w:t>
            </w:r>
          </w:p>
        </w:tc>
      </w:tr>
      <w:tr w14:paraId="7FB9CFC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714CC853">
            <w:pPr>
              <w:keepNext/>
              <w:spacing w:before="20" w:after="20" w:line="240" w:lineRule="auto"/>
              <w:ind w:firstLine="0"/>
              <w:jc w:val="center"/>
            </w:pPr>
            <w:r>
              <w:rPr>
                <w:rFonts w:hint="eastAsia" w:ascii="Times New Roman" w:hAnsi="Times New Roman" w:eastAsia="宋体"/>
                <w:b w:val="0"/>
                <w:color w:val="000000"/>
                <w:sz w:val="18"/>
              </w:rPr>
              <w:t>中状态邻域</w:t>
            </w:r>
          </w:p>
        </w:tc>
        <w:tc>
          <w:tcPr>
            <w:tcW w:w="1700" w:type="dxa"/>
            <w:vAlign w:val="center"/>
          </w:tcPr>
          <w:p w14:paraId="00E4FEE4">
            <w:pPr>
              <w:keepNext/>
              <w:spacing w:before="20" w:after="20" w:line="240" w:lineRule="auto"/>
              <w:ind w:firstLine="0"/>
              <w:jc w:val="center"/>
            </w:pPr>
            <w:r>
              <w:rPr>
                <w:rFonts w:hint="eastAsia" w:ascii="Times New Roman" w:hAnsi="Times New Roman" w:eastAsia="宋体"/>
                <w:b w:val="0"/>
                <w:color w:val="000000"/>
                <w:sz w:val="18"/>
              </w:rPr>
              <w:t>高状态</w:t>
            </w:r>
          </w:p>
        </w:tc>
        <w:tc>
          <w:tcPr>
            <w:tcW w:w="1887" w:type="dxa"/>
            <w:vAlign w:val="center"/>
          </w:tcPr>
          <w:p w14:paraId="7DAFA195">
            <w:pPr>
              <w:keepNext/>
              <w:spacing w:before="20" w:after="20" w:line="240" w:lineRule="auto"/>
              <w:ind w:firstLine="0"/>
              <w:jc w:val="center"/>
            </w:pPr>
            <w:r>
              <w:rPr>
                <w:rFonts w:ascii="Times New Roman" w:hAnsi="Times New Roman" w:eastAsia="宋体"/>
                <w:b w:val="0"/>
                <w:color w:val="000000"/>
                <w:sz w:val="18"/>
              </w:rPr>
              <w:t>0.00</w:t>
            </w:r>
          </w:p>
        </w:tc>
        <w:tc>
          <w:tcPr>
            <w:tcW w:w="1887" w:type="dxa"/>
            <w:vAlign w:val="center"/>
          </w:tcPr>
          <w:p w14:paraId="6BDAEF2A">
            <w:pPr>
              <w:keepNext/>
              <w:spacing w:before="20" w:after="20" w:line="240" w:lineRule="auto"/>
              <w:ind w:firstLine="0"/>
              <w:jc w:val="center"/>
            </w:pPr>
            <w:r>
              <w:rPr>
                <w:rFonts w:ascii="Times New Roman" w:hAnsi="Times New Roman" w:eastAsia="宋体"/>
                <w:b w:val="0"/>
                <w:color w:val="000000"/>
                <w:sz w:val="18"/>
              </w:rPr>
              <w:t>8.33</w:t>
            </w:r>
          </w:p>
        </w:tc>
        <w:tc>
          <w:tcPr>
            <w:tcW w:w="1893" w:type="dxa"/>
            <w:vAlign w:val="center"/>
          </w:tcPr>
          <w:p w14:paraId="71A4CD3C">
            <w:pPr>
              <w:keepNext/>
              <w:spacing w:before="20" w:after="20" w:line="240" w:lineRule="auto"/>
              <w:ind w:firstLine="0"/>
              <w:jc w:val="center"/>
            </w:pPr>
            <w:r>
              <w:rPr>
                <w:rFonts w:ascii="Times New Roman" w:hAnsi="Times New Roman" w:eastAsia="宋体"/>
                <w:b w:val="0"/>
                <w:color w:val="000000"/>
                <w:sz w:val="18"/>
              </w:rPr>
              <w:t>91.67</w:t>
            </w:r>
          </w:p>
        </w:tc>
      </w:tr>
      <w:tr w14:paraId="2626DCA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72F82E04">
            <w:pPr>
              <w:keepNext/>
              <w:spacing w:before="20" w:after="20" w:line="240" w:lineRule="auto"/>
              <w:ind w:firstLine="0"/>
              <w:jc w:val="center"/>
            </w:pPr>
            <w:r>
              <w:rPr>
                <w:rFonts w:hint="eastAsia" w:ascii="Times New Roman" w:hAnsi="Times New Roman" w:eastAsia="宋体"/>
                <w:b w:val="0"/>
                <w:color w:val="000000"/>
                <w:sz w:val="18"/>
              </w:rPr>
              <w:t>高状态邻域</w:t>
            </w:r>
          </w:p>
        </w:tc>
        <w:tc>
          <w:tcPr>
            <w:tcW w:w="1700" w:type="dxa"/>
            <w:vAlign w:val="center"/>
          </w:tcPr>
          <w:p w14:paraId="733B482E">
            <w:pPr>
              <w:keepNext/>
              <w:spacing w:before="20" w:after="20" w:line="240" w:lineRule="auto"/>
              <w:ind w:firstLine="0"/>
              <w:jc w:val="center"/>
            </w:pPr>
            <w:r>
              <w:rPr>
                <w:rFonts w:hint="eastAsia" w:ascii="Times New Roman" w:hAnsi="Times New Roman" w:eastAsia="宋体"/>
                <w:b w:val="0"/>
                <w:color w:val="000000"/>
                <w:sz w:val="18"/>
              </w:rPr>
              <w:t>低状态</w:t>
            </w:r>
          </w:p>
        </w:tc>
        <w:tc>
          <w:tcPr>
            <w:tcW w:w="1887" w:type="dxa"/>
            <w:vAlign w:val="center"/>
          </w:tcPr>
          <w:p w14:paraId="340745A8">
            <w:pPr>
              <w:keepNext/>
              <w:spacing w:before="20" w:after="20" w:line="240" w:lineRule="auto"/>
              <w:ind w:firstLine="0"/>
              <w:jc w:val="center"/>
            </w:pPr>
            <w:r>
              <w:rPr>
                <w:rFonts w:ascii="Times New Roman" w:hAnsi="Times New Roman" w:eastAsia="宋体"/>
                <w:b w:val="0"/>
                <w:color w:val="000000"/>
                <w:sz w:val="18"/>
              </w:rPr>
              <w:t>50.00</w:t>
            </w:r>
          </w:p>
        </w:tc>
        <w:tc>
          <w:tcPr>
            <w:tcW w:w="1887" w:type="dxa"/>
            <w:vAlign w:val="center"/>
          </w:tcPr>
          <w:p w14:paraId="252EBF47">
            <w:pPr>
              <w:keepNext/>
              <w:spacing w:before="20" w:after="20" w:line="240" w:lineRule="auto"/>
              <w:ind w:firstLine="0"/>
              <w:jc w:val="center"/>
            </w:pPr>
            <w:r>
              <w:rPr>
                <w:rFonts w:ascii="Times New Roman" w:hAnsi="Times New Roman" w:eastAsia="宋体"/>
                <w:b w:val="0"/>
                <w:color w:val="000000"/>
                <w:sz w:val="18"/>
              </w:rPr>
              <w:t>50.00</w:t>
            </w:r>
          </w:p>
        </w:tc>
        <w:tc>
          <w:tcPr>
            <w:tcW w:w="1893" w:type="dxa"/>
            <w:vAlign w:val="center"/>
          </w:tcPr>
          <w:p w14:paraId="69E99AA7">
            <w:pPr>
              <w:keepNext/>
              <w:spacing w:before="20" w:after="20" w:line="240" w:lineRule="auto"/>
              <w:ind w:firstLine="0"/>
              <w:jc w:val="center"/>
            </w:pPr>
            <w:r>
              <w:rPr>
                <w:rFonts w:ascii="Times New Roman" w:hAnsi="Times New Roman" w:eastAsia="宋体"/>
                <w:b w:val="0"/>
                <w:color w:val="000000"/>
                <w:sz w:val="18"/>
              </w:rPr>
              <w:t>0.00</w:t>
            </w:r>
          </w:p>
        </w:tc>
      </w:tr>
      <w:tr w14:paraId="73E5C32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2A0F656A">
            <w:pPr>
              <w:keepNext/>
              <w:spacing w:before="20" w:after="20" w:line="240" w:lineRule="auto"/>
              <w:ind w:firstLine="0"/>
              <w:jc w:val="center"/>
            </w:pPr>
            <w:r>
              <w:rPr>
                <w:rFonts w:hint="eastAsia" w:ascii="Times New Roman" w:hAnsi="Times New Roman" w:eastAsia="宋体"/>
                <w:b w:val="0"/>
                <w:color w:val="000000"/>
                <w:sz w:val="18"/>
              </w:rPr>
              <w:t>高状态邻域</w:t>
            </w:r>
          </w:p>
        </w:tc>
        <w:tc>
          <w:tcPr>
            <w:tcW w:w="1700" w:type="dxa"/>
            <w:vAlign w:val="center"/>
          </w:tcPr>
          <w:p w14:paraId="4C06B659">
            <w:pPr>
              <w:keepNext/>
              <w:spacing w:before="20" w:after="20" w:line="240" w:lineRule="auto"/>
              <w:ind w:firstLine="0"/>
              <w:jc w:val="center"/>
            </w:pPr>
            <w:r>
              <w:rPr>
                <w:rFonts w:hint="eastAsia" w:ascii="Times New Roman" w:hAnsi="Times New Roman" w:eastAsia="宋体"/>
                <w:b w:val="0"/>
                <w:color w:val="000000"/>
                <w:sz w:val="18"/>
              </w:rPr>
              <w:t>中状态</w:t>
            </w:r>
          </w:p>
        </w:tc>
        <w:tc>
          <w:tcPr>
            <w:tcW w:w="1887" w:type="dxa"/>
            <w:vAlign w:val="center"/>
          </w:tcPr>
          <w:p w14:paraId="49134618">
            <w:pPr>
              <w:keepNext/>
              <w:spacing w:before="20" w:after="20" w:line="240" w:lineRule="auto"/>
              <w:ind w:firstLine="0"/>
              <w:jc w:val="center"/>
            </w:pPr>
            <w:r>
              <w:rPr>
                <w:rFonts w:ascii="Times New Roman" w:hAnsi="Times New Roman" w:eastAsia="宋体"/>
                <w:b w:val="0"/>
                <w:color w:val="000000"/>
                <w:sz w:val="18"/>
              </w:rPr>
              <w:t>0.00</w:t>
            </w:r>
          </w:p>
        </w:tc>
        <w:tc>
          <w:tcPr>
            <w:tcW w:w="1887" w:type="dxa"/>
            <w:vAlign w:val="center"/>
          </w:tcPr>
          <w:p w14:paraId="7F1D016B">
            <w:pPr>
              <w:keepNext/>
              <w:spacing w:before="20" w:after="20" w:line="240" w:lineRule="auto"/>
              <w:ind w:firstLine="0"/>
              <w:jc w:val="center"/>
            </w:pPr>
            <w:r>
              <w:rPr>
                <w:rFonts w:ascii="Times New Roman" w:hAnsi="Times New Roman" w:eastAsia="宋体"/>
                <w:b w:val="0"/>
                <w:color w:val="000000"/>
                <w:sz w:val="18"/>
              </w:rPr>
              <w:t>83.33</w:t>
            </w:r>
          </w:p>
        </w:tc>
        <w:tc>
          <w:tcPr>
            <w:tcW w:w="1893" w:type="dxa"/>
            <w:vAlign w:val="center"/>
          </w:tcPr>
          <w:p w14:paraId="53B486E4">
            <w:pPr>
              <w:keepNext/>
              <w:spacing w:before="20" w:after="20" w:line="240" w:lineRule="auto"/>
              <w:ind w:firstLine="0"/>
              <w:jc w:val="center"/>
            </w:pPr>
            <w:r>
              <w:rPr>
                <w:rFonts w:ascii="Times New Roman" w:hAnsi="Times New Roman" w:eastAsia="宋体"/>
                <w:b w:val="0"/>
                <w:color w:val="000000"/>
                <w:sz w:val="18"/>
              </w:rPr>
              <w:t>16.67</w:t>
            </w:r>
          </w:p>
        </w:tc>
      </w:tr>
      <w:tr w14:paraId="7E1EA00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00" w:type="dxa"/>
            <w:vAlign w:val="center"/>
          </w:tcPr>
          <w:p w14:paraId="24B468DB">
            <w:pPr>
              <w:spacing w:before="20" w:after="20" w:line="240" w:lineRule="auto"/>
              <w:ind w:firstLine="0"/>
              <w:jc w:val="center"/>
            </w:pPr>
            <w:r>
              <w:rPr>
                <w:rFonts w:hint="eastAsia" w:ascii="Times New Roman" w:hAnsi="Times New Roman" w:eastAsia="宋体"/>
                <w:b w:val="0"/>
                <w:color w:val="000000"/>
                <w:sz w:val="18"/>
              </w:rPr>
              <w:t>高状态邻域</w:t>
            </w:r>
          </w:p>
        </w:tc>
        <w:tc>
          <w:tcPr>
            <w:tcW w:w="1700" w:type="dxa"/>
            <w:vAlign w:val="center"/>
          </w:tcPr>
          <w:p w14:paraId="496FA264">
            <w:pPr>
              <w:spacing w:before="20" w:after="20" w:line="240" w:lineRule="auto"/>
              <w:ind w:firstLine="0"/>
              <w:jc w:val="center"/>
            </w:pPr>
            <w:r>
              <w:rPr>
                <w:rFonts w:hint="eastAsia" w:ascii="Times New Roman" w:hAnsi="Times New Roman" w:eastAsia="宋体"/>
                <w:b w:val="0"/>
                <w:color w:val="000000"/>
                <w:sz w:val="18"/>
              </w:rPr>
              <w:t>高状态</w:t>
            </w:r>
          </w:p>
        </w:tc>
        <w:tc>
          <w:tcPr>
            <w:tcW w:w="1887" w:type="dxa"/>
            <w:vAlign w:val="center"/>
          </w:tcPr>
          <w:p w14:paraId="2C6D78BA">
            <w:pPr>
              <w:spacing w:before="20" w:after="20" w:line="240" w:lineRule="auto"/>
              <w:ind w:firstLine="0"/>
              <w:jc w:val="center"/>
            </w:pPr>
            <w:r>
              <w:rPr>
                <w:rFonts w:ascii="Times New Roman" w:hAnsi="Times New Roman" w:eastAsia="宋体"/>
                <w:b w:val="0"/>
                <w:color w:val="000000"/>
                <w:sz w:val="18"/>
              </w:rPr>
              <w:t>0.00</w:t>
            </w:r>
          </w:p>
        </w:tc>
        <w:tc>
          <w:tcPr>
            <w:tcW w:w="1887" w:type="dxa"/>
            <w:vAlign w:val="center"/>
          </w:tcPr>
          <w:p w14:paraId="2006155D">
            <w:pPr>
              <w:spacing w:before="20" w:after="20" w:line="240" w:lineRule="auto"/>
              <w:ind w:firstLine="0"/>
              <w:jc w:val="center"/>
            </w:pPr>
            <w:r>
              <w:rPr>
                <w:rFonts w:ascii="Times New Roman" w:hAnsi="Times New Roman" w:eastAsia="宋体"/>
                <w:b w:val="0"/>
                <w:color w:val="000000"/>
                <w:sz w:val="18"/>
              </w:rPr>
              <w:t>4.69</w:t>
            </w:r>
          </w:p>
        </w:tc>
        <w:tc>
          <w:tcPr>
            <w:tcW w:w="1893" w:type="dxa"/>
            <w:vAlign w:val="center"/>
          </w:tcPr>
          <w:p w14:paraId="2610F8B5">
            <w:pPr>
              <w:spacing w:before="20" w:after="20" w:line="240" w:lineRule="auto"/>
              <w:ind w:firstLine="0"/>
              <w:jc w:val="center"/>
            </w:pPr>
            <w:r>
              <w:rPr>
                <w:rFonts w:ascii="Times New Roman" w:hAnsi="Times New Roman" w:eastAsia="宋体"/>
                <w:b w:val="0"/>
                <w:color w:val="000000"/>
                <w:sz w:val="18"/>
              </w:rPr>
              <w:t>95.31</w:t>
            </w:r>
          </w:p>
        </w:tc>
      </w:tr>
    </w:tbl>
    <w:p w14:paraId="41F5A95C">
      <w:pPr>
        <w:pStyle w:val="3"/>
        <w:spacing w:before="40" w:after="80" w:line="240" w:lineRule="auto"/>
        <w:ind w:firstLine="0"/>
        <w:jc w:val="both"/>
      </w:pPr>
      <w:r>
        <w:rPr>
          <w:rFonts w:hint="eastAsia" w:ascii="Times New Roman" w:hAnsi="Times New Roman" w:eastAsia="宋体"/>
          <w:color w:val="000000"/>
          <w:sz w:val="18"/>
        </w:rPr>
        <w:t>注：邻域状态由期初空间滞后值划分；空间Markov概率用于描述邻域条件差异，不识别R&amp;D投入效应。</w:t>
      </w:r>
    </w:p>
    <w:bookmarkEnd w:id="21"/>
    <w:p w14:paraId="04F70BBF">
      <w:pPr>
        <w:pStyle w:val="4"/>
        <w:keepNext/>
        <w:keepLines/>
        <w:spacing w:before="160" w:after="80"/>
        <w:ind w:firstLine="0"/>
      </w:pPr>
      <w:bookmarkStart w:id="22" w:name="普通面板基准与空间模型选择"/>
      <w:r>
        <w:rPr>
          <w:rFonts w:ascii="Times New Roman" w:hAnsi="Times New Roman" w:eastAsia="黑体"/>
          <w:b/>
          <w:color w:val="000000"/>
          <w:sz w:val="28"/>
        </w:rPr>
        <w:t>5.2 空间影响效应分析</w:t>
      </w:r>
    </w:p>
    <w:p w14:paraId="188BB4D7">
      <w:pPr>
        <w:pStyle w:val="5"/>
      </w:pPr>
      <w:r>
        <w:t>5.2.1 空间计量模型选择</w:t>
      </w:r>
    </w:p>
    <w:p w14:paraId="42B8C4D6">
      <w:pPr>
        <w:widowControl/>
        <w:spacing w:before="0" w:after="60" w:line="360" w:lineRule="auto"/>
        <w:ind w:left="0" w:right="0" w:firstLine="420"/>
        <w:jc w:val="both"/>
      </w:pPr>
      <w:r>
        <w:rPr>
          <w:rFonts w:hint="eastAsia" w:ascii="Times New Roman" w:hAnsi="Times New Roman" w:eastAsia="宋体"/>
          <w:color w:val="000000"/>
          <w:sz w:val="21"/>
        </w:rPr>
        <w:t>在引入空间关联之前，首先采用双向固定效应模型考察R&amp;D与CNTI之间的基本关系。表6显示，在控制省份固定效应、年份固定效应及其他影响因素后，R&amp;D的估计系数为0.0029，并在10%水平上显著，表明研发投入与本地碳中和技术创新呈正向关联。控制变量中，Energy的估计系数显著为负，其余变量均未通过常用显著性检验。上述结果初步支持假设H2，但普通面板模型未考虑地区间的空间关联，R&amp;D的跨区域影响仍需借助空间计量模型进一步考察。</w:t>
      </w:r>
    </w:p>
    <w:p w14:paraId="125E6FF0">
      <w:pPr>
        <w:pStyle w:val="3"/>
        <w:keepNext/>
        <w:spacing w:before="100" w:after="60"/>
        <w:ind w:firstLine="0"/>
        <w:jc w:val="center"/>
      </w:pPr>
      <w:r>
        <w:rPr>
          <w:rFonts w:hint="eastAsia" w:ascii="Times New Roman" w:hAnsi="Times New Roman" w:eastAsia="宋体"/>
          <w:b/>
          <w:bCs/>
          <w:color w:val="000000"/>
          <w:sz w:val="21"/>
        </w:rPr>
        <w:t>表6</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双向固定效应基准结果</w:t>
      </w:r>
    </w:p>
    <w:tbl>
      <w:tblPr>
        <w:tblStyle w:val="11"/>
        <w:tblW w:w="0" w:type="auto"/>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60"/>
        <w:gridCol w:w="3960"/>
      </w:tblGrid>
      <w:tr w14:paraId="6B6E56F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3401" w:type="dxa"/>
            <w:tcBorders>
              <w:bottom w:val="single" w:color="7F8C8D" w:sz="6" w:space="0"/>
            </w:tcBorders>
            <w:shd w:val="clear" w:color="auto" w:fill="DCE6F1"/>
            <w:vAlign w:val="center"/>
          </w:tcPr>
          <w:p w14:paraId="34D82AAF">
            <w:pPr>
              <w:spacing w:before="20" w:after="20" w:line="240" w:lineRule="auto"/>
              <w:ind w:firstLine="0"/>
              <w:jc w:val="center"/>
            </w:pPr>
            <w:r>
              <w:rPr>
                <w:rFonts w:hint="eastAsia" w:ascii="Times New Roman" w:hAnsi="Times New Roman" w:eastAsia="宋体"/>
                <w:b/>
                <w:color w:val="000000"/>
                <w:sz w:val="18"/>
              </w:rPr>
              <w:t>变量</w:t>
            </w:r>
          </w:p>
        </w:tc>
        <w:tc>
          <w:tcPr>
            <w:tcW w:w="5669" w:type="dxa"/>
            <w:tcBorders>
              <w:bottom w:val="single" w:color="7F8C8D" w:sz="6" w:space="0"/>
            </w:tcBorders>
            <w:shd w:val="clear" w:color="auto" w:fill="DCE6F1"/>
            <w:vAlign w:val="center"/>
          </w:tcPr>
          <w:p w14:paraId="5F8B6146">
            <w:pPr>
              <w:spacing w:before="20" w:after="20" w:line="240" w:lineRule="auto"/>
              <w:ind w:firstLine="0"/>
              <w:jc w:val="center"/>
            </w:pPr>
            <w:r>
              <w:rPr>
                <w:rFonts w:hint="eastAsia" w:ascii="Times New Roman" w:hAnsi="Times New Roman" w:eastAsia="宋体"/>
                <w:b/>
                <w:color w:val="000000"/>
                <w:sz w:val="18"/>
              </w:rPr>
              <w:t>系数</w:t>
            </w:r>
          </w:p>
        </w:tc>
      </w:tr>
      <w:tr w14:paraId="7D171AEA">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3FBD0529">
            <w:pPr>
              <w:spacing w:before="20" w:after="20" w:line="240" w:lineRule="auto"/>
              <w:ind w:firstLine="0"/>
              <w:jc w:val="center"/>
            </w:pPr>
            <w:r>
              <w:rPr>
                <w:rFonts w:ascii="Times New Roman" w:hAnsi="Times New Roman" w:eastAsia="宋体"/>
                <w:b w:val="0"/>
                <w:color w:val="000000"/>
                <w:sz w:val="18"/>
              </w:rPr>
              <w:t>R&amp;D</w:t>
            </w:r>
          </w:p>
        </w:tc>
        <w:tc>
          <w:tcPr>
            <w:tcW w:w="5669" w:type="dxa"/>
            <w:vAlign w:val="center"/>
          </w:tcPr>
          <w:p w14:paraId="61929A7E">
            <w:pPr>
              <w:spacing w:before="20" w:after="20" w:line="240" w:lineRule="auto"/>
              <w:ind w:firstLine="0"/>
              <w:jc w:val="center"/>
            </w:pPr>
            <w:r>
              <w:rPr>
                <w:rFonts w:ascii="Times New Roman" w:hAnsi="Times New Roman" w:eastAsia="宋体"/>
                <w:b w:val="0"/>
                <w:color w:val="000000"/>
                <w:sz w:val="18"/>
              </w:rPr>
              <w:t>0.0029*</w:t>
            </w:r>
            <w:r>
              <w:rPr>
                <w:rFonts w:ascii="Times New Roman" w:hAnsi="Times New Roman" w:eastAsia="宋体"/>
                <w:b w:val="0"/>
                <w:color w:val="000000"/>
                <w:sz w:val="18"/>
              </w:rPr>
              <w:br w:type="textWrapping"/>
            </w:r>
            <w:r>
              <w:rPr>
                <w:rFonts w:ascii="Times New Roman" w:hAnsi="Times New Roman" w:eastAsia="宋体"/>
                <w:b w:val="0"/>
                <w:color w:val="000000"/>
                <w:sz w:val="18"/>
              </w:rPr>
              <w:t>(0.0015)</w:t>
            </w:r>
          </w:p>
        </w:tc>
      </w:tr>
      <w:tr w14:paraId="378A810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37EFAC08">
            <w:pPr>
              <w:spacing w:before="20" w:after="20" w:line="240" w:lineRule="auto"/>
              <w:ind w:firstLine="0"/>
              <w:jc w:val="center"/>
            </w:pPr>
            <w:r>
              <w:rPr>
                <w:rFonts w:ascii="Times New Roman" w:hAnsi="Times New Roman" w:eastAsia="宋体"/>
                <w:b w:val="0"/>
                <w:color w:val="000000"/>
                <w:sz w:val="18"/>
              </w:rPr>
              <w:t>Energy</w:t>
            </w:r>
          </w:p>
        </w:tc>
        <w:tc>
          <w:tcPr>
            <w:tcW w:w="5669" w:type="dxa"/>
            <w:vAlign w:val="center"/>
          </w:tcPr>
          <w:p w14:paraId="7D65A845">
            <w:pPr>
              <w:spacing w:before="20" w:after="20" w:line="240" w:lineRule="auto"/>
              <w:ind w:firstLine="0"/>
              <w:jc w:val="center"/>
            </w:pPr>
            <w:r>
              <w:rPr>
                <w:rFonts w:ascii="Times New Roman" w:hAnsi="Times New Roman" w:eastAsia="宋体"/>
                <w:b w:val="0"/>
                <w:color w:val="000000"/>
                <w:sz w:val="18"/>
              </w:rPr>
              <w:t>-0.7050***</w:t>
            </w:r>
            <w:r>
              <w:rPr>
                <w:rFonts w:ascii="Times New Roman" w:hAnsi="Times New Roman" w:eastAsia="宋体"/>
                <w:b w:val="0"/>
                <w:color w:val="000000"/>
                <w:sz w:val="18"/>
              </w:rPr>
              <w:br w:type="textWrapping"/>
            </w:r>
            <w:r>
              <w:rPr>
                <w:rFonts w:ascii="Times New Roman" w:hAnsi="Times New Roman" w:eastAsia="宋体"/>
                <w:b w:val="0"/>
                <w:color w:val="000000"/>
                <w:sz w:val="18"/>
              </w:rPr>
              <w:t>(0.1890)</w:t>
            </w:r>
          </w:p>
        </w:tc>
      </w:tr>
      <w:tr w14:paraId="0B531E3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44D03D9C">
            <w:pPr>
              <w:spacing w:before="20" w:after="20" w:line="240" w:lineRule="auto"/>
              <w:ind w:firstLine="0"/>
              <w:jc w:val="center"/>
            </w:pPr>
            <w:r>
              <w:rPr>
                <w:rFonts w:ascii="Times New Roman" w:hAnsi="Times New Roman" w:eastAsia="宋体"/>
                <w:b w:val="0"/>
                <w:color w:val="000000"/>
                <w:sz w:val="18"/>
              </w:rPr>
              <w:t>FDI</w:t>
            </w:r>
          </w:p>
        </w:tc>
        <w:tc>
          <w:tcPr>
            <w:tcW w:w="5669" w:type="dxa"/>
            <w:vAlign w:val="center"/>
          </w:tcPr>
          <w:p w14:paraId="049238A5">
            <w:pPr>
              <w:spacing w:before="20" w:after="20" w:line="240" w:lineRule="auto"/>
              <w:ind w:firstLine="0"/>
              <w:jc w:val="center"/>
            </w:pPr>
            <w:r>
              <w:rPr>
                <w:rFonts w:ascii="Times New Roman" w:hAnsi="Times New Roman" w:eastAsia="宋体"/>
                <w:b w:val="0"/>
                <w:color w:val="000000"/>
                <w:sz w:val="18"/>
              </w:rPr>
              <w:t>-2.3720</w:t>
            </w:r>
            <w:r>
              <w:rPr>
                <w:rFonts w:ascii="Times New Roman" w:hAnsi="Times New Roman" w:eastAsia="宋体"/>
                <w:b w:val="0"/>
                <w:color w:val="000000"/>
                <w:sz w:val="18"/>
              </w:rPr>
              <w:br w:type="textWrapping"/>
            </w:r>
            <w:r>
              <w:rPr>
                <w:rFonts w:ascii="Times New Roman" w:hAnsi="Times New Roman" w:eastAsia="宋体"/>
                <w:b w:val="0"/>
                <w:color w:val="000000"/>
                <w:sz w:val="18"/>
              </w:rPr>
              <w:t>(3.8360)</w:t>
            </w:r>
          </w:p>
        </w:tc>
      </w:tr>
      <w:tr w14:paraId="3623676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581EC7F8">
            <w:pPr>
              <w:spacing w:before="20" w:after="20" w:line="240" w:lineRule="auto"/>
              <w:ind w:firstLine="0"/>
              <w:jc w:val="center"/>
            </w:pPr>
            <w:r>
              <w:rPr>
                <w:rFonts w:ascii="Times New Roman" w:hAnsi="Times New Roman" w:eastAsia="宋体"/>
                <w:b w:val="0"/>
                <w:color w:val="000000"/>
                <w:sz w:val="18"/>
              </w:rPr>
              <w:t>Urban</w:t>
            </w:r>
          </w:p>
        </w:tc>
        <w:tc>
          <w:tcPr>
            <w:tcW w:w="5669" w:type="dxa"/>
            <w:vAlign w:val="center"/>
          </w:tcPr>
          <w:p w14:paraId="66E36A9B">
            <w:pPr>
              <w:spacing w:before="20" w:after="20" w:line="240" w:lineRule="auto"/>
              <w:ind w:firstLine="0"/>
              <w:jc w:val="center"/>
            </w:pPr>
            <w:r>
              <w:rPr>
                <w:rFonts w:ascii="Times New Roman" w:hAnsi="Times New Roman" w:eastAsia="宋体"/>
                <w:b w:val="0"/>
                <w:color w:val="000000"/>
                <w:sz w:val="18"/>
              </w:rPr>
              <w:t>0.7090</w:t>
            </w:r>
            <w:r>
              <w:rPr>
                <w:rFonts w:ascii="Times New Roman" w:hAnsi="Times New Roman" w:eastAsia="宋体"/>
                <w:b w:val="0"/>
                <w:color w:val="000000"/>
                <w:sz w:val="18"/>
              </w:rPr>
              <w:br w:type="textWrapping"/>
            </w:r>
            <w:r>
              <w:rPr>
                <w:rFonts w:ascii="Times New Roman" w:hAnsi="Times New Roman" w:eastAsia="宋体"/>
                <w:b w:val="0"/>
                <w:color w:val="000000"/>
                <w:sz w:val="18"/>
              </w:rPr>
              <w:t>(0.9360)</w:t>
            </w:r>
          </w:p>
        </w:tc>
      </w:tr>
      <w:tr w14:paraId="1309B75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6F1C4E33">
            <w:pPr>
              <w:spacing w:before="20" w:after="20" w:line="240" w:lineRule="auto"/>
              <w:ind w:firstLine="0"/>
              <w:jc w:val="center"/>
            </w:pPr>
            <w:r>
              <w:rPr>
                <w:rFonts w:ascii="Times New Roman" w:hAnsi="Times New Roman" w:eastAsia="宋体"/>
                <w:b w:val="0"/>
                <w:color w:val="000000"/>
                <w:sz w:val="18"/>
              </w:rPr>
              <w:t>ISU</w:t>
            </w:r>
          </w:p>
        </w:tc>
        <w:tc>
          <w:tcPr>
            <w:tcW w:w="5669" w:type="dxa"/>
            <w:vAlign w:val="center"/>
          </w:tcPr>
          <w:p w14:paraId="50EA1A08">
            <w:pPr>
              <w:spacing w:before="20" w:after="20" w:line="240" w:lineRule="auto"/>
              <w:ind w:firstLine="0"/>
              <w:jc w:val="center"/>
            </w:pPr>
            <w:r>
              <w:rPr>
                <w:rFonts w:ascii="Times New Roman" w:hAnsi="Times New Roman" w:eastAsia="宋体"/>
                <w:b w:val="0"/>
                <w:color w:val="000000"/>
                <w:sz w:val="18"/>
              </w:rPr>
              <w:t>-0.0800</w:t>
            </w:r>
            <w:r>
              <w:rPr>
                <w:rFonts w:ascii="Times New Roman" w:hAnsi="Times New Roman" w:eastAsia="宋体"/>
                <w:b w:val="0"/>
                <w:color w:val="000000"/>
                <w:sz w:val="18"/>
              </w:rPr>
              <w:br w:type="textWrapping"/>
            </w:r>
            <w:r>
              <w:rPr>
                <w:rFonts w:ascii="Times New Roman" w:hAnsi="Times New Roman" w:eastAsia="宋体"/>
                <w:b w:val="0"/>
                <w:color w:val="000000"/>
                <w:sz w:val="18"/>
              </w:rPr>
              <w:t>(0.0559)</w:t>
            </w:r>
          </w:p>
        </w:tc>
      </w:tr>
      <w:tr w14:paraId="49E8EBD5">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25CB248E">
            <w:pPr>
              <w:spacing w:before="20" w:after="20" w:line="240" w:lineRule="auto"/>
              <w:ind w:firstLine="0"/>
              <w:jc w:val="center"/>
            </w:pPr>
            <w:r>
              <w:rPr>
                <w:rFonts w:ascii="Times New Roman" w:hAnsi="Times New Roman" w:eastAsia="宋体"/>
                <w:b w:val="0"/>
                <w:color w:val="000000"/>
                <w:sz w:val="18"/>
              </w:rPr>
              <w:t>IND</w:t>
            </w:r>
          </w:p>
        </w:tc>
        <w:tc>
          <w:tcPr>
            <w:tcW w:w="5669" w:type="dxa"/>
            <w:vAlign w:val="center"/>
          </w:tcPr>
          <w:p w14:paraId="191833E0">
            <w:pPr>
              <w:spacing w:before="20" w:after="20" w:line="240" w:lineRule="auto"/>
              <w:ind w:firstLine="0"/>
              <w:jc w:val="center"/>
            </w:pPr>
            <w:r>
              <w:rPr>
                <w:rFonts w:ascii="Times New Roman" w:hAnsi="Times New Roman" w:eastAsia="宋体"/>
                <w:b w:val="0"/>
                <w:color w:val="000000"/>
                <w:sz w:val="18"/>
              </w:rPr>
              <w:t>2.2950</w:t>
            </w:r>
            <w:r>
              <w:rPr>
                <w:rFonts w:ascii="Times New Roman" w:hAnsi="Times New Roman" w:eastAsia="宋体"/>
                <w:b w:val="0"/>
                <w:color w:val="000000"/>
                <w:sz w:val="18"/>
              </w:rPr>
              <w:br w:type="textWrapping"/>
            </w:r>
            <w:r>
              <w:rPr>
                <w:rFonts w:ascii="Times New Roman" w:hAnsi="Times New Roman" w:eastAsia="宋体"/>
                <w:b w:val="0"/>
                <w:color w:val="000000"/>
                <w:sz w:val="18"/>
              </w:rPr>
              <w:t>(1.3880)</w:t>
            </w:r>
          </w:p>
        </w:tc>
      </w:tr>
      <w:tr w14:paraId="105CBF4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6C2D01B1">
            <w:pPr>
              <w:spacing w:before="20" w:after="20" w:line="240" w:lineRule="auto"/>
              <w:ind w:firstLine="0"/>
              <w:jc w:val="center"/>
            </w:pPr>
            <w:r>
              <w:rPr>
                <w:rFonts w:ascii="Times New Roman" w:hAnsi="Times New Roman" w:eastAsia="宋体"/>
                <w:b w:val="0"/>
                <w:color w:val="000000"/>
                <w:sz w:val="18"/>
              </w:rPr>
              <w:t>TMD</w:t>
            </w:r>
          </w:p>
        </w:tc>
        <w:tc>
          <w:tcPr>
            <w:tcW w:w="5669" w:type="dxa"/>
            <w:vAlign w:val="center"/>
          </w:tcPr>
          <w:p w14:paraId="259A83F1">
            <w:pPr>
              <w:spacing w:before="20" w:after="20" w:line="240" w:lineRule="auto"/>
              <w:ind w:firstLine="0"/>
              <w:jc w:val="center"/>
            </w:pPr>
            <w:r>
              <w:rPr>
                <w:rFonts w:ascii="Times New Roman" w:hAnsi="Times New Roman" w:eastAsia="宋体"/>
                <w:b w:val="0"/>
                <w:color w:val="000000"/>
                <w:sz w:val="18"/>
              </w:rPr>
              <w:t>-0.9220</w:t>
            </w:r>
            <w:r>
              <w:rPr>
                <w:rFonts w:ascii="Times New Roman" w:hAnsi="Times New Roman" w:eastAsia="宋体"/>
                <w:b w:val="0"/>
                <w:color w:val="000000"/>
                <w:sz w:val="18"/>
              </w:rPr>
              <w:br w:type="textWrapping"/>
            </w:r>
            <w:r>
              <w:rPr>
                <w:rFonts w:ascii="Times New Roman" w:hAnsi="Times New Roman" w:eastAsia="宋体"/>
                <w:b w:val="0"/>
                <w:color w:val="000000"/>
                <w:sz w:val="18"/>
              </w:rPr>
              <w:t>(1.8970)</w:t>
            </w:r>
          </w:p>
        </w:tc>
      </w:tr>
      <w:tr w14:paraId="50BAC66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07FB56F5">
            <w:pPr>
              <w:spacing w:before="20" w:after="20" w:line="240" w:lineRule="auto"/>
              <w:ind w:firstLine="0"/>
              <w:jc w:val="center"/>
            </w:pPr>
            <w:r>
              <w:rPr>
                <w:rFonts w:ascii="Times New Roman" w:hAnsi="Times New Roman" w:eastAsia="宋体"/>
                <w:b w:val="0"/>
                <w:color w:val="000000"/>
                <w:sz w:val="18"/>
              </w:rPr>
              <w:t>Open</w:t>
            </w:r>
          </w:p>
        </w:tc>
        <w:tc>
          <w:tcPr>
            <w:tcW w:w="5669" w:type="dxa"/>
            <w:vAlign w:val="center"/>
          </w:tcPr>
          <w:p w14:paraId="531A711F">
            <w:pPr>
              <w:spacing w:before="20" w:after="20" w:line="240" w:lineRule="auto"/>
              <w:ind w:firstLine="0"/>
              <w:jc w:val="center"/>
            </w:pPr>
            <w:r>
              <w:rPr>
                <w:rFonts w:ascii="Times New Roman" w:hAnsi="Times New Roman" w:eastAsia="宋体"/>
                <w:b w:val="0"/>
                <w:color w:val="000000"/>
                <w:sz w:val="18"/>
              </w:rPr>
              <w:t>0.2750</w:t>
            </w:r>
            <w:r>
              <w:rPr>
                <w:rFonts w:ascii="Times New Roman" w:hAnsi="Times New Roman" w:eastAsia="宋体"/>
                <w:b w:val="0"/>
                <w:color w:val="000000"/>
                <w:sz w:val="18"/>
              </w:rPr>
              <w:br w:type="textWrapping"/>
            </w:r>
            <w:r>
              <w:rPr>
                <w:rFonts w:ascii="Times New Roman" w:hAnsi="Times New Roman" w:eastAsia="宋体"/>
                <w:b w:val="0"/>
                <w:color w:val="000000"/>
                <w:sz w:val="18"/>
              </w:rPr>
              <w:t>(0.4640)</w:t>
            </w:r>
          </w:p>
        </w:tc>
      </w:tr>
      <w:tr w14:paraId="0612A73F">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72926BFE">
            <w:pPr>
              <w:spacing w:before="20" w:after="20" w:line="240" w:lineRule="auto"/>
              <w:ind w:firstLine="0"/>
              <w:jc w:val="center"/>
            </w:pPr>
            <w:r>
              <w:rPr>
                <w:rFonts w:hint="eastAsia" w:ascii="Times New Roman" w:hAnsi="Times New Roman" w:eastAsia="宋体"/>
                <w:b w:val="0"/>
                <w:color w:val="000000"/>
                <w:sz w:val="18"/>
              </w:rPr>
              <w:t>省份固定效应</w:t>
            </w:r>
          </w:p>
        </w:tc>
        <w:tc>
          <w:tcPr>
            <w:tcW w:w="5669" w:type="dxa"/>
            <w:vAlign w:val="center"/>
          </w:tcPr>
          <w:p w14:paraId="1EA52F54">
            <w:pPr>
              <w:spacing w:before="20" w:after="20" w:line="240" w:lineRule="auto"/>
              <w:ind w:firstLine="0"/>
              <w:jc w:val="center"/>
            </w:pPr>
            <w:r>
              <w:rPr>
                <w:rFonts w:hint="eastAsia" w:ascii="Times New Roman" w:hAnsi="Times New Roman" w:eastAsia="宋体"/>
                <w:b w:val="0"/>
                <w:color w:val="000000"/>
                <w:sz w:val="18"/>
              </w:rPr>
              <w:t>是</w:t>
            </w:r>
          </w:p>
        </w:tc>
      </w:tr>
      <w:tr w14:paraId="259DE63B">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1B393758">
            <w:pPr>
              <w:spacing w:before="20" w:after="20" w:line="240" w:lineRule="auto"/>
              <w:ind w:firstLine="0"/>
              <w:jc w:val="center"/>
            </w:pPr>
            <w:r>
              <w:rPr>
                <w:rFonts w:hint="eastAsia" w:ascii="Times New Roman" w:hAnsi="Times New Roman" w:eastAsia="宋体"/>
                <w:b w:val="0"/>
                <w:color w:val="000000"/>
                <w:sz w:val="18"/>
              </w:rPr>
              <w:t>年份固定效应</w:t>
            </w:r>
          </w:p>
        </w:tc>
        <w:tc>
          <w:tcPr>
            <w:tcW w:w="5669" w:type="dxa"/>
            <w:vAlign w:val="center"/>
          </w:tcPr>
          <w:p w14:paraId="66986167">
            <w:pPr>
              <w:spacing w:before="20" w:after="20" w:line="240" w:lineRule="auto"/>
              <w:ind w:firstLine="0"/>
              <w:jc w:val="center"/>
            </w:pPr>
            <w:r>
              <w:rPr>
                <w:rFonts w:hint="eastAsia" w:ascii="Times New Roman" w:hAnsi="Times New Roman" w:eastAsia="宋体"/>
                <w:b w:val="0"/>
                <w:color w:val="000000"/>
                <w:sz w:val="18"/>
              </w:rPr>
              <w:t>是</w:t>
            </w:r>
          </w:p>
        </w:tc>
      </w:tr>
      <w:tr w14:paraId="7B04B175">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2F11997B">
            <w:pPr>
              <w:spacing w:before="20" w:after="20" w:line="240" w:lineRule="auto"/>
              <w:ind w:firstLine="0"/>
              <w:jc w:val="center"/>
            </w:pPr>
            <w:r>
              <w:rPr>
                <w:rFonts w:hint="eastAsia" w:ascii="Times New Roman" w:hAnsi="Times New Roman" w:eastAsia="宋体"/>
                <w:b w:val="0"/>
                <w:color w:val="000000"/>
                <w:sz w:val="18"/>
              </w:rPr>
              <w:t>观测值</w:t>
            </w:r>
          </w:p>
        </w:tc>
        <w:tc>
          <w:tcPr>
            <w:tcW w:w="5669" w:type="dxa"/>
            <w:vAlign w:val="center"/>
          </w:tcPr>
          <w:p w14:paraId="7DE0A53E">
            <w:pPr>
              <w:spacing w:before="20" w:after="20" w:line="240" w:lineRule="auto"/>
              <w:ind w:firstLine="0"/>
              <w:jc w:val="center"/>
            </w:pPr>
            <w:r>
              <w:rPr>
                <w:rFonts w:ascii="Times New Roman" w:hAnsi="Times New Roman" w:eastAsia="宋体"/>
                <w:b w:val="0"/>
                <w:color w:val="000000"/>
                <w:sz w:val="18"/>
              </w:rPr>
              <w:t>310</w:t>
            </w:r>
          </w:p>
        </w:tc>
      </w:tr>
      <w:tr w14:paraId="65A28BD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3401" w:type="dxa"/>
            <w:vAlign w:val="center"/>
          </w:tcPr>
          <w:p w14:paraId="5DECCB29">
            <w:pPr>
              <w:spacing w:before="20" w:after="20" w:line="240" w:lineRule="auto"/>
              <w:ind w:firstLine="0"/>
              <w:jc w:val="center"/>
            </w:pPr>
            <w:r>
              <w:rPr>
                <w:rFonts w:ascii="Times New Roman" w:hAnsi="Times New Roman" w:eastAsia="宋体"/>
                <w:b w:val="0"/>
                <w:color w:val="000000"/>
                <w:sz w:val="18"/>
              </w:rPr>
              <w:t>R²</w:t>
            </w:r>
          </w:p>
        </w:tc>
        <w:tc>
          <w:tcPr>
            <w:tcW w:w="5669" w:type="dxa"/>
            <w:vAlign w:val="center"/>
          </w:tcPr>
          <w:p w14:paraId="2F6B3196">
            <w:pPr>
              <w:spacing w:before="20" w:after="20" w:line="240" w:lineRule="auto"/>
              <w:ind w:firstLine="0"/>
              <w:jc w:val="center"/>
            </w:pPr>
            <w:r>
              <w:rPr>
                <w:rFonts w:ascii="Times New Roman" w:hAnsi="Times New Roman" w:eastAsia="宋体"/>
                <w:b w:val="0"/>
                <w:color w:val="000000"/>
                <w:sz w:val="18"/>
              </w:rPr>
              <w:t>0.839</w:t>
            </w:r>
          </w:p>
        </w:tc>
      </w:tr>
    </w:tbl>
    <w:p w14:paraId="7184EBBF">
      <w:pPr>
        <w:pStyle w:val="3"/>
        <w:spacing w:before="40" w:after="80" w:line="240" w:lineRule="auto"/>
        <w:ind w:firstLine="0"/>
        <w:jc w:val="both"/>
      </w:pPr>
      <w:r>
        <w:rPr>
          <w:rFonts w:hint="eastAsia" w:ascii="Times New Roman" w:hAnsi="Times New Roman" w:eastAsia="宋体"/>
          <w:color w:val="000000"/>
          <w:sz w:val="18"/>
        </w:rPr>
        <w:t>注：括号内为稳健标准误；***、**和*分别表示在1%、5%和10%水平显著。</w:t>
      </w:r>
    </w:p>
    <w:p w14:paraId="79747C93">
      <w:pPr>
        <w:widowControl/>
        <w:spacing w:before="0" w:after="60" w:line="360" w:lineRule="auto"/>
        <w:ind w:left="0" w:right="0" w:firstLine="420"/>
        <w:jc w:val="both"/>
      </w:pPr>
      <w:r>
        <w:rPr>
          <w:rFonts w:hint="eastAsia" w:ascii="Times New Roman" w:hAnsi="Times New Roman" w:eastAsia="宋体"/>
          <w:color w:val="000000"/>
          <w:sz w:val="21"/>
        </w:rPr>
        <w:t>进一步对空间计量模型进行识别与选择。表7显示，LM(error)、Robust LM(error)、LM(lag)和Robust LM(lag)均在1%水平上显著，表明普通面板模型存在不可忽视的空间相关性。Wald-lag和LR-lag均在5%水平上拒绝SDM退化为SAR的原假设；Wald-error在5%水平、LR-error在10%水平上拒绝SDM退化为SEM的原假设，因此采用一般形式的SDM更为合适。进一步地，Hausman检验在1%水平上显著，拒绝随机效应设定，故后文采用双向固定效应SDM进行估计。</w:t>
      </w:r>
    </w:p>
    <w:p w14:paraId="3773D83D">
      <w:pPr>
        <w:pStyle w:val="3"/>
        <w:keepNext/>
        <w:spacing w:before="100" w:after="60"/>
        <w:ind w:firstLine="0"/>
        <w:jc w:val="center"/>
      </w:pPr>
      <w:r>
        <w:rPr>
          <w:rFonts w:hint="eastAsia" w:ascii="Times New Roman" w:hAnsi="Times New Roman" w:eastAsia="宋体"/>
          <w:b/>
          <w:bCs/>
          <w:color w:val="000000"/>
          <w:sz w:val="21"/>
        </w:rPr>
        <w:t>表7</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空间模型选择与诊断检验</w:t>
      </w:r>
    </w:p>
    <w:tbl>
      <w:tblPr>
        <w:tblStyle w:val="11"/>
        <w:tblW w:w="0" w:type="auto"/>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0"/>
        <w:gridCol w:w="2640"/>
        <w:gridCol w:w="2640"/>
      </w:tblGrid>
      <w:tr w14:paraId="285CB4B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640" w:type="dxa"/>
            <w:tcBorders>
              <w:bottom w:val="single" w:color="7F8C8D" w:sz="6" w:space="0"/>
            </w:tcBorders>
            <w:shd w:val="clear" w:color="auto" w:fill="DCE6F1"/>
            <w:vAlign w:val="center"/>
          </w:tcPr>
          <w:p w14:paraId="264C5BD1">
            <w:pPr>
              <w:keepNext/>
              <w:spacing w:before="20" w:after="20" w:line="240" w:lineRule="auto"/>
              <w:ind w:firstLine="361" w:firstLineChars="200"/>
              <w:jc w:val="center"/>
            </w:pPr>
            <w:r>
              <w:rPr>
                <w:rFonts w:hint="eastAsia" w:ascii="Times New Roman" w:hAnsi="Times New Roman" w:eastAsia="宋体"/>
                <w:b/>
                <w:color w:val="000000"/>
                <w:sz w:val="18"/>
              </w:rPr>
              <w:t>检验</w:t>
            </w:r>
          </w:p>
        </w:tc>
        <w:tc>
          <w:tcPr>
            <w:tcW w:w="2640" w:type="dxa"/>
            <w:tcBorders>
              <w:bottom w:val="single" w:color="7F8C8D" w:sz="6" w:space="0"/>
            </w:tcBorders>
            <w:shd w:val="clear" w:color="auto" w:fill="DCE6F1"/>
            <w:vAlign w:val="center"/>
          </w:tcPr>
          <w:p w14:paraId="4815B775">
            <w:pPr>
              <w:keepNext/>
              <w:spacing w:before="20" w:after="20" w:line="240" w:lineRule="auto"/>
              <w:ind w:firstLine="361" w:firstLineChars="200"/>
              <w:jc w:val="center"/>
            </w:pPr>
            <w:r>
              <w:rPr>
                <w:rFonts w:hint="eastAsia" w:ascii="Times New Roman" w:hAnsi="Times New Roman" w:eastAsia="宋体"/>
                <w:b/>
                <w:color w:val="000000"/>
                <w:sz w:val="18"/>
              </w:rPr>
              <w:t>统计量</w:t>
            </w:r>
          </w:p>
        </w:tc>
        <w:tc>
          <w:tcPr>
            <w:tcW w:w="2640" w:type="dxa"/>
            <w:tcBorders>
              <w:bottom w:val="single" w:color="7F8C8D" w:sz="6" w:space="0"/>
            </w:tcBorders>
            <w:shd w:val="clear" w:color="auto" w:fill="DCE6F1"/>
            <w:vAlign w:val="center"/>
          </w:tcPr>
          <w:p w14:paraId="3CFB2380">
            <w:pPr>
              <w:keepNext/>
              <w:spacing w:before="20" w:after="20" w:line="240" w:lineRule="auto"/>
              <w:ind w:firstLine="361" w:firstLineChars="200"/>
              <w:jc w:val="center"/>
            </w:pPr>
            <w:r>
              <w:rPr>
                <w:rFonts w:hint="eastAsia" w:ascii="Times New Roman" w:hAnsi="Times New Roman" w:eastAsia="宋体"/>
                <w:b/>
                <w:color w:val="000000"/>
                <w:sz w:val="18"/>
              </w:rPr>
              <w:t>p值</w:t>
            </w:r>
          </w:p>
        </w:tc>
      </w:tr>
      <w:tr w14:paraId="4411698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5D9BF639">
            <w:pPr>
              <w:keepNext/>
              <w:spacing w:before="20" w:after="20" w:line="240" w:lineRule="auto"/>
              <w:ind w:firstLine="360" w:firstLineChars="200"/>
              <w:jc w:val="center"/>
            </w:pPr>
            <w:r>
              <w:rPr>
                <w:rFonts w:ascii="Times New Roman" w:hAnsi="Times New Roman" w:eastAsia="宋体"/>
                <w:b w:val="0"/>
                <w:color w:val="000000"/>
                <w:sz w:val="18"/>
              </w:rPr>
              <w:t>LM(error)</w:t>
            </w:r>
          </w:p>
        </w:tc>
        <w:tc>
          <w:tcPr>
            <w:tcW w:w="2640" w:type="dxa"/>
            <w:vAlign w:val="center"/>
          </w:tcPr>
          <w:p w14:paraId="5F755279">
            <w:pPr>
              <w:keepNext/>
              <w:spacing w:before="20" w:after="20" w:line="240" w:lineRule="auto"/>
              <w:ind w:firstLine="360" w:firstLineChars="200"/>
              <w:jc w:val="center"/>
            </w:pPr>
            <w:r>
              <w:rPr>
                <w:rFonts w:ascii="Times New Roman" w:hAnsi="Times New Roman" w:eastAsia="宋体"/>
                <w:b w:val="0"/>
                <w:color w:val="000000"/>
                <w:sz w:val="18"/>
              </w:rPr>
              <w:t>131.350</w:t>
            </w:r>
          </w:p>
        </w:tc>
        <w:tc>
          <w:tcPr>
            <w:tcW w:w="2640" w:type="dxa"/>
            <w:vAlign w:val="center"/>
          </w:tcPr>
          <w:p w14:paraId="7F896640">
            <w:pPr>
              <w:keepNext/>
              <w:spacing w:before="20" w:after="20" w:line="240" w:lineRule="auto"/>
              <w:ind w:firstLine="360" w:firstLineChars="200"/>
              <w:jc w:val="center"/>
            </w:pPr>
            <w:r>
              <w:rPr>
                <w:rFonts w:ascii="Times New Roman" w:hAnsi="Times New Roman" w:eastAsia="宋体"/>
                <w:b w:val="0"/>
                <w:color w:val="000000"/>
                <w:sz w:val="18"/>
              </w:rPr>
              <w:t>0.00</w:t>
            </w:r>
            <w:r>
              <w:rPr>
                <w:rFonts w:hint="eastAsia"/>
                <w:b w:val="0"/>
                <w:color w:val="000000"/>
                <w:sz w:val="18"/>
                <w:lang w:val="en-US" w:eastAsia="zh-CN"/>
              </w:rPr>
              <w:t>0</w:t>
            </w:r>
          </w:p>
        </w:tc>
      </w:tr>
      <w:tr w14:paraId="67F2FF7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14DA9C42">
            <w:pPr>
              <w:keepNext/>
              <w:spacing w:before="20" w:after="20" w:line="240" w:lineRule="auto"/>
              <w:ind w:firstLine="360" w:firstLineChars="200"/>
              <w:jc w:val="center"/>
            </w:pPr>
            <w:r>
              <w:rPr>
                <w:rFonts w:ascii="Times New Roman" w:hAnsi="Times New Roman" w:eastAsia="宋体"/>
                <w:b w:val="0"/>
                <w:color w:val="000000"/>
                <w:sz w:val="18"/>
              </w:rPr>
              <w:t>Robust LM(error)</w:t>
            </w:r>
          </w:p>
        </w:tc>
        <w:tc>
          <w:tcPr>
            <w:tcW w:w="2640" w:type="dxa"/>
            <w:vAlign w:val="center"/>
          </w:tcPr>
          <w:p w14:paraId="1BAC0BE9">
            <w:pPr>
              <w:keepNext/>
              <w:spacing w:before="20" w:after="20" w:line="240" w:lineRule="auto"/>
              <w:ind w:firstLine="360" w:firstLineChars="200"/>
              <w:jc w:val="center"/>
            </w:pPr>
            <w:r>
              <w:rPr>
                <w:rFonts w:ascii="Times New Roman" w:hAnsi="Times New Roman" w:eastAsia="宋体"/>
                <w:b w:val="0"/>
                <w:color w:val="000000"/>
                <w:sz w:val="18"/>
              </w:rPr>
              <w:t>47.193</w:t>
            </w:r>
          </w:p>
        </w:tc>
        <w:tc>
          <w:tcPr>
            <w:tcW w:w="2640" w:type="dxa"/>
            <w:vAlign w:val="center"/>
          </w:tcPr>
          <w:p w14:paraId="6D57168C">
            <w:pPr>
              <w:keepNext/>
              <w:spacing w:before="20" w:after="20" w:line="240" w:lineRule="auto"/>
              <w:ind w:firstLine="360" w:firstLineChars="200"/>
              <w:jc w:val="center"/>
            </w:pPr>
            <w:r>
              <w:rPr>
                <w:rFonts w:ascii="Times New Roman" w:hAnsi="Times New Roman" w:eastAsia="宋体"/>
                <w:b w:val="0"/>
                <w:color w:val="000000"/>
                <w:sz w:val="18"/>
              </w:rPr>
              <w:t>0.00</w:t>
            </w:r>
            <w:r>
              <w:rPr>
                <w:rFonts w:hint="eastAsia"/>
                <w:b w:val="0"/>
                <w:color w:val="000000"/>
                <w:sz w:val="18"/>
                <w:lang w:val="en-US" w:eastAsia="zh-CN"/>
              </w:rPr>
              <w:t>0</w:t>
            </w:r>
          </w:p>
        </w:tc>
      </w:tr>
      <w:tr w14:paraId="004B32F5">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67AB8A3E">
            <w:pPr>
              <w:keepNext/>
              <w:spacing w:before="20" w:after="20" w:line="240" w:lineRule="auto"/>
              <w:ind w:firstLine="360" w:firstLineChars="200"/>
              <w:jc w:val="center"/>
            </w:pPr>
            <w:r>
              <w:rPr>
                <w:rFonts w:ascii="Times New Roman" w:hAnsi="Times New Roman" w:eastAsia="宋体"/>
                <w:b w:val="0"/>
                <w:color w:val="000000"/>
                <w:sz w:val="18"/>
              </w:rPr>
              <w:t>LM(lag)</w:t>
            </w:r>
          </w:p>
        </w:tc>
        <w:tc>
          <w:tcPr>
            <w:tcW w:w="2640" w:type="dxa"/>
            <w:vAlign w:val="center"/>
          </w:tcPr>
          <w:p w14:paraId="5CE6EAD8">
            <w:pPr>
              <w:keepNext/>
              <w:spacing w:before="20" w:after="20" w:line="240" w:lineRule="auto"/>
              <w:ind w:firstLine="360" w:firstLineChars="200"/>
              <w:jc w:val="center"/>
            </w:pPr>
            <w:r>
              <w:rPr>
                <w:rFonts w:ascii="Times New Roman" w:hAnsi="Times New Roman" w:eastAsia="宋体"/>
                <w:b w:val="0"/>
                <w:color w:val="000000"/>
                <w:sz w:val="18"/>
              </w:rPr>
              <w:t>99.396</w:t>
            </w:r>
          </w:p>
        </w:tc>
        <w:tc>
          <w:tcPr>
            <w:tcW w:w="2640" w:type="dxa"/>
            <w:vAlign w:val="center"/>
          </w:tcPr>
          <w:p w14:paraId="7A18C77F">
            <w:pPr>
              <w:keepNext/>
              <w:spacing w:before="20" w:after="20" w:line="240" w:lineRule="auto"/>
              <w:ind w:firstLine="360" w:firstLineChars="200"/>
              <w:jc w:val="center"/>
            </w:pPr>
            <w:r>
              <w:rPr>
                <w:rFonts w:ascii="Times New Roman" w:hAnsi="Times New Roman" w:eastAsia="宋体"/>
                <w:b w:val="0"/>
                <w:color w:val="000000"/>
                <w:sz w:val="18"/>
              </w:rPr>
              <w:t>0.00</w:t>
            </w:r>
            <w:r>
              <w:rPr>
                <w:rFonts w:hint="eastAsia"/>
                <w:b w:val="0"/>
                <w:color w:val="000000"/>
                <w:sz w:val="18"/>
                <w:lang w:val="en-US" w:eastAsia="zh-CN"/>
              </w:rPr>
              <w:t>0</w:t>
            </w:r>
          </w:p>
        </w:tc>
      </w:tr>
      <w:tr w14:paraId="55A11EA9">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611A173D">
            <w:pPr>
              <w:keepNext/>
              <w:spacing w:before="20" w:after="20" w:line="240" w:lineRule="auto"/>
              <w:ind w:firstLine="360" w:firstLineChars="200"/>
              <w:jc w:val="center"/>
            </w:pPr>
            <w:r>
              <w:rPr>
                <w:rFonts w:ascii="Times New Roman" w:hAnsi="Times New Roman" w:eastAsia="宋体"/>
                <w:b w:val="0"/>
                <w:color w:val="000000"/>
                <w:sz w:val="18"/>
              </w:rPr>
              <w:t>Robust LM(lag)</w:t>
            </w:r>
          </w:p>
        </w:tc>
        <w:tc>
          <w:tcPr>
            <w:tcW w:w="2640" w:type="dxa"/>
            <w:vAlign w:val="center"/>
          </w:tcPr>
          <w:p w14:paraId="68AE83D1">
            <w:pPr>
              <w:keepNext/>
              <w:spacing w:before="20" w:after="20" w:line="240" w:lineRule="auto"/>
              <w:ind w:firstLine="360" w:firstLineChars="200"/>
              <w:jc w:val="center"/>
            </w:pPr>
            <w:r>
              <w:rPr>
                <w:rFonts w:ascii="Times New Roman" w:hAnsi="Times New Roman" w:eastAsia="宋体"/>
                <w:b w:val="0"/>
                <w:color w:val="000000"/>
                <w:sz w:val="18"/>
              </w:rPr>
              <w:t>15.240</w:t>
            </w:r>
          </w:p>
        </w:tc>
        <w:tc>
          <w:tcPr>
            <w:tcW w:w="2640" w:type="dxa"/>
            <w:vAlign w:val="center"/>
          </w:tcPr>
          <w:p w14:paraId="473FE3C6">
            <w:pPr>
              <w:keepNext/>
              <w:spacing w:before="20" w:after="20" w:line="240" w:lineRule="auto"/>
              <w:ind w:firstLine="360" w:firstLineChars="200"/>
              <w:jc w:val="center"/>
            </w:pPr>
            <w:r>
              <w:rPr>
                <w:rFonts w:ascii="Times New Roman" w:hAnsi="Times New Roman" w:eastAsia="宋体"/>
                <w:b w:val="0"/>
                <w:color w:val="000000"/>
                <w:sz w:val="18"/>
              </w:rPr>
              <w:t>0.00</w:t>
            </w:r>
            <w:r>
              <w:rPr>
                <w:rFonts w:hint="eastAsia"/>
                <w:b w:val="0"/>
                <w:color w:val="000000"/>
                <w:sz w:val="18"/>
                <w:lang w:val="en-US" w:eastAsia="zh-CN"/>
              </w:rPr>
              <w:t>0</w:t>
            </w:r>
          </w:p>
        </w:tc>
      </w:tr>
      <w:tr w14:paraId="71F9D8B3">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2DC940EB">
            <w:pPr>
              <w:keepNext/>
              <w:spacing w:before="20" w:after="20" w:line="240" w:lineRule="auto"/>
              <w:ind w:firstLine="360" w:firstLineChars="200"/>
              <w:jc w:val="center"/>
            </w:pPr>
            <w:r>
              <w:rPr>
                <w:rFonts w:ascii="Times New Roman" w:hAnsi="Times New Roman" w:eastAsia="宋体"/>
                <w:b w:val="0"/>
                <w:color w:val="000000"/>
                <w:sz w:val="18"/>
              </w:rPr>
              <w:t>Wald-lag</w:t>
            </w:r>
          </w:p>
        </w:tc>
        <w:tc>
          <w:tcPr>
            <w:tcW w:w="2640" w:type="dxa"/>
            <w:vAlign w:val="center"/>
          </w:tcPr>
          <w:p w14:paraId="728D0201">
            <w:pPr>
              <w:keepNext/>
              <w:spacing w:before="20" w:after="20" w:line="240" w:lineRule="auto"/>
              <w:ind w:firstLine="360" w:firstLineChars="200"/>
              <w:jc w:val="center"/>
            </w:pPr>
            <w:r>
              <w:rPr>
                <w:rFonts w:ascii="Times New Roman" w:hAnsi="Times New Roman" w:eastAsia="宋体"/>
                <w:b w:val="0"/>
                <w:color w:val="000000"/>
                <w:sz w:val="18"/>
              </w:rPr>
              <w:t>19.350</w:t>
            </w:r>
          </w:p>
        </w:tc>
        <w:tc>
          <w:tcPr>
            <w:tcW w:w="2640" w:type="dxa"/>
            <w:vAlign w:val="center"/>
          </w:tcPr>
          <w:p w14:paraId="2482CB4F">
            <w:pPr>
              <w:keepNext/>
              <w:spacing w:before="20" w:after="20" w:line="240" w:lineRule="auto"/>
              <w:ind w:firstLine="360" w:firstLineChars="200"/>
              <w:jc w:val="center"/>
            </w:pPr>
            <w:r>
              <w:rPr>
                <w:rFonts w:ascii="Times New Roman" w:hAnsi="Times New Roman" w:eastAsia="宋体"/>
                <w:b w:val="0"/>
                <w:color w:val="000000"/>
                <w:sz w:val="18"/>
              </w:rPr>
              <w:t>0.013</w:t>
            </w:r>
          </w:p>
        </w:tc>
      </w:tr>
      <w:tr w14:paraId="0B338B6F">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61E7DD1D">
            <w:pPr>
              <w:keepNext/>
              <w:spacing w:before="20" w:after="20" w:line="240" w:lineRule="auto"/>
              <w:ind w:firstLine="360" w:firstLineChars="200"/>
              <w:jc w:val="center"/>
            </w:pPr>
            <w:r>
              <w:rPr>
                <w:rFonts w:ascii="Times New Roman" w:hAnsi="Times New Roman" w:eastAsia="宋体"/>
                <w:b w:val="0"/>
                <w:color w:val="000000"/>
                <w:sz w:val="18"/>
              </w:rPr>
              <w:t>Wald-error</w:t>
            </w:r>
          </w:p>
        </w:tc>
        <w:tc>
          <w:tcPr>
            <w:tcW w:w="2640" w:type="dxa"/>
            <w:vAlign w:val="center"/>
          </w:tcPr>
          <w:p w14:paraId="570834A5">
            <w:pPr>
              <w:keepNext/>
              <w:spacing w:before="20" w:after="20" w:line="240" w:lineRule="auto"/>
              <w:ind w:firstLine="360" w:firstLineChars="200"/>
              <w:jc w:val="center"/>
            </w:pPr>
            <w:r>
              <w:rPr>
                <w:rFonts w:ascii="Times New Roman" w:hAnsi="Times New Roman" w:eastAsia="宋体"/>
                <w:b w:val="0"/>
                <w:color w:val="000000"/>
                <w:sz w:val="18"/>
              </w:rPr>
              <w:t>15.710</w:t>
            </w:r>
          </w:p>
        </w:tc>
        <w:tc>
          <w:tcPr>
            <w:tcW w:w="2640" w:type="dxa"/>
            <w:vAlign w:val="center"/>
          </w:tcPr>
          <w:p w14:paraId="1AB7B273">
            <w:pPr>
              <w:keepNext/>
              <w:spacing w:before="20" w:after="20" w:line="240" w:lineRule="auto"/>
              <w:ind w:firstLine="360" w:firstLineChars="200"/>
              <w:jc w:val="center"/>
            </w:pPr>
            <w:r>
              <w:rPr>
                <w:rFonts w:ascii="Times New Roman" w:hAnsi="Times New Roman" w:eastAsia="宋体"/>
                <w:b w:val="0"/>
                <w:color w:val="000000"/>
                <w:sz w:val="18"/>
              </w:rPr>
              <w:t>0.047</w:t>
            </w:r>
          </w:p>
        </w:tc>
      </w:tr>
      <w:tr w14:paraId="7233998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66D87B77">
            <w:pPr>
              <w:keepNext/>
              <w:spacing w:before="20" w:after="20" w:line="240" w:lineRule="auto"/>
              <w:ind w:firstLine="360" w:firstLineChars="200"/>
              <w:jc w:val="center"/>
            </w:pPr>
            <w:r>
              <w:rPr>
                <w:rFonts w:ascii="Times New Roman" w:hAnsi="Times New Roman" w:eastAsia="宋体"/>
                <w:b w:val="0"/>
                <w:color w:val="000000"/>
                <w:sz w:val="18"/>
              </w:rPr>
              <w:t>LR-lag</w:t>
            </w:r>
          </w:p>
        </w:tc>
        <w:tc>
          <w:tcPr>
            <w:tcW w:w="2640" w:type="dxa"/>
            <w:vAlign w:val="center"/>
          </w:tcPr>
          <w:p w14:paraId="118E5B93">
            <w:pPr>
              <w:keepNext/>
              <w:spacing w:before="20" w:after="20" w:line="240" w:lineRule="auto"/>
              <w:ind w:firstLine="360" w:firstLineChars="200"/>
              <w:jc w:val="center"/>
            </w:pPr>
            <w:r>
              <w:rPr>
                <w:rFonts w:ascii="Times New Roman" w:hAnsi="Times New Roman" w:eastAsia="宋体"/>
                <w:b w:val="0"/>
                <w:color w:val="000000"/>
                <w:sz w:val="18"/>
              </w:rPr>
              <w:t>18.360</w:t>
            </w:r>
          </w:p>
        </w:tc>
        <w:tc>
          <w:tcPr>
            <w:tcW w:w="2640" w:type="dxa"/>
            <w:vAlign w:val="center"/>
          </w:tcPr>
          <w:p w14:paraId="02B770E0">
            <w:pPr>
              <w:keepNext/>
              <w:spacing w:before="20" w:after="20" w:line="240" w:lineRule="auto"/>
              <w:ind w:firstLine="360" w:firstLineChars="200"/>
              <w:jc w:val="center"/>
            </w:pPr>
            <w:r>
              <w:rPr>
                <w:rFonts w:ascii="Times New Roman" w:hAnsi="Times New Roman" w:eastAsia="宋体"/>
                <w:b w:val="0"/>
                <w:color w:val="000000"/>
                <w:sz w:val="18"/>
              </w:rPr>
              <w:t>0.019</w:t>
            </w:r>
          </w:p>
        </w:tc>
      </w:tr>
      <w:tr w14:paraId="4E85423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72FB7988">
            <w:pPr>
              <w:keepNext/>
              <w:spacing w:before="20" w:after="20" w:line="240" w:lineRule="auto"/>
              <w:ind w:firstLine="360" w:firstLineChars="200"/>
              <w:jc w:val="center"/>
            </w:pPr>
            <w:r>
              <w:rPr>
                <w:rFonts w:ascii="Times New Roman" w:hAnsi="Times New Roman" w:eastAsia="宋体"/>
                <w:b w:val="0"/>
                <w:color w:val="000000"/>
                <w:sz w:val="18"/>
              </w:rPr>
              <w:t>LR-error</w:t>
            </w:r>
          </w:p>
        </w:tc>
        <w:tc>
          <w:tcPr>
            <w:tcW w:w="2640" w:type="dxa"/>
            <w:vAlign w:val="center"/>
          </w:tcPr>
          <w:p w14:paraId="15A818C5">
            <w:pPr>
              <w:keepNext/>
              <w:spacing w:before="20" w:after="20" w:line="240" w:lineRule="auto"/>
              <w:ind w:firstLine="360" w:firstLineChars="200"/>
              <w:jc w:val="center"/>
            </w:pPr>
            <w:r>
              <w:rPr>
                <w:rFonts w:ascii="Times New Roman" w:hAnsi="Times New Roman" w:eastAsia="宋体"/>
                <w:b w:val="0"/>
                <w:color w:val="000000"/>
                <w:sz w:val="18"/>
              </w:rPr>
              <w:t>14.100</w:t>
            </w:r>
          </w:p>
        </w:tc>
        <w:tc>
          <w:tcPr>
            <w:tcW w:w="2640" w:type="dxa"/>
            <w:vAlign w:val="center"/>
          </w:tcPr>
          <w:p w14:paraId="0B66907F">
            <w:pPr>
              <w:keepNext/>
              <w:spacing w:before="20" w:after="20" w:line="240" w:lineRule="auto"/>
              <w:ind w:firstLine="360" w:firstLineChars="200"/>
              <w:jc w:val="center"/>
            </w:pPr>
            <w:r>
              <w:rPr>
                <w:rFonts w:ascii="Times New Roman" w:hAnsi="Times New Roman" w:eastAsia="宋体"/>
                <w:b w:val="0"/>
                <w:color w:val="000000"/>
                <w:sz w:val="18"/>
              </w:rPr>
              <w:t>0.079</w:t>
            </w:r>
          </w:p>
        </w:tc>
      </w:tr>
      <w:tr w14:paraId="04657D1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640" w:type="dxa"/>
            <w:vAlign w:val="center"/>
          </w:tcPr>
          <w:p w14:paraId="248D5BD9">
            <w:pPr>
              <w:spacing w:before="20" w:after="20" w:line="240" w:lineRule="auto"/>
              <w:ind w:firstLine="360" w:firstLineChars="200"/>
              <w:jc w:val="center"/>
            </w:pPr>
            <w:r>
              <w:rPr>
                <w:rFonts w:ascii="Times New Roman" w:hAnsi="Times New Roman" w:eastAsia="宋体"/>
                <w:b w:val="0"/>
                <w:color w:val="000000"/>
                <w:sz w:val="18"/>
              </w:rPr>
              <w:t>Hausman</w:t>
            </w:r>
          </w:p>
        </w:tc>
        <w:tc>
          <w:tcPr>
            <w:tcW w:w="2640" w:type="dxa"/>
            <w:vAlign w:val="center"/>
          </w:tcPr>
          <w:p w14:paraId="79C8BAB9">
            <w:pPr>
              <w:spacing w:before="20" w:after="20" w:line="240" w:lineRule="auto"/>
              <w:ind w:firstLine="360" w:firstLineChars="200"/>
              <w:jc w:val="center"/>
            </w:pPr>
            <w:r>
              <w:rPr>
                <w:rFonts w:ascii="Times New Roman" w:hAnsi="Times New Roman" w:eastAsia="宋体"/>
                <w:b w:val="0"/>
                <w:color w:val="000000"/>
                <w:sz w:val="18"/>
              </w:rPr>
              <w:t>70.220</w:t>
            </w:r>
          </w:p>
        </w:tc>
        <w:tc>
          <w:tcPr>
            <w:tcW w:w="2640" w:type="dxa"/>
            <w:vAlign w:val="center"/>
          </w:tcPr>
          <w:p w14:paraId="221EAA1B">
            <w:pPr>
              <w:spacing w:before="20" w:after="20" w:line="240" w:lineRule="auto"/>
              <w:ind w:firstLine="360" w:firstLineChars="200"/>
              <w:jc w:val="center"/>
            </w:pPr>
            <w:r>
              <w:rPr>
                <w:rFonts w:ascii="Times New Roman" w:hAnsi="Times New Roman" w:eastAsia="宋体"/>
                <w:b w:val="0"/>
                <w:color w:val="000000"/>
                <w:sz w:val="18"/>
              </w:rPr>
              <w:t>0.00</w:t>
            </w:r>
            <w:r>
              <w:rPr>
                <w:rFonts w:hint="eastAsia"/>
                <w:b w:val="0"/>
                <w:color w:val="000000"/>
                <w:sz w:val="18"/>
                <w:lang w:val="en-US" w:eastAsia="zh-CN"/>
              </w:rPr>
              <w:t>0</w:t>
            </w:r>
          </w:p>
        </w:tc>
      </w:tr>
      <w:bookmarkEnd w:id="22"/>
    </w:tbl>
    <w:p w14:paraId="25D81326">
      <w:pPr>
        <w:pStyle w:val="5"/>
        <w:keepNext/>
        <w:keepLines/>
        <w:spacing w:before="160" w:after="80"/>
        <w:ind w:firstLine="0"/>
      </w:pPr>
      <w:bookmarkStart w:id="23" w:name="sdm估计与空间效应分解"/>
      <w:r>
        <w:rPr>
          <w:rFonts w:ascii="Times New Roman" w:hAnsi="Times New Roman" w:eastAsia="黑体"/>
          <w:b/>
          <w:color w:val="000000"/>
          <w:sz w:val="28"/>
        </w:rPr>
        <w:t>5.2.2 空间影响效应分解</w:t>
      </w:r>
    </w:p>
    <w:p w14:paraId="17BE4AB5">
      <w:pPr>
        <w:bidi w:val="0"/>
      </w:pPr>
      <w:r>
        <w:rPr>
          <w:rFonts w:hint="eastAsia"/>
        </w:rPr>
        <w:t>表8报告了SDM、SEM和SAR的估计结果。三类模型中R&amp;D的估计系数分别为0.0032、0.0036和0.0031，均在1%水平上显著，表明R&amp;D与CNTI的正向关系在不同空间模型设定下较为稳定。SDM中，R&amp;D空间滞后项的估计系数为0.0176，并在1%水平上显著；空间自回归系数ρ为−0.7620，同样在1%水平上显著。由于SDM的原始估计系数包含空间反馈效应，R&amp;D的空间影响仍需结合直接效应、间接效应和总效应进行判断。</w:t>
      </w:r>
    </w:p>
    <w:p w14:paraId="3180DC81">
      <w:pPr>
        <w:pStyle w:val="3"/>
        <w:keepNext/>
        <w:spacing w:before="100" w:after="60"/>
        <w:ind w:firstLine="0"/>
        <w:jc w:val="center"/>
      </w:pPr>
      <w:r>
        <w:rPr>
          <w:rFonts w:hint="eastAsia" w:ascii="Times New Roman" w:hAnsi="Times New Roman" w:eastAsia="宋体"/>
          <w:b/>
          <w:bCs/>
          <w:color w:val="000000"/>
          <w:sz w:val="21"/>
        </w:rPr>
        <w:t>表8</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SDM、SEM与SAR估计结果</w:t>
      </w:r>
    </w:p>
    <w:tbl>
      <w:tblPr>
        <w:tblStyle w:val="11"/>
        <w:tblW w:w="5000" w:type="pct"/>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2"/>
        <w:gridCol w:w="2322"/>
        <w:gridCol w:w="2322"/>
        <w:gridCol w:w="2322"/>
      </w:tblGrid>
      <w:tr w14:paraId="403E55B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14" w:type="dxa"/>
            <w:tcBorders>
              <w:bottom w:val="single" w:color="7F8C8D" w:sz="6" w:space="0"/>
            </w:tcBorders>
            <w:shd w:val="clear" w:color="auto" w:fill="DCE6F1"/>
            <w:vAlign w:val="center"/>
          </w:tcPr>
          <w:p w14:paraId="1BBE8F04">
            <w:pPr>
              <w:spacing w:before="20" w:after="20" w:line="240" w:lineRule="auto"/>
              <w:ind w:firstLine="341" w:firstLineChars="200"/>
              <w:jc w:val="center"/>
            </w:pPr>
            <w:r>
              <w:rPr>
                <w:rFonts w:hint="eastAsia" w:ascii="Times New Roman" w:hAnsi="Times New Roman" w:eastAsia="宋体"/>
                <w:b/>
                <w:color w:val="000000"/>
                <w:sz w:val="17"/>
              </w:rPr>
              <w:t>变量</w:t>
            </w:r>
          </w:p>
        </w:tc>
        <w:tc>
          <w:tcPr>
            <w:tcW w:w="2420" w:type="dxa"/>
            <w:tcBorders>
              <w:bottom w:val="single" w:color="7F8C8D" w:sz="6" w:space="0"/>
            </w:tcBorders>
            <w:shd w:val="clear" w:color="auto" w:fill="DCE6F1"/>
            <w:vAlign w:val="center"/>
          </w:tcPr>
          <w:p w14:paraId="2E5F7913">
            <w:pPr>
              <w:spacing w:before="20" w:after="20" w:line="240" w:lineRule="auto"/>
              <w:ind w:firstLine="341" w:firstLineChars="200"/>
              <w:jc w:val="center"/>
            </w:pPr>
            <w:r>
              <w:rPr>
                <w:rFonts w:ascii="Times New Roman" w:hAnsi="Times New Roman" w:eastAsia="宋体"/>
                <w:b/>
                <w:color w:val="000000"/>
                <w:sz w:val="17"/>
              </w:rPr>
              <w:t>SDM</w:t>
            </w:r>
          </w:p>
        </w:tc>
        <w:tc>
          <w:tcPr>
            <w:tcW w:w="2420" w:type="dxa"/>
            <w:tcBorders>
              <w:bottom w:val="single" w:color="7F8C8D" w:sz="6" w:space="0"/>
            </w:tcBorders>
            <w:shd w:val="clear" w:color="auto" w:fill="DCE6F1"/>
            <w:vAlign w:val="center"/>
          </w:tcPr>
          <w:p w14:paraId="7665C63B">
            <w:pPr>
              <w:spacing w:before="20" w:after="20" w:line="240" w:lineRule="auto"/>
              <w:ind w:firstLine="341" w:firstLineChars="200"/>
              <w:jc w:val="center"/>
            </w:pPr>
            <w:r>
              <w:rPr>
                <w:rFonts w:ascii="Times New Roman" w:hAnsi="Times New Roman" w:eastAsia="宋体"/>
                <w:b/>
                <w:color w:val="000000"/>
                <w:sz w:val="17"/>
              </w:rPr>
              <w:t>SEM</w:t>
            </w:r>
          </w:p>
        </w:tc>
        <w:tc>
          <w:tcPr>
            <w:tcW w:w="2415" w:type="dxa"/>
            <w:tcBorders>
              <w:bottom w:val="single" w:color="7F8C8D" w:sz="6" w:space="0"/>
            </w:tcBorders>
            <w:shd w:val="clear" w:color="auto" w:fill="DCE6F1"/>
            <w:vAlign w:val="center"/>
          </w:tcPr>
          <w:p w14:paraId="5EC367A1">
            <w:pPr>
              <w:spacing w:before="20" w:after="20" w:line="240" w:lineRule="auto"/>
              <w:ind w:firstLine="341" w:firstLineChars="200"/>
              <w:jc w:val="center"/>
            </w:pPr>
            <w:r>
              <w:rPr>
                <w:rFonts w:ascii="Times New Roman" w:hAnsi="Times New Roman" w:eastAsia="宋体"/>
                <w:b/>
                <w:color w:val="000000"/>
                <w:sz w:val="17"/>
              </w:rPr>
              <w:t>SAR</w:t>
            </w:r>
          </w:p>
        </w:tc>
      </w:tr>
      <w:tr w14:paraId="3DBD1D95">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3BC156B1">
            <w:pPr>
              <w:spacing w:before="20" w:after="20" w:line="240" w:lineRule="auto"/>
              <w:ind w:firstLine="340" w:firstLineChars="200"/>
              <w:jc w:val="center"/>
            </w:pPr>
            <w:r>
              <w:rPr>
                <w:rFonts w:ascii="Times New Roman" w:hAnsi="Times New Roman" w:eastAsia="宋体"/>
                <w:b w:val="0"/>
                <w:color w:val="000000"/>
                <w:sz w:val="17"/>
              </w:rPr>
              <w:t>R&amp;D</w:t>
            </w:r>
          </w:p>
        </w:tc>
        <w:tc>
          <w:tcPr>
            <w:tcW w:w="2420" w:type="dxa"/>
            <w:vAlign w:val="center"/>
          </w:tcPr>
          <w:p w14:paraId="5DF80ED2">
            <w:pPr>
              <w:spacing w:before="20" w:after="20" w:line="240" w:lineRule="auto"/>
              <w:ind w:firstLine="340" w:firstLineChars="200"/>
              <w:jc w:val="center"/>
            </w:pPr>
            <w:r>
              <w:rPr>
                <w:rFonts w:ascii="Times New Roman" w:hAnsi="Times New Roman" w:eastAsia="宋体"/>
                <w:b w:val="0"/>
                <w:color w:val="000000"/>
                <w:sz w:val="17"/>
              </w:rPr>
              <w:t>0.0032***</w:t>
            </w:r>
            <w:r>
              <w:rPr>
                <w:rFonts w:ascii="Times New Roman" w:hAnsi="Times New Roman" w:eastAsia="宋体"/>
                <w:b w:val="0"/>
                <w:color w:val="000000"/>
                <w:sz w:val="17"/>
              </w:rPr>
              <w:br w:type="textWrapping"/>
            </w:r>
            <w:r>
              <w:rPr>
                <w:rFonts w:ascii="Times New Roman" w:hAnsi="Times New Roman" w:eastAsia="宋体"/>
                <w:b w:val="0"/>
                <w:color w:val="000000"/>
                <w:sz w:val="17"/>
              </w:rPr>
              <w:t>(0.0009)</w:t>
            </w:r>
          </w:p>
        </w:tc>
        <w:tc>
          <w:tcPr>
            <w:tcW w:w="2420" w:type="dxa"/>
            <w:vAlign w:val="center"/>
          </w:tcPr>
          <w:p w14:paraId="369528F3">
            <w:pPr>
              <w:spacing w:before="20" w:after="20" w:line="240" w:lineRule="auto"/>
              <w:ind w:firstLine="340" w:firstLineChars="200"/>
              <w:jc w:val="center"/>
            </w:pPr>
            <w:r>
              <w:rPr>
                <w:rFonts w:ascii="Times New Roman" w:hAnsi="Times New Roman" w:eastAsia="宋体"/>
                <w:b w:val="0"/>
                <w:color w:val="000000"/>
                <w:sz w:val="17"/>
              </w:rPr>
              <w:t>0.0036***</w:t>
            </w:r>
            <w:r>
              <w:rPr>
                <w:rFonts w:ascii="Times New Roman" w:hAnsi="Times New Roman" w:eastAsia="宋体"/>
                <w:b w:val="0"/>
                <w:color w:val="000000"/>
                <w:sz w:val="17"/>
              </w:rPr>
              <w:br w:type="textWrapping"/>
            </w:r>
            <w:r>
              <w:rPr>
                <w:rFonts w:ascii="Times New Roman" w:hAnsi="Times New Roman" w:eastAsia="宋体"/>
                <w:b w:val="0"/>
                <w:color w:val="000000"/>
                <w:sz w:val="17"/>
              </w:rPr>
              <w:t>(0.0009)</w:t>
            </w:r>
          </w:p>
        </w:tc>
        <w:tc>
          <w:tcPr>
            <w:tcW w:w="2415" w:type="dxa"/>
            <w:vAlign w:val="center"/>
          </w:tcPr>
          <w:p w14:paraId="0DFF2197">
            <w:pPr>
              <w:spacing w:before="20" w:after="20" w:line="240" w:lineRule="auto"/>
              <w:ind w:firstLine="340" w:firstLineChars="200"/>
              <w:jc w:val="center"/>
            </w:pPr>
            <w:r>
              <w:rPr>
                <w:rFonts w:ascii="Times New Roman" w:hAnsi="Times New Roman" w:eastAsia="宋体"/>
                <w:b w:val="0"/>
                <w:color w:val="000000"/>
                <w:sz w:val="17"/>
              </w:rPr>
              <w:t>0.0031***</w:t>
            </w:r>
            <w:r>
              <w:rPr>
                <w:rFonts w:ascii="Times New Roman" w:hAnsi="Times New Roman" w:eastAsia="宋体"/>
                <w:b w:val="0"/>
                <w:color w:val="000000"/>
                <w:sz w:val="17"/>
              </w:rPr>
              <w:br w:type="textWrapping"/>
            </w:r>
            <w:r>
              <w:rPr>
                <w:rFonts w:ascii="Times New Roman" w:hAnsi="Times New Roman" w:eastAsia="宋体"/>
                <w:b w:val="0"/>
                <w:color w:val="000000"/>
                <w:sz w:val="17"/>
              </w:rPr>
              <w:t>(0.0009)</w:t>
            </w:r>
          </w:p>
        </w:tc>
      </w:tr>
      <w:tr w14:paraId="5D5D9FE9">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63E9B0D6">
            <w:pPr>
              <w:spacing w:before="20" w:after="20" w:line="240" w:lineRule="auto"/>
              <w:ind w:firstLine="340" w:firstLineChars="200"/>
              <w:jc w:val="center"/>
            </w:pPr>
            <w:r>
              <w:rPr>
                <w:rFonts w:ascii="Times New Roman" w:hAnsi="Times New Roman" w:eastAsia="宋体"/>
                <w:b w:val="0"/>
                <w:color w:val="000000"/>
                <w:sz w:val="17"/>
              </w:rPr>
              <w:t>Energy</w:t>
            </w:r>
          </w:p>
        </w:tc>
        <w:tc>
          <w:tcPr>
            <w:tcW w:w="2420" w:type="dxa"/>
            <w:vAlign w:val="center"/>
          </w:tcPr>
          <w:p w14:paraId="00D44147">
            <w:pPr>
              <w:spacing w:before="20" w:after="20" w:line="240" w:lineRule="auto"/>
              <w:ind w:firstLine="340" w:firstLineChars="200"/>
              <w:jc w:val="center"/>
            </w:pPr>
            <w:r>
              <w:rPr>
                <w:rFonts w:ascii="Times New Roman" w:hAnsi="Times New Roman" w:eastAsia="宋体"/>
                <w:b w:val="0"/>
                <w:color w:val="000000"/>
                <w:sz w:val="17"/>
              </w:rPr>
              <w:t>-0.5980***</w:t>
            </w:r>
            <w:r>
              <w:rPr>
                <w:rFonts w:ascii="Times New Roman" w:hAnsi="Times New Roman" w:eastAsia="宋体"/>
                <w:b w:val="0"/>
                <w:color w:val="000000"/>
                <w:sz w:val="17"/>
              </w:rPr>
              <w:br w:type="textWrapping"/>
            </w:r>
            <w:r>
              <w:rPr>
                <w:rFonts w:ascii="Times New Roman" w:hAnsi="Times New Roman" w:eastAsia="宋体"/>
                <w:b w:val="0"/>
                <w:color w:val="000000"/>
                <w:sz w:val="17"/>
              </w:rPr>
              <w:t>(0.1150)</w:t>
            </w:r>
          </w:p>
        </w:tc>
        <w:tc>
          <w:tcPr>
            <w:tcW w:w="2420" w:type="dxa"/>
            <w:vAlign w:val="center"/>
          </w:tcPr>
          <w:p w14:paraId="4CFDFC5A">
            <w:pPr>
              <w:spacing w:before="20" w:after="20" w:line="240" w:lineRule="auto"/>
              <w:ind w:firstLine="340" w:firstLineChars="200"/>
              <w:jc w:val="center"/>
            </w:pPr>
            <w:r>
              <w:rPr>
                <w:rFonts w:ascii="Times New Roman" w:hAnsi="Times New Roman" w:eastAsia="宋体"/>
                <w:b w:val="0"/>
                <w:color w:val="000000"/>
                <w:sz w:val="17"/>
              </w:rPr>
              <w:t>-0.6780***</w:t>
            </w:r>
            <w:r>
              <w:rPr>
                <w:rFonts w:ascii="Times New Roman" w:hAnsi="Times New Roman" w:eastAsia="宋体"/>
                <w:b w:val="0"/>
                <w:color w:val="000000"/>
                <w:sz w:val="17"/>
              </w:rPr>
              <w:br w:type="textWrapping"/>
            </w:r>
            <w:r>
              <w:rPr>
                <w:rFonts w:ascii="Times New Roman" w:hAnsi="Times New Roman" w:eastAsia="宋体"/>
                <w:b w:val="0"/>
                <w:color w:val="000000"/>
                <w:sz w:val="17"/>
              </w:rPr>
              <w:t>(0.1110)</w:t>
            </w:r>
          </w:p>
        </w:tc>
        <w:tc>
          <w:tcPr>
            <w:tcW w:w="2415" w:type="dxa"/>
            <w:vAlign w:val="center"/>
          </w:tcPr>
          <w:p w14:paraId="30AB09DB">
            <w:pPr>
              <w:spacing w:before="20" w:after="20" w:line="240" w:lineRule="auto"/>
              <w:ind w:firstLine="340" w:firstLineChars="200"/>
              <w:jc w:val="center"/>
            </w:pPr>
            <w:r>
              <w:rPr>
                <w:rFonts w:ascii="Times New Roman" w:hAnsi="Times New Roman" w:eastAsia="宋体"/>
                <w:b w:val="0"/>
                <w:color w:val="000000"/>
                <w:sz w:val="17"/>
              </w:rPr>
              <w:t>-0.7090***</w:t>
            </w:r>
            <w:r>
              <w:rPr>
                <w:rFonts w:ascii="Times New Roman" w:hAnsi="Times New Roman" w:eastAsia="宋体"/>
                <w:b w:val="0"/>
                <w:color w:val="000000"/>
                <w:sz w:val="17"/>
              </w:rPr>
              <w:br w:type="textWrapping"/>
            </w:r>
            <w:r>
              <w:rPr>
                <w:rFonts w:ascii="Times New Roman" w:hAnsi="Times New Roman" w:eastAsia="宋体"/>
                <w:b w:val="0"/>
                <w:color w:val="000000"/>
                <w:sz w:val="17"/>
              </w:rPr>
              <w:t>(0.1100)</w:t>
            </w:r>
          </w:p>
        </w:tc>
      </w:tr>
      <w:tr w14:paraId="5FAA4D6B">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73E847D4">
            <w:pPr>
              <w:spacing w:before="20" w:after="20" w:line="240" w:lineRule="auto"/>
              <w:ind w:firstLine="340" w:firstLineChars="200"/>
              <w:jc w:val="center"/>
            </w:pPr>
            <w:r>
              <w:rPr>
                <w:rFonts w:ascii="Times New Roman" w:hAnsi="Times New Roman" w:eastAsia="宋体"/>
                <w:b w:val="0"/>
                <w:color w:val="000000"/>
                <w:sz w:val="17"/>
              </w:rPr>
              <w:t>FDI</w:t>
            </w:r>
          </w:p>
        </w:tc>
        <w:tc>
          <w:tcPr>
            <w:tcW w:w="2420" w:type="dxa"/>
            <w:vAlign w:val="center"/>
          </w:tcPr>
          <w:p w14:paraId="4C8D4C9E">
            <w:pPr>
              <w:spacing w:before="20" w:after="20" w:line="240" w:lineRule="auto"/>
              <w:ind w:firstLine="340" w:firstLineChars="200"/>
              <w:jc w:val="center"/>
            </w:pPr>
            <w:r>
              <w:rPr>
                <w:rFonts w:ascii="Times New Roman" w:hAnsi="Times New Roman" w:eastAsia="宋体"/>
                <w:b w:val="0"/>
                <w:color w:val="000000"/>
                <w:sz w:val="17"/>
              </w:rPr>
              <w:t>-3.0900*</w:t>
            </w:r>
            <w:r>
              <w:rPr>
                <w:rFonts w:ascii="Times New Roman" w:hAnsi="Times New Roman" w:eastAsia="宋体"/>
                <w:b w:val="0"/>
                <w:color w:val="000000"/>
                <w:sz w:val="17"/>
              </w:rPr>
              <w:br w:type="textWrapping"/>
            </w:r>
            <w:r>
              <w:rPr>
                <w:rFonts w:ascii="Times New Roman" w:hAnsi="Times New Roman" w:eastAsia="宋体"/>
                <w:b w:val="0"/>
                <w:color w:val="000000"/>
                <w:sz w:val="17"/>
              </w:rPr>
              <w:t>(1.6340)</w:t>
            </w:r>
          </w:p>
        </w:tc>
        <w:tc>
          <w:tcPr>
            <w:tcW w:w="2420" w:type="dxa"/>
            <w:vAlign w:val="center"/>
          </w:tcPr>
          <w:p w14:paraId="29224ACA">
            <w:pPr>
              <w:spacing w:before="20" w:after="20" w:line="240" w:lineRule="auto"/>
              <w:ind w:firstLine="340" w:firstLineChars="200"/>
              <w:jc w:val="center"/>
            </w:pPr>
            <w:r>
              <w:rPr>
                <w:rFonts w:ascii="Times New Roman" w:hAnsi="Times New Roman" w:eastAsia="宋体"/>
                <w:b w:val="0"/>
                <w:color w:val="000000"/>
                <w:sz w:val="17"/>
              </w:rPr>
              <w:t>-2.6280*</w:t>
            </w:r>
            <w:r>
              <w:rPr>
                <w:rFonts w:ascii="Times New Roman" w:hAnsi="Times New Roman" w:eastAsia="宋体"/>
                <w:b w:val="0"/>
                <w:color w:val="000000"/>
                <w:sz w:val="17"/>
              </w:rPr>
              <w:br w:type="textWrapping"/>
            </w:r>
            <w:r>
              <w:rPr>
                <w:rFonts w:ascii="Times New Roman" w:hAnsi="Times New Roman" w:eastAsia="宋体"/>
                <w:b w:val="0"/>
                <w:color w:val="000000"/>
                <w:sz w:val="17"/>
              </w:rPr>
              <w:t>(1.5270)</w:t>
            </w:r>
          </w:p>
        </w:tc>
        <w:tc>
          <w:tcPr>
            <w:tcW w:w="2415" w:type="dxa"/>
            <w:vAlign w:val="center"/>
          </w:tcPr>
          <w:p w14:paraId="6FE600BA">
            <w:pPr>
              <w:spacing w:before="20" w:after="20" w:line="240" w:lineRule="auto"/>
              <w:ind w:firstLine="340" w:firstLineChars="200"/>
              <w:jc w:val="center"/>
            </w:pPr>
            <w:r>
              <w:rPr>
                <w:rFonts w:ascii="Times New Roman" w:hAnsi="Times New Roman" w:eastAsia="宋体"/>
                <w:b w:val="0"/>
                <w:color w:val="000000"/>
                <w:sz w:val="17"/>
              </w:rPr>
              <w:t>-2.3050</w:t>
            </w:r>
            <w:r>
              <w:rPr>
                <w:rFonts w:ascii="Times New Roman" w:hAnsi="Times New Roman" w:eastAsia="宋体"/>
                <w:b w:val="0"/>
                <w:color w:val="000000"/>
                <w:sz w:val="17"/>
              </w:rPr>
              <w:br w:type="textWrapping"/>
            </w:r>
            <w:r>
              <w:rPr>
                <w:rFonts w:ascii="Times New Roman" w:hAnsi="Times New Roman" w:eastAsia="宋体"/>
                <w:b w:val="0"/>
                <w:color w:val="000000"/>
                <w:sz w:val="17"/>
              </w:rPr>
              <w:t>(1.4730)</w:t>
            </w:r>
          </w:p>
        </w:tc>
      </w:tr>
      <w:tr w14:paraId="3057BDD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37F94502">
            <w:pPr>
              <w:spacing w:before="20" w:after="20" w:line="240" w:lineRule="auto"/>
              <w:ind w:firstLine="340" w:firstLineChars="200"/>
              <w:jc w:val="center"/>
            </w:pPr>
            <w:r>
              <w:rPr>
                <w:rFonts w:ascii="Times New Roman" w:hAnsi="Times New Roman" w:eastAsia="宋体"/>
                <w:b w:val="0"/>
                <w:color w:val="000000"/>
                <w:sz w:val="17"/>
              </w:rPr>
              <w:t>Urban</w:t>
            </w:r>
          </w:p>
        </w:tc>
        <w:tc>
          <w:tcPr>
            <w:tcW w:w="2420" w:type="dxa"/>
            <w:vAlign w:val="center"/>
          </w:tcPr>
          <w:p w14:paraId="17840915">
            <w:pPr>
              <w:spacing w:before="20" w:after="20" w:line="240" w:lineRule="auto"/>
              <w:ind w:firstLine="340" w:firstLineChars="200"/>
              <w:jc w:val="center"/>
            </w:pPr>
            <w:r>
              <w:rPr>
                <w:rFonts w:ascii="Times New Roman" w:hAnsi="Times New Roman" w:eastAsia="宋体"/>
                <w:b w:val="0"/>
                <w:color w:val="000000"/>
                <w:sz w:val="17"/>
              </w:rPr>
              <w:t>0.4140</w:t>
            </w:r>
            <w:r>
              <w:rPr>
                <w:rFonts w:ascii="Times New Roman" w:hAnsi="Times New Roman" w:eastAsia="宋体"/>
                <w:b w:val="0"/>
                <w:color w:val="000000"/>
                <w:sz w:val="17"/>
              </w:rPr>
              <w:br w:type="textWrapping"/>
            </w:r>
            <w:r>
              <w:rPr>
                <w:rFonts w:ascii="Times New Roman" w:hAnsi="Times New Roman" w:eastAsia="宋体"/>
                <w:b w:val="0"/>
                <w:color w:val="000000"/>
                <w:sz w:val="17"/>
              </w:rPr>
              <w:t>(0.9060)</w:t>
            </w:r>
          </w:p>
        </w:tc>
        <w:tc>
          <w:tcPr>
            <w:tcW w:w="2420" w:type="dxa"/>
            <w:vAlign w:val="center"/>
          </w:tcPr>
          <w:p w14:paraId="258BDE9A">
            <w:pPr>
              <w:spacing w:before="20" w:after="20" w:line="240" w:lineRule="auto"/>
              <w:ind w:firstLine="340" w:firstLineChars="200"/>
              <w:jc w:val="center"/>
            </w:pPr>
            <w:r>
              <w:rPr>
                <w:rFonts w:ascii="Times New Roman" w:hAnsi="Times New Roman" w:eastAsia="宋体"/>
                <w:b w:val="0"/>
                <w:color w:val="000000"/>
                <w:sz w:val="17"/>
              </w:rPr>
              <w:t>0.7880</w:t>
            </w:r>
            <w:r>
              <w:rPr>
                <w:rFonts w:ascii="Times New Roman" w:hAnsi="Times New Roman" w:eastAsia="宋体"/>
                <w:b w:val="0"/>
                <w:color w:val="000000"/>
                <w:sz w:val="17"/>
              </w:rPr>
              <w:br w:type="textWrapping"/>
            </w:r>
            <w:r>
              <w:rPr>
                <w:rFonts w:ascii="Times New Roman" w:hAnsi="Times New Roman" w:eastAsia="宋体"/>
                <w:b w:val="0"/>
                <w:color w:val="000000"/>
                <w:sz w:val="17"/>
              </w:rPr>
              <w:t>(0.8450)</w:t>
            </w:r>
          </w:p>
        </w:tc>
        <w:tc>
          <w:tcPr>
            <w:tcW w:w="2415" w:type="dxa"/>
            <w:vAlign w:val="center"/>
          </w:tcPr>
          <w:p w14:paraId="1F747853">
            <w:pPr>
              <w:spacing w:before="20" w:after="20" w:line="240" w:lineRule="auto"/>
              <w:ind w:firstLine="340" w:firstLineChars="200"/>
              <w:jc w:val="center"/>
            </w:pPr>
            <w:r>
              <w:rPr>
                <w:rFonts w:ascii="Times New Roman" w:hAnsi="Times New Roman" w:eastAsia="宋体"/>
                <w:b w:val="0"/>
                <w:color w:val="000000"/>
                <w:sz w:val="17"/>
              </w:rPr>
              <w:t>0.8800</w:t>
            </w:r>
            <w:r>
              <w:rPr>
                <w:rFonts w:ascii="Times New Roman" w:hAnsi="Times New Roman" w:eastAsia="宋体"/>
                <w:b w:val="0"/>
                <w:color w:val="000000"/>
                <w:sz w:val="17"/>
              </w:rPr>
              <w:br w:type="textWrapping"/>
            </w:r>
            <w:r>
              <w:rPr>
                <w:rFonts w:ascii="Times New Roman" w:hAnsi="Times New Roman" w:eastAsia="宋体"/>
                <w:b w:val="0"/>
                <w:color w:val="000000"/>
                <w:sz w:val="17"/>
              </w:rPr>
              <w:t>(0.8740)</w:t>
            </w:r>
          </w:p>
        </w:tc>
      </w:tr>
      <w:tr w14:paraId="5EF18DA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0031C1E3">
            <w:pPr>
              <w:spacing w:before="20" w:after="20" w:line="240" w:lineRule="auto"/>
              <w:ind w:firstLine="340" w:firstLineChars="200"/>
              <w:jc w:val="center"/>
            </w:pPr>
            <w:r>
              <w:rPr>
                <w:rFonts w:ascii="Times New Roman" w:hAnsi="Times New Roman" w:eastAsia="宋体"/>
                <w:b w:val="0"/>
                <w:color w:val="000000"/>
                <w:sz w:val="17"/>
              </w:rPr>
              <w:t>ISU</w:t>
            </w:r>
          </w:p>
        </w:tc>
        <w:tc>
          <w:tcPr>
            <w:tcW w:w="2420" w:type="dxa"/>
            <w:vAlign w:val="center"/>
          </w:tcPr>
          <w:p w14:paraId="18349405">
            <w:pPr>
              <w:spacing w:before="20" w:after="20" w:line="240" w:lineRule="auto"/>
              <w:ind w:firstLine="340" w:firstLineChars="200"/>
              <w:jc w:val="center"/>
            </w:pPr>
            <w:r>
              <w:rPr>
                <w:rFonts w:ascii="Times New Roman" w:hAnsi="Times New Roman" w:eastAsia="宋体"/>
                <w:b w:val="0"/>
                <w:color w:val="000000"/>
                <w:sz w:val="17"/>
              </w:rPr>
              <w:t>-0.0736</w:t>
            </w:r>
            <w:r>
              <w:rPr>
                <w:rFonts w:ascii="Times New Roman" w:hAnsi="Times New Roman" w:eastAsia="宋体"/>
                <w:b w:val="0"/>
                <w:color w:val="000000"/>
                <w:sz w:val="17"/>
              </w:rPr>
              <w:br w:type="textWrapping"/>
            </w:r>
            <w:r>
              <w:rPr>
                <w:rFonts w:ascii="Times New Roman" w:hAnsi="Times New Roman" w:eastAsia="宋体"/>
                <w:b w:val="0"/>
                <w:color w:val="000000"/>
                <w:sz w:val="17"/>
              </w:rPr>
              <w:t>(0.0831)</w:t>
            </w:r>
          </w:p>
        </w:tc>
        <w:tc>
          <w:tcPr>
            <w:tcW w:w="2420" w:type="dxa"/>
            <w:vAlign w:val="center"/>
          </w:tcPr>
          <w:p w14:paraId="63E53B25">
            <w:pPr>
              <w:spacing w:before="20" w:after="20" w:line="240" w:lineRule="auto"/>
              <w:ind w:firstLine="340" w:firstLineChars="200"/>
              <w:jc w:val="center"/>
            </w:pPr>
            <w:r>
              <w:rPr>
                <w:rFonts w:ascii="Times New Roman" w:hAnsi="Times New Roman" w:eastAsia="宋体"/>
                <w:b w:val="0"/>
                <w:color w:val="000000"/>
                <w:sz w:val="17"/>
              </w:rPr>
              <w:t>-0.0749</w:t>
            </w:r>
            <w:r>
              <w:rPr>
                <w:rFonts w:ascii="Times New Roman" w:hAnsi="Times New Roman" w:eastAsia="宋体"/>
                <w:b w:val="0"/>
                <w:color w:val="000000"/>
                <w:sz w:val="17"/>
              </w:rPr>
              <w:br w:type="textWrapping"/>
            </w:r>
            <w:r>
              <w:rPr>
                <w:rFonts w:ascii="Times New Roman" w:hAnsi="Times New Roman" w:eastAsia="宋体"/>
                <w:b w:val="0"/>
                <w:color w:val="000000"/>
                <w:sz w:val="17"/>
              </w:rPr>
              <w:t>(0.0804)</w:t>
            </w:r>
          </w:p>
        </w:tc>
        <w:tc>
          <w:tcPr>
            <w:tcW w:w="2415" w:type="dxa"/>
            <w:vAlign w:val="center"/>
          </w:tcPr>
          <w:p w14:paraId="47B85454">
            <w:pPr>
              <w:spacing w:before="20" w:after="20" w:line="240" w:lineRule="auto"/>
              <w:ind w:firstLine="340" w:firstLineChars="200"/>
              <w:jc w:val="center"/>
            </w:pPr>
            <w:r>
              <w:rPr>
                <w:rFonts w:ascii="Times New Roman" w:hAnsi="Times New Roman" w:eastAsia="宋体"/>
                <w:b w:val="0"/>
                <w:color w:val="000000"/>
                <w:sz w:val="17"/>
              </w:rPr>
              <w:t>-0.0900</w:t>
            </w:r>
            <w:r>
              <w:rPr>
                <w:rFonts w:ascii="Times New Roman" w:hAnsi="Times New Roman" w:eastAsia="宋体"/>
                <w:b w:val="0"/>
                <w:color w:val="000000"/>
                <w:sz w:val="17"/>
              </w:rPr>
              <w:br w:type="textWrapping"/>
            </w:r>
            <w:r>
              <w:rPr>
                <w:rFonts w:ascii="Times New Roman" w:hAnsi="Times New Roman" w:eastAsia="宋体"/>
                <w:b w:val="0"/>
                <w:color w:val="000000"/>
                <w:sz w:val="17"/>
              </w:rPr>
              <w:t>(0.0811)</w:t>
            </w:r>
          </w:p>
        </w:tc>
      </w:tr>
      <w:tr w14:paraId="20014189">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5958B95A">
            <w:pPr>
              <w:spacing w:before="20" w:after="20" w:line="240" w:lineRule="auto"/>
              <w:ind w:firstLine="340" w:firstLineChars="200"/>
              <w:jc w:val="center"/>
            </w:pPr>
            <w:r>
              <w:rPr>
                <w:rFonts w:ascii="Times New Roman" w:hAnsi="Times New Roman" w:eastAsia="宋体"/>
                <w:b w:val="0"/>
                <w:color w:val="000000"/>
                <w:sz w:val="17"/>
              </w:rPr>
              <w:t>IND</w:t>
            </w:r>
          </w:p>
        </w:tc>
        <w:tc>
          <w:tcPr>
            <w:tcW w:w="2420" w:type="dxa"/>
            <w:vAlign w:val="center"/>
          </w:tcPr>
          <w:p w14:paraId="4B8E3F9D">
            <w:pPr>
              <w:spacing w:before="20" w:after="20" w:line="240" w:lineRule="auto"/>
              <w:ind w:firstLine="340" w:firstLineChars="200"/>
              <w:jc w:val="center"/>
            </w:pPr>
            <w:r>
              <w:rPr>
                <w:rFonts w:ascii="Times New Roman" w:hAnsi="Times New Roman" w:eastAsia="宋体"/>
                <w:b w:val="0"/>
                <w:color w:val="000000"/>
                <w:sz w:val="17"/>
              </w:rPr>
              <w:t>3.3360***</w:t>
            </w:r>
            <w:r>
              <w:rPr>
                <w:rFonts w:ascii="Times New Roman" w:hAnsi="Times New Roman" w:eastAsia="宋体"/>
                <w:b w:val="0"/>
                <w:color w:val="000000"/>
                <w:sz w:val="17"/>
              </w:rPr>
              <w:br w:type="textWrapping"/>
            </w:r>
            <w:r>
              <w:rPr>
                <w:rFonts w:ascii="Times New Roman" w:hAnsi="Times New Roman" w:eastAsia="宋体"/>
                <w:b w:val="0"/>
                <w:color w:val="000000"/>
                <w:sz w:val="17"/>
              </w:rPr>
              <w:t>(0.8240)</w:t>
            </w:r>
          </w:p>
        </w:tc>
        <w:tc>
          <w:tcPr>
            <w:tcW w:w="2420" w:type="dxa"/>
            <w:vAlign w:val="center"/>
          </w:tcPr>
          <w:p w14:paraId="18DC7499">
            <w:pPr>
              <w:spacing w:before="20" w:after="20" w:line="240" w:lineRule="auto"/>
              <w:ind w:firstLine="340" w:firstLineChars="200"/>
              <w:jc w:val="center"/>
            </w:pPr>
            <w:r>
              <w:rPr>
                <w:rFonts w:ascii="Times New Roman" w:hAnsi="Times New Roman" w:eastAsia="宋体"/>
                <w:b w:val="0"/>
                <w:color w:val="000000"/>
                <w:sz w:val="17"/>
              </w:rPr>
              <w:t>2.4430***</w:t>
            </w:r>
            <w:r>
              <w:rPr>
                <w:rFonts w:ascii="Times New Roman" w:hAnsi="Times New Roman" w:eastAsia="宋体"/>
                <w:b w:val="0"/>
                <w:color w:val="000000"/>
                <w:sz w:val="17"/>
              </w:rPr>
              <w:br w:type="textWrapping"/>
            </w:r>
            <w:r>
              <w:rPr>
                <w:rFonts w:ascii="Times New Roman" w:hAnsi="Times New Roman" w:eastAsia="宋体"/>
                <w:b w:val="0"/>
                <w:color w:val="000000"/>
                <w:sz w:val="17"/>
              </w:rPr>
              <w:t>(0.7800)</w:t>
            </w:r>
          </w:p>
        </w:tc>
        <w:tc>
          <w:tcPr>
            <w:tcW w:w="2415" w:type="dxa"/>
            <w:vAlign w:val="center"/>
          </w:tcPr>
          <w:p w14:paraId="74E9CE71">
            <w:pPr>
              <w:spacing w:before="20" w:after="20" w:line="240" w:lineRule="auto"/>
              <w:ind w:firstLine="340" w:firstLineChars="200"/>
              <w:jc w:val="center"/>
            </w:pPr>
            <w:r>
              <w:rPr>
                <w:rFonts w:ascii="Times New Roman" w:hAnsi="Times New Roman" w:eastAsia="宋体"/>
                <w:b w:val="0"/>
                <w:color w:val="000000"/>
                <w:sz w:val="17"/>
              </w:rPr>
              <w:t>2.3400***</w:t>
            </w:r>
            <w:r>
              <w:rPr>
                <w:rFonts w:ascii="Times New Roman" w:hAnsi="Times New Roman" w:eastAsia="宋体"/>
                <w:b w:val="0"/>
                <w:color w:val="000000"/>
                <w:sz w:val="17"/>
              </w:rPr>
              <w:br w:type="textWrapping"/>
            </w:r>
            <w:r>
              <w:rPr>
                <w:rFonts w:ascii="Times New Roman" w:hAnsi="Times New Roman" w:eastAsia="宋体"/>
                <w:b w:val="0"/>
                <w:color w:val="000000"/>
                <w:sz w:val="17"/>
              </w:rPr>
              <w:t>(0.7770)</w:t>
            </w:r>
          </w:p>
        </w:tc>
      </w:tr>
      <w:tr w14:paraId="738C168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12F23952">
            <w:pPr>
              <w:spacing w:before="20" w:after="20" w:line="240" w:lineRule="auto"/>
              <w:ind w:firstLine="340" w:firstLineChars="200"/>
              <w:jc w:val="center"/>
            </w:pPr>
            <w:r>
              <w:rPr>
                <w:rFonts w:ascii="Times New Roman" w:hAnsi="Times New Roman" w:eastAsia="宋体"/>
                <w:b w:val="0"/>
                <w:color w:val="000000"/>
                <w:sz w:val="17"/>
              </w:rPr>
              <w:t>TMD</w:t>
            </w:r>
          </w:p>
        </w:tc>
        <w:tc>
          <w:tcPr>
            <w:tcW w:w="2420" w:type="dxa"/>
            <w:vAlign w:val="center"/>
          </w:tcPr>
          <w:p w14:paraId="54872961">
            <w:pPr>
              <w:spacing w:before="20" w:after="20" w:line="240" w:lineRule="auto"/>
              <w:ind w:firstLine="340" w:firstLineChars="200"/>
              <w:jc w:val="center"/>
            </w:pPr>
            <w:r>
              <w:rPr>
                <w:rFonts w:ascii="Times New Roman" w:hAnsi="Times New Roman" w:eastAsia="宋体"/>
                <w:b w:val="0"/>
                <w:color w:val="000000"/>
                <w:sz w:val="17"/>
              </w:rPr>
              <w:t>-1.5820</w:t>
            </w:r>
            <w:r>
              <w:rPr>
                <w:rFonts w:ascii="Times New Roman" w:hAnsi="Times New Roman" w:eastAsia="宋体"/>
                <w:b w:val="0"/>
                <w:color w:val="000000"/>
                <w:sz w:val="17"/>
              </w:rPr>
              <w:br w:type="textWrapping"/>
            </w:r>
            <w:r>
              <w:rPr>
                <w:rFonts w:ascii="Times New Roman" w:hAnsi="Times New Roman" w:eastAsia="宋体"/>
                <w:b w:val="0"/>
                <w:color w:val="000000"/>
                <w:sz w:val="17"/>
              </w:rPr>
              <w:t>(1.4520)</w:t>
            </w:r>
          </w:p>
        </w:tc>
        <w:tc>
          <w:tcPr>
            <w:tcW w:w="2420" w:type="dxa"/>
            <w:vAlign w:val="center"/>
          </w:tcPr>
          <w:p w14:paraId="2A031EA7">
            <w:pPr>
              <w:spacing w:before="20" w:after="20" w:line="240" w:lineRule="auto"/>
              <w:ind w:firstLine="340" w:firstLineChars="200"/>
              <w:jc w:val="center"/>
            </w:pPr>
            <w:r>
              <w:rPr>
                <w:rFonts w:ascii="Times New Roman" w:hAnsi="Times New Roman" w:eastAsia="宋体"/>
                <w:b w:val="0"/>
                <w:color w:val="000000"/>
                <w:sz w:val="17"/>
              </w:rPr>
              <w:t>-1.1590</w:t>
            </w:r>
            <w:r>
              <w:rPr>
                <w:rFonts w:ascii="Times New Roman" w:hAnsi="Times New Roman" w:eastAsia="宋体"/>
                <w:b w:val="0"/>
                <w:color w:val="000000"/>
                <w:sz w:val="17"/>
              </w:rPr>
              <w:br w:type="textWrapping"/>
            </w:r>
            <w:r>
              <w:rPr>
                <w:rFonts w:ascii="Times New Roman" w:hAnsi="Times New Roman" w:eastAsia="宋体"/>
                <w:b w:val="0"/>
                <w:color w:val="000000"/>
                <w:sz w:val="17"/>
              </w:rPr>
              <w:t>(1.3630)</w:t>
            </w:r>
          </w:p>
        </w:tc>
        <w:tc>
          <w:tcPr>
            <w:tcW w:w="2415" w:type="dxa"/>
            <w:vAlign w:val="center"/>
          </w:tcPr>
          <w:p w14:paraId="006284AA">
            <w:pPr>
              <w:spacing w:before="20" w:after="20" w:line="240" w:lineRule="auto"/>
              <w:ind w:firstLine="340" w:firstLineChars="200"/>
              <w:jc w:val="center"/>
            </w:pPr>
            <w:r>
              <w:rPr>
                <w:rFonts w:ascii="Times New Roman" w:hAnsi="Times New Roman" w:eastAsia="宋体"/>
                <w:b w:val="0"/>
                <w:color w:val="000000"/>
                <w:sz w:val="17"/>
              </w:rPr>
              <w:t>-1.2240</w:t>
            </w:r>
            <w:r>
              <w:rPr>
                <w:rFonts w:ascii="Times New Roman" w:hAnsi="Times New Roman" w:eastAsia="宋体"/>
                <w:b w:val="0"/>
                <w:color w:val="000000"/>
                <w:sz w:val="17"/>
              </w:rPr>
              <w:br w:type="textWrapping"/>
            </w:r>
            <w:r>
              <w:rPr>
                <w:rFonts w:ascii="Times New Roman" w:hAnsi="Times New Roman" w:eastAsia="宋体"/>
                <w:b w:val="0"/>
                <w:color w:val="000000"/>
                <w:sz w:val="17"/>
              </w:rPr>
              <w:t>(1.4110)</w:t>
            </w:r>
          </w:p>
        </w:tc>
      </w:tr>
      <w:tr w14:paraId="6A3969A3">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588131A3">
            <w:pPr>
              <w:spacing w:before="20" w:after="20" w:line="240" w:lineRule="auto"/>
              <w:ind w:firstLine="340" w:firstLineChars="200"/>
              <w:jc w:val="center"/>
            </w:pPr>
            <w:r>
              <w:rPr>
                <w:rFonts w:ascii="Times New Roman" w:hAnsi="Times New Roman" w:eastAsia="宋体"/>
                <w:b w:val="0"/>
                <w:color w:val="000000"/>
                <w:sz w:val="17"/>
              </w:rPr>
              <w:t>Open</w:t>
            </w:r>
          </w:p>
        </w:tc>
        <w:tc>
          <w:tcPr>
            <w:tcW w:w="2420" w:type="dxa"/>
            <w:vAlign w:val="center"/>
          </w:tcPr>
          <w:p w14:paraId="78030FB2">
            <w:pPr>
              <w:spacing w:before="20" w:after="20" w:line="240" w:lineRule="auto"/>
              <w:ind w:firstLine="340" w:firstLineChars="200"/>
              <w:jc w:val="center"/>
            </w:pPr>
            <w:r>
              <w:rPr>
                <w:rFonts w:ascii="Times New Roman" w:hAnsi="Times New Roman" w:eastAsia="宋体"/>
                <w:b w:val="0"/>
                <w:color w:val="000000"/>
                <w:sz w:val="17"/>
              </w:rPr>
              <w:t>0.3850</w:t>
            </w:r>
            <w:r>
              <w:rPr>
                <w:rFonts w:ascii="Times New Roman" w:hAnsi="Times New Roman" w:eastAsia="宋体"/>
                <w:b w:val="0"/>
                <w:color w:val="000000"/>
                <w:sz w:val="17"/>
              </w:rPr>
              <w:br w:type="textWrapping"/>
            </w:r>
            <w:r>
              <w:rPr>
                <w:rFonts w:ascii="Times New Roman" w:hAnsi="Times New Roman" w:eastAsia="宋体"/>
                <w:b w:val="0"/>
                <w:color w:val="000000"/>
                <w:sz w:val="17"/>
              </w:rPr>
              <w:t>(0.3070)</w:t>
            </w:r>
          </w:p>
        </w:tc>
        <w:tc>
          <w:tcPr>
            <w:tcW w:w="2420" w:type="dxa"/>
            <w:vAlign w:val="center"/>
          </w:tcPr>
          <w:p w14:paraId="59EB906B">
            <w:pPr>
              <w:spacing w:before="20" w:after="20" w:line="240" w:lineRule="auto"/>
              <w:ind w:firstLine="340" w:firstLineChars="200"/>
              <w:jc w:val="center"/>
            </w:pPr>
            <w:r>
              <w:rPr>
                <w:rFonts w:ascii="Times New Roman" w:hAnsi="Times New Roman" w:eastAsia="宋体"/>
                <w:b w:val="0"/>
                <w:color w:val="000000"/>
                <w:sz w:val="17"/>
              </w:rPr>
              <w:t>0.2490</w:t>
            </w:r>
            <w:r>
              <w:rPr>
                <w:rFonts w:ascii="Times New Roman" w:hAnsi="Times New Roman" w:eastAsia="宋体"/>
                <w:b w:val="0"/>
                <w:color w:val="000000"/>
                <w:sz w:val="17"/>
              </w:rPr>
              <w:br w:type="textWrapping"/>
            </w:r>
            <w:r>
              <w:rPr>
                <w:rFonts w:ascii="Times New Roman" w:hAnsi="Times New Roman" w:eastAsia="宋体"/>
                <w:b w:val="0"/>
                <w:color w:val="000000"/>
                <w:sz w:val="17"/>
              </w:rPr>
              <w:t>(0.3000)</w:t>
            </w:r>
          </w:p>
        </w:tc>
        <w:tc>
          <w:tcPr>
            <w:tcW w:w="2415" w:type="dxa"/>
            <w:vAlign w:val="center"/>
          </w:tcPr>
          <w:p w14:paraId="7F5587CF">
            <w:pPr>
              <w:spacing w:before="20" w:after="20" w:line="240" w:lineRule="auto"/>
              <w:ind w:firstLine="340" w:firstLineChars="200"/>
              <w:jc w:val="center"/>
            </w:pPr>
            <w:r>
              <w:rPr>
                <w:rFonts w:ascii="Times New Roman" w:hAnsi="Times New Roman" w:eastAsia="宋体"/>
                <w:b w:val="0"/>
                <w:color w:val="000000"/>
                <w:sz w:val="17"/>
              </w:rPr>
              <w:t>0.2680</w:t>
            </w:r>
            <w:r>
              <w:rPr>
                <w:rFonts w:ascii="Times New Roman" w:hAnsi="Times New Roman" w:eastAsia="宋体"/>
                <w:b w:val="0"/>
                <w:color w:val="000000"/>
                <w:sz w:val="17"/>
              </w:rPr>
              <w:br w:type="textWrapping"/>
            </w:r>
            <w:r>
              <w:rPr>
                <w:rFonts w:ascii="Times New Roman" w:hAnsi="Times New Roman" w:eastAsia="宋体"/>
                <w:b w:val="0"/>
                <w:color w:val="000000"/>
                <w:sz w:val="17"/>
              </w:rPr>
              <w:t>(0.2970)</w:t>
            </w:r>
          </w:p>
        </w:tc>
      </w:tr>
      <w:tr w14:paraId="7443758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1D9C22E0">
            <w:pPr>
              <w:spacing w:before="20" w:after="20" w:line="240" w:lineRule="auto"/>
              <w:ind w:firstLine="340" w:firstLineChars="200"/>
              <w:jc w:val="center"/>
            </w:pPr>
            <w:r>
              <w:rPr>
                <w:rFonts w:ascii="Times New Roman" w:hAnsi="Times New Roman" w:eastAsia="宋体"/>
                <w:b w:val="0"/>
                <w:color w:val="000000"/>
                <w:sz w:val="17"/>
              </w:rPr>
              <w:t>W×R&amp;D</w:t>
            </w:r>
          </w:p>
        </w:tc>
        <w:tc>
          <w:tcPr>
            <w:tcW w:w="2420" w:type="dxa"/>
            <w:vAlign w:val="center"/>
          </w:tcPr>
          <w:p w14:paraId="608C1ED4">
            <w:pPr>
              <w:spacing w:before="20" w:after="20" w:line="240" w:lineRule="auto"/>
              <w:ind w:firstLine="340" w:firstLineChars="200"/>
              <w:jc w:val="center"/>
            </w:pPr>
            <w:r>
              <w:rPr>
                <w:rFonts w:ascii="Times New Roman" w:hAnsi="Times New Roman" w:eastAsia="宋体"/>
                <w:b w:val="0"/>
                <w:color w:val="000000"/>
                <w:sz w:val="17"/>
              </w:rPr>
              <w:t>0.0176***</w:t>
            </w:r>
            <w:r>
              <w:rPr>
                <w:rFonts w:ascii="Times New Roman" w:hAnsi="Times New Roman" w:eastAsia="宋体"/>
                <w:b w:val="0"/>
                <w:color w:val="000000"/>
                <w:sz w:val="17"/>
              </w:rPr>
              <w:br w:type="textWrapping"/>
            </w:r>
            <w:r>
              <w:rPr>
                <w:rFonts w:ascii="Times New Roman" w:hAnsi="Times New Roman" w:eastAsia="宋体"/>
                <w:b w:val="0"/>
                <w:color w:val="000000"/>
                <w:sz w:val="17"/>
              </w:rPr>
              <w:t>(0.0054)</w:t>
            </w:r>
          </w:p>
        </w:tc>
        <w:tc>
          <w:tcPr>
            <w:tcW w:w="2420" w:type="dxa"/>
            <w:vAlign w:val="center"/>
          </w:tcPr>
          <w:p w14:paraId="2D46A044">
            <w:pPr>
              <w:spacing w:before="20" w:after="20" w:line="240" w:lineRule="auto"/>
              <w:ind w:firstLine="420" w:firstLineChars="200"/>
              <w:jc w:val="center"/>
            </w:pPr>
          </w:p>
        </w:tc>
        <w:tc>
          <w:tcPr>
            <w:tcW w:w="2415" w:type="dxa"/>
            <w:vAlign w:val="center"/>
          </w:tcPr>
          <w:p w14:paraId="7F65F66F">
            <w:pPr>
              <w:spacing w:before="20" w:after="20" w:line="240" w:lineRule="auto"/>
              <w:ind w:firstLine="420" w:firstLineChars="200"/>
              <w:jc w:val="center"/>
            </w:pPr>
          </w:p>
        </w:tc>
      </w:tr>
      <w:tr w14:paraId="3C229DED">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32E709A3">
            <w:pPr>
              <w:spacing w:before="20" w:after="20" w:line="240" w:lineRule="auto"/>
              <w:ind w:firstLine="340" w:firstLineChars="200"/>
              <w:jc w:val="center"/>
            </w:pPr>
            <w:r>
              <w:rPr>
                <w:rFonts w:ascii="Times New Roman" w:hAnsi="Times New Roman" w:eastAsia="宋体"/>
                <w:b w:val="0"/>
                <w:color w:val="000000"/>
                <w:sz w:val="17"/>
              </w:rPr>
              <w:t>W×Energy</w:t>
            </w:r>
          </w:p>
        </w:tc>
        <w:tc>
          <w:tcPr>
            <w:tcW w:w="2420" w:type="dxa"/>
            <w:vAlign w:val="center"/>
          </w:tcPr>
          <w:p w14:paraId="551EAFAB">
            <w:pPr>
              <w:spacing w:before="20" w:after="20" w:line="240" w:lineRule="auto"/>
              <w:ind w:firstLine="340" w:firstLineChars="200"/>
              <w:jc w:val="center"/>
            </w:pPr>
            <w:r>
              <w:rPr>
                <w:rFonts w:ascii="Times New Roman" w:hAnsi="Times New Roman" w:eastAsia="宋体"/>
                <w:b w:val="0"/>
                <w:color w:val="000000"/>
                <w:sz w:val="17"/>
              </w:rPr>
              <w:t>1.7100</w:t>
            </w:r>
            <w:r>
              <w:rPr>
                <w:rFonts w:ascii="Times New Roman" w:hAnsi="Times New Roman" w:eastAsia="宋体"/>
                <w:b w:val="0"/>
                <w:color w:val="000000"/>
                <w:sz w:val="17"/>
              </w:rPr>
              <w:br w:type="textWrapping"/>
            </w:r>
            <w:r>
              <w:rPr>
                <w:rFonts w:ascii="Times New Roman" w:hAnsi="Times New Roman" w:eastAsia="宋体"/>
                <w:b w:val="0"/>
                <w:color w:val="000000"/>
                <w:sz w:val="17"/>
              </w:rPr>
              <w:t>(1.4030)</w:t>
            </w:r>
          </w:p>
        </w:tc>
        <w:tc>
          <w:tcPr>
            <w:tcW w:w="2420" w:type="dxa"/>
            <w:vAlign w:val="center"/>
          </w:tcPr>
          <w:p w14:paraId="3D5B51FC">
            <w:pPr>
              <w:spacing w:before="20" w:after="20" w:line="240" w:lineRule="auto"/>
              <w:ind w:firstLine="420" w:firstLineChars="200"/>
              <w:jc w:val="center"/>
            </w:pPr>
          </w:p>
        </w:tc>
        <w:tc>
          <w:tcPr>
            <w:tcW w:w="2415" w:type="dxa"/>
            <w:vAlign w:val="center"/>
          </w:tcPr>
          <w:p w14:paraId="4D7C324F">
            <w:pPr>
              <w:spacing w:before="20" w:after="20" w:line="240" w:lineRule="auto"/>
              <w:ind w:firstLine="420" w:firstLineChars="200"/>
              <w:jc w:val="center"/>
            </w:pPr>
          </w:p>
        </w:tc>
      </w:tr>
      <w:tr w14:paraId="69422DC2">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03CA92C3">
            <w:pPr>
              <w:spacing w:before="20" w:after="20" w:line="240" w:lineRule="auto"/>
              <w:ind w:firstLine="340" w:firstLineChars="200"/>
              <w:jc w:val="center"/>
            </w:pPr>
            <w:r>
              <w:rPr>
                <w:rFonts w:ascii="Times New Roman" w:hAnsi="Times New Roman" w:eastAsia="宋体"/>
                <w:b w:val="0"/>
                <w:color w:val="000000"/>
                <w:sz w:val="17"/>
              </w:rPr>
              <w:t>W×FDI</w:t>
            </w:r>
          </w:p>
        </w:tc>
        <w:tc>
          <w:tcPr>
            <w:tcW w:w="2420" w:type="dxa"/>
            <w:vAlign w:val="center"/>
          </w:tcPr>
          <w:p w14:paraId="39722050">
            <w:pPr>
              <w:spacing w:before="20" w:after="20" w:line="240" w:lineRule="auto"/>
              <w:ind w:firstLine="340" w:firstLineChars="200"/>
              <w:jc w:val="center"/>
            </w:pPr>
            <w:r>
              <w:rPr>
                <w:rFonts w:ascii="Times New Roman" w:hAnsi="Times New Roman" w:eastAsia="宋体"/>
                <w:b w:val="0"/>
                <w:color w:val="000000"/>
                <w:sz w:val="17"/>
              </w:rPr>
              <w:t>-18.8100*</w:t>
            </w:r>
            <w:r>
              <w:rPr>
                <w:rFonts w:ascii="Times New Roman" w:hAnsi="Times New Roman" w:eastAsia="宋体"/>
                <w:b w:val="0"/>
                <w:color w:val="000000"/>
                <w:sz w:val="17"/>
              </w:rPr>
              <w:br w:type="textWrapping"/>
            </w:r>
            <w:r>
              <w:rPr>
                <w:rFonts w:ascii="Times New Roman" w:hAnsi="Times New Roman" w:eastAsia="宋体"/>
                <w:b w:val="0"/>
                <w:color w:val="000000"/>
                <w:sz w:val="17"/>
              </w:rPr>
              <w:t>(11.4200)</w:t>
            </w:r>
          </w:p>
        </w:tc>
        <w:tc>
          <w:tcPr>
            <w:tcW w:w="2420" w:type="dxa"/>
            <w:vAlign w:val="center"/>
          </w:tcPr>
          <w:p w14:paraId="7702D353">
            <w:pPr>
              <w:spacing w:before="20" w:after="20" w:line="240" w:lineRule="auto"/>
              <w:ind w:firstLine="420" w:firstLineChars="200"/>
              <w:jc w:val="center"/>
            </w:pPr>
          </w:p>
        </w:tc>
        <w:tc>
          <w:tcPr>
            <w:tcW w:w="2415" w:type="dxa"/>
            <w:vAlign w:val="center"/>
          </w:tcPr>
          <w:p w14:paraId="4B938B3E">
            <w:pPr>
              <w:spacing w:before="20" w:after="20" w:line="240" w:lineRule="auto"/>
              <w:ind w:firstLine="420" w:firstLineChars="200"/>
              <w:jc w:val="center"/>
            </w:pPr>
          </w:p>
        </w:tc>
      </w:tr>
      <w:tr w14:paraId="7A966C5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3803AE0C">
            <w:pPr>
              <w:spacing w:before="20" w:after="20" w:line="240" w:lineRule="auto"/>
              <w:ind w:firstLine="340" w:firstLineChars="200"/>
              <w:jc w:val="center"/>
            </w:pPr>
            <w:r>
              <w:rPr>
                <w:rFonts w:ascii="Times New Roman" w:hAnsi="Times New Roman" w:eastAsia="宋体"/>
                <w:b w:val="0"/>
                <w:color w:val="000000"/>
                <w:sz w:val="17"/>
              </w:rPr>
              <w:t>W×Urban</w:t>
            </w:r>
          </w:p>
        </w:tc>
        <w:tc>
          <w:tcPr>
            <w:tcW w:w="2420" w:type="dxa"/>
            <w:vAlign w:val="center"/>
          </w:tcPr>
          <w:p w14:paraId="4DA5BC4B">
            <w:pPr>
              <w:spacing w:before="20" w:after="20" w:line="240" w:lineRule="auto"/>
              <w:ind w:firstLine="340" w:firstLineChars="200"/>
              <w:jc w:val="center"/>
            </w:pPr>
            <w:r>
              <w:rPr>
                <w:rFonts w:ascii="Times New Roman" w:hAnsi="Times New Roman" w:eastAsia="宋体"/>
                <w:b w:val="0"/>
                <w:color w:val="000000"/>
                <w:sz w:val="17"/>
              </w:rPr>
              <w:t>2.6690</w:t>
            </w:r>
            <w:r>
              <w:rPr>
                <w:rFonts w:ascii="Times New Roman" w:hAnsi="Times New Roman" w:eastAsia="宋体"/>
                <w:b w:val="0"/>
                <w:color w:val="000000"/>
                <w:sz w:val="17"/>
              </w:rPr>
              <w:br w:type="textWrapping"/>
            </w:r>
            <w:r>
              <w:rPr>
                <w:rFonts w:ascii="Times New Roman" w:hAnsi="Times New Roman" w:eastAsia="宋体"/>
                <w:b w:val="0"/>
                <w:color w:val="000000"/>
                <w:sz w:val="17"/>
              </w:rPr>
              <w:t>(4.8590)</w:t>
            </w:r>
          </w:p>
        </w:tc>
        <w:tc>
          <w:tcPr>
            <w:tcW w:w="2420" w:type="dxa"/>
            <w:vAlign w:val="center"/>
          </w:tcPr>
          <w:p w14:paraId="45C2AF7D">
            <w:pPr>
              <w:spacing w:before="20" w:after="20" w:line="240" w:lineRule="auto"/>
              <w:ind w:firstLine="420" w:firstLineChars="200"/>
              <w:jc w:val="center"/>
            </w:pPr>
          </w:p>
        </w:tc>
        <w:tc>
          <w:tcPr>
            <w:tcW w:w="2415" w:type="dxa"/>
            <w:vAlign w:val="center"/>
          </w:tcPr>
          <w:p w14:paraId="15ACBAD2">
            <w:pPr>
              <w:spacing w:before="20" w:after="20" w:line="240" w:lineRule="auto"/>
              <w:ind w:firstLine="420" w:firstLineChars="200"/>
              <w:jc w:val="center"/>
            </w:pPr>
          </w:p>
        </w:tc>
      </w:tr>
      <w:tr w14:paraId="24AF8D6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17CDEC39">
            <w:pPr>
              <w:spacing w:before="20" w:after="20" w:line="240" w:lineRule="auto"/>
              <w:ind w:firstLine="340" w:firstLineChars="200"/>
              <w:jc w:val="center"/>
            </w:pPr>
            <w:r>
              <w:rPr>
                <w:rFonts w:ascii="Times New Roman" w:hAnsi="Times New Roman" w:eastAsia="宋体"/>
                <w:b w:val="0"/>
                <w:color w:val="000000"/>
                <w:sz w:val="17"/>
              </w:rPr>
              <w:t>W×ISU</w:t>
            </w:r>
          </w:p>
        </w:tc>
        <w:tc>
          <w:tcPr>
            <w:tcW w:w="2420" w:type="dxa"/>
            <w:vAlign w:val="center"/>
          </w:tcPr>
          <w:p w14:paraId="57256119">
            <w:pPr>
              <w:spacing w:before="20" w:after="20" w:line="240" w:lineRule="auto"/>
              <w:ind w:firstLine="340" w:firstLineChars="200"/>
              <w:jc w:val="center"/>
            </w:pPr>
            <w:r>
              <w:rPr>
                <w:rFonts w:ascii="Times New Roman" w:hAnsi="Times New Roman" w:eastAsia="宋体"/>
                <w:b w:val="0"/>
                <w:color w:val="000000"/>
                <w:sz w:val="17"/>
              </w:rPr>
              <w:t>0.5640</w:t>
            </w:r>
            <w:r>
              <w:rPr>
                <w:rFonts w:ascii="Times New Roman" w:hAnsi="Times New Roman" w:eastAsia="宋体"/>
                <w:b w:val="0"/>
                <w:color w:val="000000"/>
                <w:sz w:val="17"/>
              </w:rPr>
              <w:br w:type="textWrapping"/>
            </w:r>
            <w:r>
              <w:rPr>
                <w:rFonts w:ascii="Times New Roman" w:hAnsi="Times New Roman" w:eastAsia="宋体"/>
                <w:b w:val="0"/>
                <w:color w:val="000000"/>
                <w:sz w:val="17"/>
              </w:rPr>
              <w:t>(1.0450)</w:t>
            </w:r>
          </w:p>
        </w:tc>
        <w:tc>
          <w:tcPr>
            <w:tcW w:w="2420" w:type="dxa"/>
            <w:vAlign w:val="center"/>
          </w:tcPr>
          <w:p w14:paraId="551C86E2">
            <w:pPr>
              <w:spacing w:before="20" w:after="20" w:line="240" w:lineRule="auto"/>
              <w:ind w:firstLine="420" w:firstLineChars="200"/>
              <w:jc w:val="center"/>
            </w:pPr>
          </w:p>
        </w:tc>
        <w:tc>
          <w:tcPr>
            <w:tcW w:w="2415" w:type="dxa"/>
            <w:vAlign w:val="center"/>
          </w:tcPr>
          <w:p w14:paraId="010F9B06">
            <w:pPr>
              <w:spacing w:before="20" w:after="20" w:line="240" w:lineRule="auto"/>
              <w:ind w:firstLine="420" w:firstLineChars="200"/>
              <w:jc w:val="center"/>
            </w:pPr>
          </w:p>
        </w:tc>
      </w:tr>
      <w:tr w14:paraId="4630000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3B8C1104">
            <w:pPr>
              <w:spacing w:before="20" w:after="20" w:line="240" w:lineRule="auto"/>
              <w:ind w:firstLine="340" w:firstLineChars="200"/>
              <w:jc w:val="center"/>
            </w:pPr>
            <w:r>
              <w:rPr>
                <w:rFonts w:ascii="Times New Roman" w:hAnsi="Times New Roman" w:eastAsia="宋体"/>
                <w:b w:val="0"/>
                <w:color w:val="000000"/>
                <w:sz w:val="17"/>
              </w:rPr>
              <w:t>W×IND</w:t>
            </w:r>
          </w:p>
        </w:tc>
        <w:tc>
          <w:tcPr>
            <w:tcW w:w="2420" w:type="dxa"/>
            <w:vAlign w:val="center"/>
          </w:tcPr>
          <w:p w14:paraId="1D8F7984">
            <w:pPr>
              <w:spacing w:before="20" w:after="20" w:line="240" w:lineRule="auto"/>
              <w:ind w:firstLine="340" w:firstLineChars="200"/>
              <w:jc w:val="center"/>
            </w:pPr>
            <w:r>
              <w:rPr>
                <w:rFonts w:ascii="Times New Roman" w:hAnsi="Times New Roman" w:eastAsia="宋体"/>
                <w:b w:val="0"/>
                <w:color w:val="000000"/>
                <w:sz w:val="17"/>
              </w:rPr>
              <w:t>12.8800*</w:t>
            </w:r>
            <w:r>
              <w:rPr>
                <w:rFonts w:ascii="Times New Roman" w:hAnsi="Times New Roman" w:eastAsia="宋体"/>
                <w:b w:val="0"/>
                <w:color w:val="000000"/>
                <w:sz w:val="17"/>
              </w:rPr>
              <w:br w:type="textWrapping"/>
            </w:r>
            <w:r>
              <w:rPr>
                <w:rFonts w:ascii="Times New Roman" w:hAnsi="Times New Roman" w:eastAsia="宋体"/>
                <w:b w:val="0"/>
                <w:color w:val="000000"/>
                <w:sz w:val="17"/>
              </w:rPr>
              <w:t>(6.6870)</w:t>
            </w:r>
          </w:p>
        </w:tc>
        <w:tc>
          <w:tcPr>
            <w:tcW w:w="2420" w:type="dxa"/>
            <w:vAlign w:val="center"/>
          </w:tcPr>
          <w:p w14:paraId="4DA47378">
            <w:pPr>
              <w:spacing w:before="20" w:after="20" w:line="240" w:lineRule="auto"/>
              <w:ind w:firstLine="420" w:firstLineChars="200"/>
              <w:jc w:val="center"/>
            </w:pPr>
          </w:p>
        </w:tc>
        <w:tc>
          <w:tcPr>
            <w:tcW w:w="2415" w:type="dxa"/>
            <w:vAlign w:val="center"/>
          </w:tcPr>
          <w:p w14:paraId="491FFBB9">
            <w:pPr>
              <w:spacing w:before="20" w:after="20" w:line="240" w:lineRule="auto"/>
              <w:ind w:firstLine="420" w:firstLineChars="200"/>
              <w:jc w:val="center"/>
            </w:pPr>
          </w:p>
        </w:tc>
      </w:tr>
      <w:tr w14:paraId="373304C9">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49BC77F7">
            <w:pPr>
              <w:spacing w:before="20" w:after="20" w:line="240" w:lineRule="auto"/>
              <w:ind w:firstLine="340" w:firstLineChars="200"/>
              <w:jc w:val="center"/>
            </w:pPr>
            <w:r>
              <w:rPr>
                <w:rFonts w:ascii="Times New Roman" w:hAnsi="Times New Roman" w:eastAsia="宋体"/>
                <w:b w:val="0"/>
                <w:color w:val="000000"/>
                <w:sz w:val="17"/>
              </w:rPr>
              <w:t>W×TMD</w:t>
            </w:r>
          </w:p>
        </w:tc>
        <w:tc>
          <w:tcPr>
            <w:tcW w:w="2420" w:type="dxa"/>
            <w:vAlign w:val="center"/>
          </w:tcPr>
          <w:p w14:paraId="51725A85">
            <w:pPr>
              <w:spacing w:before="20" w:after="20" w:line="240" w:lineRule="auto"/>
              <w:ind w:firstLine="340" w:firstLineChars="200"/>
              <w:jc w:val="center"/>
            </w:pPr>
            <w:r>
              <w:rPr>
                <w:rFonts w:ascii="Times New Roman" w:hAnsi="Times New Roman" w:eastAsia="宋体"/>
                <w:b w:val="0"/>
                <w:color w:val="000000"/>
                <w:sz w:val="17"/>
              </w:rPr>
              <w:t>-9.2990</w:t>
            </w:r>
            <w:r>
              <w:rPr>
                <w:rFonts w:ascii="Times New Roman" w:hAnsi="Times New Roman" w:eastAsia="宋体"/>
                <w:b w:val="0"/>
                <w:color w:val="000000"/>
                <w:sz w:val="17"/>
              </w:rPr>
              <w:br w:type="textWrapping"/>
            </w:r>
            <w:r>
              <w:rPr>
                <w:rFonts w:ascii="Times New Roman" w:hAnsi="Times New Roman" w:eastAsia="宋体"/>
                <w:b w:val="0"/>
                <w:color w:val="000000"/>
                <w:sz w:val="17"/>
              </w:rPr>
              <w:t>(8.9400)</w:t>
            </w:r>
          </w:p>
        </w:tc>
        <w:tc>
          <w:tcPr>
            <w:tcW w:w="2420" w:type="dxa"/>
            <w:vAlign w:val="center"/>
          </w:tcPr>
          <w:p w14:paraId="6650CDE9">
            <w:pPr>
              <w:spacing w:before="20" w:after="20" w:line="240" w:lineRule="auto"/>
              <w:ind w:firstLine="420" w:firstLineChars="200"/>
              <w:jc w:val="center"/>
            </w:pPr>
          </w:p>
        </w:tc>
        <w:tc>
          <w:tcPr>
            <w:tcW w:w="2415" w:type="dxa"/>
            <w:vAlign w:val="center"/>
          </w:tcPr>
          <w:p w14:paraId="632C711A">
            <w:pPr>
              <w:spacing w:before="20" w:after="20" w:line="240" w:lineRule="auto"/>
              <w:ind w:firstLine="420" w:firstLineChars="200"/>
              <w:jc w:val="center"/>
            </w:pPr>
          </w:p>
        </w:tc>
      </w:tr>
      <w:tr w14:paraId="09C317A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0DC5AFA6">
            <w:pPr>
              <w:spacing w:before="20" w:after="20" w:line="240" w:lineRule="auto"/>
              <w:ind w:firstLine="340" w:firstLineChars="200"/>
              <w:jc w:val="center"/>
            </w:pPr>
            <w:r>
              <w:rPr>
                <w:rFonts w:ascii="Times New Roman" w:hAnsi="Times New Roman" w:eastAsia="宋体"/>
                <w:b w:val="0"/>
                <w:color w:val="000000"/>
                <w:sz w:val="17"/>
              </w:rPr>
              <w:t>W×Open</w:t>
            </w:r>
          </w:p>
        </w:tc>
        <w:tc>
          <w:tcPr>
            <w:tcW w:w="2420" w:type="dxa"/>
            <w:vAlign w:val="center"/>
          </w:tcPr>
          <w:p w14:paraId="7541958E">
            <w:pPr>
              <w:spacing w:before="20" w:after="20" w:line="240" w:lineRule="auto"/>
              <w:ind w:firstLine="340" w:firstLineChars="200"/>
              <w:jc w:val="center"/>
            </w:pPr>
            <w:r>
              <w:rPr>
                <w:rFonts w:ascii="Times New Roman" w:hAnsi="Times New Roman" w:eastAsia="宋体"/>
                <w:b w:val="0"/>
                <w:color w:val="000000"/>
                <w:sz w:val="17"/>
              </w:rPr>
              <w:t>0.8320</w:t>
            </w:r>
            <w:r>
              <w:rPr>
                <w:rFonts w:ascii="Times New Roman" w:hAnsi="Times New Roman" w:eastAsia="宋体"/>
                <w:b w:val="0"/>
                <w:color w:val="000000"/>
                <w:sz w:val="17"/>
              </w:rPr>
              <w:br w:type="textWrapping"/>
            </w:r>
            <w:r>
              <w:rPr>
                <w:rFonts w:ascii="Times New Roman" w:hAnsi="Times New Roman" w:eastAsia="宋体"/>
                <w:b w:val="0"/>
                <w:color w:val="000000"/>
                <w:sz w:val="17"/>
              </w:rPr>
              <w:t>(2.1250)</w:t>
            </w:r>
          </w:p>
        </w:tc>
        <w:tc>
          <w:tcPr>
            <w:tcW w:w="2420" w:type="dxa"/>
            <w:vAlign w:val="center"/>
          </w:tcPr>
          <w:p w14:paraId="102C03D2">
            <w:pPr>
              <w:spacing w:before="20" w:after="20" w:line="240" w:lineRule="auto"/>
              <w:ind w:firstLine="420" w:firstLineChars="200"/>
              <w:jc w:val="center"/>
            </w:pPr>
          </w:p>
        </w:tc>
        <w:tc>
          <w:tcPr>
            <w:tcW w:w="2415" w:type="dxa"/>
            <w:vAlign w:val="center"/>
          </w:tcPr>
          <w:p w14:paraId="3D696A5C">
            <w:pPr>
              <w:spacing w:before="20" w:after="20" w:line="240" w:lineRule="auto"/>
              <w:ind w:firstLine="420" w:firstLineChars="200"/>
              <w:jc w:val="center"/>
            </w:pPr>
          </w:p>
        </w:tc>
      </w:tr>
      <w:tr w14:paraId="0121810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7BF3F15A">
            <w:pPr>
              <w:spacing w:before="20" w:after="20" w:line="240" w:lineRule="auto"/>
              <w:ind w:firstLine="340" w:firstLineChars="200"/>
              <w:jc w:val="center"/>
            </w:pPr>
            <w:r>
              <w:rPr>
                <w:rFonts w:ascii="Times New Roman" w:hAnsi="Times New Roman" w:eastAsia="宋体"/>
                <w:b w:val="0"/>
                <w:color w:val="000000"/>
                <w:sz w:val="17"/>
              </w:rPr>
              <w:t>σ²</w:t>
            </w:r>
          </w:p>
        </w:tc>
        <w:tc>
          <w:tcPr>
            <w:tcW w:w="2420" w:type="dxa"/>
            <w:vAlign w:val="center"/>
          </w:tcPr>
          <w:p w14:paraId="48C3D8F3">
            <w:pPr>
              <w:spacing w:before="20" w:after="20" w:line="240" w:lineRule="auto"/>
              <w:ind w:firstLine="340" w:firstLineChars="200"/>
              <w:jc w:val="center"/>
            </w:pPr>
            <w:r>
              <w:rPr>
                <w:rFonts w:ascii="Times New Roman" w:hAnsi="Times New Roman" w:eastAsia="宋体"/>
                <w:b w:val="0"/>
                <w:color w:val="000000"/>
                <w:sz w:val="17"/>
              </w:rPr>
              <w:t>0.0392***</w:t>
            </w:r>
            <w:r>
              <w:rPr>
                <w:rFonts w:ascii="Times New Roman" w:hAnsi="Times New Roman" w:eastAsia="宋体"/>
                <w:b w:val="0"/>
                <w:color w:val="000000"/>
                <w:sz w:val="17"/>
              </w:rPr>
              <w:br w:type="textWrapping"/>
            </w:r>
            <w:r>
              <w:rPr>
                <w:rFonts w:ascii="Times New Roman" w:hAnsi="Times New Roman" w:eastAsia="宋体"/>
                <w:b w:val="0"/>
                <w:color w:val="000000"/>
                <w:sz w:val="17"/>
              </w:rPr>
              <w:t>(0.0032)</w:t>
            </w:r>
          </w:p>
        </w:tc>
        <w:tc>
          <w:tcPr>
            <w:tcW w:w="2420" w:type="dxa"/>
            <w:vAlign w:val="center"/>
          </w:tcPr>
          <w:p w14:paraId="2AC85E15">
            <w:pPr>
              <w:spacing w:before="20" w:after="20" w:line="240" w:lineRule="auto"/>
              <w:ind w:firstLine="340" w:firstLineChars="200"/>
              <w:jc w:val="center"/>
            </w:pPr>
            <w:r>
              <w:rPr>
                <w:rFonts w:ascii="Times New Roman" w:hAnsi="Times New Roman" w:eastAsia="宋体"/>
                <w:b w:val="0"/>
                <w:color w:val="000000"/>
                <w:sz w:val="17"/>
              </w:rPr>
              <w:t>0.0410***</w:t>
            </w:r>
            <w:r>
              <w:rPr>
                <w:rFonts w:ascii="Times New Roman" w:hAnsi="Times New Roman" w:eastAsia="宋体"/>
                <w:b w:val="0"/>
                <w:color w:val="000000"/>
                <w:sz w:val="17"/>
              </w:rPr>
              <w:br w:type="textWrapping"/>
            </w:r>
            <w:r>
              <w:rPr>
                <w:rFonts w:ascii="Times New Roman" w:hAnsi="Times New Roman" w:eastAsia="宋体"/>
                <w:b w:val="0"/>
                <w:color w:val="000000"/>
                <w:sz w:val="17"/>
              </w:rPr>
              <w:t>(0.0034)</w:t>
            </w:r>
          </w:p>
        </w:tc>
        <w:tc>
          <w:tcPr>
            <w:tcW w:w="2415" w:type="dxa"/>
            <w:vAlign w:val="center"/>
          </w:tcPr>
          <w:p w14:paraId="1A3F84E3">
            <w:pPr>
              <w:spacing w:before="20" w:after="20" w:line="240" w:lineRule="auto"/>
              <w:ind w:firstLine="340" w:firstLineChars="200"/>
              <w:jc w:val="center"/>
            </w:pPr>
            <w:r>
              <w:rPr>
                <w:rFonts w:ascii="Times New Roman" w:hAnsi="Times New Roman" w:eastAsia="宋体"/>
                <w:b w:val="0"/>
                <w:color w:val="000000"/>
                <w:sz w:val="17"/>
              </w:rPr>
              <w:t>0.0421***</w:t>
            </w:r>
            <w:r>
              <w:rPr>
                <w:rFonts w:ascii="Times New Roman" w:hAnsi="Times New Roman" w:eastAsia="宋体"/>
                <w:b w:val="0"/>
                <w:color w:val="000000"/>
                <w:sz w:val="17"/>
              </w:rPr>
              <w:br w:type="textWrapping"/>
            </w:r>
            <w:r>
              <w:rPr>
                <w:rFonts w:ascii="Times New Roman" w:hAnsi="Times New Roman" w:eastAsia="宋体"/>
                <w:b w:val="0"/>
                <w:color w:val="000000"/>
                <w:sz w:val="17"/>
              </w:rPr>
              <w:t>(0.0034)</w:t>
            </w:r>
          </w:p>
        </w:tc>
      </w:tr>
      <w:tr w14:paraId="3A432D1B">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3F091299">
            <w:pPr>
              <w:spacing w:before="20" w:after="20" w:line="240" w:lineRule="auto"/>
              <w:ind w:firstLine="340" w:firstLineChars="200"/>
              <w:jc w:val="center"/>
            </w:pPr>
            <w:r>
              <w:rPr>
                <w:rFonts w:hint="eastAsia" w:ascii="Times New Roman" w:hAnsi="Times New Roman" w:eastAsia="宋体"/>
                <w:b w:val="0"/>
                <w:color w:val="000000"/>
                <w:sz w:val="17"/>
              </w:rPr>
              <w:t>空间参数</w:t>
            </w:r>
          </w:p>
        </w:tc>
        <w:tc>
          <w:tcPr>
            <w:tcW w:w="2420" w:type="dxa"/>
            <w:vAlign w:val="center"/>
          </w:tcPr>
          <w:p w14:paraId="75C4A78D">
            <w:pPr>
              <w:spacing w:before="20" w:after="20" w:line="240" w:lineRule="auto"/>
              <w:ind w:firstLine="340" w:firstLineChars="200"/>
              <w:jc w:val="center"/>
            </w:pPr>
            <w:r>
              <w:rPr>
                <w:rFonts w:ascii="Times New Roman" w:hAnsi="Times New Roman" w:eastAsia="宋体"/>
                <w:b w:val="0"/>
                <w:color w:val="000000"/>
                <w:sz w:val="17"/>
              </w:rPr>
              <w:t>-0.7620***</w:t>
            </w:r>
            <w:r>
              <w:rPr>
                <w:rFonts w:ascii="Times New Roman" w:hAnsi="Times New Roman" w:eastAsia="宋体"/>
                <w:b w:val="0"/>
                <w:color w:val="000000"/>
                <w:sz w:val="17"/>
              </w:rPr>
              <w:br w:type="textWrapping"/>
            </w:r>
            <w:r>
              <w:rPr>
                <w:rFonts w:ascii="Times New Roman" w:hAnsi="Times New Roman" w:eastAsia="宋体"/>
                <w:b w:val="0"/>
                <w:color w:val="000000"/>
                <w:sz w:val="17"/>
              </w:rPr>
              <w:t>(0.2850)</w:t>
            </w:r>
          </w:p>
        </w:tc>
        <w:tc>
          <w:tcPr>
            <w:tcW w:w="2420" w:type="dxa"/>
            <w:vAlign w:val="center"/>
          </w:tcPr>
          <w:p w14:paraId="412DD804">
            <w:pPr>
              <w:spacing w:before="20" w:after="20" w:line="240" w:lineRule="auto"/>
              <w:ind w:firstLine="340" w:firstLineChars="200"/>
              <w:jc w:val="center"/>
            </w:pPr>
            <w:r>
              <w:rPr>
                <w:rFonts w:ascii="Times New Roman" w:hAnsi="Times New Roman" w:eastAsia="宋体"/>
                <w:b w:val="0"/>
                <w:color w:val="000000"/>
                <w:sz w:val="17"/>
              </w:rPr>
              <w:t>-0.8070***</w:t>
            </w:r>
            <w:r>
              <w:rPr>
                <w:rFonts w:ascii="Times New Roman" w:hAnsi="Times New Roman" w:eastAsia="宋体"/>
                <w:b w:val="0"/>
                <w:color w:val="000000"/>
                <w:sz w:val="17"/>
              </w:rPr>
              <w:br w:type="textWrapping"/>
            </w:r>
            <w:r>
              <w:rPr>
                <w:rFonts w:ascii="Times New Roman" w:hAnsi="Times New Roman" w:eastAsia="宋体"/>
                <w:b w:val="0"/>
                <w:color w:val="000000"/>
                <w:sz w:val="17"/>
              </w:rPr>
              <w:t>(0.2850)</w:t>
            </w:r>
          </w:p>
        </w:tc>
        <w:tc>
          <w:tcPr>
            <w:tcW w:w="2415" w:type="dxa"/>
            <w:vAlign w:val="center"/>
          </w:tcPr>
          <w:p w14:paraId="66B7B27C">
            <w:pPr>
              <w:spacing w:before="20" w:after="20" w:line="240" w:lineRule="auto"/>
              <w:ind w:firstLine="340" w:firstLineChars="200"/>
              <w:jc w:val="center"/>
            </w:pPr>
            <w:r>
              <w:rPr>
                <w:rFonts w:ascii="Times New Roman" w:hAnsi="Times New Roman" w:eastAsia="宋体"/>
                <w:b w:val="0"/>
                <w:color w:val="000000"/>
                <w:sz w:val="17"/>
              </w:rPr>
              <w:t>-0.4860*</w:t>
            </w:r>
            <w:r>
              <w:rPr>
                <w:rFonts w:ascii="Times New Roman" w:hAnsi="Times New Roman" w:eastAsia="宋体"/>
                <w:b w:val="0"/>
                <w:color w:val="000000"/>
                <w:sz w:val="17"/>
              </w:rPr>
              <w:br w:type="textWrapping"/>
            </w:r>
            <w:r>
              <w:rPr>
                <w:rFonts w:ascii="Times New Roman" w:hAnsi="Times New Roman" w:eastAsia="宋体"/>
                <w:b w:val="0"/>
                <w:color w:val="000000"/>
                <w:sz w:val="17"/>
              </w:rPr>
              <w:t>(0.2550)</w:t>
            </w:r>
          </w:p>
        </w:tc>
      </w:tr>
      <w:tr w14:paraId="778CB783">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71BAC752">
            <w:pPr>
              <w:spacing w:before="20" w:after="20" w:line="240" w:lineRule="auto"/>
              <w:ind w:firstLine="340" w:firstLineChars="200"/>
              <w:jc w:val="center"/>
            </w:pPr>
            <w:r>
              <w:rPr>
                <w:rFonts w:ascii="Times New Roman" w:hAnsi="Times New Roman" w:eastAsia="宋体"/>
                <w:b w:val="0"/>
                <w:color w:val="000000"/>
                <w:sz w:val="17"/>
              </w:rPr>
              <w:t>R²</w:t>
            </w:r>
          </w:p>
        </w:tc>
        <w:tc>
          <w:tcPr>
            <w:tcW w:w="2420" w:type="dxa"/>
            <w:vAlign w:val="center"/>
          </w:tcPr>
          <w:p w14:paraId="1DFAF83A">
            <w:pPr>
              <w:spacing w:before="20" w:after="20" w:line="240" w:lineRule="auto"/>
              <w:ind w:firstLine="340" w:firstLineChars="200"/>
              <w:jc w:val="center"/>
            </w:pPr>
            <w:r>
              <w:rPr>
                <w:rFonts w:ascii="Times New Roman" w:hAnsi="Times New Roman" w:eastAsia="宋体"/>
                <w:b w:val="0"/>
                <w:color w:val="000000"/>
                <w:sz w:val="17"/>
              </w:rPr>
              <w:t>0.579</w:t>
            </w:r>
          </w:p>
        </w:tc>
        <w:tc>
          <w:tcPr>
            <w:tcW w:w="2420" w:type="dxa"/>
            <w:vAlign w:val="center"/>
          </w:tcPr>
          <w:p w14:paraId="4FF053BC">
            <w:pPr>
              <w:spacing w:before="20" w:after="20" w:line="240" w:lineRule="auto"/>
              <w:ind w:firstLine="340" w:firstLineChars="200"/>
              <w:jc w:val="center"/>
            </w:pPr>
            <w:r>
              <w:rPr>
                <w:rFonts w:ascii="Times New Roman" w:hAnsi="Times New Roman" w:eastAsia="宋体"/>
                <w:b w:val="0"/>
                <w:color w:val="000000"/>
                <w:sz w:val="17"/>
              </w:rPr>
              <w:t>0.742</w:t>
            </w:r>
          </w:p>
        </w:tc>
        <w:tc>
          <w:tcPr>
            <w:tcW w:w="2415" w:type="dxa"/>
            <w:vAlign w:val="center"/>
          </w:tcPr>
          <w:p w14:paraId="79262DC3">
            <w:pPr>
              <w:spacing w:before="20" w:after="20" w:line="240" w:lineRule="auto"/>
              <w:ind w:firstLine="340" w:firstLineChars="200"/>
              <w:jc w:val="center"/>
            </w:pPr>
            <w:r>
              <w:rPr>
                <w:rFonts w:ascii="Times New Roman" w:hAnsi="Times New Roman" w:eastAsia="宋体"/>
                <w:b w:val="0"/>
                <w:color w:val="000000"/>
                <w:sz w:val="17"/>
              </w:rPr>
              <w:t>0.715</w:t>
            </w:r>
          </w:p>
        </w:tc>
      </w:tr>
      <w:tr w14:paraId="46AFCEB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2A65937B">
            <w:pPr>
              <w:spacing w:before="20" w:after="20" w:line="240" w:lineRule="auto"/>
              <w:ind w:firstLine="340" w:firstLineChars="200"/>
              <w:jc w:val="center"/>
            </w:pPr>
            <w:r>
              <w:rPr>
                <w:rFonts w:hint="eastAsia"/>
                <w:b w:val="0"/>
                <w:color w:val="000000"/>
                <w:sz w:val="17"/>
                <w:lang w:val="en-US" w:eastAsia="zh-CN"/>
              </w:rPr>
              <w:t>Log-likelihood</w:t>
            </w:r>
          </w:p>
        </w:tc>
        <w:tc>
          <w:tcPr>
            <w:tcW w:w="2420" w:type="dxa"/>
            <w:vAlign w:val="center"/>
          </w:tcPr>
          <w:p w14:paraId="14A3A1E6">
            <w:pPr>
              <w:spacing w:before="20" w:after="20" w:line="240" w:lineRule="auto"/>
              <w:ind w:firstLine="340" w:firstLineChars="200"/>
              <w:jc w:val="center"/>
            </w:pPr>
            <w:r>
              <w:rPr>
                <w:rFonts w:hint="eastAsia"/>
                <w:b w:val="0"/>
                <w:color w:val="000000"/>
                <w:sz w:val="17"/>
                <w:lang w:val="en-US" w:eastAsia="zh-CN"/>
              </w:rPr>
              <w:t>58.1898</w:t>
            </w:r>
          </w:p>
        </w:tc>
        <w:tc>
          <w:tcPr>
            <w:tcW w:w="2420" w:type="dxa"/>
            <w:vAlign w:val="center"/>
          </w:tcPr>
          <w:p w14:paraId="2A21C8B6">
            <w:pPr>
              <w:spacing w:before="20" w:after="20" w:line="240" w:lineRule="auto"/>
              <w:ind w:firstLine="340" w:firstLineChars="200"/>
              <w:jc w:val="center"/>
            </w:pPr>
            <w:r>
              <w:rPr>
                <w:rFonts w:hint="eastAsia"/>
                <w:b w:val="0"/>
                <w:color w:val="000000"/>
                <w:sz w:val="17"/>
                <w:lang w:val="en-US" w:eastAsia="zh-CN"/>
              </w:rPr>
              <w:t>51.1392</w:t>
            </w:r>
          </w:p>
        </w:tc>
        <w:tc>
          <w:tcPr>
            <w:tcW w:w="2415" w:type="dxa"/>
            <w:vAlign w:val="center"/>
          </w:tcPr>
          <w:p w14:paraId="2F124C0C">
            <w:pPr>
              <w:spacing w:before="20" w:after="20" w:line="240" w:lineRule="auto"/>
              <w:ind w:firstLine="340" w:firstLineChars="200"/>
              <w:jc w:val="center"/>
            </w:pPr>
            <w:r>
              <w:rPr>
                <w:rFonts w:hint="eastAsia"/>
                <w:b w:val="0"/>
                <w:color w:val="000000"/>
                <w:sz w:val="17"/>
                <w:lang w:val="en-US" w:eastAsia="zh-CN"/>
              </w:rPr>
              <w:t>49.0078</w:t>
            </w:r>
          </w:p>
        </w:tc>
      </w:tr>
    </w:tbl>
    <w:p w14:paraId="50426F2C">
      <w:pPr>
        <w:pStyle w:val="3"/>
        <w:keepNext/>
        <w:keepLines/>
        <w:spacing w:before="100" w:after="100"/>
        <w:ind w:firstLine="0"/>
        <w:jc w:val="center"/>
        <w:rPr>
          <w:rFonts w:hint="eastAsia"/>
        </w:rPr>
      </w:pPr>
      <w:r>
        <w:rPr>
          <w:rFonts w:hint="eastAsia"/>
        </w:rPr>
        <w:t>注：括号内为标准误；***、**和*分别表示在1%、5%和10%水平显著。</w:t>
      </w:r>
    </w:p>
    <w:p w14:paraId="634925B3">
      <w:pPr>
        <w:widowControl/>
        <w:spacing w:before="0" w:after="60" w:line="360" w:lineRule="auto"/>
        <w:ind w:left="0" w:right="0" w:firstLine="420"/>
        <w:jc w:val="both"/>
      </w:pPr>
      <w:r>
        <w:rPr>
          <w:rFonts w:hint="eastAsia" w:ascii="Times New Roman" w:hAnsi="Times New Roman" w:eastAsia="宋体"/>
          <w:color w:val="000000"/>
          <w:sz w:val="21"/>
        </w:rPr>
        <w:t>表9进一步报告了SDM的空间效应分解结果。R&amp;D的直接效应为0.0021，并在5%水平上显著，表明研发投入增加与本地区CNTI提升显著相关；间接效应为0.0136，并在1%水平上显著，说明研发投入具有显著的正向空间溢出效应；总效应为0.0157，并在1%水平上显著。进一步比较发现，R&amp;D的间接效应约为直接效应的6.5倍，表明跨区域空间反馈是研发投入影响碳中和技术创新的重要组成部分。由此，假设H2得到支持。</w:t>
      </w:r>
    </w:p>
    <w:p w14:paraId="66623F97">
      <w:pPr>
        <w:pStyle w:val="3"/>
        <w:keepNext/>
        <w:spacing w:before="100" w:after="60"/>
        <w:ind w:firstLine="0"/>
        <w:jc w:val="center"/>
      </w:pPr>
      <w:r>
        <w:rPr>
          <w:rFonts w:hint="eastAsia" w:ascii="Times New Roman" w:hAnsi="Times New Roman" w:eastAsia="宋体"/>
          <w:b/>
          <w:bCs/>
          <w:color w:val="000000"/>
          <w:sz w:val="21"/>
        </w:rPr>
        <w:t>表9</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SDM空间效应分解</w:t>
      </w:r>
    </w:p>
    <w:tbl>
      <w:tblPr>
        <w:tblStyle w:val="11"/>
        <w:tblW w:w="5000" w:type="pct"/>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2"/>
        <w:gridCol w:w="2322"/>
        <w:gridCol w:w="2322"/>
        <w:gridCol w:w="2322"/>
      </w:tblGrid>
      <w:tr w14:paraId="11F7710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814" w:type="dxa"/>
            <w:tcBorders>
              <w:bottom w:val="single" w:color="7F8C8D" w:sz="6" w:space="0"/>
            </w:tcBorders>
            <w:shd w:val="clear" w:color="auto" w:fill="DCE6F1"/>
            <w:vAlign w:val="center"/>
          </w:tcPr>
          <w:p w14:paraId="6B41A90C">
            <w:pPr>
              <w:keepNext/>
              <w:spacing w:before="20" w:after="20" w:line="240" w:lineRule="auto"/>
              <w:ind w:firstLine="0"/>
              <w:jc w:val="center"/>
            </w:pPr>
            <w:r>
              <w:rPr>
                <w:rFonts w:hint="eastAsia" w:ascii="Times New Roman" w:hAnsi="Times New Roman" w:eastAsia="宋体"/>
                <w:b/>
                <w:color w:val="000000"/>
                <w:sz w:val="18"/>
              </w:rPr>
              <w:t>变量</w:t>
            </w:r>
          </w:p>
        </w:tc>
        <w:tc>
          <w:tcPr>
            <w:tcW w:w="2420" w:type="dxa"/>
            <w:tcBorders>
              <w:bottom w:val="single" w:color="7F8C8D" w:sz="6" w:space="0"/>
            </w:tcBorders>
            <w:shd w:val="clear" w:color="auto" w:fill="DCE6F1"/>
            <w:vAlign w:val="center"/>
          </w:tcPr>
          <w:p w14:paraId="07B710C6">
            <w:pPr>
              <w:keepNext/>
              <w:spacing w:before="20" w:after="20" w:line="240" w:lineRule="auto"/>
              <w:ind w:firstLine="0"/>
              <w:jc w:val="center"/>
            </w:pPr>
            <w:r>
              <w:rPr>
                <w:rFonts w:hint="eastAsia" w:ascii="Times New Roman" w:hAnsi="Times New Roman" w:eastAsia="宋体"/>
                <w:b/>
                <w:color w:val="000000"/>
                <w:sz w:val="18"/>
              </w:rPr>
              <w:t>直接效应</w:t>
            </w:r>
          </w:p>
        </w:tc>
        <w:tc>
          <w:tcPr>
            <w:tcW w:w="2420" w:type="dxa"/>
            <w:tcBorders>
              <w:bottom w:val="single" w:color="7F8C8D" w:sz="6" w:space="0"/>
            </w:tcBorders>
            <w:shd w:val="clear" w:color="auto" w:fill="DCE6F1"/>
            <w:vAlign w:val="center"/>
          </w:tcPr>
          <w:p w14:paraId="70107897">
            <w:pPr>
              <w:keepNext/>
              <w:spacing w:before="20" w:after="20" w:line="240" w:lineRule="auto"/>
              <w:ind w:firstLine="0"/>
              <w:jc w:val="center"/>
            </w:pPr>
            <w:r>
              <w:rPr>
                <w:rFonts w:hint="eastAsia" w:ascii="Times New Roman" w:hAnsi="Times New Roman" w:eastAsia="宋体"/>
                <w:b/>
                <w:color w:val="000000"/>
                <w:sz w:val="18"/>
              </w:rPr>
              <w:t>间接效应</w:t>
            </w:r>
          </w:p>
        </w:tc>
        <w:tc>
          <w:tcPr>
            <w:tcW w:w="2415" w:type="dxa"/>
            <w:tcBorders>
              <w:bottom w:val="single" w:color="7F8C8D" w:sz="6" w:space="0"/>
            </w:tcBorders>
            <w:shd w:val="clear" w:color="auto" w:fill="DCE6F1"/>
            <w:vAlign w:val="center"/>
          </w:tcPr>
          <w:p w14:paraId="14AFA4C6">
            <w:pPr>
              <w:keepNext/>
              <w:spacing w:before="20" w:after="20" w:line="240" w:lineRule="auto"/>
              <w:ind w:firstLine="0"/>
              <w:jc w:val="center"/>
            </w:pPr>
            <w:r>
              <w:rPr>
                <w:rFonts w:hint="eastAsia" w:ascii="Times New Roman" w:hAnsi="Times New Roman" w:eastAsia="宋体"/>
                <w:b/>
                <w:color w:val="000000"/>
                <w:sz w:val="18"/>
              </w:rPr>
              <w:t>总效应</w:t>
            </w:r>
          </w:p>
        </w:tc>
      </w:tr>
      <w:tr w14:paraId="2893BB63">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72BCD355">
            <w:pPr>
              <w:keepNext/>
              <w:spacing w:before="20" w:after="20" w:line="240" w:lineRule="auto"/>
              <w:ind w:firstLine="0"/>
              <w:jc w:val="center"/>
            </w:pPr>
            <w:r>
              <w:rPr>
                <w:rFonts w:ascii="Times New Roman" w:hAnsi="Times New Roman" w:eastAsia="宋体"/>
                <w:b w:val="0"/>
                <w:color w:val="000000"/>
                <w:sz w:val="18"/>
              </w:rPr>
              <w:t>R&amp;D</w:t>
            </w:r>
          </w:p>
        </w:tc>
        <w:tc>
          <w:tcPr>
            <w:tcW w:w="2420" w:type="dxa"/>
            <w:vAlign w:val="center"/>
          </w:tcPr>
          <w:p w14:paraId="0B2E63AB">
            <w:pPr>
              <w:keepNext/>
              <w:spacing w:before="20" w:after="20" w:line="240" w:lineRule="auto"/>
              <w:ind w:firstLine="0"/>
              <w:jc w:val="center"/>
            </w:pPr>
            <w:r>
              <w:rPr>
                <w:rFonts w:ascii="Times New Roman" w:hAnsi="Times New Roman" w:eastAsia="宋体"/>
                <w:b w:val="0"/>
                <w:color w:val="000000"/>
                <w:sz w:val="18"/>
              </w:rPr>
              <w:t>0.0021**</w:t>
            </w:r>
            <w:r>
              <w:rPr>
                <w:rFonts w:ascii="Times New Roman" w:hAnsi="Times New Roman" w:eastAsia="宋体"/>
                <w:b w:val="0"/>
                <w:color w:val="000000"/>
                <w:sz w:val="18"/>
              </w:rPr>
              <w:br w:type="textWrapping"/>
            </w:r>
            <w:r>
              <w:rPr>
                <w:rFonts w:ascii="Times New Roman" w:hAnsi="Times New Roman" w:eastAsia="宋体"/>
                <w:b w:val="0"/>
                <w:color w:val="000000"/>
                <w:sz w:val="18"/>
              </w:rPr>
              <w:t>(0.0009)</w:t>
            </w:r>
          </w:p>
        </w:tc>
        <w:tc>
          <w:tcPr>
            <w:tcW w:w="2420" w:type="dxa"/>
            <w:vAlign w:val="center"/>
          </w:tcPr>
          <w:p w14:paraId="1BD484AF">
            <w:pPr>
              <w:keepNext/>
              <w:spacing w:before="20" w:after="20" w:line="240" w:lineRule="auto"/>
              <w:ind w:firstLine="0"/>
              <w:jc w:val="center"/>
            </w:pPr>
            <w:r>
              <w:rPr>
                <w:rFonts w:ascii="Times New Roman" w:hAnsi="Times New Roman" w:eastAsia="宋体"/>
                <w:b w:val="0"/>
                <w:color w:val="000000"/>
                <w:sz w:val="18"/>
              </w:rPr>
              <w:t>0.0136***</w:t>
            </w:r>
            <w:r>
              <w:rPr>
                <w:rFonts w:ascii="Times New Roman" w:hAnsi="Times New Roman" w:eastAsia="宋体"/>
                <w:b w:val="0"/>
                <w:color w:val="000000"/>
                <w:sz w:val="18"/>
              </w:rPr>
              <w:br w:type="textWrapping"/>
            </w:r>
            <w:r>
              <w:rPr>
                <w:rFonts w:ascii="Times New Roman" w:hAnsi="Times New Roman" w:eastAsia="宋体"/>
                <w:b w:val="0"/>
                <w:color w:val="000000"/>
                <w:sz w:val="18"/>
              </w:rPr>
              <w:t>(0.0045)</w:t>
            </w:r>
          </w:p>
        </w:tc>
        <w:tc>
          <w:tcPr>
            <w:tcW w:w="2415" w:type="dxa"/>
            <w:vAlign w:val="center"/>
          </w:tcPr>
          <w:p w14:paraId="679EC48A">
            <w:pPr>
              <w:keepNext/>
              <w:spacing w:before="20" w:after="20" w:line="240" w:lineRule="auto"/>
              <w:ind w:firstLine="0"/>
              <w:jc w:val="center"/>
            </w:pPr>
            <w:r>
              <w:rPr>
                <w:rFonts w:ascii="Times New Roman" w:hAnsi="Times New Roman" w:eastAsia="宋体"/>
                <w:b w:val="0"/>
                <w:color w:val="000000"/>
                <w:sz w:val="18"/>
              </w:rPr>
              <w:t>0.0157***</w:t>
            </w:r>
            <w:r>
              <w:rPr>
                <w:rFonts w:ascii="Times New Roman" w:hAnsi="Times New Roman" w:eastAsia="宋体"/>
                <w:b w:val="0"/>
                <w:color w:val="000000"/>
                <w:sz w:val="18"/>
              </w:rPr>
              <w:br w:type="textWrapping"/>
            </w:r>
            <w:r>
              <w:rPr>
                <w:rFonts w:ascii="Times New Roman" w:hAnsi="Times New Roman" w:eastAsia="宋体"/>
                <w:b w:val="0"/>
                <w:color w:val="000000"/>
                <w:sz w:val="18"/>
              </w:rPr>
              <w:t>(0.0045)</w:t>
            </w:r>
          </w:p>
        </w:tc>
      </w:tr>
      <w:tr w14:paraId="0FE5464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28712D7D">
            <w:pPr>
              <w:keepNext/>
              <w:spacing w:before="20" w:after="20" w:line="240" w:lineRule="auto"/>
              <w:ind w:firstLine="0"/>
              <w:jc w:val="center"/>
            </w:pPr>
            <w:r>
              <w:rPr>
                <w:rFonts w:ascii="Times New Roman" w:hAnsi="Times New Roman" w:eastAsia="宋体"/>
                <w:b w:val="0"/>
                <w:color w:val="000000"/>
                <w:sz w:val="18"/>
              </w:rPr>
              <w:t>Energy</w:t>
            </w:r>
          </w:p>
        </w:tc>
        <w:tc>
          <w:tcPr>
            <w:tcW w:w="2420" w:type="dxa"/>
            <w:vAlign w:val="center"/>
          </w:tcPr>
          <w:p w14:paraId="21AD5C94">
            <w:pPr>
              <w:keepNext/>
              <w:spacing w:before="20" w:after="20" w:line="240" w:lineRule="auto"/>
              <w:ind w:firstLine="0"/>
              <w:jc w:val="center"/>
            </w:pPr>
            <w:r>
              <w:rPr>
                <w:rFonts w:ascii="Times New Roman" w:hAnsi="Times New Roman" w:eastAsia="宋体"/>
                <w:b w:val="0"/>
                <w:color w:val="000000"/>
                <w:sz w:val="18"/>
              </w:rPr>
              <w:t>-0.5350***</w:t>
            </w:r>
            <w:r>
              <w:rPr>
                <w:rFonts w:ascii="Times New Roman" w:hAnsi="Times New Roman" w:eastAsia="宋体"/>
                <w:b w:val="0"/>
                <w:color w:val="000000"/>
                <w:sz w:val="18"/>
              </w:rPr>
              <w:br w:type="textWrapping"/>
            </w:r>
            <w:r>
              <w:rPr>
                <w:rFonts w:ascii="Times New Roman" w:hAnsi="Times New Roman" w:eastAsia="宋体"/>
                <w:b w:val="0"/>
                <w:color w:val="000000"/>
                <w:sz w:val="18"/>
              </w:rPr>
              <w:t>(0.1030)</w:t>
            </w:r>
          </w:p>
        </w:tc>
        <w:tc>
          <w:tcPr>
            <w:tcW w:w="2420" w:type="dxa"/>
            <w:vAlign w:val="center"/>
          </w:tcPr>
          <w:p w14:paraId="0F3C4C64">
            <w:pPr>
              <w:keepNext/>
              <w:spacing w:before="20" w:after="20" w:line="240" w:lineRule="auto"/>
              <w:ind w:firstLine="0"/>
              <w:jc w:val="center"/>
            </w:pPr>
            <w:r>
              <w:rPr>
                <w:rFonts w:ascii="Times New Roman" w:hAnsi="Times New Roman" w:eastAsia="宋体"/>
                <w:b w:val="0"/>
                <w:color w:val="000000"/>
                <w:sz w:val="18"/>
              </w:rPr>
              <w:t>1.6350</w:t>
            </w:r>
            <w:r>
              <w:rPr>
                <w:rFonts w:ascii="Times New Roman" w:hAnsi="Times New Roman" w:eastAsia="宋体"/>
                <w:b w:val="0"/>
                <w:color w:val="000000"/>
                <w:sz w:val="18"/>
              </w:rPr>
              <w:br w:type="textWrapping"/>
            </w:r>
            <w:r>
              <w:rPr>
                <w:rFonts w:ascii="Times New Roman" w:hAnsi="Times New Roman" w:eastAsia="宋体"/>
                <w:b w:val="0"/>
                <w:color w:val="000000"/>
                <w:sz w:val="18"/>
              </w:rPr>
              <w:t>(1.0130)</w:t>
            </w:r>
          </w:p>
        </w:tc>
        <w:tc>
          <w:tcPr>
            <w:tcW w:w="2415" w:type="dxa"/>
            <w:vAlign w:val="center"/>
          </w:tcPr>
          <w:p w14:paraId="710239C5">
            <w:pPr>
              <w:keepNext/>
              <w:spacing w:before="20" w:after="20" w:line="240" w:lineRule="auto"/>
              <w:ind w:firstLine="0"/>
              <w:jc w:val="center"/>
            </w:pPr>
            <w:r>
              <w:rPr>
                <w:rFonts w:ascii="Times New Roman" w:hAnsi="Times New Roman" w:eastAsia="宋体"/>
                <w:b w:val="0"/>
                <w:color w:val="000000"/>
                <w:sz w:val="18"/>
              </w:rPr>
              <w:t>1.0990</w:t>
            </w:r>
            <w:r>
              <w:rPr>
                <w:rFonts w:ascii="Times New Roman" w:hAnsi="Times New Roman" w:eastAsia="宋体"/>
                <w:b w:val="0"/>
                <w:color w:val="000000"/>
                <w:sz w:val="18"/>
              </w:rPr>
              <w:br w:type="textWrapping"/>
            </w:r>
            <w:r>
              <w:rPr>
                <w:rFonts w:ascii="Times New Roman" w:hAnsi="Times New Roman" w:eastAsia="宋体"/>
                <w:b w:val="0"/>
                <w:color w:val="000000"/>
                <w:sz w:val="18"/>
              </w:rPr>
              <w:t>(1.0110)</w:t>
            </w:r>
          </w:p>
        </w:tc>
      </w:tr>
      <w:tr w14:paraId="430992B5">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04A7B0B8">
            <w:pPr>
              <w:keepNext/>
              <w:spacing w:before="20" w:after="20" w:line="240" w:lineRule="auto"/>
              <w:ind w:firstLine="0"/>
              <w:jc w:val="center"/>
            </w:pPr>
            <w:r>
              <w:rPr>
                <w:rFonts w:ascii="Times New Roman" w:hAnsi="Times New Roman" w:eastAsia="宋体"/>
                <w:b w:val="0"/>
                <w:color w:val="000000"/>
                <w:sz w:val="18"/>
              </w:rPr>
              <w:t>FDI</w:t>
            </w:r>
          </w:p>
        </w:tc>
        <w:tc>
          <w:tcPr>
            <w:tcW w:w="2420" w:type="dxa"/>
            <w:vAlign w:val="center"/>
          </w:tcPr>
          <w:p w14:paraId="6173FC07">
            <w:pPr>
              <w:keepNext/>
              <w:spacing w:before="20" w:after="20" w:line="240" w:lineRule="auto"/>
              <w:ind w:firstLine="0"/>
              <w:jc w:val="center"/>
            </w:pPr>
            <w:r>
              <w:rPr>
                <w:rFonts w:ascii="Times New Roman" w:hAnsi="Times New Roman" w:eastAsia="宋体"/>
                <w:b w:val="0"/>
                <w:color w:val="000000"/>
                <w:sz w:val="18"/>
              </w:rPr>
              <w:t>-2.2830</w:t>
            </w:r>
            <w:r>
              <w:rPr>
                <w:rFonts w:ascii="Times New Roman" w:hAnsi="Times New Roman" w:eastAsia="宋体"/>
                <w:b w:val="0"/>
                <w:color w:val="000000"/>
                <w:sz w:val="18"/>
              </w:rPr>
              <w:br w:type="textWrapping"/>
            </w:r>
            <w:r>
              <w:rPr>
                <w:rFonts w:ascii="Times New Roman" w:hAnsi="Times New Roman" w:eastAsia="宋体"/>
                <w:b w:val="0"/>
                <w:color w:val="000000"/>
                <w:sz w:val="18"/>
              </w:rPr>
              <w:t>(1.5990)</w:t>
            </w:r>
          </w:p>
        </w:tc>
        <w:tc>
          <w:tcPr>
            <w:tcW w:w="2420" w:type="dxa"/>
            <w:vAlign w:val="center"/>
          </w:tcPr>
          <w:p w14:paraId="111A8CC2">
            <w:pPr>
              <w:keepNext/>
              <w:spacing w:before="20" w:after="20" w:line="240" w:lineRule="auto"/>
              <w:ind w:firstLine="0"/>
              <w:jc w:val="center"/>
            </w:pPr>
            <w:r>
              <w:rPr>
                <w:rFonts w:ascii="Times New Roman" w:hAnsi="Times New Roman" w:eastAsia="宋体"/>
                <w:b w:val="0"/>
                <w:color w:val="000000"/>
                <w:sz w:val="18"/>
              </w:rPr>
              <w:t>-9.7660</w:t>
            </w:r>
            <w:r>
              <w:rPr>
                <w:rFonts w:ascii="Times New Roman" w:hAnsi="Times New Roman" w:eastAsia="宋体"/>
                <w:b w:val="0"/>
                <w:color w:val="000000"/>
                <w:sz w:val="18"/>
              </w:rPr>
              <w:br w:type="textWrapping"/>
            </w:r>
            <w:r>
              <w:rPr>
                <w:rFonts w:ascii="Times New Roman" w:hAnsi="Times New Roman" w:eastAsia="宋体"/>
                <w:b w:val="0"/>
                <w:color w:val="000000"/>
                <w:sz w:val="18"/>
              </w:rPr>
              <w:t>(7.9860)</w:t>
            </w:r>
          </w:p>
        </w:tc>
        <w:tc>
          <w:tcPr>
            <w:tcW w:w="2415" w:type="dxa"/>
            <w:vAlign w:val="center"/>
          </w:tcPr>
          <w:p w14:paraId="27CE564C">
            <w:pPr>
              <w:keepNext/>
              <w:spacing w:before="20" w:after="20" w:line="240" w:lineRule="auto"/>
              <w:ind w:firstLine="0"/>
              <w:jc w:val="center"/>
            </w:pPr>
            <w:r>
              <w:rPr>
                <w:rFonts w:ascii="Times New Roman" w:hAnsi="Times New Roman" w:eastAsia="宋体"/>
                <w:b w:val="0"/>
                <w:color w:val="000000"/>
                <w:sz w:val="18"/>
              </w:rPr>
              <w:t>-12.0500</w:t>
            </w:r>
            <w:r>
              <w:rPr>
                <w:rFonts w:ascii="Times New Roman" w:hAnsi="Times New Roman" w:eastAsia="宋体"/>
                <w:b w:val="0"/>
                <w:color w:val="000000"/>
                <w:sz w:val="18"/>
              </w:rPr>
              <w:br w:type="textWrapping"/>
            </w:r>
            <w:r>
              <w:rPr>
                <w:rFonts w:ascii="Times New Roman" w:hAnsi="Times New Roman" w:eastAsia="宋体"/>
                <w:b w:val="0"/>
                <w:color w:val="000000"/>
                <w:sz w:val="18"/>
              </w:rPr>
              <w:t>(8.4900)</w:t>
            </w:r>
          </w:p>
        </w:tc>
      </w:tr>
      <w:tr w14:paraId="20DE54FD">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72684203">
            <w:pPr>
              <w:keepNext/>
              <w:spacing w:before="20" w:after="20" w:line="240" w:lineRule="auto"/>
              <w:ind w:firstLine="0"/>
              <w:jc w:val="center"/>
            </w:pPr>
            <w:r>
              <w:rPr>
                <w:rFonts w:ascii="Times New Roman" w:hAnsi="Times New Roman" w:eastAsia="宋体"/>
                <w:b w:val="0"/>
                <w:color w:val="000000"/>
                <w:sz w:val="18"/>
              </w:rPr>
              <w:t>Urban</w:t>
            </w:r>
          </w:p>
        </w:tc>
        <w:tc>
          <w:tcPr>
            <w:tcW w:w="2420" w:type="dxa"/>
            <w:vAlign w:val="center"/>
          </w:tcPr>
          <w:p w14:paraId="64BBB81F">
            <w:pPr>
              <w:keepNext/>
              <w:spacing w:before="20" w:after="20" w:line="240" w:lineRule="auto"/>
              <w:ind w:firstLine="0"/>
              <w:jc w:val="center"/>
            </w:pPr>
            <w:r>
              <w:rPr>
                <w:rFonts w:ascii="Times New Roman" w:hAnsi="Times New Roman" w:eastAsia="宋体"/>
                <w:b w:val="0"/>
                <w:color w:val="000000"/>
                <w:sz w:val="18"/>
              </w:rPr>
              <w:t>0.7720</w:t>
            </w:r>
            <w:r>
              <w:rPr>
                <w:rFonts w:ascii="Times New Roman" w:hAnsi="Times New Roman" w:eastAsia="宋体"/>
                <w:b w:val="0"/>
                <w:color w:val="000000"/>
                <w:sz w:val="18"/>
              </w:rPr>
              <w:br w:type="textWrapping"/>
            </w:r>
            <w:r>
              <w:rPr>
                <w:rFonts w:ascii="Times New Roman" w:hAnsi="Times New Roman" w:eastAsia="宋体"/>
                <w:b w:val="0"/>
                <w:color w:val="000000"/>
                <w:sz w:val="18"/>
              </w:rPr>
              <w:t>(1.0110)</w:t>
            </w:r>
          </w:p>
        </w:tc>
        <w:tc>
          <w:tcPr>
            <w:tcW w:w="2420" w:type="dxa"/>
            <w:vAlign w:val="center"/>
          </w:tcPr>
          <w:p w14:paraId="73ADD51E">
            <w:pPr>
              <w:keepNext/>
              <w:spacing w:before="20" w:after="20" w:line="240" w:lineRule="auto"/>
              <w:ind w:firstLine="0"/>
              <w:jc w:val="center"/>
            </w:pPr>
            <w:r>
              <w:rPr>
                <w:rFonts w:ascii="Times New Roman" w:hAnsi="Times New Roman" w:eastAsia="宋体"/>
                <w:b w:val="0"/>
                <w:color w:val="000000"/>
                <w:sz w:val="18"/>
              </w:rPr>
              <w:t>3.5250</w:t>
            </w:r>
            <w:r>
              <w:rPr>
                <w:rFonts w:ascii="Times New Roman" w:hAnsi="Times New Roman" w:eastAsia="宋体"/>
                <w:b w:val="0"/>
                <w:color w:val="000000"/>
                <w:sz w:val="18"/>
              </w:rPr>
              <w:br w:type="textWrapping"/>
            </w:r>
            <w:r>
              <w:rPr>
                <w:rFonts w:ascii="Times New Roman" w:hAnsi="Times New Roman" w:eastAsia="宋体"/>
                <w:b w:val="0"/>
                <w:color w:val="000000"/>
                <w:sz w:val="18"/>
              </w:rPr>
              <w:t>(3.5180)</w:t>
            </w:r>
          </w:p>
        </w:tc>
        <w:tc>
          <w:tcPr>
            <w:tcW w:w="2415" w:type="dxa"/>
            <w:vAlign w:val="center"/>
          </w:tcPr>
          <w:p w14:paraId="0571051D">
            <w:pPr>
              <w:keepNext/>
              <w:spacing w:before="20" w:after="20" w:line="240" w:lineRule="auto"/>
              <w:ind w:firstLine="0"/>
              <w:jc w:val="center"/>
            </w:pPr>
            <w:r>
              <w:rPr>
                <w:rFonts w:ascii="Times New Roman" w:hAnsi="Times New Roman" w:eastAsia="宋体"/>
                <w:b w:val="0"/>
                <w:color w:val="000000"/>
                <w:sz w:val="18"/>
              </w:rPr>
              <w:t>4.2980</w:t>
            </w:r>
            <w:r>
              <w:rPr>
                <w:rFonts w:ascii="Times New Roman" w:hAnsi="Times New Roman" w:eastAsia="宋体"/>
                <w:b w:val="0"/>
                <w:color w:val="000000"/>
                <w:sz w:val="18"/>
              </w:rPr>
              <w:br w:type="textWrapping"/>
            </w:r>
            <w:r>
              <w:rPr>
                <w:rFonts w:ascii="Times New Roman" w:hAnsi="Times New Roman" w:eastAsia="宋体"/>
                <w:b w:val="0"/>
                <w:color w:val="000000"/>
                <w:sz w:val="18"/>
              </w:rPr>
              <w:t>(3.3810)</w:t>
            </w:r>
          </w:p>
        </w:tc>
      </w:tr>
      <w:tr w14:paraId="5C431867">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7A44BAEC">
            <w:pPr>
              <w:keepNext/>
              <w:spacing w:before="20" w:after="20" w:line="240" w:lineRule="auto"/>
              <w:ind w:firstLine="0"/>
              <w:jc w:val="center"/>
            </w:pPr>
            <w:r>
              <w:rPr>
                <w:rFonts w:ascii="Times New Roman" w:hAnsi="Times New Roman" w:eastAsia="宋体"/>
                <w:b w:val="0"/>
                <w:color w:val="000000"/>
                <w:sz w:val="18"/>
              </w:rPr>
              <w:t>ISU</w:t>
            </w:r>
          </w:p>
        </w:tc>
        <w:tc>
          <w:tcPr>
            <w:tcW w:w="2420" w:type="dxa"/>
            <w:vAlign w:val="center"/>
          </w:tcPr>
          <w:p w14:paraId="435DA3BE">
            <w:pPr>
              <w:keepNext/>
              <w:spacing w:before="20" w:after="20" w:line="240" w:lineRule="auto"/>
              <w:ind w:firstLine="0"/>
              <w:jc w:val="center"/>
            </w:pPr>
            <w:r>
              <w:rPr>
                <w:rFonts w:ascii="Times New Roman" w:hAnsi="Times New Roman" w:eastAsia="宋体"/>
                <w:b w:val="0"/>
                <w:color w:val="000000"/>
                <w:sz w:val="18"/>
              </w:rPr>
              <w:t>-0.1130</w:t>
            </w:r>
            <w:r>
              <w:rPr>
                <w:rFonts w:ascii="Times New Roman" w:hAnsi="Times New Roman" w:eastAsia="宋体"/>
                <w:b w:val="0"/>
                <w:color w:val="000000"/>
                <w:sz w:val="18"/>
              </w:rPr>
              <w:br w:type="textWrapping"/>
            </w:r>
            <w:r>
              <w:rPr>
                <w:rFonts w:ascii="Times New Roman" w:hAnsi="Times New Roman" w:eastAsia="宋体"/>
                <w:b w:val="0"/>
                <w:color w:val="000000"/>
                <w:sz w:val="18"/>
              </w:rPr>
              <w:t>(0.0935)</w:t>
            </w:r>
          </w:p>
        </w:tc>
        <w:tc>
          <w:tcPr>
            <w:tcW w:w="2420" w:type="dxa"/>
            <w:vAlign w:val="center"/>
          </w:tcPr>
          <w:p w14:paraId="2C194457">
            <w:pPr>
              <w:keepNext/>
              <w:spacing w:before="20" w:after="20" w:line="240" w:lineRule="auto"/>
              <w:ind w:firstLine="0"/>
              <w:jc w:val="center"/>
            </w:pPr>
            <w:r>
              <w:rPr>
                <w:rFonts w:ascii="Times New Roman" w:hAnsi="Times New Roman" w:eastAsia="宋体"/>
                <w:b w:val="0"/>
                <w:color w:val="000000"/>
                <w:sz w:val="18"/>
              </w:rPr>
              <w:t>0.2140</w:t>
            </w:r>
            <w:r>
              <w:rPr>
                <w:rFonts w:ascii="Times New Roman" w:hAnsi="Times New Roman" w:eastAsia="宋体"/>
                <w:b w:val="0"/>
                <w:color w:val="000000"/>
                <w:sz w:val="18"/>
              </w:rPr>
              <w:br w:type="textWrapping"/>
            </w:r>
            <w:r>
              <w:rPr>
                <w:rFonts w:ascii="Times New Roman" w:hAnsi="Times New Roman" w:eastAsia="宋体"/>
                <w:b w:val="0"/>
                <w:color w:val="000000"/>
                <w:sz w:val="18"/>
              </w:rPr>
              <w:t>(0.6760)</w:t>
            </w:r>
          </w:p>
        </w:tc>
        <w:tc>
          <w:tcPr>
            <w:tcW w:w="2415" w:type="dxa"/>
            <w:vAlign w:val="center"/>
          </w:tcPr>
          <w:p w14:paraId="38786444">
            <w:pPr>
              <w:keepNext/>
              <w:spacing w:before="20" w:after="20" w:line="240" w:lineRule="auto"/>
              <w:ind w:firstLine="0"/>
              <w:jc w:val="center"/>
            </w:pPr>
            <w:r>
              <w:rPr>
                <w:rFonts w:ascii="Times New Roman" w:hAnsi="Times New Roman" w:eastAsia="宋体"/>
                <w:b w:val="0"/>
                <w:color w:val="000000"/>
                <w:sz w:val="18"/>
              </w:rPr>
              <w:t>0.1010</w:t>
            </w:r>
            <w:r>
              <w:rPr>
                <w:rFonts w:ascii="Times New Roman" w:hAnsi="Times New Roman" w:eastAsia="宋体"/>
                <w:b w:val="0"/>
                <w:color w:val="000000"/>
                <w:sz w:val="18"/>
              </w:rPr>
              <w:br w:type="textWrapping"/>
            </w:r>
            <w:r>
              <w:rPr>
                <w:rFonts w:ascii="Times New Roman" w:hAnsi="Times New Roman" w:eastAsia="宋体"/>
                <w:b w:val="0"/>
                <w:color w:val="000000"/>
                <w:sz w:val="18"/>
              </w:rPr>
              <w:t>(0.6870)</w:t>
            </w:r>
          </w:p>
        </w:tc>
      </w:tr>
      <w:tr w14:paraId="4C869B82">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074C016C">
            <w:pPr>
              <w:keepNext/>
              <w:spacing w:before="20" w:after="20" w:line="240" w:lineRule="auto"/>
              <w:ind w:firstLine="0"/>
              <w:jc w:val="center"/>
            </w:pPr>
            <w:r>
              <w:rPr>
                <w:rFonts w:ascii="Times New Roman" w:hAnsi="Times New Roman" w:eastAsia="宋体"/>
                <w:b w:val="0"/>
                <w:color w:val="000000"/>
                <w:sz w:val="18"/>
              </w:rPr>
              <w:t>IND</w:t>
            </w:r>
          </w:p>
        </w:tc>
        <w:tc>
          <w:tcPr>
            <w:tcW w:w="2420" w:type="dxa"/>
            <w:vAlign w:val="center"/>
          </w:tcPr>
          <w:p w14:paraId="42A42B26">
            <w:pPr>
              <w:keepNext/>
              <w:spacing w:before="20" w:after="20" w:line="240" w:lineRule="auto"/>
              <w:ind w:firstLine="0"/>
              <w:jc w:val="center"/>
            </w:pPr>
            <w:r>
              <w:rPr>
                <w:rFonts w:ascii="Times New Roman" w:hAnsi="Times New Roman" w:eastAsia="宋体"/>
                <w:b w:val="0"/>
                <w:color w:val="000000"/>
                <w:sz w:val="18"/>
              </w:rPr>
              <w:t>3.7180***</w:t>
            </w:r>
            <w:r>
              <w:rPr>
                <w:rFonts w:ascii="Times New Roman" w:hAnsi="Times New Roman" w:eastAsia="宋体"/>
                <w:b w:val="0"/>
                <w:color w:val="000000"/>
                <w:sz w:val="18"/>
              </w:rPr>
              <w:br w:type="textWrapping"/>
            </w:r>
            <w:r>
              <w:rPr>
                <w:rFonts w:ascii="Times New Roman" w:hAnsi="Times New Roman" w:eastAsia="宋体"/>
                <w:b w:val="0"/>
                <w:color w:val="000000"/>
                <w:sz w:val="18"/>
              </w:rPr>
              <w:t>(0.7340)</w:t>
            </w:r>
          </w:p>
        </w:tc>
        <w:tc>
          <w:tcPr>
            <w:tcW w:w="2420" w:type="dxa"/>
            <w:vAlign w:val="center"/>
          </w:tcPr>
          <w:p w14:paraId="1CCAA737">
            <w:pPr>
              <w:keepNext/>
              <w:spacing w:before="20" w:after="20" w:line="240" w:lineRule="auto"/>
              <w:ind w:firstLine="0"/>
              <w:jc w:val="center"/>
            </w:pPr>
            <w:r>
              <w:rPr>
                <w:rFonts w:ascii="Times New Roman" w:hAnsi="Times New Roman" w:eastAsia="宋体"/>
                <w:b w:val="0"/>
                <w:color w:val="000000"/>
                <w:sz w:val="18"/>
              </w:rPr>
              <w:t>9.8740**</w:t>
            </w:r>
            <w:r>
              <w:rPr>
                <w:rFonts w:ascii="Times New Roman" w:hAnsi="Times New Roman" w:eastAsia="宋体"/>
                <w:b w:val="0"/>
                <w:color w:val="000000"/>
                <w:sz w:val="18"/>
              </w:rPr>
              <w:br w:type="textWrapping"/>
            </w:r>
            <w:r>
              <w:rPr>
                <w:rFonts w:ascii="Times New Roman" w:hAnsi="Times New Roman" w:eastAsia="宋体"/>
                <w:b w:val="0"/>
                <w:color w:val="000000"/>
                <w:sz w:val="18"/>
              </w:rPr>
              <w:t>(4.7930)</w:t>
            </w:r>
          </w:p>
        </w:tc>
        <w:tc>
          <w:tcPr>
            <w:tcW w:w="2415" w:type="dxa"/>
            <w:vAlign w:val="center"/>
          </w:tcPr>
          <w:p w14:paraId="77B693B4">
            <w:pPr>
              <w:keepNext/>
              <w:spacing w:before="20" w:after="20" w:line="240" w:lineRule="auto"/>
              <w:ind w:firstLine="0"/>
              <w:jc w:val="center"/>
            </w:pPr>
            <w:r>
              <w:rPr>
                <w:rFonts w:ascii="Times New Roman" w:hAnsi="Times New Roman" w:eastAsia="宋体"/>
                <w:b w:val="0"/>
                <w:color w:val="000000"/>
                <w:sz w:val="18"/>
              </w:rPr>
              <w:t>13.5900***</w:t>
            </w:r>
            <w:r>
              <w:rPr>
                <w:rFonts w:ascii="Times New Roman" w:hAnsi="Times New Roman" w:eastAsia="宋体"/>
                <w:b w:val="0"/>
                <w:color w:val="000000"/>
                <w:sz w:val="18"/>
              </w:rPr>
              <w:br w:type="textWrapping"/>
            </w:r>
            <w:r>
              <w:rPr>
                <w:rFonts w:ascii="Times New Roman" w:hAnsi="Times New Roman" w:eastAsia="宋体"/>
                <w:b w:val="0"/>
                <w:color w:val="000000"/>
                <w:sz w:val="18"/>
              </w:rPr>
              <w:t>(4.9980)</w:t>
            </w:r>
          </w:p>
        </w:tc>
      </w:tr>
      <w:tr w14:paraId="4D797AF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6802418E">
            <w:pPr>
              <w:keepNext/>
              <w:spacing w:before="20" w:after="20" w:line="240" w:lineRule="auto"/>
              <w:ind w:firstLine="0"/>
              <w:jc w:val="center"/>
            </w:pPr>
            <w:r>
              <w:rPr>
                <w:rFonts w:ascii="Times New Roman" w:hAnsi="Times New Roman" w:eastAsia="宋体"/>
                <w:b w:val="0"/>
                <w:color w:val="000000"/>
                <w:sz w:val="18"/>
              </w:rPr>
              <w:t>TMD</w:t>
            </w:r>
          </w:p>
        </w:tc>
        <w:tc>
          <w:tcPr>
            <w:tcW w:w="2420" w:type="dxa"/>
            <w:vAlign w:val="center"/>
          </w:tcPr>
          <w:p w14:paraId="3E1276FC">
            <w:pPr>
              <w:keepNext/>
              <w:spacing w:before="20" w:after="20" w:line="240" w:lineRule="auto"/>
              <w:ind w:firstLine="0"/>
              <w:jc w:val="center"/>
            </w:pPr>
            <w:r>
              <w:rPr>
                <w:rFonts w:ascii="Times New Roman" w:hAnsi="Times New Roman" w:eastAsia="宋体"/>
                <w:b w:val="0"/>
                <w:color w:val="000000"/>
                <w:sz w:val="18"/>
              </w:rPr>
              <w:t>-0.4830</w:t>
            </w:r>
            <w:r>
              <w:rPr>
                <w:rFonts w:ascii="Times New Roman" w:hAnsi="Times New Roman" w:eastAsia="宋体"/>
                <w:b w:val="0"/>
                <w:color w:val="000000"/>
                <w:sz w:val="18"/>
              </w:rPr>
              <w:br w:type="textWrapping"/>
            </w:r>
            <w:r>
              <w:rPr>
                <w:rFonts w:ascii="Times New Roman" w:hAnsi="Times New Roman" w:eastAsia="宋体"/>
                <w:b w:val="0"/>
                <w:color w:val="000000"/>
                <w:sz w:val="18"/>
              </w:rPr>
              <w:t>(1.4110)</w:t>
            </w:r>
          </w:p>
        </w:tc>
        <w:tc>
          <w:tcPr>
            <w:tcW w:w="2420" w:type="dxa"/>
            <w:vAlign w:val="center"/>
          </w:tcPr>
          <w:p w14:paraId="16416E62">
            <w:pPr>
              <w:keepNext/>
              <w:spacing w:before="20" w:after="20" w:line="240" w:lineRule="auto"/>
              <w:ind w:firstLine="0"/>
              <w:jc w:val="center"/>
            </w:pPr>
            <w:r>
              <w:rPr>
                <w:rFonts w:ascii="Times New Roman" w:hAnsi="Times New Roman" w:eastAsia="宋体"/>
                <w:b w:val="0"/>
                <w:color w:val="000000"/>
                <w:sz w:val="18"/>
              </w:rPr>
              <w:t>3.1850</w:t>
            </w:r>
            <w:r>
              <w:rPr>
                <w:rFonts w:ascii="Times New Roman" w:hAnsi="Times New Roman" w:eastAsia="宋体"/>
                <w:b w:val="0"/>
                <w:color w:val="000000"/>
                <w:sz w:val="18"/>
              </w:rPr>
              <w:br w:type="textWrapping"/>
            </w:r>
            <w:r>
              <w:rPr>
                <w:rFonts w:ascii="Times New Roman" w:hAnsi="Times New Roman" w:eastAsia="宋体"/>
                <w:b w:val="0"/>
                <w:color w:val="000000"/>
                <w:sz w:val="18"/>
              </w:rPr>
              <w:t>(6.1260)</w:t>
            </w:r>
          </w:p>
        </w:tc>
        <w:tc>
          <w:tcPr>
            <w:tcW w:w="2415" w:type="dxa"/>
            <w:vAlign w:val="center"/>
          </w:tcPr>
          <w:p w14:paraId="7FBCB6AD">
            <w:pPr>
              <w:keepNext/>
              <w:spacing w:before="20" w:after="20" w:line="240" w:lineRule="auto"/>
              <w:ind w:firstLine="0"/>
              <w:jc w:val="center"/>
            </w:pPr>
            <w:r>
              <w:rPr>
                <w:rFonts w:ascii="Times New Roman" w:hAnsi="Times New Roman" w:eastAsia="宋体"/>
                <w:b w:val="0"/>
                <w:color w:val="000000"/>
                <w:sz w:val="18"/>
              </w:rPr>
              <w:t>2.7020</w:t>
            </w:r>
            <w:r>
              <w:rPr>
                <w:rFonts w:ascii="Times New Roman" w:hAnsi="Times New Roman" w:eastAsia="宋体"/>
                <w:b w:val="0"/>
                <w:color w:val="000000"/>
                <w:sz w:val="18"/>
              </w:rPr>
              <w:br w:type="textWrapping"/>
            </w:r>
            <w:r>
              <w:rPr>
                <w:rFonts w:ascii="Times New Roman" w:hAnsi="Times New Roman" w:eastAsia="宋体"/>
                <w:b w:val="0"/>
                <w:color w:val="000000"/>
                <w:sz w:val="18"/>
              </w:rPr>
              <w:t>(5.9140)</w:t>
            </w:r>
          </w:p>
        </w:tc>
      </w:tr>
      <w:tr w14:paraId="497AAFD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14" w:type="dxa"/>
            <w:vAlign w:val="center"/>
          </w:tcPr>
          <w:p w14:paraId="0CB8AB9B">
            <w:pPr>
              <w:spacing w:before="20" w:after="20" w:line="240" w:lineRule="auto"/>
              <w:ind w:firstLine="0"/>
              <w:jc w:val="center"/>
            </w:pPr>
            <w:r>
              <w:rPr>
                <w:rFonts w:ascii="Times New Roman" w:hAnsi="Times New Roman" w:eastAsia="宋体"/>
                <w:b w:val="0"/>
                <w:color w:val="000000"/>
                <w:sz w:val="18"/>
              </w:rPr>
              <w:t>Open</w:t>
            </w:r>
          </w:p>
        </w:tc>
        <w:tc>
          <w:tcPr>
            <w:tcW w:w="2420" w:type="dxa"/>
            <w:vAlign w:val="center"/>
          </w:tcPr>
          <w:p w14:paraId="190612FF">
            <w:pPr>
              <w:spacing w:before="20" w:after="20" w:line="240" w:lineRule="auto"/>
              <w:ind w:firstLine="0"/>
              <w:jc w:val="center"/>
            </w:pPr>
            <w:r>
              <w:rPr>
                <w:rFonts w:ascii="Times New Roman" w:hAnsi="Times New Roman" w:eastAsia="宋体"/>
                <w:b w:val="0"/>
                <w:color w:val="000000"/>
                <w:sz w:val="18"/>
              </w:rPr>
              <w:t>0.3360</w:t>
            </w:r>
            <w:r>
              <w:rPr>
                <w:rFonts w:ascii="Times New Roman" w:hAnsi="Times New Roman" w:eastAsia="宋体"/>
                <w:b w:val="0"/>
                <w:color w:val="000000"/>
                <w:sz w:val="18"/>
              </w:rPr>
              <w:br w:type="textWrapping"/>
            </w:r>
            <w:r>
              <w:rPr>
                <w:rFonts w:ascii="Times New Roman" w:hAnsi="Times New Roman" w:eastAsia="宋体"/>
                <w:b w:val="0"/>
                <w:color w:val="000000"/>
                <w:sz w:val="18"/>
              </w:rPr>
              <w:t>(0.2790)</w:t>
            </w:r>
          </w:p>
        </w:tc>
        <w:tc>
          <w:tcPr>
            <w:tcW w:w="2420" w:type="dxa"/>
            <w:vAlign w:val="center"/>
          </w:tcPr>
          <w:p w14:paraId="1EF0567F">
            <w:pPr>
              <w:spacing w:before="20" w:after="20" w:line="240" w:lineRule="auto"/>
              <w:ind w:firstLine="0"/>
              <w:jc w:val="center"/>
            </w:pPr>
            <w:r>
              <w:rPr>
                <w:rFonts w:ascii="Times New Roman" w:hAnsi="Times New Roman" w:eastAsia="宋体"/>
                <w:b w:val="0"/>
                <w:color w:val="000000"/>
                <w:sz w:val="18"/>
              </w:rPr>
              <w:t>0.7770</w:t>
            </w:r>
            <w:r>
              <w:rPr>
                <w:rFonts w:ascii="Times New Roman" w:hAnsi="Times New Roman" w:eastAsia="宋体"/>
                <w:b w:val="0"/>
                <w:color w:val="000000"/>
                <w:sz w:val="18"/>
              </w:rPr>
              <w:br w:type="textWrapping"/>
            </w:r>
            <w:r>
              <w:rPr>
                <w:rFonts w:ascii="Times New Roman" w:hAnsi="Times New Roman" w:eastAsia="宋体"/>
                <w:b w:val="0"/>
                <w:color w:val="000000"/>
                <w:sz w:val="18"/>
              </w:rPr>
              <w:t>(1.2310)</w:t>
            </w:r>
          </w:p>
        </w:tc>
        <w:tc>
          <w:tcPr>
            <w:tcW w:w="2415" w:type="dxa"/>
            <w:vAlign w:val="center"/>
          </w:tcPr>
          <w:p w14:paraId="0C884E38">
            <w:pPr>
              <w:spacing w:before="20" w:after="20" w:line="240" w:lineRule="auto"/>
              <w:ind w:firstLine="0"/>
              <w:jc w:val="center"/>
            </w:pPr>
            <w:r>
              <w:rPr>
                <w:rFonts w:ascii="Times New Roman" w:hAnsi="Times New Roman" w:eastAsia="宋体"/>
                <w:b w:val="0"/>
                <w:color w:val="000000"/>
                <w:sz w:val="18"/>
              </w:rPr>
              <w:t>1.1130</w:t>
            </w:r>
            <w:r>
              <w:rPr>
                <w:rFonts w:ascii="Times New Roman" w:hAnsi="Times New Roman" w:eastAsia="宋体"/>
                <w:b w:val="0"/>
                <w:color w:val="000000"/>
                <w:sz w:val="18"/>
              </w:rPr>
              <w:br w:type="textWrapping"/>
            </w:r>
            <w:r>
              <w:rPr>
                <w:rFonts w:ascii="Times New Roman" w:hAnsi="Times New Roman" w:eastAsia="宋体"/>
                <w:b w:val="0"/>
                <w:color w:val="000000"/>
                <w:sz w:val="18"/>
              </w:rPr>
              <w:t>(1.2460)</w:t>
            </w:r>
          </w:p>
        </w:tc>
      </w:tr>
    </w:tbl>
    <w:p w14:paraId="3BE642B9">
      <w:pPr>
        <w:pStyle w:val="3"/>
        <w:spacing w:before="40" w:after="80" w:line="240" w:lineRule="auto"/>
        <w:ind w:firstLine="0"/>
        <w:jc w:val="both"/>
      </w:pPr>
      <w:r>
        <w:rPr>
          <w:rFonts w:hint="eastAsia" w:ascii="Times New Roman" w:hAnsi="Times New Roman" w:eastAsia="宋体"/>
          <w:color w:val="000000"/>
          <w:sz w:val="18"/>
        </w:rPr>
        <w:t>注：括号内为标准误；***、**和*分别表示在1%、5%和10%水平显著。</w:t>
      </w:r>
    </w:p>
    <w:bookmarkEnd w:id="23"/>
    <w:p w14:paraId="2D7458E8">
      <w:pPr>
        <w:pStyle w:val="5"/>
        <w:keepNext/>
        <w:keepLines/>
        <w:spacing w:before="160" w:after="80"/>
        <w:ind w:firstLine="0"/>
      </w:pPr>
      <w:bookmarkStart w:id="24" w:name="稳健性检验"/>
      <w:r>
        <w:rPr>
          <w:rFonts w:ascii="Times New Roman" w:hAnsi="Times New Roman" w:eastAsia="黑体"/>
          <w:b/>
          <w:color w:val="000000"/>
          <w:sz w:val="28"/>
        </w:rPr>
        <w:t>5.2.3 稳健性检验</w:t>
      </w:r>
    </w:p>
    <w:p w14:paraId="0675C08F">
      <w:pPr>
        <w:widowControl/>
        <w:spacing w:before="0" w:after="60" w:line="360" w:lineRule="auto"/>
        <w:ind w:left="0" w:right="0" w:firstLine="420"/>
        <w:jc w:val="both"/>
      </w:pPr>
      <w:r>
        <w:rPr>
          <w:rFonts w:hint="eastAsia" w:ascii="Times New Roman" w:hAnsi="Times New Roman" w:eastAsia="宋体"/>
          <w:color w:val="000000"/>
          <w:sz w:val="21"/>
        </w:rPr>
        <w:t>为检验基准结果是否受到特殊年份和地区样本的影响，本文首先对样本范围进行调整。一方面，2020年新冠疫情对研发活动、人员流动及创新产出形成了较强的外生扰动，因此剔除2020年样本重新估计；另一方面，海南作为岛屿省份，与大陆无陆地接壤，其在距离衰减网络中的空间联系结构具有一定特殊性，故进一步剔除海南，以排除特殊地理区位对空间估计结果的影响。此外，北京、上海、天津和重庆在行政层级、研发资源集聚和创新要素配置等方面明显区别于一般省份，因此剔除四个直辖市进行检验。表10显示，剔除2020年和海南后，R&amp;D的直接效应、间接效应和总效应均保持显著为正；剔除直辖市后，直接效应降至0.0018且不再显著，但间接效应和总效应仍在1%水平上显著为正。上述结果表明，R&amp;D的正向空间溢出并非由疫情年份、海南特殊区位或直辖市样本所驱动，但本地直接效应对直辖市样本具有一定敏感性。</w:t>
      </w:r>
    </w:p>
    <w:p w14:paraId="7CEE7461">
      <w:pPr>
        <w:widowControl/>
        <w:spacing w:before="0" w:after="60" w:line="360" w:lineRule="auto"/>
        <w:ind w:left="0" w:right="0" w:firstLine="420"/>
        <w:jc w:val="both"/>
      </w:pPr>
      <w:r>
        <w:rPr>
          <w:rFonts w:hint="eastAsia" w:ascii="Times New Roman" w:hAnsi="Times New Roman" w:eastAsia="宋体"/>
          <w:color w:val="000000"/>
          <w:sz w:val="21"/>
        </w:rPr>
        <w:t>其次，更换CNTI的测度口径。基准回归采用Y02专利申请量衡量碳中和技术创新，能够反映创新主体进入相关技术领域并形成专利申请成果的活跃程度，但专利申请并不等同于最终获得授权的技术产出。为考察研发投入的空间影响是否随创新阶段发生变化，本文进一步采用Y02发明专利授权量重新测度CNTI。结果显示，R&amp;D的直接效应为0.0023，并在5%水平上显著；间接效应为−0.0044，并在5%水平上显著；总效应为−0.0021，但未通过显著性检验。与申请口径相比，本地直接效应仍显著为正，而跨区域效应由正转负，说明R&amp;D对专利申请活跃度和发明授权产出的空间作用并不一致，基准模型所识别的正向跨省溢出主要体现于创新参与和专利申请环节。</w:t>
      </w:r>
    </w:p>
    <w:p w14:paraId="4553FDB5">
      <w:pPr>
        <w:pStyle w:val="3"/>
        <w:keepNext/>
        <w:spacing w:before="100" w:after="60"/>
        <w:ind w:firstLine="0"/>
        <w:jc w:val="center"/>
      </w:pPr>
      <w:r>
        <w:rPr>
          <w:rFonts w:hint="eastAsia" w:ascii="Times New Roman" w:hAnsi="Times New Roman" w:eastAsia="宋体"/>
          <w:b/>
          <w:bCs/>
          <w:color w:val="000000"/>
          <w:sz w:val="21"/>
        </w:rPr>
        <w:t>表10</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替代指标与样本调整下R&amp;D的空间效应</w:t>
      </w:r>
    </w:p>
    <w:tbl>
      <w:tblPr>
        <w:tblStyle w:val="11"/>
        <w:tblW w:w="5000" w:type="pct"/>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2"/>
        <w:gridCol w:w="2322"/>
        <w:gridCol w:w="2322"/>
        <w:gridCol w:w="2322"/>
      </w:tblGrid>
      <w:tr w14:paraId="502F31E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4" w:type="dxa"/>
            <w:tcBorders>
              <w:bottom w:val="single" w:color="7F8C8D" w:sz="6" w:space="0"/>
            </w:tcBorders>
            <w:shd w:val="clear" w:color="auto" w:fill="DCE6F1"/>
            <w:vAlign w:val="center"/>
          </w:tcPr>
          <w:p w14:paraId="55193468">
            <w:pPr>
              <w:keepNext/>
              <w:spacing w:before="20" w:after="20" w:line="240" w:lineRule="auto"/>
              <w:ind w:firstLine="0"/>
              <w:jc w:val="center"/>
            </w:pPr>
            <w:r>
              <w:rPr>
                <w:rFonts w:hint="eastAsia" w:ascii="Times New Roman" w:hAnsi="Times New Roman" w:eastAsia="宋体"/>
                <w:b/>
                <w:color w:val="000000"/>
                <w:sz w:val="17"/>
              </w:rPr>
              <w:t>检验设定</w:t>
            </w:r>
          </w:p>
        </w:tc>
        <w:tc>
          <w:tcPr>
            <w:tcW w:w="2080" w:type="dxa"/>
            <w:tcBorders>
              <w:bottom w:val="single" w:color="7F8C8D" w:sz="6" w:space="0"/>
            </w:tcBorders>
            <w:shd w:val="clear" w:color="auto" w:fill="DCE6F1"/>
            <w:vAlign w:val="center"/>
          </w:tcPr>
          <w:p w14:paraId="74F33665">
            <w:pPr>
              <w:keepNext/>
              <w:spacing w:before="20" w:after="20" w:line="240" w:lineRule="auto"/>
              <w:ind w:firstLine="0"/>
              <w:jc w:val="center"/>
            </w:pPr>
            <w:r>
              <w:rPr>
                <w:rFonts w:hint="eastAsia" w:ascii="Times New Roman" w:hAnsi="Times New Roman" w:eastAsia="宋体"/>
                <w:b/>
                <w:color w:val="000000"/>
                <w:sz w:val="17"/>
              </w:rPr>
              <w:t>直接效应</w:t>
            </w:r>
          </w:p>
        </w:tc>
        <w:tc>
          <w:tcPr>
            <w:tcW w:w="2080" w:type="dxa"/>
            <w:tcBorders>
              <w:bottom w:val="single" w:color="7F8C8D" w:sz="6" w:space="0"/>
            </w:tcBorders>
            <w:shd w:val="clear" w:color="auto" w:fill="DCE6F1"/>
            <w:vAlign w:val="center"/>
          </w:tcPr>
          <w:p w14:paraId="6D2578F6">
            <w:pPr>
              <w:keepNext/>
              <w:spacing w:before="20" w:after="20" w:line="240" w:lineRule="auto"/>
              <w:ind w:firstLine="0"/>
              <w:jc w:val="center"/>
            </w:pPr>
            <w:r>
              <w:rPr>
                <w:rFonts w:hint="eastAsia" w:ascii="Times New Roman" w:hAnsi="Times New Roman" w:eastAsia="宋体"/>
                <w:b/>
                <w:color w:val="000000"/>
                <w:sz w:val="17"/>
              </w:rPr>
              <w:t>间接效应</w:t>
            </w:r>
          </w:p>
        </w:tc>
        <w:tc>
          <w:tcPr>
            <w:tcW w:w="2074" w:type="dxa"/>
            <w:tcBorders>
              <w:bottom w:val="single" w:color="7F8C8D" w:sz="6" w:space="0"/>
            </w:tcBorders>
            <w:shd w:val="clear" w:color="auto" w:fill="DCE6F1"/>
            <w:vAlign w:val="center"/>
          </w:tcPr>
          <w:p w14:paraId="5007BA2D">
            <w:pPr>
              <w:keepNext/>
              <w:spacing w:before="20" w:after="20" w:line="240" w:lineRule="auto"/>
              <w:ind w:firstLine="0"/>
              <w:jc w:val="center"/>
            </w:pPr>
            <w:r>
              <w:rPr>
                <w:rFonts w:hint="eastAsia" w:ascii="Times New Roman" w:hAnsi="Times New Roman" w:eastAsia="宋体"/>
                <w:b/>
                <w:color w:val="000000"/>
                <w:sz w:val="17"/>
              </w:rPr>
              <w:t>总效应</w:t>
            </w:r>
          </w:p>
        </w:tc>
      </w:tr>
      <w:tr w14:paraId="5D4A31BF">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50910D0F">
            <w:pPr>
              <w:keepNext/>
              <w:spacing w:before="20" w:after="20" w:line="240" w:lineRule="auto"/>
              <w:ind w:firstLine="0"/>
              <w:jc w:val="center"/>
            </w:pPr>
            <w:r>
              <w:rPr>
                <w:rFonts w:hint="eastAsia" w:ascii="Times New Roman" w:hAnsi="Times New Roman" w:eastAsia="宋体"/>
                <w:b w:val="0"/>
                <w:color w:val="000000"/>
                <w:sz w:val="17"/>
              </w:rPr>
              <w:t>基准CNTI</w:t>
            </w:r>
          </w:p>
        </w:tc>
        <w:tc>
          <w:tcPr>
            <w:tcW w:w="2080" w:type="dxa"/>
            <w:vAlign w:val="center"/>
          </w:tcPr>
          <w:p w14:paraId="77088C26">
            <w:pPr>
              <w:keepNext/>
              <w:spacing w:before="20" w:after="20" w:line="240" w:lineRule="auto"/>
              <w:ind w:firstLine="0"/>
              <w:jc w:val="center"/>
            </w:pPr>
            <w:r>
              <w:rPr>
                <w:rFonts w:ascii="Times New Roman" w:hAnsi="Times New Roman" w:eastAsia="宋体"/>
                <w:b w:val="0"/>
                <w:color w:val="000000"/>
                <w:sz w:val="17"/>
              </w:rPr>
              <w:t>0.0021**</w:t>
            </w:r>
            <w:r>
              <w:rPr>
                <w:rFonts w:ascii="Times New Roman" w:hAnsi="Times New Roman" w:eastAsia="宋体"/>
                <w:b w:val="0"/>
                <w:color w:val="000000"/>
                <w:sz w:val="17"/>
              </w:rPr>
              <w:br w:type="textWrapping"/>
            </w:r>
            <w:r>
              <w:rPr>
                <w:rFonts w:ascii="Times New Roman" w:hAnsi="Times New Roman" w:eastAsia="宋体"/>
                <w:b w:val="0"/>
                <w:color w:val="000000"/>
                <w:sz w:val="17"/>
              </w:rPr>
              <w:t>(0.0009)</w:t>
            </w:r>
          </w:p>
        </w:tc>
        <w:tc>
          <w:tcPr>
            <w:tcW w:w="2080" w:type="dxa"/>
            <w:vAlign w:val="center"/>
          </w:tcPr>
          <w:p w14:paraId="3AB07C9C">
            <w:pPr>
              <w:keepNext/>
              <w:spacing w:before="20" w:after="20" w:line="240" w:lineRule="auto"/>
              <w:ind w:firstLine="0"/>
              <w:jc w:val="center"/>
            </w:pPr>
            <w:r>
              <w:rPr>
                <w:rFonts w:ascii="Times New Roman" w:hAnsi="Times New Roman" w:eastAsia="宋体"/>
                <w:b w:val="0"/>
                <w:color w:val="000000"/>
                <w:sz w:val="17"/>
              </w:rPr>
              <w:t>0.0136***</w:t>
            </w:r>
            <w:r>
              <w:rPr>
                <w:rFonts w:ascii="Times New Roman" w:hAnsi="Times New Roman" w:eastAsia="宋体"/>
                <w:b w:val="0"/>
                <w:color w:val="000000"/>
                <w:sz w:val="17"/>
              </w:rPr>
              <w:br w:type="textWrapping"/>
            </w:r>
            <w:r>
              <w:rPr>
                <w:rFonts w:ascii="Times New Roman" w:hAnsi="Times New Roman" w:eastAsia="宋体"/>
                <w:b w:val="0"/>
                <w:color w:val="000000"/>
                <w:sz w:val="17"/>
              </w:rPr>
              <w:t>(0.0045)</w:t>
            </w:r>
          </w:p>
        </w:tc>
        <w:tc>
          <w:tcPr>
            <w:tcW w:w="2074" w:type="dxa"/>
            <w:vAlign w:val="center"/>
          </w:tcPr>
          <w:p w14:paraId="794F10F7">
            <w:pPr>
              <w:keepNext/>
              <w:spacing w:before="20" w:after="20" w:line="240" w:lineRule="auto"/>
              <w:ind w:firstLine="0"/>
              <w:jc w:val="center"/>
            </w:pPr>
            <w:r>
              <w:rPr>
                <w:rFonts w:ascii="Times New Roman" w:hAnsi="Times New Roman" w:eastAsia="宋体"/>
                <w:b w:val="0"/>
                <w:color w:val="000000"/>
                <w:sz w:val="17"/>
              </w:rPr>
              <w:t>0.0157***</w:t>
            </w:r>
            <w:r>
              <w:rPr>
                <w:rFonts w:ascii="Times New Roman" w:hAnsi="Times New Roman" w:eastAsia="宋体"/>
                <w:b w:val="0"/>
                <w:color w:val="000000"/>
                <w:sz w:val="17"/>
              </w:rPr>
              <w:br w:type="textWrapping"/>
            </w:r>
            <w:r>
              <w:rPr>
                <w:rFonts w:ascii="Times New Roman" w:hAnsi="Times New Roman" w:eastAsia="宋体"/>
                <w:b w:val="0"/>
                <w:color w:val="000000"/>
                <w:sz w:val="17"/>
              </w:rPr>
              <w:t>(0.0045)</w:t>
            </w:r>
          </w:p>
        </w:tc>
      </w:tr>
      <w:tr w14:paraId="728B36A4">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33185978">
            <w:pPr>
              <w:keepNext/>
              <w:spacing w:before="20" w:after="20" w:line="240" w:lineRule="auto"/>
              <w:ind w:firstLine="0"/>
              <w:jc w:val="center"/>
            </w:pPr>
            <w:r>
              <w:rPr>
                <w:rFonts w:hint="eastAsia" w:ascii="Times New Roman" w:hAnsi="Times New Roman" w:eastAsia="宋体"/>
                <w:b w:val="0"/>
                <w:color w:val="000000"/>
                <w:sz w:val="17"/>
              </w:rPr>
              <w:t>发明专利授权（GLIPL）</w:t>
            </w:r>
          </w:p>
        </w:tc>
        <w:tc>
          <w:tcPr>
            <w:tcW w:w="2080" w:type="dxa"/>
            <w:vAlign w:val="center"/>
          </w:tcPr>
          <w:p w14:paraId="35B58F4A">
            <w:pPr>
              <w:keepNext/>
              <w:spacing w:before="20" w:after="20" w:line="240" w:lineRule="auto"/>
              <w:ind w:firstLine="0"/>
              <w:jc w:val="center"/>
            </w:pPr>
            <w:r>
              <w:rPr>
                <w:rFonts w:ascii="Times New Roman" w:hAnsi="Times New Roman" w:eastAsia="宋体"/>
                <w:b w:val="0"/>
                <w:color w:val="000000"/>
                <w:sz w:val="17"/>
              </w:rPr>
              <w:t>0.0023**</w:t>
            </w:r>
            <w:r>
              <w:rPr>
                <w:rFonts w:ascii="Times New Roman" w:hAnsi="Times New Roman" w:eastAsia="宋体"/>
                <w:b w:val="0"/>
                <w:color w:val="000000"/>
                <w:sz w:val="17"/>
              </w:rPr>
              <w:br w:type="textWrapping"/>
            </w:r>
            <w:r>
              <w:rPr>
                <w:rFonts w:ascii="Times New Roman" w:hAnsi="Times New Roman" w:eastAsia="宋体"/>
                <w:b w:val="0"/>
                <w:color w:val="000000"/>
                <w:sz w:val="17"/>
              </w:rPr>
              <w:t>(0.0010)</w:t>
            </w:r>
          </w:p>
        </w:tc>
        <w:tc>
          <w:tcPr>
            <w:tcW w:w="2080" w:type="dxa"/>
            <w:vAlign w:val="center"/>
          </w:tcPr>
          <w:p w14:paraId="01C3B1BD">
            <w:pPr>
              <w:keepNext/>
              <w:spacing w:before="20" w:after="20" w:line="240" w:lineRule="auto"/>
              <w:ind w:firstLine="0"/>
              <w:jc w:val="center"/>
            </w:pPr>
            <w:r>
              <w:rPr>
                <w:rFonts w:ascii="Times New Roman" w:hAnsi="Times New Roman" w:eastAsia="宋体"/>
                <w:b w:val="0"/>
                <w:color w:val="000000"/>
                <w:sz w:val="17"/>
              </w:rPr>
              <w:t>-0.0044**</w:t>
            </w:r>
            <w:r>
              <w:rPr>
                <w:rFonts w:ascii="Times New Roman" w:hAnsi="Times New Roman" w:eastAsia="宋体"/>
                <w:b w:val="0"/>
                <w:color w:val="000000"/>
                <w:sz w:val="17"/>
              </w:rPr>
              <w:br w:type="textWrapping"/>
            </w:r>
            <w:r>
              <w:rPr>
                <w:rFonts w:ascii="Times New Roman" w:hAnsi="Times New Roman" w:eastAsia="宋体"/>
                <w:b w:val="0"/>
                <w:color w:val="000000"/>
                <w:sz w:val="17"/>
              </w:rPr>
              <w:t>(0.0022)</w:t>
            </w:r>
          </w:p>
        </w:tc>
        <w:tc>
          <w:tcPr>
            <w:tcW w:w="2074" w:type="dxa"/>
            <w:vAlign w:val="center"/>
          </w:tcPr>
          <w:p w14:paraId="0C2FA343">
            <w:pPr>
              <w:keepNext/>
              <w:spacing w:before="20" w:after="20" w:line="240" w:lineRule="auto"/>
              <w:ind w:firstLine="0"/>
              <w:jc w:val="center"/>
            </w:pPr>
            <w:r>
              <w:rPr>
                <w:rFonts w:ascii="Times New Roman" w:hAnsi="Times New Roman" w:eastAsia="宋体"/>
                <w:b w:val="0"/>
                <w:color w:val="000000"/>
                <w:sz w:val="17"/>
              </w:rPr>
              <w:t>-0.0021</w:t>
            </w:r>
            <w:r>
              <w:rPr>
                <w:rFonts w:ascii="Times New Roman" w:hAnsi="Times New Roman" w:eastAsia="宋体"/>
                <w:b w:val="0"/>
                <w:color w:val="000000"/>
                <w:sz w:val="17"/>
              </w:rPr>
              <w:br w:type="textWrapping"/>
            </w:r>
            <w:r>
              <w:rPr>
                <w:rFonts w:ascii="Times New Roman" w:hAnsi="Times New Roman" w:eastAsia="宋体"/>
                <w:b w:val="0"/>
                <w:color w:val="000000"/>
                <w:sz w:val="17"/>
              </w:rPr>
              <w:t>(0.0026)</w:t>
            </w:r>
          </w:p>
        </w:tc>
      </w:tr>
      <w:tr w14:paraId="2148E24E">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089679EA">
            <w:pPr>
              <w:keepNext/>
              <w:spacing w:before="20" w:after="20" w:line="240" w:lineRule="auto"/>
              <w:ind w:firstLine="0"/>
              <w:jc w:val="center"/>
            </w:pPr>
            <w:r>
              <w:rPr>
                <w:rFonts w:hint="eastAsia" w:ascii="Times New Roman" w:hAnsi="Times New Roman" w:eastAsia="宋体"/>
                <w:b w:val="0"/>
                <w:color w:val="000000"/>
                <w:sz w:val="17"/>
              </w:rPr>
              <w:t>删除2020年</w:t>
            </w:r>
          </w:p>
        </w:tc>
        <w:tc>
          <w:tcPr>
            <w:tcW w:w="2080" w:type="dxa"/>
            <w:vAlign w:val="center"/>
          </w:tcPr>
          <w:p w14:paraId="6FDEEB5E">
            <w:pPr>
              <w:keepNext/>
              <w:spacing w:before="20" w:after="20" w:line="240" w:lineRule="auto"/>
              <w:ind w:firstLine="0"/>
              <w:jc w:val="center"/>
            </w:pPr>
            <w:r>
              <w:rPr>
                <w:rFonts w:ascii="Times New Roman" w:hAnsi="Times New Roman" w:eastAsia="宋体"/>
                <w:b w:val="0"/>
                <w:color w:val="000000"/>
                <w:sz w:val="17"/>
              </w:rPr>
              <w:t>0.0024**</w:t>
            </w:r>
            <w:r>
              <w:rPr>
                <w:rFonts w:ascii="Times New Roman" w:hAnsi="Times New Roman" w:eastAsia="宋体"/>
                <w:b w:val="0"/>
                <w:color w:val="000000"/>
                <w:sz w:val="17"/>
              </w:rPr>
              <w:br w:type="textWrapping"/>
            </w:r>
            <w:r>
              <w:rPr>
                <w:rFonts w:ascii="Times New Roman" w:hAnsi="Times New Roman" w:eastAsia="宋体"/>
                <w:b w:val="0"/>
                <w:color w:val="000000"/>
                <w:sz w:val="17"/>
              </w:rPr>
              <w:t>(0.0011)</w:t>
            </w:r>
          </w:p>
        </w:tc>
        <w:tc>
          <w:tcPr>
            <w:tcW w:w="2080" w:type="dxa"/>
            <w:vAlign w:val="center"/>
          </w:tcPr>
          <w:p w14:paraId="3C41F48A">
            <w:pPr>
              <w:keepNext/>
              <w:spacing w:before="20" w:after="20" w:line="240" w:lineRule="auto"/>
              <w:ind w:firstLine="0"/>
              <w:jc w:val="center"/>
            </w:pPr>
            <w:r>
              <w:rPr>
                <w:rFonts w:ascii="Times New Roman" w:hAnsi="Times New Roman" w:eastAsia="宋体"/>
                <w:b w:val="0"/>
                <w:color w:val="000000"/>
                <w:sz w:val="17"/>
              </w:rPr>
              <w:t>0.0044**</w:t>
            </w:r>
            <w:r>
              <w:rPr>
                <w:rFonts w:ascii="Times New Roman" w:hAnsi="Times New Roman" w:eastAsia="宋体"/>
                <w:b w:val="0"/>
                <w:color w:val="000000"/>
                <w:sz w:val="17"/>
              </w:rPr>
              <w:br w:type="textWrapping"/>
            </w:r>
            <w:r>
              <w:rPr>
                <w:rFonts w:ascii="Times New Roman" w:hAnsi="Times New Roman" w:eastAsia="宋体"/>
                <w:b w:val="0"/>
                <w:color w:val="000000"/>
                <w:sz w:val="17"/>
              </w:rPr>
              <w:t>(0.0019)</w:t>
            </w:r>
          </w:p>
        </w:tc>
        <w:tc>
          <w:tcPr>
            <w:tcW w:w="2074" w:type="dxa"/>
            <w:vAlign w:val="center"/>
          </w:tcPr>
          <w:p w14:paraId="2BCCDD16">
            <w:pPr>
              <w:keepNext/>
              <w:spacing w:before="20" w:after="20" w:line="240" w:lineRule="auto"/>
              <w:ind w:firstLine="0"/>
              <w:jc w:val="center"/>
            </w:pPr>
            <w:r>
              <w:rPr>
                <w:rFonts w:ascii="Times New Roman" w:hAnsi="Times New Roman" w:eastAsia="宋体"/>
                <w:b w:val="0"/>
                <w:color w:val="000000"/>
                <w:sz w:val="17"/>
              </w:rPr>
              <w:t>0.0068***</w:t>
            </w:r>
            <w:r>
              <w:rPr>
                <w:rFonts w:ascii="Times New Roman" w:hAnsi="Times New Roman" w:eastAsia="宋体"/>
                <w:b w:val="0"/>
                <w:color w:val="000000"/>
                <w:sz w:val="17"/>
              </w:rPr>
              <w:br w:type="textWrapping"/>
            </w:r>
            <w:r>
              <w:rPr>
                <w:rFonts w:ascii="Times New Roman" w:hAnsi="Times New Roman" w:eastAsia="宋体"/>
                <w:b w:val="0"/>
                <w:color w:val="000000"/>
                <w:sz w:val="17"/>
              </w:rPr>
              <w:t>(0.0019)</w:t>
            </w:r>
          </w:p>
        </w:tc>
      </w:tr>
      <w:tr w14:paraId="1EE1025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7B2D2F3E">
            <w:pPr>
              <w:keepNext/>
              <w:spacing w:before="20" w:after="20" w:line="240" w:lineRule="auto"/>
              <w:ind w:firstLine="0"/>
              <w:jc w:val="center"/>
            </w:pPr>
            <w:r>
              <w:rPr>
                <w:rFonts w:hint="eastAsia" w:ascii="Times New Roman" w:hAnsi="Times New Roman" w:eastAsia="宋体"/>
                <w:b w:val="0"/>
                <w:color w:val="000000"/>
                <w:sz w:val="17"/>
              </w:rPr>
              <w:t>删除2014年</w:t>
            </w:r>
          </w:p>
        </w:tc>
        <w:tc>
          <w:tcPr>
            <w:tcW w:w="2080" w:type="dxa"/>
            <w:vAlign w:val="center"/>
          </w:tcPr>
          <w:p w14:paraId="5D36D8B1">
            <w:pPr>
              <w:keepNext/>
              <w:spacing w:before="20" w:after="20" w:line="240" w:lineRule="auto"/>
              <w:ind w:firstLine="0"/>
              <w:jc w:val="center"/>
            </w:pPr>
            <w:r>
              <w:rPr>
                <w:rFonts w:ascii="Times New Roman" w:hAnsi="Times New Roman" w:eastAsia="宋体"/>
                <w:b w:val="0"/>
                <w:color w:val="000000"/>
                <w:sz w:val="17"/>
              </w:rPr>
              <w:t>0.0021**</w:t>
            </w:r>
            <w:r>
              <w:rPr>
                <w:rFonts w:ascii="Times New Roman" w:hAnsi="Times New Roman" w:eastAsia="宋体"/>
                <w:b w:val="0"/>
                <w:color w:val="000000"/>
                <w:sz w:val="17"/>
              </w:rPr>
              <w:br w:type="textWrapping"/>
            </w:r>
            <w:r>
              <w:rPr>
                <w:rFonts w:ascii="Times New Roman" w:hAnsi="Times New Roman" w:eastAsia="宋体"/>
                <w:b w:val="0"/>
                <w:color w:val="000000"/>
                <w:sz w:val="17"/>
              </w:rPr>
              <w:t>(0.0010)</w:t>
            </w:r>
          </w:p>
        </w:tc>
        <w:tc>
          <w:tcPr>
            <w:tcW w:w="2080" w:type="dxa"/>
            <w:vAlign w:val="center"/>
          </w:tcPr>
          <w:p w14:paraId="2E63B73C">
            <w:pPr>
              <w:keepNext/>
              <w:spacing w:before="20" w:after="20" w:line="240" w:lineRule="auto"/>
              <w:ind w:firstLine="0"/>
              <w:jc w:val="center"/>
            </w:pPr>
            <w:r>
              <w:rPr>
                <w:rFonts w:ascii="Times New Roman" w:hAnsi="Times New Roman" w:eastAsia="宋体"/>
                <w:b w:val="0"/>
                <w:color w:val="000000"/>
                <w:sz w:val="17"/>
              </w:rPr>
              <w:t>0.0044**</w:t>
            </w:r>
            <w:r>
              <w:rPr>
                <w:rFonts w:ascii="Times New Roman" w:hAnsi="Times New Roman" w:eastAsia="宋体"/>
                <w:b w:val="0"/>
                <w:color w:val="000000"/>
                <w:sz w:val="17"/>
              </w:rPr>
              <w:br w:type="textWrapping"/>
            </w:r>
            <w:r>
              <w:rPr>
                <w:rFonts w:ascii="Times New Roman" w:hAnsi="Times New Roman" w:eastAsia="宋体"/>
                <w:b w:val="0"/>
                <w:color w:val="000000"/>
                <w:sz w:val="17"/>
              </w:rPr>
              <w:t>(0.0018)</w:t>
            </w:r>
          </w:p>
        </w:tc>
        <w:tc>
          <w:tcPr>
            <w:tcW w:w="2074" w:type="dxa"/>
            <w:vAlign w:val="center"/>
          </w:tcPr>
          <w:p w14:paraId="6FDC0804">
            <w:pPr>
              <w:keepNext/>
              <w:spacing w:before="20" w:after="20" w:line="240" w:lineRule="auto"/>
              <w:ind w:firstLine="0"/>
              <w:jc w:val="center"/>
            </w:pPr>
            <w:r>
              <w:rPr>
                <w:rFonts w:ascii="Times New Roman" w:hAnsi="Times New Roman" w:eastAsia="宋体"/>
                <w:b w:val="0"/>
                <w:color w:val="000000"/>
                <w:sz w:val="17"/>
              </w:rPr>
              <w:t>0.0065***</w:t>
            </w:r>
            <w:r>
              <w:rPr>
                <w:rFonts w:ascii="Times New Roman" w:hAnsi="Times New Roman" w:eastAsia="宋体"/>
                <w:b w:val="0"/>
                <w:color w:val="000000"/>
                <w:sz w:val="17"/>
              </w:rPr>
              <w:br w:type="textWrapping"/>
            </w:r>
            <w:r>
              <w:rPr>
                <w:rFonts w:ascii="Times New Roman" w:hAnsi="Times New Roman" w:eastAsia="宋体"/>
                <w:b w:val="0"/>
                <w:color w:val="000000"/>
                <w:sz w:val="17"/>
              </w:rPr>
              <w:t>(0.0019)</w:t>
            </w:r>
          </w:p>
        </w:tc>
      </w:tr>
      <w:tr w14:paraId="1289208C">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1DD4E1EA">
            <w:pPr>
              <w:keepNext/>
              <w:spacing w:before="20" w:after="20" w:line="240" w:lineRule="auto"/>
              <w:ind w:firstLine="0"/>
              <w:jc w:val="center"/>
            </w:pPr>
            <w:r>
              <w:rPr>
                <w:rFonts w:hint="eastAsia" w:ascii="Times New Roman" w:hAnsi="Times New Roman" w:eastAsia="宋体"/>
                <w:b w:val="0"/>
                <w:color w:val="000000"/>
                <w:sz w:val="17"/>
              </w:rPr>
              <w:t>删除海南</w:t>
            </w:r>
          </w:p>
        </w:tc>
        <w:tc>
          <w:tcPr>
            <w:tcW w:w="2080" w:type="dxa"/>
            <w:vAlign w:val="center"/>
          </w:tcPr>
          <w:p w14:paraId="2D058516">
            <w:pPr>
              <w:keepNext/>
              <w:spacing w:before="20" w:after="20" w:line="240" w:lineRule="auto"/>
              <w:ind w:firstLine="0"/>
              <w:jc w:val="center"/>
            </w:pPr>
            <w:r>
              <w:rPr>
                <w:rFonts w:ascii="Times New Roman" w:hAnsi="Times New Roman" w:eastAsia="宋体"/>
                <w:b w:val="0"/>
                <w:color w:val="000000"/>
                <w:sz w:val="17"/>
              </w:rPr>
              <w:t>0.0036***</w:t>
            </w:r>
            <w:r>
              <w:rPr>
                <w:rFonts w:ascii="Times New Roman" w:hAnsi="Times New Roman" w:eastAsia="宋体"/>
                <w:b w:val="0"/>
                <w:color w:val="000000"/>
                <w:sz w:val="17"/>
              </w:rPr>
              <w:br w:type="textWrapping"/>
            </w:r>
            <w:r>
              <w:rPr>
                <w:rFonts w:ascii="Times New Roman" w:hAnsi="Times New Roman" w:eastAsia="宋体"/>
                <w:b w:val="0"/>
                <w:color w:val="000000"/>
                <w:sz w:val="17"/>
              </w:rPr>
              <w:t>(0.0009)</w:t>
            </w:r>
          </w:p>
        </w:tc>
        <w:tc>
          <w:tcPr>
            <w:tcW w:w="2080" w:type="dxa"/>
            <w:vAlign w:val="center"/>
          </w:tcPr>
          <w:p w14:paraId="137E9887">
            <w:pPr>
              <w:keepNext/>
              <w:spacing w:before="20" w:after="20" w:line="240" w:lineRule="auto"/>
              <w:ind w:firstLine="0"/>
              <w:jc w:val="center"/>
            </w:pPr>
            <w:r>
              <w:rPr>
                <w:rFonts w:ascii="Times New Roman" w:hAnsi="Times New Roman" w:eastAsia="宋体"/>
                <w:b w:val="0"/>
                <w:color w:val="000000"/>
                <w:sz w:val="17"/>
              </w:rPr>
              <w:t>0.0101**</w:t>
            </w:r>
            <w:r>
              <w:rPr>
                <w:rFonts w:ascii="Times New Roman" w:hAnsi="Times New Roman" w:eastAsia="宋体"/>
                <w:b w:val="0"/>
                <w:color w:val="000000"/>
                <w:sz w:val="17"/>
              </w:rPr>
              <w:br w:type="textWrapping"/>
            </w:r>
            <w:r>
              <w:rPr>
                <w:rFonts w:ascii="Times New Roman" w:hAnsi="Times New Roman" w:eastAsia="宋体"/>
                <w:b w:val="0"/>
                <w:color w:val="000000"/>
                <w:sz w:val="17"/>
              </w:rPr>
              <w:t>(0.0042)</w:t>
            </w:r>
          </w:p>
        </w:tc>
        <w:tc>
          <w:tcPr>
            <w:tcW w:w="2074" w:type="dxa"/>
            <w:vAlign w:val="center"/>
          </w:tcPr>
          <w:p w14:paraId="0E624D85">
            <w:pPr>
              <w:keepNext/>
              <w:spacing w:before="20" w:after="20" w:line="240" w:lineRule="auto"/>
              <w:ind w:firstLine="0"/>
              <w:jc w:val="center"/>
            </w:pPr>
            <w:r>
              <w:rPr>
                <w:rFonts w:ascii="Times New Roman" w:hAnsi="Times New Roman" w:eastAsia="宋体"/>
                <w:b w:val="0"/>
                <w:color w:val="000000"/>
                <w:sz w:val="17"/>
              </w:rPr>
              <w:t>0.0137***</w:t>
            </w:r>
            <w:r>
              <w:rPr>
                <w:rFonts w:ascii="Times New Roman" w:hAnsi="Times New Roman" w:eastAsia="宋体"/>
                <w:b w:val="0"/>
                <w:color w:val="000000"/>
                <w:sz w:val="17"/>
              </w:rPr>
              <w:br w:type="textWrapping"/>
            </w:r>
            <w:r>
              <w:rPr>
                <w:rFonts w:ascii="Times New Roman" w:hAnsi="Times New Roman" w:eastAsia="宋体"/>
                <w:b w:val="0"/>
                <w:color w:val="000000"/>
                <w:sz w:val="17"/>
              </w:rPr>
              <w:t>(0.0043)</w:t>
            </w:r>
          </w:p>
        </w:tc>
      </w:tr>
      <w:tr w14:paraId="36D943AA">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12A1EA2C">
            <w:pPr>
              <w:spacing w:before="20" w:after="20" w:line="240" w:lineRule="auto"/>
              <w:ind w:firstLine="0"/>
              <w:jc w:val="center"/>
            </w:pPr>
            <w:r>
              <w:rPr>
                <w:rFonts w:hint="eastAsia" w:ascii="Times New Roman" w:hAnsi="Times New Roman" w:eastAsia="宋体"/>
                <w:b w:val="0"/>
                <w:color w:val="000000"/>
                <w:sz w:val="17"/>
              </w:rPr>
              <w:t>删除直辖市</w:t>
            </w:r>
          </w:p>
        </w:tc>
        <w:tc>
          <w:tcPr>
            <w:tcW w:w="2080" w:type="dxa"/>
            <w:vAlign w:val="center"/>
          </w:tcPr>
          <w:p w14:paraId="0087E186">
            <w:pPr>
              <w:spacing w:before="20" w:after="20" w:line="240" w:lineRule="auto"/>
              <w:ind w:firstLine="0"/>
              <w:jc w:val="center"/>
            </w:pPr>
            <w:r>
              <w:rPr>
                <w:rFonts w:ascii="Times New Roman" w:hAnsi="Times New Roman" w:eastAsia="宋体"/>
                <w:b w:val="0"/>
                <w:color w:val="000000"/>
                <w:sz w:val="17"/>
              </w:rPr>
              <w:t>0.0018</w:t>
            </w:r>
            <w:r>
              <w:rPr>
                <w:rFonts w:ascii="Times New Roman" w:hAnsi="Times New Roman" w:eastAsia="宋体"/>
                <w:b w:val="0"/>
                <w:color w:val="000000"/>
                <w:sz w:val="17"/>
              </w:rPr>
              <w:br w:type="textWrapping"/>
            </w:r>
            <w:r>
              <w:rPr>
                <w:rFonts w:ascii="Times New Roman" w:hAnsi="Times New Roman" w:eastAsia="宋体"/>
                <w:b w:val="0"/>
                <w:color w:val="000000"/>
                <w:sz w:val="17"/>
              </w:rPr>
              <w:t>(0.0013)</w:t>
            </w:r>
          </w:p>
        </w:tc>
        <w:tc>
          <w:tcPr>
            <w:tcW w:w="2080" w:type="dxa"/>
            <w:vAlign w:val="center"/>
          </w:tcPr>
          <w:p w14:paraId="5FDDA1C8">
            <w:pPr>
              <w:spacing w:before="20" w:after="20" w:line="240" w:lineRule="auto"/>
              <w:ind w:firstLine="0"/>
              <w:jc w:val="center"/>
            </w:pPr>
            <w:r>
              <w:rPr>
                <w:rFonts w:ascii="Times New Roman" w:hAnsi="Times New Roman" w:eastAsia="宋体"/>
                <w:b w:val="0"/>
                <w:color w:val="000000"/>
                <w:sz w:val="17"/>
              </w:rPr>
              <w:t>0.0129***</w:t>
            </w:r>
            <w:r>
              <w:rPr>
                <w:rFonts w:ascii="Times New Roman" w:hAnsi="Times New Roman" w:eastAsia="宋体"/>
                <w:b w:val="0"/>
                <w:color w:val="000000"/>
                <w:sz w:val="17"/>
              </w:rPr>
              <w:br w:type="textWrapping"/>
            </w:r>
            <w:r>
              <w:rPr>
                <w:rFonts w:ascii="Times New Roman" w:hAnsi="Times New Roman" w:eastAsia="宋体"/>
                <w:b w:val="0"/>
                <w:color w:val="000000"/>
                <w:sz w:val="17"/>
              </w:rPr>
              <w:t>(0.0047)</w:t>
            </w:r>
          </w:p>
        </w:tc>
        <w:tc>
          <w:tcPr>
            <w:tcW w:w="2074" w:type="dxa"/>
            <w:vAlign w:val="center"/>
          </w:tcPr>
          <w:p w14:paraId="62B164F2">
            <w:pPr>
              <w:spacing w:before="20" w:after="20" w:line="240" w:lineRule="auto"/>
              <w:ind w:firstLine="0"/>
              <w:jc w:val="center"/>
            </w:pPr>
            <w:r>
              <w:rPr>
                <w:rFonts w:ascii="Times New Roman" w:hAnsi="Times New Roman" w:eastAsia="宋体"/>
                <w:b w:val="0"/>
                <w:color w:val="000000"/>
                <w:sz w:val="17"/>
              </w:rPr>
              <w:t>0.0147***</w:t>
            </w:r>
            <w:r>
              <w:rPr>
                <w:rFonts w:ascii="Times New Roman" w:hAnsi="Times New Roman" w:eastAsia="宋体"/>
                <w:b w:val="0"/>
                <w:color w:val="000000"/>
                <w:sz w:val="17"/>
              </w:rPr>
              <w:br w:type="textWrapping"/>
            </w:r>
            <w:r>
              <w:rPr>
                <w:rFonts w:ascii="Times New Roman" w:hAnsi="Times New Roman" w:eastAsia="宋体"/>
                <w:b w:val="0"/>
                <w:color w:val="000000"/>
                <w:sz w:val="17"/>
              </w:rPr>
              <w:t>(0.0047)</w:t>
            </w:r>
          </w:p>
        </w:tc>
      </w:tr>
    </w:tbl>
    <w:p w14:paraId="063EB56F">
      <w:pPr>
        <w:pStyle w:val="3"/>
        <w:spacing w:before="40" w:after="80" w:line="240" w:lineRule="auto"/>
        <w:ind w:firstLine="0"/>
        <w:jc w:val="both"/>
      </w:pPr>
      <w:r>
        <w:rPr>
          <w:rFonts w:hint="eastAsia" w:ascii="Times New Roman" w:hAnsi="Times New Roman" w:eastAsia="宋体"/>
          <w:color w:val="000000"/>
          <w:sz w:val="18"/>
        </w:rPr>
        <w:t>注：各模型使用相同控制变量和双向固定效应；括号内为标准误；***、**和*分别表示在1%、5%和10%水平显著。</w:t>
      </w:r>
    </w:p>
    <w:p w14:paraId="135759FC">
      <w:pPr>
        <w:widowControl/>
        <w:spacing w:before="0" w:after="60" w:line="360" w:lineRule="auto"/>
        <w:ind w:left="0" w:right="0" w:firstLine="420"/>
        <w:jc w:val="both"/>
      </w:pPr>
      <w:r>
        <w:rPr>
          <w:rFonts w:hint="eastAsia" w:ascii="Times New Roman" w:hAnsi="Times New Roman" w:eastAsia="宋体"/>
          <w:color w:val="000000"/>
          <w:sz w:val="21"/>
        </w:rPr>
        <w:t>最后，检验估计结果对空间联系定义的敏感性。基准模型采用地理距离衰减矩阵，但省际知识扩散并不必然仅由物理距离决定，经济联系和创新基础的接近程度同样可能影响区域间知识流动。为此，本文依次采用地理距离平方倒数矩阵、经济—地理嵌套矩阵和创新—地理嵌套矩阵重新估计。其中，距离平方倒数矩阵用于检验结果对地理距离衰减速度的敏感性，经济—地理矩阵进一步纳入地区经济接近程度，创新—地理矩阵则同时考虑地区创新基础与地理联系。表11显示，在三种替代矩阵下，R&amp;D的直接效应为0.0028—0.0029，间接效应为0.0047—0.0093，总效应为0.0074—0.0121，且均至少在5%水平上显著为正。由此表明，R&amp;D的正向本地效应和空间溢出不依赖于单一空间权重设定，但间接效应的量级随空间网络定义而变化。</w:t>
      </w:r>
    </w:p>
    <w:p w14:paraId="185781F7">
      <w:pPr>
        <w:pStyle w:val="3"/>
        <w:keepNext/>
        <w:spacing w:before="100" w:after="60"/>
        <w:ind w:firstLine="0"/>
        <w:jc w:val="center"/>
      </w:pPr>
      <w:r>
        <w:rPr>
          <w:rFonts w:hint="eastAsia" w:ascii="Times New Roman" w:hAnsi="Times New Roman" w:eastAsia="宋体"/>
          <w:b/>
          <w:bCs/>
          <w:color w:val="000000"/>
          <w:sz w:val="21"/>
        </w:rPr>
        <w:t>表11</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替代空间权重矩阵下R&amp;D的空间效应</w:t>
      </w:r>
    </w:p>
    <w:tbl>
      <w:tblPr>
        <w:tblStyle w:val="11"/>
        <w:tblW w:w="5000" w:type="pct"/>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2"/>
        <w:gridCol w:w="2322"/>
        <w:gridCol w:w="2322"/>
        <w:gridCol w:w="2322"/>
      </w:tblGrid>
      <w:tr w14:paraId="1BDE2B7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34" w:type="dxa"/>
            <w:tcBorders>
              <w:bottom w:val="single" w:color="7F8C8D" w:sz="6" w:space="0"/>
            </w:tcBorders>
            <w:shd w:val="clear" w:color="auto" w:fill="DCE6F1"/>
            <w:vAlign w:val="center"/>
          </w:tcPr>
          <w:p w14:paraId="5581EE3D">
            <w:pPr>
              <w:keepNext/>
              <w:spacing w:before="20" w:after="20" w:line="240" w:lineRule="auto"/>
              <w:ind w:firstLine="0"/>
              <w:jc w:val="center"/>
            </w:pPr>
            <w:r>
              <w:rPr>
                <w:rFonts w:hint="eastAsia" w:ascii="Times New Roman" w:hAnsi="Times New Roman" w:eastAsia="宋体"/>
                <w:b/>
                <w:color w:val="000000"/>
                <w:sz w:val="18"/>
              </w:rPr>
              <w:t>空间权重矩阵</w:t>
            </w:r>
          </w:p>
        </w:tc>
        <w:tc>
          <w:tcPr>
            <w:tcW w:w="2080" w:type="dxa"/>
            <w:tcBorders>
              <w:bottom w:val="single" w:color="7F8C8D" w:sz="6" w:space="0"/>
            </w:tcBorders>
            <w:shd w:val="clear" w:color="auto" w:fill="DCE6F1"/>
            <w:vAlign w:val="center"/>
          </w:tcPr>
          <w:p w14:paraId="410A1F1F">
            <w:pPr>
              <w:keepNext/>
              <w:spacing w:before="20" w:after="20" w:line="240" w:lineRule="auto"/>
              <w:ind w:firstLine="0"/>
              <w:jc w:val="center"/>
            </w:pPr>
            <w:r>
              <w:rPr>
                <w:rFonts w:hint="eastAsia" w:ascii="Times New Roman" w:hAnsi="Times New Roman" w:eastAsia="宋体"/>
                <w:b/>
                <w:color w:val="000000"/>
                <w:sz w:val="18"/>
              </w:rPr>
              <w:t>直接效应</w:t>
            </w:r>
          </w:p>
        </w:tc>
        <w:tc>
          <w:tcPr>
            <w:tcW w:w="2080" w:type="dxa"/>
            <w:tcBorders>
              <w:bottom w:val="single" w:color="7F8C8D" w:sz="6" w:space="0"/>
            </w:tcBorders>
            <w:shd w:val="clear" w:color="auto" w:fill="DCE6F1"/>
            <w:vAlign w:val="center"/>
          </w:tcPr>
          <w:p w14:paraId="0983F347">
            <w:pPr>
              <w:keepNext/>
              <w:spacing w:before="20" w:after="20" w:line="240" w:lineRule="auto"/>
              <w:ind w:firstLine="0"/>
              <w:jc w:val="center"/>
            </w:pPr>
            <w:r>
              <w:rPr>
                <w:rFonts w:hint="eastAsia" w:ascii="Times New Roman" w:hAnsi="Times New Roman" w:eastAsia="宋体"/>
                <w:b/>
                <w:color w:val="000000"/>
                <w:sz w:val="18"/>
              </w:rPr>
              <w:t>间接效应</w:t>
            </w:r>
          </w:p>
        </w:tc>
        <w:tc>
          <w:tcPr>
            <w:tcW w:w="2074" w:type="dxa"/>
            <w:tcBorders>
              <w:bottom w:val="single" w:color="7F8C8D" w:sz="6" w:space="0"/>
            </w:tcBorders>
            <w:shd w:val="clear" w:color="auto" w:fill="DCE6F1"/>
            <w:vAlign w:val="center"/>
          </w:tcPr>
          <w:p w14:paraId="42A2DAE5">
            <w:pPr>
              <w:keepNext/>
              <w:spacing w:before="20" w:after="20" w:line="240" w:lineRule="auto"/>
              <w:ind w:firstLine="0"/>
              <w:jc w:val="center"/>
            </w:pPr>
            <w:r>
              <w:rPr>
                <w:rFonts w:hint="eastAsia" w:ascii="Times New Roman" w:hAnsi="Times New Roman" w:eastAsia="宋体"/>
                <w:b/>
                <w:color w:val="000000"/>
                <w:sz w:val="18"/>
              </w:rPr>
              <w:t>总效应</w:t>
            </w:r>
          </w:p>
        </w:tc>
      </w:tr>
      <w:tr w14:paraId="76FC72F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5FAEC279">
            <w:pPr>
              <w:keepNext/>
              <w:spacing w:before="20" w:after="20" w:line="240" w:lineRule="auto"/>
              <w:ind w:firstLine="0"/>
              <w:jc w:val="center"/>
            </w:pPr>
            <w:r>
              <w:rPr>
                <w:rFonts w:hint="eastAsia" w:ascii="Times New Roman" w:hAnsi="Times New Roman" w:eastAsia="宋体"/>
                <w:b w:val="0"/>
                <w:color w:val="000000"/>
                <w:sz w:val="18"/>
              </w:rPr>
              <w:t>地理距离平方倒数矩阵</w:t>
            </w:r>
          </w:p>
        </w:tc>
        <w:tc>
          <w:tcPr>
            <w:tcW w:w="2080" w:type="dxa"/>
            <w:vAlign w:val="center"/>
          </w:tcPr>
          <w:p w14:paraId="1F1C91A8">
            <w:pPr>
              <w:keepNext/>
              <w:spacing w:before="20" w:after="20" w:line="240" w:lineRule="auto"/>
              <w:ind w:firstLine="0"/>
              <w:jc w:val="center"/>
            </w:pPr>
            <w:r>
              <w:rPr>
                <w:rFonts w:ascii="Times New Roman" w:hAnsi="Times New Roman" w:eastAsia="宋体"/>
                <w:b w:val="0"/>
                <w:color w:val="000000"/>
                <w:sz w:val="18"/>
              </w:rPr>
              <w:t>0.0028***</w:t>
            </w:r>
            <w:r>
              <w:rPr>
                <w:rFonts w:ascii="Times New Roman" w:hAnsi="Times New Roman" w:eastAsia="宋体"/>
                <w:b w:val="0"/>
                <w:color w:val="000000"/>
                <w:sz w:val="18"/>
              </w:rPr>
              <w:br w:type="textWrapping"/>
            </w:r>
            <w:r>
              <w:rPr>
                <w:rFonts w:ascii="Times New Roman" w:hAnsi="Times New Roman" w:eastAsia="宋体"/>
                <w:b w:val="0"/>
                <w:color w:val="000000"/>
                <w:sz w:val="18"/>
              </w:rPr>
              <w:t>(0.0010)</w:t>
            </w:r>
          </w:p>
        </w:tc>
        <w:tc>
          <w:tcPr>
            <w:tcW w:w="2080" w:type="dxa"/>
            <w:vAlign w:val="center"/>
          </w:tcPr>
          <w:p w14:paraId="6B7A5A6F">
            <w:pPr>
              <w:keepNext/>
              <w:spacing w:before="20" w:after="20" w:line="240" w:lineRule="auto"/>
              <w:ind w:firstLine="0"/>
              <w:jc w:val="center"/>
            </w:pPr>
            <w:r>
              <w:rPr>
                <w:rFonts w:ascii="Times New Roman" w:hAnsi="Times New Roman" w:eastAsia="宋体"/>
                <w:b w:val="0"/>
                <w:color w:val="000000"/>
                <w:sz w:val="18"/>
              </w:rPr>
              <w:t>0.0047***</w:t>
            </w:r>
            <w:r>
              <w:rPr>
                <w:rFonts w:ascii="Times New Roman" w:hAnsi="Times New Roman" w:eastAsia="宋体"/>
                <w:b w:val="0"/>
                <w:color w:val="000000"/>
                <w:sz w:val="18"/>
              </w:rPr>
              <w:br w:type="textWrapping"/>
            </w:r>
            <w:r>
              <w:rPr>
                <w:rFonts w:ascii="Times New Roman" w:hAnsi="Times New Roman" w:eastAsia="宋体"/>
                <w:b w:val="0"/>
                <w:color w:val="000000"/>
                <w:sz w:val="18"/>
              </w:rPr>
              <w:t>(0.0018)</w:t>
            </w:r>
          </w:p>
        </w:tc>
        <w:tc>
          <w:tcPr>
            <w:tcW w:w="2074" w:type="dxa"/>
            <w:vAlign w:val="center"/>
          </w:tcPr>
          <w:p w14:paraId="34F05C9B">
            <w:pPr>
              <w:keepNext/>
              <w:spacing w:before="20" w:after="20" w:line="240" w:lineRule="auto"/>
              <w:ind w:firstLine="0"/>
              <w:jc w:val="center"/>
            </w:pPr>
            <w:r>
              <w:rPr>
                <w:rFonts w:ascii="Times New Roman" w:hAnsi="Times New Roman" w:eastAsia="宋体"/>
                <w:b w:val="0"/>
                <w:color w:val="000000"/>
                <w:sz w:val="18"/>
              </w:rPr>
              <w:t>0.0074***</w:t>
            </w:r>
            <w:r>
              <w:rPr>
                <w:rFonts w:ascii="Times New Roman" w:hAnsi="Times New Roman" w:eastAsia="宋体"/>
                <w:b w:val="0"/>
                <w:color w:val="000000"/>
                <w:sz w:val="18"/>
              </w:rPr>
              <w:br w:type="textWrapping"/>
            </w:r>
            <w:r>
              <w:rPr>
                <w:rFonts w:ascii="Times New Roman" w:hAnsi="Times New Roman" w:eastAsia="宋体"/>
                <w:b w:val="0"/>
                <w:color w:val="000000"/>
                <w:sz w:val="18"/>
              </w:rPr>
              <w:t>(0.0018)</w:t>
            </w:r>
          </w:p>
        </w:tc>
      </w:tr>
      <w:tr w14:paraId="71333C33">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5AC9192B">
            <w:pPr>
              <w:keepNext/>
              <w:spacing w:before="20" w:after="20" w:line="240" w:lineRule="auto"/>
              <w:ind w:firstLine="0"/>
              <w:jc w:val="center"/>
            </w:pPr>
            <w:r>
              <w:rPr>
                <w:rFonts w:hint="eastAsia" w:ascii="Times New Roman" w:hAnsi="Times New Roman" w:eastAsia="宋体"/>
                <w:b w:val="0"/>
                <w:color w:val="000000"/>
                <w:sz w:val="18"/>
              </w:rPr>
              <w:t>经济—地理嵌套矩阵</w:t>
            </w:r>
          </w:p>
        </w:tc>
        <w:tc>
          <w:tcPr>
            <w:tcW w:w="2080" w:type="dxa"/>
            <w:vAlign w:val="center"/>
          </w:tcPr>
          <w:p w14:paraId="3531D36D">
            <w:pPr>
              <w:keepNext/>
              <w:spacing w:before="20" w:after="20" w:line="240" w:lineRule="auto"/>
              <w:ind w:firstLine="0"/>
              <w:jc w:val="center"/>
            </w:pPr>
            <w:r>
              <w:rPr>
                <w:rFonts w:ascii="Times New Roman" w:hAnsi="Times New Roman" w:eastAsia="宋体"/>
                <w:b w:val="0"/>
                <w:color w:val="000000"/>
                <w:sz w:val="18"/>
              </w:rPr>
              <w:t>0.0028***</w:t>
            </w:r>
            <w:r>
              <w:rPr>
                <w:rFonts w:ascii="Times New Roman" w:hAnsi="Times New Roman" w:eastAsia="宋体"/>
                <w:b w:val="0"/>
                <w:color w:val="000000"/>
                <w:sz w:val="18"/>
              </w:rPr>
              <w:br w:type="textWrapping"/>
            </w:r>
            <w:r>
              <w:rPr>
                <w:rFonts w:ascii="Times New Roman" w:hAnsi="Times New Roman" w:eastAsia="宋体"/>
                <w:b w:val="0"/>
                <w:color w:val="000000"/>
                <w:sz w:val="18"/>
              </w:rPr>
              <w:t>(0.0010)</w:t>
            </w:r>
          </w:p>
        </w:tc>
        <w:tc>
          <w:tcPr>
            <w:tcW w:w="2080" w:type="dxa"/>
            <w:vAlign w:val="center"/>
          </w:tcPr>
          <w:p w14:paraId="39F30D24">
            <w:pPr>
              <w:keepNext/>
              <w:spacing w:before="20" w:after="20" w:line="240" w:lineRule="auto"/>
              <w:ind w:firstLine="0"/>
              <w:jc w:val="center"/>
            </w:pPr>
            <w:r>
              <w:rPr>
                <w:rFonts w:ascii="Times New Roman" w:hAnsi="Times New Roman" w:eastAsia="宋体"/>
                <w:b w:val="0"/>
                <w:color w:val="000000"/>
                <w:sz w:val="18"/>
              </w:rPr>
              <w:t>0.0093***</w:t>
            </w:r>
            <w:r>
              <w:rPr>
                <w:rFonts w:ascii="Times New Roman" w:hAnsi="Times New Roman" w:eastAsia="宋体"/>
                <w:b w:val="0"/>
                <w:color w:val="000000"/>
                <w:sz w:val="18"/>
              </w:rPr>
              <w:br w:type="textWrapping"/>
            </w:r>
            <w:r>
              <w:rPr>
                <w:rFonts w:ascii="Times New Roman" w:hAnsi="Times New Roman" w:eastAsia="宋体"/>
                <w:b w:val="0"/>
                <w:color w:val="000000"/>
                <w:sz w:val="18"/>
              </w:rPr>
              <w:t>(0.0028)</w:t>
            </w:r>
          </w:p>
        </w:tc>
        <w:tc>
          <w:tcPr>
            <w:tcW w:w="2074" w:type="dxa"/>
            <w:vAlign w:val="center"/>
          </w:tcPr>
          <w:p w14:paraId="60D53D81">
            <w:pPr>
              <w:keepNext/>
              <w:spacing w:before="20" w:after="20" w:line="240" w:lineRule="auto"/>
              <w:ind w:firstLine="0"/>
              <w:jc w:val="center"/>
            </w:pPr>
            <w:r>
              <w:rPr>
                <w:rFonts w:ascii="Times New Roman" w:hAnsi="Times New Roman" w:eastAsia="宋体"/>
                <w:b w:val="0"/>
                <w:color w:val="000000"/>
                <w:sz w:val="18"/>
              </w:rPr>
              <w:t>0.0121***</w:t>
            </w:r>
            <w:r>
              <w:rPr>
                <w:rFonts w:ascii="Times New Roman" w:hAnsi="Times New Roman" w:eastAsia="宋体"/>
                <w:b w:val="0"/>
                <w:color w:val="000000"/>
                <w:sz w:val="18"/>
              </w:rPr>
              <w:br w:type="textWrapping"/>
            </w:r>
            <w:r>
              <w:rPr>
                <w:rFonts w:ascii="Times New Roman" w:hAnsi="Times New Roman" w:eastAsia="宋体"/>
                <w:b w:val="0"/>
                <w:color w:val="000000"/>
                <w:sz w:val="18"/>
              </w:rPr>
              <w:t>(0.0028)</w:t>
            </w:r>
          </w:p>
        </w:tc>
      </w:tr>
      <w:tr w14:paraId="5CCB5682">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34" w:type="dxa"/>
            <w:vAlign w:val="center"/>
          </w:tcPr>
          <w:p w14:paraId="58067208">
            <w:pPr>
              <w:spacing w:before="20" w:after="20" w:line="240" w:lineRule="auto"/>
              <w:ind w:firstLine="0"/>
              <w:jc w:val="center"/>
            </w:pPr>
            <w:r>
              <w:rPr>
                <w:rFonts w:hint="eastAsia" w:ascii="Times New Roman" w:hAnsi="Times New Roman" w:eastAsia="宋体"/>
                <w:b w:val="0"/>
                <w:color w:val="000000"/>
                <w:sz w:val="18"/>
              </w:rPr>
              <w:t>创新—地理嵌套矩阵</w:t>
            </w:r>
          </w:p>
        </w:tc>
        <w:tc>
          <w:tcPr>
            <w:tcW w:w="2080" w:type="dxa"/>
            <w:vAlign w:val="center"/>
          </w:tcPr>
          <w:p w14:paraId="021A30C7">
            <w:pPr>
              <w:spacing w:before="20" w:after="20" w:line="240" w:lineRule="auto"/>
              <w:ind w:firstLine="0"/>
              <w:jc w:val="center"/>
            </w:pPr>
            <w:r>
              <w:rPr>
                <w:rFonts w:ascii="Times New Roman" w:hAnsi="Times New Roman" w:eastAsia="宋体"/>
                <w:b w:val="0"/>
                <w:color w:val="000000"/>
                <w:sz w:val="18"/>
              </w:rPr>
              <w:t>0.0029***</w:t>
            </w:r>
            <w:r>
              <w:rPr>
                <w:rFonts w:ascii="Times New Roman" w:hAnsi="Times New Roman" w:eastAsia="宋体"/>
                <w:b w:val="0"/>
                <w:color w:val="000000"/>
                <w:sz w:val="18"/>
              </w:rPr>
              <w:br w:type="textWrapping"/>
            </w:r>
            <w:r>
              <w:rPr>
                <w:rFonts w:ascii="Times New Roman" w:hAnsi="Times New Roman" w:eastAsia="宋体"/>
                <w:b w:val="0"/>
                <w:color w:val="000000"/>
                <w:sz w:val="18"/>
              </w:rPr>
              <w:t>(0.0010)</w:t>
            </w:r>
          </w:p>
        </w:tc>
        <w:tc>
          <w:tcPr>
            <w:tcW w:w="2080" w:type="dxa"/>
            <w:vAlign w:val="center"/>
          </w:tcPr>
          <w:p w14:paraId="77F1C90E">
            <w:pPr>
              <w:spacing w:before="20" w:after="20" w:line="240" w:lineRule="auto"/>
              <w:ind w:firstLine="0"/>
              <w:jc w:val="center"/>
            </w:pPr>
            <w:r>
              <w:rPr>
                <w:rFonts w:ascii="Times New Roman" w:hAnsi="Times New Roman" w:eastAsia="宋体"/>
                <w:b w:val="0"/>
                <w:color w:val="000000"/>
                <w:sz w:val="18"/>
              </w:rPr>
              <w:t>0.0087**</w:t>
            </w:r>
            <w:r>
              <w:rPr>
                <w:rFonts w:ascii="Times New Roman" w:hAnsi="Times New Roman" w:eastAsia="宋体"/>
                <w:b w:val="0"/>
                <w:color w:val="000000"/>
                <w:sz w:val="18"/>
              </w:rPr>
              <w:br w:type="textWrapping"/>
            </w:r>
            <w:r>
              <w:rPr>
                <w:rFonts w:ascii="Times New Roman" w:hAnsi="Times New Roman" w:eastAsia="宋体"/>
                <w:b w:val="0"/>
                <w:color w:val="000000"/>
                <w:sz w:val="18"/>
              </w:rPr>
              <w:t>(0.0038)</w:t>
            </w:r>
          </w:p>
        </w:tc>
        <w:tc>
          <w:tcPr>
            <w:tcW w:w="2074" w:type="dxa"/>
            <w:vAlign w:val="center"/>
          </w:tcPr>
          <w:p w14:paraId="0F456EA9">
            <w:pPr>
              <w:spacing w:before="20" w:after="20" w:line="240" w:lineRule="auto"/>
              <w:ind w:firstLine="0"/>
              <w:jc w:val="center"/>
            </w:pPr>
            <w:r>
              <w:rPr>
                <w:rFonts w:ascii="Times New Roman" w:hAnsi="Times New Roman" w:eastAsia="宋体"/>
                <w:b w:val="0"/>
                <w:color w:val="000000"/>
                <w:sz w:val="18"/>
              </w:rPr>
              <w:t>0.0116***</w:t>
            </w:r>
            <w:r>
              <w:rPr>
                <w:rFonts w:ascii="Times New Roman" w:hAnsi="Times New Roman" w:eastAsia="宋体"/>
                <w:b w:val="0"/>
                <w:color w:val="000000"/>
                <w:sz w:val="18"/>
              </w:rPr>
              <w:br w:type="textWrapping"/>
            </w:r>
            <w:r>
              <w:rPr>
                <w:rFonts w:ascii="Times New Roman" w:hAnsi="Times New Roman" w:eastAsia="宋体"/>
                <w:b w:val="0"/>
                <w:color w:val="000000"/>
                <w:sz w:val="18"/>
              </w:rPr>
              <w:t>(0.0038)</w:t>
            </w:r>
          </w:p>
        </w:tc>
      </w:tr>
    </w:tbl>
    <w:p w14:paraId="1726AD65">
      <w:pPr>
        <w:pStyle w:val="3"/>
        <w:spacing w:before="40" w:after="80" w:line="240" w:lineRule="auto"/>
        <w:ind w:firstLine="0"/>
        <w:jc w:val="both"/>
      </w:pPr>
      <w:r>
        <w:rPr>
          <w:rFonts w:hint="eastAsia" w:ascii="Times New Roman" w:hAnsi="Times New Roman" w:eastAsia="宋体"/>
          <w:color w:val="000000"/>
          <w:sz w:val="18"/>
        </w:rPr>
        <w:t>注：经济—地理和创新—地理矩阵分别将经济邻近、创新邻近与地理邻近等权组合；括号内为标准误；***、**和*分别表示在1%、5%和10%水平显著。</w:t>
      </w:r>
    </w:p>
    <w:bookmarkEnd w:id="24"/>
    <w:p w14:paraId="4886DC22">
      <w:pPr>
        <w:pStyle w:val="4"/>
        <w:keepNext/>
        <w:keepLines/>
        <w:spacing w:before="160" w:after="80"/>
        <w:ind w:firstLine="0"/>
      </w:pPr>
      <w:bookmarkStart w:id="25" w:name="探索性区域异质性"/>
      <w:r>
        <w:rPr>
          <w:rFonts w:ascii="Times New Roman" w:hAnsi="Times New Roman" w:eastAsia="黑体"/>
          <w:b/>
          <w:color w:val="000000"/>
          <w:sz w:val="28"/>
        </w:rPr>
        <w:t>5.3 空间影响的时空差异分析</w:t>
      </w:r>
    </w:p>
    <w:p w14:paraId="1E3CB70F">
      <w:pPr>
        <w:rPr>
          <w:color w:val="0000FF"/>
        </w:rPr>
      </w:pPr>
      <w:r>
        <w:rPr>
          <w:color w:val="auto"/>
        </w:rPr>
        <w:t>前文空间杜宾模型主要识别研发投入对碳中和技术创新的平均空间影响，难以进一步揭示不同地区和时期局部关系的变化。考虑到地区创新基础、产业结构和资源禀赋存在差异，本文进一步采用时空地理加权回归模型，从空间和时间两个维度考察研发投入及控制变量局部系数的变化特征。</w:t>
      </w:r>
    </w:p>
    <w:p w14:paraId="460F43E5">
      <w:pPr>
        <w:pStyle w:val="5"/>
      </w:pPr>
      <w:r>
        <w:t>5.3.1 空间差异分析</w:t>
      </w:r>
    </w:p>
    <w:p w14:paraId="7E044AA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color w:val="auto"/>
        </w:rPr>
      </w:pPr>
      <w:r>
        <w:rPr>
          <w:color w:val="auto"/>
        </w:rPr>
        <w:t>OLS、GWR 与 GTWR 的比较结果表明，GWR 在决定系数、调整后决定系数、残差平方和及均方误差方面表现较优，而 GTWR 的 AICc 最低。综合模型拟合与复杂度，GTWR 能够较好地刻画省域碳中和技术创新影响因素的局部时空变化，因此本文进一步采用其局部系数分析空间异质性。</w:t>
      </w:r>
    </w:p>
    <w:p w14:paraId="0DE2C59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color w:val="auto"/>
        </w:rPr>
      </w:pPr>
      <w:r>
        <w:rPr>
          <w:color w:val="auto"/>
        </w:rPr>
        <w:t>总体来看，各变量局部系数的省际离散程度较小，GTWR 所揭示的非平稳性主要体现在时间维度，空间维度则表现为较为稳定的局部梯度和少数变量的空间排序调整。</w:t>
      </w:r>
    </w:p>
    <w:p w14:paraId="21FC1307">
      <w:pPr>
        <w:widowControl/>
        <w:spacing w:before="0" w:after="60" w:line="360" w:lineRule="auto"/>
        <w:ind w:left="0" w:right="0" w:firstLine="420"/>
        <w:jc w:val="both"/>
      </w:pPr>
    </w:p>
    <w:p w14:paraId="1A67DDF4">
      <w:pPr>
        <w:pStyle w:val="3"/>
        <w:keepNext/>
        <w:spacing w:before="100" w:after="60"/>
        <w:ind w:firstLine="0"/>
        <w:jc w:val="center"/>
      </w:pPr>
      <w:r>
        <w:rPr>
          <w:rFonts w:hint="eastAsia" w:ascii="Times New Roman" w:hAnsi="Times New Roman" w:eastAsia="宋体"/>
          <w:b/>
          <w:bCs/>
          <w:color w:val="000000"/>
          <w:sz w:val="21"/>
        </w:rPr>
        <w:t>表12</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四大区域R&amp;D空间效应</w:t>
      </w:r>
    </w:p>
    <w:tbl>
      <w:tblPr>
        <w:tblStyle w:val="11"/>
        <w:tblW w:w="5000" w:type="pct"/>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8"/>
        <w:gridCol w:w="1858"/>
        <w:gridCol w:w="1858"/>
        <w:gridCol w:w="1858"/>
        <w:gridCol w:w="1858"/>
      </w:tblGrid>
      <w:tr w14:paraId="4D73F25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757" w:type="dxa"/>
            <w:tcBorders>
              <w:bottom w:val="single" w:color="7F8C8D" w:sz="6" w:space="0"/>
            </w:tcBorders>
            <w:shd w:val="clear" w:color="auto" w:fill="DCE6F1"/>
            <w:vAlign w:val="center"/>
          </w:tcPr>
          <w:p w14:paraId="03C57E0B">
            <w:pPr>
              <w:keepNext/>
              <w:spacing w:before="20" w:after="20" w:line="240" w:lineRule="auto"/>
              <w:ind w:firstLine="0"/>
              <w:jc w:val="center"/>
            </w:pPr>
            <w:r>
              <w:rPr>
                <w:rFonts w:hint="eastAsia" w:ascii="Times New Roman" w:hAnsi="Times New Roman" w:eastAsia="宋体"/>
                <w:b/>
                <w:color w:val="000000"/>
                <w:sz w:val="18"/>
              </w:rPr>
              <w:t>地区</w:t>
            </w:r>
          </w:p>
        </w:tc>
        <w:tc>
          <w:tcPr>
            <w:tcW w:w="1785" w:type="dxa"/>
            <w:tcBorders>
              <w:bottom w:val="single" w:color="7F8C8D" w:sz="6" w:space="0"/>
            </w:tcBorders>
            <w:shd w:val="clear" w:color="auto" w:fill="DCE6F1"/>
            <w:vAlign w:val="center"/>
          </w:tcPr>
          <w:p w14:paraId="0CEC8CE9">
            <w:pPr>
              <w:keepNext/>
              <w:spacing w:before="20" w:after="20" w:line="240" w:lineRule="auto"/>
              <w:ind w:firstLine="0"/>
              <w:jc w:val="center"/>
            </w:pPr>
            <w:r>
              <w:rPr>
                <w:rFonts w:hint="eastAsia" w:ascii="Times New Roman" w:hAnsi="Times New Roman" w:eastAsia="宋体"/>
                <w:b/>
                <w:color w:val="000000"/>
                <w:sz w:val="18"/>
              </w:rPr>
              <w:t>直接效应</w:t>
            </w:r>
          </w:p>
        </w:tc>
        <w:tc>
          <w:tcPr>
            <w:tcW w:w="1785" w:type="dxa"/>
            <w:tcBorders>
              <w:bottom w:val="single" w:color="7F8C8D" w:sz="6" w:space="0"/>
            </w:tcBorders>
            <w:shd w:val="clear" w:color="auto" w:fill="DCE6F1"/>
            <w:vAlign w:val="center"/>
          </w:tcPr>
          <w:p w14:paraId="47715464">
            <w:pPr>
              <w:keepNext/>
              <w:spacing w:before="20" w:after="20" w:line="240" w:lineRule="auto"/>
              <w:ind w:firstLine="0"/>
              <w:jc w:val="center"/>
            </w:pPr>
            <w:r>
              <w:rPr>
                <w:rFonts w:hint="eastAsia" w:ascii="Times New Roman" w:hAnsi="Times New Roman" w:eastAsia="宋体"/>
                <w:b/>
                <w:color w:val="000000"/>
                <w:sz w:val="18"/>
              </w:rPr>
              <w:t>间接效应</w:t>
            </w:r>
          </w:p>
        </w:tc>
        <w:tc>
          <w:tcPr>
            <w:tcW w:w="1785" w:type="dxa"/>
            <w:tcBorders>
              <w:bottom w:val="single" w:color="7F8C8D" w:sz="6" w:space="0"/>
            </w:tcBorders>
            <w:shd w:val="clear" w:color="auto" w:fill="DCE6F1"/>
            <w:vAlign w:val="center"/>
          </w:tcPr>
          <w:p w14:paraId="7D698E82">
            <w:pPr>
              <w:keepNext/>
              <w:spacing w:before="20" w:after="20" w:line="240" w:lineRule="auto"/>
              <w:ind w:firstLine="0"/>
              <w:jc w:val="center"/>
            </w:pPr>
            <w:r>
              <w:rPr>
                <w:rFonts w:hint="eastAsia" w:ascii="Times New Roman" w:hAnsi="Times New Roman" w:eastAsia="宋体"/>
                <w:b/>
                <w:color w:val="000000"/>
                <w:sz w:val="18"/>
              </w:rPr>
              <w:t>总效应</w:t>
            </w:r>
          </w:p>
        </w:tc>
        <w:tc>
          <w:tcPr>
            <w:tcW w:w="1955" w:type="dxa"/>
            <w:tcBorders>
              <w:bottom w:val="single" w:color="7F8C8D" w:sz="6" w:space="0"/>
            </w:tcBorders>
            <w:shd w:val="clear" w:color="auto" w:fill="DCE6F1"/>
            <w:vAlign w:val="center"/>
          </w:tcPr>
          <w:p w14:paraId="2AFEA855">
            <w:pPr>
              <w:keepNext/>
              <w:spacing w:before="20" w:after="20" w:line="240" w:lineRule="auto"/>
              <w:ind w:firstLine="0"/>
              <w:jc w:val="center"/>
            </w:pPr>
            <w:r>
              <w:rPr>
                <w:rFonts w:hint="eastAsia" w:ascii="Times New Roman" w:hAnsi="Times New Roman" w:eastAsia="宋体"/>
                <w:b/>
                <w:color w:val="000000"/>
                <w:sz w:val="18"/>
              </w:rPr>
              <w:t>观测值</w:t>
            </w:r>
          </w:p>
        </w:tc>
      </w:tr>
      <w:tr w14:paraId="0500333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vAlign w:val="center"/>
          </w:tcPr>
          <w:p w14:paraId="7B7A33C3">
            <w:pPr>
              <w:keepNext/>
              <w:spacing w:before="20" w:after="20" w:line="240" w:lineRule="auto"/>
              <w:ind w:firstLine="0"/>
              <w:jc w:val="center"/>
            </w:pPr>
            <w:r>
              <w:rPr>
                <w:rFonts w:hint="eastAsia" w:ascii="Times New Roman" w:hAnsi="Times New Roman" w:eastAsia="宋体"/>
                <w:b w:val="0"/>
                <w:color w:val="000000"/>
                <w:sz w:val="18"/>
              </w:rPr>
              <w:t>东部</w:t>
            </w:r>
          </w:p>
        </w:tc>
        <w:tc>
          <w:tcPr>
            <w:tcW w:w="1785" w:type="dxa"/>
            <w:vAlign w:val="center"/>
          </w:tcPr>
          <w:p w14:paraId="1A05E678">
            <w:pPr>
              <w:keepNext/>
              <w:spacing w:before="20" w:after="20" w:line="240" w:lineRule="auto"/>
              <w:ind w:firstLine="0"/>
              <w:jc w:val="center"/>
            </w:pPr>
            <w:r>
              <w:rPr>
                <w:rFonts w:ascii="Times New Roman" w:hAnsi="Times New Roman" w:eastAsia="宋体"/>
                <w:b w:val="0"/>
                <w:color w:val="000000"/>
                <w:sz w:val="18"/>
              </w:rPr>
              <w:t>-0.0022**</w:t>
            </w:r>
            <w:r>
              <w:rPr>
                <w:rFonts w:ascii="Times New Roman" w:hAnsi="Times New Roman" w:eastAsia="宋体"/>
                <w:b w:val="0"/>
                <w:color w:val="000000"/>
                <w:sz w:val="18"/>
              </w:rPr>
              <w:br w:type="textWrapping"/>
            </w:r>
            <w:r>
              <w:rPr>
                <w:rFonts w:ascii="Times New Roman" w:hAnsi="Times New Roman" w:eastAsia="宋体"/>
                <w:b w:val="0"/>
                <w:color w:val="000000"/>
                <w:sz w:val="18"/>
              </w:rPr>
              <w:t>(0.0010)</w:t>
            </w:r>
          </w:p>
        </w:tc>
        <w:tc>
          <w:tcPr>
            <w:tcW w:w="1785" w:type="dxa"/>
            <w:vAlign w:val="center"/>
          </w:tcPr>
          <w:p w14:paraId="71C6AC28">
            <w:pPr>
              <w:keepNext/>
              <w:spacing w:before="20" w:after="20" w:line="240" w:lineRule="auto"/>
              <w:ind w:firstLine="0"/>
              <w:jc w:val="center"/>
            </w:pPr>
            <w:r>
              <w:rPr>
                <w:rFonts w:ascii="Times New Roman" w:hAnsi="Times New Roman" w:eastAsia="宋体"/>
                <w:b w:val="0"/>
                <w:color w:val="000000"/>
                <w:sz w:val="18"/>
              </w:rPr>
              <w:t>0.0037*</w:t>
            </w:r>
            <w:r>
              <w:rPr>
                <w:rFonts w:ascii="Times New Roman" w:hAnsi="Times New Roman" w:eastAsia="宋体"/>
                <w:b w:val="0"/>
                <w:color w:val="000000"/>
                <w:sz w:val="18"/>
              </w:rPr>
              <w:br w:type="textWrapping"/>
            </w:r>
            <w:r>
              <w:rPr>
                <w:rFonts w:ascii="Times New Roman" w:hAnsi="Times New Roman" w:eastAsia="宋体"/>
                <w:b w:val="0"/>
                <w:color w:val="000000"/>
                <w:sz w:val="18"/>
              </w:rPr>
              <w:t>(0.0021)</w:t>
            </w:r>
          </w:p>
        </w:tc>
        <w:tc>
          <w:tcPr>
            <w:tcW w:w="1785" w:type="dxa"/>
            <w:vAlign w:val="center"/>
          </w:tcPr>
          <w:p w14:paraId="6BDC3A38">
            <w:pPr>
              <w:keepNext/>
              <w:spacing w:before="20" w:after="20" w:line="240" w:lineRule="auto"/>
              <w:ind w:firstLine="0"/>
              <w:jc w:val="center"/>
            </w:pPr>
            <w:r>
              <w:rPr>
                <w:rFonts w:ascii="Times New Roman" w:hAnsi="Times New Roman" w:eastAsia="宋体"/>
                <w:b w:val="0"/>
                <w:color w:val="000000"/>
                <w:sz w:val="18"/>
              </w:rPr>
              <w:t>0.0015</w:t>
            </w:r>
            <w:r>
              <w:rPr>
                <w:rFonts w:ascii="Times New Roman" w:hAnsi="Times New Roman" w:eastAsia="宋体"/>
                <w:b w:val="0"/>
                <w:color w:val="000000"/>
                <w:sz w:val="18"/>
              </w:rPr>
              <w:br w:type="textWrapping"/>
            </w:r>
            <w:r>
              <w:rPr>
                <w:rFonts w:ascii="Times New Roman" w:hAnsi="Times New Roman" w:eastAsia="宋体"/>
                <w:b w:val="0"/>
                <w:color w:val="000000"/>
                <w:sz w:val="18"/>
              </w:rPr>
              <w:t>(0.0021)</w:t>
            </w:r>
          </w:p>
        </w:tc>
        <w:tc>
          <w:tcPr>
            <w:tcW w:w="1955" w:type="dxa"/>
            <w:vAlign w:val="center"/>
          </w:tcPr>
          <w:p w14:paraId="04EF0AB0">
            <w:pPr>
              <w:keepNext/>
              <w:spacing w:before="20" w:after="20" w:line="240" w:lineRule="auto"/>
              <w:ind w:firstLine="0"/>
              <w:jc w:val="center"/>
            </w:pPr>
            <w:r>
              <w:rPr>
                <w:rFonts w:ascii="Times New Roman" w:hAnsi="Times New Roman" w:eastAsia="宋体"/>
                <w:b w:val="0"/>
                <w:color w:val="000000"/>
                <w:sz w:val="18"/>
              </w:rPr>
              <w:t>100</w:t>
            </w:r>
          </w:p>
        </w:tc>
      </w:tr>
      <w:tr w14:paraId="6A075566">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vAlign w:val="center"/>
          </w:tcPr>
          <w:p w14:paraId="1DE7B288">
            <w:pPr>
              <w:keepNext/>
              <w:spacing w:before="20" w:after="20" w:line="240" w:lineRule="auto"/>
              <w:ind w:firstLine="0"/>
              <w:jc w:val="center"/>
            </w:pPr>
            <w:r>
              <w:rPr>
                <w:rFonts w:hint="eastAsia" w:ascii="Times New Roman" w:hAnsi="Times New Roman" w:eastAsia="宋体"/>
                <w:b w:val="0"/>
                <w:color w:val="000000"/>
                <w:sz w:val="18"/>
              </w:rPr>
              <w:t>西部</w:t>
            </w:r>
          </w:p>
        </w:tc>
        <w:tc>
          <w:tcPr>
            <w:tcW w:w="1785" w:type="dxa"/>
            <w:vAlign w:val="center"/>
          </w:tcPr>
          <w:p w14:paraId="1554F87D">
            <w:pPr>
              <w:keepNext/>
              <w:spacing w:before="20" w:after="20" w:line="240" w:lineRule="auto"/>
              <w:ind w:firstLine="0"/>
              <w:jc w:val="center"/>
            </w:pPr>
            <w:r>
              <w:rPr>
                <w:rFonts w:ascii="Times New Roman" w:hAnsi="Times New Roman" w:eastAsia="宋体"/>
                <w:b w:val="0"/>
                <w:color w:val="000000"/>
                <w:sz w:val="18"/>
              </w:rPr>
              <w:t>0.0054</w:t>
            </w:r>
            <w:r>
              <w:rPr>
                <w:rFonts w:ascii="Times New Roman" w:hAnsi="Times New Roman" w:eastAsia="宋体"/>
                <w:b w:val="0"/>
                <w:color w:val="000000"/>
                <w:sz w:val="18"/>
              </w:rPr>
              <w:br w:type="textWrapping"/>
            </w:r>
            <w:r>
              <w:rPr>
                <w:rFonts w:ascii="Times New Roman" w:hAnsi="Times New Roman" w:eastAsia="宋体"/>
                <w:b w:val="0"/>
                <w:color w:val="000000"/>
                <w:sz w:val="18"/>
              </w:rPr>
              <w:t>(0.0055)</w:t>
            </w:r>
          </w:p>
        </w:tc>
        <w:tc>
          <w:tcPr>
            <w:tcW w:w="1785" w:type="dxa"/>
            <w:vAlign w:val="center"/>
          </w:tcPr>
          <w:p w14:paraId="24C0FBCE">
            <w:pPr>
              <w:keepNext/>
              <w:spacing w:before="20" w:after="20" w:line="240" w:lineRule="auto"/>
              <w:ind w:firstLine="0"/>
              <w:jc w:val="center"/>
            </w:pPr>
            <w:r>
              <w:rPr>
                <w:rFonts w:ascii="Times New Roman" w:hAnsi="Times New Roman" w:eastAsia="宋体"/>
                <w:b w:val="0"/>
                <w:color w:val="000000"/>
                <w:sz w:val="18"/>
              </w:rPr>
              <w:t>-0.0077</w:t>
            </w:r>
            <w:r>
              <w:rPr>
                <w:rFonts w:ascii="Times New Roman" w:hAnsi="Times New Roman" w:eastAsia="宋体"/>
                <w:b w:val="0"/>
                <w:color w:val="000000"/>
                <w:sz w:val="18"/>
              </w:rPr>
              <w:br w:type="textWrapping"/>
            </w:r>
            <w:r>
              <w:rPr>
                <w:rFonts w:ascii="Times New Roman" w:hAnsi="Times New Roman" w:eastAsia="宋体"/>
                <w:b w:val="0"/>
                <w:color w:val="000000"/>
                <w:sz w:val="18"/>
              </w:rPr>
              <w:t>(0.0152)</w:t>
            </w:r>
          </w:p>
        </w:tc>
        <w:tc>
          <w:tcPr>
            <w:tcW w:w="1785" w:type="dxa"/>
            <w:vAlign w:val="center"/>
          </w:tcPr>
          <w:p w14:paraId="405DF0DD">
            <w:pPr>
              <w:keepNext/>
              <w:spacing w:before="20" w:after="20" w:line="240" w:lineRule="auto"/>
              <w:ind w:firstLine="0"/>
              <w:jc w:val="center"/>
            </w:pPr>
            <w:r>
              <w:rPr>
                <w:rFonts w:ascii="Times New Roman" w:hAnsi="Times New Roman" w:eastAsia="宋体"/>
                <w:b w:val="0"/>
                <w:color w:val="000000"/>
                <w:sz w:val="18"/>
              </w:rPr>
              <w:t>-0.0024</w:t>
            </w:r>
            <w:r>
              <w:rPr>
                <w:rFonts w:ascii="Times New Roman" w:hAnsi="Times New Roman" w:eastAsia="宋体"/>
                <w:b w:val="0"/>
                <w:color w:val="000000"/>
                <w:sz w:val="18"/>
              </w:rPr>
              <w:br w:type="textWrapping"/>
            </w:r>
            <w:r>
              <w:rPr>
                <w:rFonts w:ascii="Times New Roman" w:hAnsi="Times New Roman" w:eastAsia="宋体"/>
                <w:b w:val="0"/>
                <w:color w:val="000000"/>
                <w:sz w:val="18"/>
              </w:rPr>
              <w:t>(0.0184)</w:t>
            </w:r>
          </w:p>
        </w:tc>
        <w:tc>
          <w:tcPr>
            <w:tcW w:w="1955" w:type="dxa"/>
            <w:vAlign w:val="center"/>
          </w:tcPr>
          <w:p w14:paraId="2D8F6DC5">
            <w:pPr>
              <w:keepNext/>
              <w:spacing w:before="20" w:after="20" w:line="240" w:lineRule="auto"/>
              <w:ind w:firstLine="0"/>
              <w:jc w:val="center"/>
            </w:pPr>
            <w:r>
              <w:rPr>
                <w:rFonts w:ascii="Times New Roman" w:hAnsi="Times New Roman" w:eastAsia="宋体"/>
                <w:b w:val="0"/>
                <w:color w:val="000000"/>
                <w:sz w:val="18"/>
              </w:rPr>
              <w:t>120</w:t>
            </w:r>
          </w:p>
        </w:tc>
      </w:tr>
      <w:tr w14:paraId="3E4DC95D">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vAlign w:val="center"/>
          </w:tcPr>
          <w:p w14:paraId="6B6AAE33">
            <w:pPr>
              <w:keepNext/>
              <w:spacing w:before="20" w:after="20" w:line="240" w:lineRule="auto"/>
              <w:ind w:firstLine="0"/>
              <w:jc w:val="center"/>
            </w:pPr>
            <w:r>
              <w:rPr>
                <w:rFonts w:hint="eastAsia" w:ascii="Times New Roman" w:hAnsi="Times New Roman" w:eastAsia="宋体"/>
                <w:b w:val="0"/>
                <w:color w:val="000000"/>
                <w:sz w:val="18"/>
              </w:rPr>
              <w:t>中部</w:t>
            </w:r>
          </w:p>
        </w:tc>
        <w:tc>
          <w:tcPr>
            <w:tcW w:w="1785" w:type="dxa"/>
            <w:vAlign w:val="center"/>
          </w:tcPr>
          <w:p w14:paraId="7AEEF1C2">
            <w:pPr>
              <w:keepNext/>
              <w:spacing w:before="20" w:after="20" w:line="240" w:lineRule="auto"/>
              <w:ind w:firstLine="0"/>
              <w:jc w:val="center"/>
            </w:pPr>
            <w:r>
              <w:rPr>
                <w:rFonts w:ascii="Times New Roman" w:hAnsi="Times New Roman" w:eastAsia="宋体"/>
                <w:b w:val="0"/>
                <w:color w:val="000000"/>
                <w:sz w:val="18"/>
              </w:rPr>
              <w:t>0.0152***</w:t>
            </w:r>
            <w:r>
              <w:rPr>
                <w:rFonts w:ascii="Times New Roman" w:hAnsi="Times New Roman" w:eastAsia="宋体"/>
                <w:b w:val="0"/>
                <w:color w:val="000000"/>
                <w:sz w:val="18"/>
              </w:rPr>
              <w:br w:type="textWrapping"/>
            </w:r>
            <w:r>
              <w:rPr>
                <w:rFonts w:ascii="Times New Roman" w:hAnsi="Times New Roman" w:eastAsia="宋体"/>
                <w:b w:val="0"/>
                <w:color w:val="000000"/>
                <w:sz w:val="18"/>
              </w:rPr>
              <w:t>(0.0050)</w:t>
            </w:r>
          </w:p>
        </w:tc>
        <w:tc>
          <w:tcPr>
            <w:tcW w:w="1785" w:type="dxa"/>
            <w:vAlign w:val="center"/>
          </w:tcPr>
          <w:p w14:paraId="12CEA76E">
            <w:pPr>
              <w:keepNext/>
              <w:spacing w:before="20" w:after="20" w:line="240" w:lineRule="auto"/>
              <w:ind w:firstLine="0"/>
              <w:jc w:val="center"/>
            </w:pPr>
            <w:r>
              <w:rPr>
                <w:rFonts w:ascii="Times New Roman" w:hAnsi="Times New Roman" w:eastAsia="宋体"/>
                <w:b w:val="0"/>
                <w:color w:val="000000"/>
                <w:sz w:val="18"/>
              </w:rPr>
              <w:t>0.0261**</w:t>
            </w:r>
            <w:r>
              <w:rPr>
                <w:rFonts w:ascii="Times New Roman" w:hAnsi="Times New Roman" w:eastAsia="宋体"/>
                <w:b w:val="0"/>
                <w:color w:val="000000"/>
                <w:sz w:val="18"/>
              </w:rPr>
              <w:br w:type="textWrapping"/>
            </w:r>
            <w:r>
              <w:rPr>
                <w:rFonts w:ascii="Times New Roman" w:hAnsi="Times New Roman" w:eastAsia="宋体"/>
                <w:b w:val="0"/>
                <w:color w:val="000000"/>
                <w:sz w:val="18"/>
              </w:rPr>
              <w:t>(0.0109)</w:t>
            </w:r>
          </w:p>
        </w:tc>
        <w:tc>
          <w:tcPr>
            <w:tcW w:w="1785" w:type="dxa"/>
            <w:vAlign w:val="center"/>
          </w:tcPr>
          <w:p w14:paraId="218E1C70">
            <w:pPr>
              <w:keepNext/>
              <w:spacing w:before="20" w:after="20" w:line="240" w:lineRule="auto"/>
              <w:ind w:firstLine="0"/>
              <w:jc w:val="center"/>
            </w:pPr>
            <w:r>
              <w:rPr>
                <w:rFonts w:ascii="Times New Roman" w:hAnsi="Times New Roman" w:eastAsia="宋体"/>
                <w:b w:val="0"/>
                <w:color w:val="000000"/>
                <w:sz w:val="18"/>
              </w:rPr>
              <w:t>0.0413***</w:t>
            </w:r>
            <w:r>
              <w:rPr>
                <w:rFonts w:ascii="Times New Roman" w:hAnsi="Times New Roman" w:eastAsia="宋体"/>
                <w:b w:val="0"/>
                <w:color w:val="000000"/>
                <w:sz w:val="18"/>
              </w:rPr>
              <w:br w:type="textWrapping"/>
            </w:r>
            <w:r>
              <w:rPr>
                <w:rFonts w:ascii="Times New Roman" w:hAnsi="Times New Roman" w:eastAsia="宋体"/>
                <w:b w:val="0"/>
                <w:color w:val="000000"/>
                <w:sz w:val="18"/>
              </w:rPr>
              <w:t>(0.0152)</w:t>
            </w:r>
          </w:p>
        </w:tc>
        <w:tc>
          <w:tcPr>
            <w:tcW w:w="1955" w:type="dxa"/>
            <w:vAlign w:val="center"/>
          </w:tcPr>
          <w:p w14:paraId="57DBD29F">
            <w:pPr>
              <w:keepNext/>
              <w:spacing w:before="20" w:after="20" w:line="240" w:lineRule="auto"/>
              <w:ind w:firstLine="0"/>
              <w:jc w:val="center"/>
            </w:pPr>
            <w:r>
              <w:rPr>
                <w:rFonts w:ascii="Times New Roman" w:hAnsi="Times New Roman" w:eastAsia="宋体"/>
                <w:b w:val="0"/>
                <w:color w:val="000000"/>
                <w:sz w:val="18"/>
              </w:rPr>
              <w:t>60</w:t>
            </w:r>
          </w:p>
        </w:tc>
      </w:tr>
      <w:tr w14:paraId="59BC69A0">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757" w:type="dxa"/>
            <w:vAlign w:val="center"/>
          </w:tcPr>
          <w:p w14:paraId="136BF5EF">
            <w:pPr>
              <w:spacing w:before="20" w:after="20" w:line="240" w:lineRule="auto"/>
              <w:ind w:firstLine="0"/>
              <w:jc w:val="center"/>
            </w:pPr>
            <w:r>
              <w:rPr>
                <w:rFonts w:hint="eastAsia" w:ascii="Times New Roman" w:hAnsi="Times New Roman" w:eastAsia="宋体"/>
                <w:b w:val="0"/>
                <w:color w:val="000000"/>
                <w:sz w:val="18"/>
              </w:rPr>
              <w:t>东北</w:t>
            </w:r>
          </w:p>
        </w:tc>
        <w:tc>
          <w:tcPr>
            <w:tcW w:w="1785" w:type="dxa"/>
            <w:vAlign w:val="center"/>
          </w:tcPr>
          <w:p w14:paraId="05CE4407">
            <w:pPr>
              <w:spacing w:before="20" w:after="20" w:line="240" w:lineRule="auto"/>
              <w:ind w:firstLine="0"/>
              <w:jc w:val="center"/>
            </w:pPr>
            <w:r>
              <w:rPr>
                <w:rFonts w:ascii="Times New Roman" w:hAnsi="Times New Roman" w:eastAsia="宋体"/>
                <w:b w:val="0"/>
                <w:color w:val="000000"/>
                <w:sz w:val="18"/>
              </w:rPr>
              <w:t>0.0156*</w:t>
            </w:r>
            <w:r>
              <w:rPr>
                <w:rFonts w:ascii="Times New Roman" w:hAnsi="Times New Roman" w:eastAsia="宋体"/>
                <w:b w:val="0"/>
                <w:color w:val="000000"/>
                <w:sz w:val="18"/>
              </w:rPr>
              <w:br w:type="textWrapping"/>
            </w:r>
            <w:r>
              <w:rPr>
                <w:rFonts w:ascii="Times New Roman" w:hAnsi="Times New Roman" w:eastAsia="宋体"/>
                <w:b w:val="0"/>
                <w:color w:val="000000"/>
                <w:sz w:val="18"/>
              </w:rPr>
              <w:t>(0.0095)</w:t>
            </w:r>
          </w:p>
        </w:tc>
        <w:tc>
          <w:tcPr>
            <w:tcW w:w="1785" w:type="dxa"/>
            <w:vAlign w:val="center"/>
          </w:tcPr>
          <w:p w14:paraId="0A107D55">
            <w:pPr>
              <w:spacing w:before="20" w:after="20" w:line="240" w:lineRule="auto"/>
              <w:ind w:firstLine="0"/>
              <w:jc w:val="center"/>
            </w:pPr>
            <w:r>
              <w:rPr>
                <w:rFonts w:ascii="Times New Roman" w:hAnsi="Times New Roman" w:eastAsia="宋体"/>
                <w:b w:val="0"/>
                <w:color w:val="000000"/>
                <w:sz w:val="18"/>
              </w:rPr>
              <w:t>0.0438**</w:t>
            </w:r>
            <w:r>
              <w:rPr>
                <w:rFonts w:ascii="Times New Roman" w:hAnsi="Times New Roman" w:eastAsia="宋体"/>
                <w:b w:val="0"/>
                <w:color w:val="000000"/>
                <w:sz w:val="18"/>
              </w:rPr>
              <w:br w:type="textWrapping"/>
            </w:r>
            <w:r>
              <w:rPr>
                <w:rFonts w:ascii="Times New Roman" w:hAnsi="Times New Roman" w:eastAsia="宋体"/>
                <w:b w:val="0"/>
                <w:color w:val="000000"/>
                <w:sz w:val="18"/>
              </w:rPr>
              <w:t>(0.0198)</w:t>
            </w:r>
          </w:p>
        </w:tc>
        <w:tc>
          <w:tcPr>
            <w:tcW w:w="1785" w:type="dxa"/>
            <w:vAlign w:val="center"/>
          </w:tcPr>
          <w:p w14:paraId="523D8404">
            <w:pPr>
              <w:spacing w:before="20" w:after="20" w:line="240" w:lineRule="auto"/>
              <w:ind w:firstLine="0"/>
              <w:jc w:val="center"/>
            </w:pPr>
            <w:r>
              <w:rPr>
                <w:rFonts w:ascii="Times New Roman" w:hAnsi="Times New Roman" w:eastAsia="宋体"/>
                <w:b w:val="0"/>
                <w:color w:val="000000"/>
                <w:sz w:val="18"/>
              </w:rPr>
              <w:t>0.0594**</w:t>
            </w:r>
            <w:r>
              <w:rPr>
                <w:rFonts w:ascii="Times New Roman" w:hAnsi="Times New Roman" w:eastAsia="宋体"/>
                <w:b w:val="0"/>
                <w:color w:val="000000"/>
                <w:sz w:val="18"/>
              </w:rPr>
              <w:br w:type="textWrapping"/>
            </w:r>
            <w:r>
              <w:rPr>
                <w:rFonts w:ascii="Times New Roman" w:hAnsi="Times New Roman" w:eastAsia="宋体"/>
                <w:b w:val="0"/>
                <w:color w:val="000000"/>
                <w:sz w:val="18"/>
              </w:rPr>
              <w:t>(0.0291)</w:t>
            </w:r>
          </w:p>
        </w:tc>
        <w:tc>
          <w:tcPr>
            <w:tcW w:w="1955" w:type="dxa"/>
            <w:vAlign w:val="center"/>
          </w:tcPr>
          <w:p w14:paraId="306E5D50">
            <w:pPr>
              <w:spacing w:before="20" w:after="20" w:line="240" w:lineRule="auto"/>
              <w:ind w:firstLine="0"/>
              <w:jc w:val="center"/>
            </w:pPr>
            <w:r>
              <w:rPr>
                <w:rFonts w:ascii="Times New Roman" w:hAnsi="Times New Roman" w:eastAsia="宋体"/>
                <w:b w:val="0"/>
                <w:color w:val="000000"/>
                <w:sz w:val="18"/>
              </w:rPr>
              <w:t>30</w:t>
            </w:r>
          </w:p>
        </w:tc>
      </w:tr>
    </w:tbl>
    <w:p w14:paraId="40F1D0DA">
      <w:pPr>
        <w:pStyle w:val="3"/>
        <w:spacing w:before="40" w:after="80" w:line="240" w:lineRule="auto"/>
        <w:ind w:firstLine="0"/>
        <w:jc w:val="both"/>
      </w:pPr>
      <w:r>
        <w:rPr>
          <w:rFonts w:hint="eastAsia" w:ascii="Times New Roman" w:hAnsi="Times New Roman" w:eastAsia="宋体"/>
          <w:color w:val="000000"/>
          <w:sz w:val="18"/>
        </w:rPr>
        <w:t>注：各分组模型纳入完整控制变量；括号内为标准误；***、**和*分别表示在1%、5%和10%水平显著。中部与东北结果受模型诊断和小样本限制，仅作探索性比较。</w:t>
      </w:r>
    </w:p>
    <w:p w14:paraId="7BFEE570">
      <w:r>
        <w:t>年度均值仅反映系数在时间维度上的平均水平，无法刻画同一年份内部各省份之间的差异。为补充空间维度下的空间分析，本文利用GTWR省级系数宽表考察核心解释变量及控制变量局部系数在省域层面的空间格局及其演化。总体来看，各变量局部系数的省际离散程度均较小，GTWR的非平稳性主要体现于时间维度，空间维度则表现为稳定的微弱南北梯度与个别变量的局部重排。</w:t>
      </w:r>
    </w:p>
    <w:p w14:paraId="33B4B3F1">
      <w:r>
        <w:t>核心解释变量R&amp;D的局部系数在省域间高度均匀。以2023年为例，全国31个省份的R&amp;D局部系数集中于0.007330至0.007333的极窄区间，极差仅0.000003，不足系数均值的0.05%，其中最高值出现在海南、最低值出现在新疆。尽管绝对离散程度很小，省份间的相对排序在样本期内保持稳定，呈现南方略高、东北与西北略低的微弱梯度，海南、广东、广西、福建等南方沿海省份的系数相对较高，黑龙江、吉林、辽宁等东北省份及新疆的系数相对较低。这一格局表明R&amp;D对CNTI的正向条件相关具有全国范围的普遍适用性，其强度仅随地区创新基础发生微弱变化，未出现明显的区域断层。R&amp;D系数的高度空间均匀性与前文SDM中R&amp;D直接、间接效应在全国层面稳健为正的结果相互印证，也说明研发投入并非仅在高创新禀赋地区才能转化为碳中和技术产出。</w:t>
      </w:r>
    </w:p>
    <w:p w14:paraId="7C8B6829">
      <w:r>
        <w:t>控制变量的局部系数同样以较小的省际离散为特征，但其相对梯度较R&amp;D更为清晰。工业化水平与产业结构高级化的局部系数在东北地区最低，黑龙江在全部样本年份均处于全国末位，华南与西南省份相对较高，2023年工业化水平系数在黑龙江为0.0618、在海南为0.0619。能源消耗强度的负向系数在新疆、黑龙江等西北与东北省份的绝对值更大，在海南等南方沿海省份的绝对值更小，2023年新疆系数为-0.8640、海南为-0.8637，表明高能耗生产方式对碳中和创新的抑制性关联在资源型和重工业集中地区相对突出。城镇化率的负向系数呈现西南最强、东北最弱的稳定梯度，2023年西藏系数为-2.6699、黑龙江为-2.6667。外商直接投资水平的负向系数在研究期前半段以海南最强、新疆最弱，至2023年空间排序发生重排，转为黑龙江最强、海南最弱。技术市场发展水平的局部系数省际差异极小，未呈现稳定的空间梯度。</w:t>
      </w:r>
    </w:p>
    <w:p w14:paraId="752F9F2F">
      <w:r>
        <w:rPr>
          <w:color w:val="auto"/>
        </w:rPr>
        <w:t>从空间格局的时间演化来看，多数变量的南北梯度在样本期内保持稳定，未出现明显的重心迁移或格局反转。对外开放程度与外商直接投资水平构成例外。对外开放程度在系数由负转正的同时，</w:t>
      </w:r>
      <w:r>
        <w:rPr>
          <w:rFonts w:hint="eastAsia"/>
          <w:color w:val="auto"/>
          <w:lang w:val="en-US" w:eastAsia="zh-CN"/>
        </w:rPr>
        <w:t>各省的排序同时发生了改变</w:t>
      </w:r>
      <w:r>
        <w:rPr>
          <w:color w:val="auto"/>
        </w:rPr>
        <w:t>，2014年海南与黑龙江分别处于最低与最高，2018年与2023年则转为新疆与西藏处于最高，与对外开放驱动效应由沿海向中西部扩散的路径相吻合。外商直接投资水平的负向效应强弱排序由前期以海南最强、新疆最弱，转为2023年以黑龙江最强、海南最弱，反映外资对低碳创新抑制性关联的空间重心出现由南方沿海向东北地区的转移。</w:t>
      </w:r>
    </w:p>
    <w:bookmarkEnd w:id="25"/>
    <w:p w14:paraId="5433ED64">
      <w:pPr>
        <w:pStyle w:val="5"/>
        <w:keepNext/>
        <w:keepLines/>
        <w:spacing w:before="160" w:after="80"/>
      </w:pPr>
      <w:bookmarkStart w:id="26" w:name="gtwr局部时空差异"/>
      <w:r>
        <w:rPr>
          <w:rFonts w:ascii="Times New Roman" w:hAnsi="Times New Roman" w:eastAsia="黑体"/>
          <w:b/>
          <w:color w:val="000000"/>
          <w:sz w:val="28"/>
        </w:rPr>
        <w:t>5.3.2 时间差异分析</w:t>
      </w:r>
    </w:p>
    <w:p w14:paraId="01ED8227">
      <w:pPr>
        <w:widowControl/>
        <w:spacing w:after="60"/>
        <w:rPr>
          <w:color w:val="auto"/>
        </w:rPr>
      </w:pPr>
      <w:r>
        <w:rPr>
          <w:color w:val="auto"/>
        </w:rPr>
        <w:t>为进一步考察局部系数的年度变化，本文计算各年份省域局部系数的平均水平。结果表明，不同因素的作用具有明显阶段性。</w:t>
      </w:r>
    </w:p>
    <w:p w14:paraId="45274587">
      <w:pPr>
        <w:widowControl/>
        <w:spacing w:before="0" w:after="60" w:line="360" w:lineRule="auto"/>
        <w:ind w:left="0" w:right="0" w:firstLine="420"/>
        <w:jc w:val="both"/>
        <w:rPr>
          <w:color w:val="auto"/>
        </w:rPr>
      </w:pPr>
      <w:r>
        <w:rPr>
          <w:color w:val="auto"/>
        </w:rPr>
        <w:t>R&amp;D 的年度平均局部系数始终为正，由 2014 年的 0.0085 上升至 2018 年的 0.0107，随后下降至 2023 年的 0.0073，说明研发投入与碳中和技术创新之间的正向条件关联在样本期内存在阶段性变化。前期研发体系持续完善，研发投入的创新关联不断增强；2018 年后局部系数逐步回落，表明其边际关联可能受到创新资源配置效率和成果转化条件变化的影响。</w:t>
      </w:r>
    </w:p>
    <w:p w14:paraId="28D7EAB2">
      <w:pPr>
        <w:pStyle w:val="3"/>
        <w:keepNext/>
        <w:spacing w:before="100" w:after="60"/>
        <w:ind w:firstLine="0"/>
        <w:jc w:val="center"/>
      </w:pPr>
      <w:r>
        <w:rPr>
          <w:rFonts w:hint="eastAsia" w:ascii="Times New Roman" w:hAnsi="Times New Roman" w:eastAsia="宋体"/>
          <w:b/>
          <w:bCs/>
          <w:color w:val="000000"/>
          <w:sz w:val="21"/>
        </w:rPr>
        <w:t>表13</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OLS、GWR与GTWR的模型表现</w:t>
      </w:r>
    </w:p>
    <w:tbl>
      <w:tblPr>
        <w:tblStyle w:val="11"/>
        <w:tblW w:w="0" w:type="auto"/>
        <w:jc w:val="center"/>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20"/>
        <w:gridCol w:w="1320"/>
        <w:gridCol w:w="1320"/>
        <w:gridCol w:w="1320"/>
        <w:gridCol w:w="1320"/>
        <w:gridCol w:w="1320"/>
      </w:tblGrid>
      <w:tr w14:paraId="1C21871B">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13" w:type="dxa"/>
            <w:tcBorders>
              <w:bottom w:val="single" w:color="7F8C8D" w:sz="6" w:space="0"/>
            </w:tcBorders>
            <w:shd w:val="clear" w:color="auto" w:fill="DCE6F1"/>
            <w:vAlign w:val="center"/>
          </w:tcPr>
          <w:p w14:paraId="544AE899">
            <w:pPr>
              <w:keepNext/>
              <w:spacing w:before="20" w:after="20" w:line="240" w:lineRule="auto"/>
              <w:ind w:firstLine="0"/>
              <w:jc w:val="center"/>
            </w:pPr>
            <w:r>
              <w:rPr>
                <w:rFonts w:hint="eastAsia" w:ascii="Times New Roman" w:hAnsi="Times New Roman" w:eastAsia="宋体"/>
                <w:b/>
                <w:color w:val="000000"/>
                <w:sz w:val="18"/>
              </w:rPr>
              <w:t>模型</w:t>
            </w:r>
          </w:p>
        </w:tc>
        <w:tc>
          <w:tcPr>
            <w:tcW w:w="1513" w:type="dxa"/>
            <w:tcBorders>
              <w:bottom w:val="single" w:color="7F8C8D" w:sz="6" w:space="0"/>
            </w:tcBorders>
            <w:shd w:val="clear" w:color="auto" w:fill="DCE6F1"/>
            <w:vAlign w:val="center"/>
          </w:tcPr>
          <w:p w14:paraId="198B0331">
            <w:pPr>
              <w:keepNext/>
              <w:spacing w:before="20" w:after="20" w:line="240" w:lineRule="auto"/>
              <w:ind w:firstLine="0"/>
              <w:jc w:val="center"/>
            </w:pPr>
            <w:r>
              <w:rPr>
                <w:rFonts w:ascii="Times New Roman" w:hAnsi="Times New Roman" w:eastAsia="宋体"/>
                <w:b/>
                <w:color w:val="000000"/>
                <w:sz w:val="18"/>
              </w:rPr>
              <w:t>R²</w:t>
            </w:r>
          </w:p>
        </w:tc>
        <w:tc>
          <w:tcPr>
            <w:tcW w:w="1513" w:type="dxa"/>
            <w:tcBorders>
              <w:bottom w:val="single" w:color="7F8C8D" w:sz="6" w:space="0"/>
            </w:tcBorders>
            <w:shd w:val="clear" w:color="auto" w:fill="DCE6F1"/>
            <w:vAlign w:val="center"/>
          </w:tcPr>
          <w:p w14:paraId="0681B5A2">
            <w:pPr>
              <w:keepNext/>
              <w:spacing w:before="20" w:after="20" w:line="240" w:lineRule="auto"/>
              <w:ind w:firstLine="0"/>
              <w:jc w:val="center"/>
            </w:pPr>
            <w:r>
              <w:rPr>
                <w:rFonts w:hint="eastAsia" w:ascii="Times New Roman" w:hAnsi="Times New Roman" w:eastAsia="宋体"/>
                <w:b/>
                <w:color w:val="000000"/>
                <w:sz w:val="18"/>
              </w:rPr>
              <w:t>调整后R²</w:t>
            </w:r>
          </w:p>
        </w:tc>
        <w:tc>
          <w:tcPr>
            <w:tcW w:w="1513" w:type="dxa"/>
            <w:tcBorders>
              <w:bottom w:val="single" w:color="7F8C8D" w:sz="6" w:space="0"/>
            </w:tcBorders>
            <w:shd w:val="clear" w:color="auto" w:fill="DCE6F1"/>
            <w:vAlign w:val="center"/>
          </w:tcPr>
          <w:p w14:paraId="36853EC5">
            <w:pPr>
              <w:keepNext/>
              <w:spacing w:before="20" w:after="20" w:line="240" w:lineRule="auto"/>
              <w:ind w:firstLine="0"/>
              <w:jc w:val="center"/>
            </w:pPr>
            <w:r>
              <w:rPr>
                <w:rFonts w:ascii="Times New Roman" w:hAnsi="Times New Roman" w:eastAsia="宋体"/>
                <w:b/>
                <w:color w:val="000000"/>
                <w:sz w:val="18"/>
              </w:rPr>
              <w:t>SSR</w:t>
            </w:r>
          </w:p>
        </w:tc>
        <w:tc>
          <w:tcPr>
            <w:tcW w:w="1513" w:type="dxa"/>
            <w:tcBorders>
              <w:bottom w:val="single" w:color="7F8C8D" w:sz="6" w:space="0"/>
            </w:tcBorders>
            <w:shd w:val="clear" w:color="auto" w:fill="DCE6F1"/>
            <w:vAlign w:val="center"/>
          </w:tcPr>
          <w:p w14:paraId="50E9A328">
            <w:pPr>
              <w:keepNext/>
              <w:spacing w:before="20" w:after="20" w:line="240" w:lineRule="auto"/>
              <w:ind w:firstLine="0"/>
              <w:jc w:val="center"/>
            </w:pPr>
            <w:r>
              <w:rPr>
                <w:rFonts w:ascii="Times New Roman" w:hAnsi="Times New Roman" w:eastAsia="宋体"/>
                <w:b/>
                <w:color w:val="000000"/>
                <w:sz w:val="18"/>
              </w:rPr>
              <w:t>MSE</w:t>
            </w:r>
          </w:p>
        </w:tc>
        <w:tc>
          <w:tcPr>
            <w:tcW w:w="1513" w:type="dxa"/>
            <w:tcBorders>
              <w:bottom w:val="single" w:color="7F8C8D" w:sz="6" w:space="0"/>
            </w:tcBorders>
            <w:shd w:val="clear" w:color="auto" w:fill="DCE6F1"/>
            <w:vAlign w:val="center"/>
          </w:tcPr>
          <w:p w14:paraId="03F80C11">
            <w:pPr>
              <w:keepNext/>
              <w:spacing w:before="20" w:after="20" w:line="240" w:lineRule="auto"/>
              <w:ind w:firstLine="0"/>
              <w:jc w:val="center"/>
            </w:pPr>
            <w:r>
              <w:rPr>
                <w:rFonts w:ascii="Times New Roman" w:hAnsi="Times New Roman" w:eastAsia="宋体"/>
                <w:b/>
                <w:color w:val="000000"/>
                <w:sz w:val="18"/>
              </w:rPr>
              <w:t>AICc</w:t>
            </w:r>
          </w:p>
        </w:tc>
      </w:tr>
      <w:tr w14:paraId="42CBCFFF">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3A586A04">
            <w:pPr>
              <w:keepNext/>
              <w:spacing w:before="20" w:after="20" w:line="240" w:lineRule="auto"/>
              <w:ind w:firstLine="0"/>
              <w:jc w:val="center"/>
            </w:pPr>
            <w:r>
              <w:rPr>
                <w:rFonts w:ascii="Times New Roman" w:hAnsi="Times New Roman" w:eastAsia="宋体"/>
                <w:b w:val="0"/>
                <w:color w:val="000000"/>
                <w:sz w:val="18"/>
              </w:rPr>
              <w:t>OLS</w:t>
            </w:r>
          </w:p>
        </w:tc>
        <w:tc>
          <w:tcPr>
            <w:tcW w:w="1513" w:type="dxa"/>
            <w:vAlign w:val="center"/>
          </w:tcPr>
          <w:p w14:paraId="64A43E6A">
            <w:pPr>
              <w:keepNext/>
              <w:spacing w:before="20" w:after="20" w:line="240" w:lineRule="auto"/>
              <w:ind w:firstLine="0"/>
              <w:jc w:val="center"/>
            </w:pPr>
            <w:r>
              <w:rPr>
                <w:rFonts w:ascii="Times New Roman" w:hAnsi="Times New Roman" w:eastAsia="宋体"/>
                <w:b w:val="0"/>
                <w:color w:val="000000"/>
                <w:sz w:val="18"/>
              </w:rPr>
              <w:t>0.8190</w:t>
            </w:r>
          </w:p>
        </w:tc>
        <w:tc>
          <w:tcPr>
            <w:tcW w:w="1513" w:type="dxa"/>
            <w:vAlign w:val="center"/>
          </w:tcPr>
          <w:p w14:paraId="1BDBC897">
            <w:pPr>
              <w:keepNext/>
              <w:spacing w:before="20" w:after="20" w:line="240" w:lineRule="auto"/>
              <w:ind w:firstLine="0"/>
              <w:jc w:val="center"/>
            </w:pPr>
            <w:r>
              <w:rPr>
                <w:rFonts w:ascii="Times New Roman" w:hAnsi="Times New Roman" w:eastAsia="宋体"/>
                <w:b w:val="0"/>
                <w:color w:val="000000"/>
                <w:sz w:val="18"/>
              </w:rPr>
              <w:t>0.8142</w:t>
            </w:r>
          </w:p>
        </w:tc>
        <w:tc>
          <w:tcPr>
            <w:tcW w:w="1513" w:type="dxa"/>
            <w:vAlign w:val="center"/>
          </w:tcPr>
          <w:p w14:paraId="38285610">
            <w:pPr>
              <w:keepNext/>
              <w:spacing w:before="20" w:after="20" w:line="240" w:lineRule="auto"/>
              <w:ind w:firstLine="0"/>
              <w:jc w:val="center"/>
            </w:pPr>
            <w:r>
              <w:rPr>
                <w:rFonts w:ascii="Times New Roman" w:hAnsi="Times New Roman" w:eastAsia="宋体"/>
                <w:b w:val="0"/>
                <w:color w:val="000000"/>
                <w:sz w:val="18"/>
              </w:rPr>
              <w:t>107.8076</w:t>
            </w:r>
          </w:p>
        </w:tc>
        <w:tc>
          <w:tcPr>
            <w:tcW w:w="1513" w:type="dxa"/>
            <w:vAlign w:val="center"/>
          </w:tcPr>
          <w:p w14:paraId="6BBA4F6C">
            <w:pPr>
              <w:keepNext/>
              <w:spacing w:before="20" w:after="20" w:line="240" w:lineRule="auto"/>
              <w:ind w:firstLine="0"/>
              <w:jc w:val="center"/>
            </w:pPr>
            <w:r>
              <w:rPr>
                <w:rFonts w:ascii="Times New Roman" w:hAnsi="Times New Roman" w:eastAsia="宋体"/>
                <w:b w:val="0"/>
                <w:color w:val="000000"/>
                <w:sz w:val="18"/>
              </w:rPr>
              <w:t>0.3478</w:t>
            </w:r>
          </w:p>
        </w:tc>
        <w:tc>
          <w:tcPr>
            <w:tcW w:w="1513" w:type="dxa"/>
            <w:vAlign w:val="center"/>
          </w:tcPr>
          <w:p w14:paraId="07769B66">
            <w:pPr>
              <w:keepNext/>
              <w:spacing w:before="20" w:after="20" w:line="240" w:lineRule="auto"/>
              <w:ind w:firstLine="0"/>
              <w:jc w:val="center"/>
            </w:pPr>
            <w:r>
              <w:rPr>
                <w:rFonts w:ascii="Times New Roman" w:hAnsi="Times New Roman" w:eastAsia="宋体"/>
                <w:b w:val="0"/>
                <w:color w:val="000000"/>
                <w:sz w:val="18"/>
              </w:rPr>
              <w:t>-308.83</w:t>
            </w:r>
          </w:p>
        </w:tc>
      </w:tr>
      <w:tr w14:paraId="54B39A38">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6A0645E4">
            <w:pPr>
              <w:keepNext/>
              <w:spacing w:before="20" w:after="20" w:line="240" w:lineRule="auto"/>
              <w:ind w:firstLine="0"/>
              <w:jc w:val="center"/>
            </w:pPr>
            <w:r>
              <w:rPr>
                <w:rFonts w:ascii="Times New Roman" w:hAnsi="Times New Roman" w:eastAsia="宋体"/>
                <w:b w:val="0"/>
                <w:color w:val="000000"/>
                <w:sz w:val="18"/>
              </w:rPr>
              <w:t>GWR</w:t>
            </w:r>
          </w:p>
        </w:tc>
        <w:tc>
          <w:tcPr>
            <w:tcW w:w="1513" w:type="dxa"/>
            <w:vAlign w:val="center"/>
          </w:tcPr>
          <w:p w14:paraId="28BC8349">
            <w:pPr>
              <w:keepNext/>
              <w:spacing w:before="20" w:after="20" w:line="240" w:lineRule="auto"/>
              <w:ind w:firstLine="0"/>
              <w:jc w:val="center"/>
            </w:pPr>
            <w:r>
              <w:rPr>
                <w:rFonts w:ascii="Times New Roman" w:hAnsi="Times New Roman" w:eastAsia="宋体"/>
                <w:b w:val="0"/>
                <w:color w:val="000000"/>
                <w:sz w:val="18"/>
              </w:rPr>
              <w:t>0.9681</w:t>
            </w:r>
          </w:p>
        </w:tc>
        <w:tc>
          <w:tcPr>
            <w:tcW w:w="1513" w:type="dxa"/>
            <w:vAlign w:val="center"/>
          </w:tcPr>
          <w:p w14:paraId="466E15E0">
            <w:pPr>
              <w:keepNext/>
              <w:spacing w:before="20" w:after="20" w:line="240" w:lineRule="auto"/>
              <w:ind w:firstLine="0"/>
              <w:jc w:val="center"/>
            </w:pPr>
            <w:r>
              <w:rPr>
                <w:rFonts w:ascii="Times New Roman" w:hAnsi="Times New Roman" w:eastAsia="宋体"/>
                <w:b w:val="0"/>
                <w:color w:val="000000"/>
                <w:sz w:val="18"/>
              </w:rPr>
              <w:t>0.9673</w:t>
            </w:r>
          </w:p>
        </w:tc>
        <w:tc>
          <w:tcPr>
            <w:tcW w:w="1513" w:type="dxa"/>
            <w:vAlign w:val="center"/>
          </w:tcPr>
          <w:p w14:paraId="3374C4DD">
            <w:pPr>
              <w:keepNext/>
              <w:spacing w:before="20" w:after="20" w:line="240" w:lineRule="auto"/>
              <w:ind w:firstLine="0"/>
              <w:jc w:val="center"/>
            </w:pPr>
            <w:r>
              <w:rPr>
                <w:rFonts w:ascii="Times New Roman" w:hAnsi="Times New Roman" w:eastAsia="宋体"/>
                <w:b w:val="0"/>
                <w:color w:val="000000"/>
                <w:sz w:val="18"/>
              </w:rPr>
              <w:t>18.9902</w:t>
            </w:r>
          </w:p>
        </w:tc>
        <w:tc>
          <w:tcPr>
            <w:tcW w:w="1513" w:type="dxa"/>
            <w:vAlign w:val="center"/>
          </w:tcPr>
          <w:p w14:paraId="1AD249C9">
            <w:pPr>
              <w:keepNext/>
              <w:spacing w:before="20" w:after="20" w:line="240" w:lineRule="auto"/>
              <w:ind w:firstLine="0"/>
              <w:jc w:val="center"/>
            </w:pPr>
            <w:r>
              <w:rPr>
                <w:rFonts w:ascii="Times New Roman" w:hAnsi="Times New Roman" w:eastAsia="宋体"/>
                <w:b w:val="0"/>
                <w:color w:val="000000"/>
                <w:sz w:val="18"/>
              </w:rPr>
              <w:t>0.0613</w:t>
            </w:r>
          </w:p>
        </w:tc>
        <w:tc>
          <w:tcPr>
            <w:tcW w:w="1513" w:type="dxa"/>
            <w:vAlign w:val="center"/>
          </w:tcPr>
          <w:p w14:paraId="7B2DEDFF">
            <w:pPr>
              <w:keepNext/>
              <w:spacing w:before="20" w:after="20" w:line="240" w:lineRule="auto"/>
              <w:ind w:firstLine="0"/>
              <w:jc w:val="center"/>
            </w:pPr>
            <w:r>
              <w:rPr>
                <w:rFonts w:ascii="Times New Roman" w:hAnsi="Times New Roman" w:eastAsia="宋体"/>
                <w:b w:val="0"/>
                <w:color w:val="000000"/>
                <w:sz w:val="18"/>
              </w:rPr>
              <w:t>208.13</w:t>
            </w:r>
          </w:p>
        </w:tc>
      </w:tr>
      <w:tr w14:paraId="24A19311">
        <w:tblPrEx>
          <w:tblBorders>
            <w:top w:val="single" w:color="666666" w:sz="10" w:space="0"/>
            <w:left w:val="none" w:color="auto" w:sz="0" w:space="0"/>
            <w:bottom w:val="single" w:color="666666"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13" w:type="dxa"/>
            <w:vAlign w:val="center"/>
          </w:tcPr>
          <w:p w14:paraId="79FA66BD">
            <w:pPr>
              <w:spacing w:before="20" w:after="20" w:line="240" w:lineRule="auto"/>
              <w:ind w:firstLine="0"/>
              <w:jc w:val="center"/>
            </w:pPr>
            <w:r>
              <w:rPr>
                <w:rFonts w:ascii="Times New Roman" w:hAnsi="Times New Roman" w:eastAsia="宋体"/>
                <w:b w:val="0"/>
                <w:color w:val="000000"/>
                <w:sz w:val="18"/>
              </w:rPr>
              <w:t>GTWR</w:t>
            </w:r>
          </w:p>
        </w:tc>
        <w:tc>
          <w:tcPr>
            <w:tcW w:w="1513" w:type="dxa"/>
            <w:vAlign w:val="center"/>
          </w:tcPr>
          <w:p w14:paraId="61A3B29F">
            <w:pPr>
              <w:spacing w:before="20" w:after="20" w:line="240" w:lineRule="auto"/>
              <w:ind w:firstLine="0"/>
              <w:jc w:val="center"/>
            </w:pPr>
            <w:r>
              <w:rPr>
                <w:rFonts w:ascii="Times New Roman" w:hAnsi="Times New Roman" w:eastAsia="宋体"/>
                <w:b w:val="0"/>
                <w:color w:val="000000"/>
                <w:sz w:val="18"/>
              </w:rPr>
              <w:t>0.8686</w:t>
            </w:r>
          </w:p>
        </w:tc>
        <w:tc>
          <w:tcPr>
            <w:tcW w:w="1513" w:type="dxa"/>
            <w:vAlign w:val="center"/>
          </w:tcPr>
          <w:p w14:paraId="4DEFED9E">
            <w:pPr>
              <w:spacing w:before="20" w:after="20" w:line="240" w:lineRule="auto"/>
              <w:ind w:firstLine="0"/>
              <w:jc w:val="center"/>
            </w:pPr>
            <w:r>
              <w:rPr>
                <w:rFonts w:ascii="Times New Roman" w:hAnsi="Times New Roman" w:eastAsia="宋体"/>
                <w:b w:val="0"/>
                <w:color w:val="000000"/>
                <w:sz w:val="18"/>
              </w:rPr>
              <w:t>0.8652</w:t>
            </w:r>
          </w:p>
        </w:tc>
        <w:tc>
          <w:tcPr>
            <w:tcW w:w="1513" w:type="dxa"/>
            <w:vAlign w:val="center"/>
          </w:tcPr>
          <w:p w14:paraId="4337371E">
            <w:pPr>
              <w:spacing w:before="20" w:after="20" w:line="240" w:lineRule="auto"/>
              <w:ind w:firstLine="0"/>
              <w:jc w:val="center"/>
            </w:pPr>
            <w:r>
              <w:rPr>
                <w:rFonts w:ascii="Times New Roman" w:hAnsi="Times New Roman" w:eastAsia="宋体"/>
                <w:b w:val="0"/>
                <w:color w:val="000000"/>
                <w:sz w:val="18"/>
              </w:rPr>
              <w:t>78.2547</w:t>
            </w:r>
          </w:p>
        </w:tc>
        <w:tc>
          <w:tcPr>
            <w:tcW w:w="1513" w:type="dxa"/>
            <w:vAlign w:val="center"/>
          </w:tcPr>
          <w:p w14:paraId="7F99013D">
            <w:pPr>
              <w:spacing w:before="20" w:after="20" w:line="240" w:lineRule="auto"/>
              <w:ind w:firstLine="0"/>
              <w:jc w:val="center"/>
            </w:pPr>
            <w:r>
              <w:rPr>
                <w:rFonts w:ascii="Times New Roman" w:hAnsi="Times New Roman" w:eastAsia="宋体"/>
                <w:b w:val="0"/>
                <w:color w:val="000000"/>
                <w:sz w:val="18"/>
              </w:rPr>
              <w:t>0.2524</w:t>
            </w:r>
          </w:p>
        </w:tc>
        <w:tc>
          <w:tcPr>
            <w:tcW w:w="1513" w:type="dxa"/>
            <w:vAlign w:val="center"/>
          </w:tcPr>
          <w:p w14:paraId="0F8DBE45">
            <w:pPr>
              <w:spacing w:before="20" w:after="20" w:line="240" w:lineRule="auto"/>
              <w:ind w:firstLine="0"/>
              <w:jc w:val="center"/>
            </w:pPr>
            <w:r>
              <w:rPr>
                <w:rFonts w:ascii="Times New Roman" w:hAnsi="Times New Roman" w:eastAsia="宋体"/>
                <w:b w:val="0"/>
                <w:color w:val="000000"/>
                <w:sz w:val="18"/>
              </w:rPr>
              <w:t>-408.15</w:t>
            </w:r>
          </w:p>
        </w:tc>
      </w:tr>
    </w:tbl>
    <w:p w14:paraId="2258FFA8">
      <w:pPr>
        <w:pStyle w:val="3"/>
        <w:spacing w:before="40" w:after="80" w:line="240" w:lineRule="auto"/>
        <w:ind w:firstLine="0"/>
        <w:jc w:val="both"/>
      </w:pPr>
      <w:r>
        <w:rPr>
          <w:rFonts w:hint="eastAsia" w:ascii="Times New Roman" w:hAnsi="Times New Roman" w:eastAsia="宋体"/>
          <w:color w:val="000000"/>
          <w:sz w:val="18"/>
        </w:rPr>
        <w:t>注：R²与残差指标偏向GWR，AICc偏向GTWR；模型评价指标口径不同，需按各自口径解释。</w:t>
      </w:r>
    </w:p>
    <w:p w14:paraId="491A4BF3">
      <w:pPr>
        <w:widowControl/>
        <w:spacing w:after="60"/>
        <w:rPr>
          <w:rFonts w:hint="default" w:eastAsia="宋体"/>
          <w:color w:val="auto"/>
          <w:lang w:val="en-US" w:eastAsia="zh-CN"/>
        </w:rPr>
      </w:pPr>
      <w:r>
        <w:rPr>
          <w:rFonts w:hint="eastAsia"/>
          <w:color w:val="auto"/>
        </w:rPr>
        <w:t>图5报告各变量GTWR局部系数的年度均值。R&amp;D年度平均局部系数在样本期内始终为正，由2014年的0.0085升至2018年的0.0107，随后回落至2023年的0.0073，表明其正向条件相关强度具有明显的时间变化。Energy、FDI和Urban的年度平均局部系数始终为负，其中FDI在2017年降至-12.90后于2021年回升至-4.45，Urban则总体持续下降；Open由2014年的-0.077转为2016年后的正值，并升至2023年的2.197。TMD保持正值且在2018年达到11.264后回落，ISU呈先降后升，IND则由较高正值持续趋近于0</w:t>
      </w:r>
      <w:r>
        <w:rPr>
          <w:rFonts w:hint="eastAsia"/>
          <w:color w:val="auto"/>
          <w:lang w:eastAsia="zh-CN"/>
        </w:rPr>
        <w:t>，</w:t>
      </w:r>
      <w:r>
        <w:rPr>
          <w:rFonts w:hint="eastAsia"/>
          <w:color w:val="auto"/>
          <w:lang w:val="en-US" w:eastAsia="zh-CN"/>
        </w:rPr>
        <w:t>这极大程度上支持了H3对年份差异的判断。</w:t>
      </w:r>
    </w:p>
    <w:p w14:paraId="5F027F1A">
      <w:pPr>
        <w:widowControl/>
        <w:spacing w:after="60"/>
        <w:rPr>
          <w:rFonts w:hint="eastAsia"/>
          <w:color w:val="auto"/>
        </w:rPr>
      </w:pPr>
      <w:r>
        <w:rPr>
          <w:rFonts w:hint="eastAsia"/>
          <w:color w:val="auto"/>
        </w:rPr>
        <w:t>总体而言，GTWR 表明研发投入的空间关联较为稳定，而不同因素的局部系数在时间维度上表现出更明显的非平稳性，说明碳中和技术创新的影响机制具有显著的阶段差异。</w:t>
      </w:r>
    </w:p>
    <w:p w14:paraId="52415A6D">
      <w:pPr>
        <w:keepLines/>
        <w:spacing w:before="80" w:after="60"/>
        <w:ind w:firstLine="0"/>
        <w:jc w:val="center"/>
      </w:pPr>
      <w:r>
        <w:drawing>
          <wp:inline distT="0" distB="0" distL="114300" distR="114300">
            <wp:extent cx="5759450" cy="3239770"/>
            <wp:effectExtent l="0" t="0" r="0" b="0"/>
            <wp:docPr id="56" name="Picture" descr="2014—2023年GTWR局部系数的年度均值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2014—2023年GTWR局部系数的年度均值变化"/>
                    <pic:cNvPicPr>
                      <a:picLocks noChangeAspect="1" noChangeArrowheads="1"/>
                    </pic:cNvPicPr>
                  </pic:nvPicPr>
                  <pic:blipFill>
                    <a:blip r:embed="rId13"/>
                    <a:stretch>
                      <a:fillRect/>
                    </a:stretch>
                  </pic:blipFill>
                  <pic:spPr>
                    <a:xfrm>
                      <a:off x="0" y="0"/>
                      <a:ext cx="5760000" cy="3239999"/>
                    </a:xfrm>
                    <a:prstGeom prst="rect">
                      <a:avLst/>
                    </a:prstGeom>
                    <a:noFill/>
                    <a:ln w="9525">
                      <a:noFill/>
                    </a:ln>
                  </pic:spPr>
                </pic:pic>
              </a:graphicData>
            </a:graphic>
          </wp:inline>
        </w:drawing>
      </w:r>
    </w:p>
    <w:p w14:paraId="03637F40">
      <w:pPr>
        <w:pStyle w:val="3"/>
        <w:keepNext w:val="0"/>
        <w:spacing w:before="40" w:after="100"/>
        <w:ind w:firstLine="0"/>
        <w:jc w:val="center"/>
      </w:pPr>
      <w:r>
        <w:rPr>
          <w:rFonts w:hint="eastAsia" w:ascii="Times New Roman" w:hAnsi="Times New Roman" w:eastAsia="宋体"/>
          <w:b/>
          <w:bCs/>
          <w:color w:val="000000"/>
          <w:sz w:val="21"/>
        </w:rPr>
        <w:t>图5</w:t>
      </w:r>
      <w:r>
        <w:rPr>
          <w:rFonts w:ascii="Times New Roman" w:hAnsi="Times New Roman" w:eastAsia="宋体"/>
          <w:b/>
          <w:bCs/>
          <w:color w:val="000000"/>
          <w:sz w:val="21"/>
        </w:rPr>
        <w:t xml:space="preserve"> </w:t>
      </w:r>
      <w:r>
        <w:rPr>
          <w:rFonts w:hint="eastAsia" w:ascii="Times New Roman" w:hAnsi="Times New Roman" w:eastAsia="宋体"/>
          <w:b/>
          <w:bCs/>
          <w:color w:val="000000"/>
          <w:sz w:val="21"/>
        </w:rPr>
        <w:t>2014—2023年GTWR局部系数的年度均值变化</w:t>
      </w:r>
    </w:p>
    <w:bookmarkEnd w:id="19"/>
    <w:bookmarkEnd w:id="26"/>
    <w:p w14:paraId="509FBFA3">
      <w:pPr>
        <w:pStyle w:val="2"/>
        <w:keepNext/>
        <w:keepLines/>
        <w:spacing w:before="160" w:after="80"/>
        <w:ind w:firstLine="0"/>
      </w:pPr>
      <w:bookmarkStart w:id="27" w:name="结论政策启示与研究展望"/>
      <w:r>
        <w:rPr>
          <w:rFonts w:ascii="Times New Roman" w:hAnsi="Times New Roman" w:eastAsia="黑体"/>
          <w:b/>
          <w:color w:val="000000"/>
          <w:sz w:val="32"/>
        </w:rPr>
        <w:t xml:space="preserve">6 </w:t>
      </w:r>
      <w:r>
        <w:rPr>
          <w:rFonts w:hint="eastAsia" w:ascii="Times New Roman" w:hAnsi="Times New Roman" w:eastAsia="黑体"/>
          <w:b/>
          <w:color w:val="000000"/>
          <w:sz w:val="32"/>
        </w:rPr>
        <w:t>结论、政策启示与研究展望</w:t>
      </w:r>
    </w:p>
    <w:p w14:paraId="35EFB0BB">
      <w:pPr>
        <w:pStyle w:val="4"/>
        <w:keepNext/>
        <w:keepLines/>
        <w:spacing w:before="160" w:after="80"/>
        <w:ind w:firstLine="0"/>
        <w:rPr>
          <w:rFonts w:hint="default" w:eastAsia="黑体"/>
          <w:lang w:val="en-US" w:eastAsia="zh-CN"/>
        </w:rPr>
      </w:pPr>
      <w:bookmarkStart w:id="28" w:name="主要结论"/>
      <w:r>
        <w:rPr>
          <w:rFonts w:ascii="Times New Roman" w:hAnsi="Times New Roman" w:eastAsia="黑体"/>
          <w:b/>
          <w:color w:val="000000"/>
          <w:sz w:val="28"/>
        </w:rPr>
        <w:t xml:space="preserve">6.1 </w:t>
      </w:r>
      <w:r>
        <w:rPr>
          <w:rFonts w:hint="eastAsia" w:ascii="Times New Roman" w:hAnsi="Times New Roman" w:eastAsia="黑体"/>
          <w:b/>
          <w:color w:val="000000"/>
          <w:sz w:val="28"/>
        </w:rPr>
        <w:t>主要结论</w:t>
      </w:r>
      <w:r>
        <w:rPr>
          <w:rFonts w:hint="eastAsia"/>
          <w:b/>
          <w:color w:val="000000"/>
          <w:sz w:val="28"/>
          <w:lang w:val="en-US" w:eastAsia="zh-CN"/>
        </w:rPr>
        <w:t>结论与讨论</w:t>
      </w:r>
    </w:p>
    <w:bookmarkEnd w:id="28"/>
    <w:p w14:paraId="3C013F01">
      <w:pPr>
        <w:bidi w:val="0"/>
      </w:pPr>
      <w:bookmarkStart w:id="29" w:name="政策启示"/>
      <w:r>
        <w:t>基于2014—2023年中国大陆31个省级地区数据，本文从创新状态演化、空间溢出及局部时空差异三个层面考察了R&amp;D投入与碳中和技术创新之间的关系。研究表明，中国省域碳中和技术创新并非相互独立，而是同时表现出显著的空间关联与较强的路径依赖，低、中、高创新状态均具有较高的持续性，短期内跨越式跃迁较为困难；进一步引入邻域状态后，中等创新水平地区在较高创新水平邻域中向上跃迁的可能性明显提高，而向下转移的可能性降低，说明区域创新环境不仅与同期空间集聚相关，也与地区创新状态的动态演化相伴。这一发现与既有研究关于低碳技术网络和技术路径累积性的结论相一致（Hu et al. 2023; You and Teirlinck 2024），同时将已有的静态空间关联进一步拓展至邻域条件下的状态跃迁。进一步的空间计量结果显示，R&amp;D投入不仅与本地碳中和技术创新显著正相关，而且产生了更为突出的跨区域正向溢出，其间接效应大于直接效应，表明研发活动形成的知识收益能够通过跨地区创新联系突破行政边界，与知识非排他性、地理知识扩散及创新网络理论的预期一致（Jaffe et al. 1993; Aghion and Jaravel 2015）。值得注意的是，这种空间收益具有明显的创新阶段边界：以专利申请衡量创新活跃度时，R&amp;D的直接、间接和总体效应均表现为正，而采用发明专利授权衡量创新产出后，本地效应仍为正，跨区域效应却转为负，总体效应不再显著。这意味着跨省研发网络更容易扩大技术创新的参与范围和知识产出机会，但这种优势并不会自动转化为其他地区更高质量的授权成果，研发合作的知识扩散与最终成果转化之间仍存在明显落差。与此同时，GTWR结果进一步表明，R&amp;D与碳中和技术创新之间的正向关系在省际空间上总体较为稳定，其非平稳性更多体现于时间维度，年度平均局部效应在2018年前后达到相对高位后逐渐回落。综合来看，本文的核心发现并非仅在于确认“增加R&amp;D能够促进碳中和技术创新”，而在于揭示这一作用嵌入区域创新网络并受到既有创新状态、邻域环境、创新阶段和时期条件的共同约束，从而表明碳中和技术创新政策需要由单纯强调本地研发投入，进一步转向关注跨区域知识扩散、薄弱地区吸收能力以及从创新参与到高质量成果转化的完整创新链条。</w:t>
      </w:r>
    </w:p>
    <w:p w14:paraId="503BC223">
      <w:pPr>
        <w:pStyle w:val="4"/>
        <w:keepNext/>
        <w:keepLines/>
        <w:spacing w:before="160" w:after="80"/>
        <w:ind w:firstLine="0"/>
      </w:pPr>
      <w:r>
        <w:rPr>
          <w:rFonts w:ascii="Times New Roman" w:hAnsi="Times New Roman" w:eastAsia="黑体"/>
          <w:b/>
          <w:color w:val="000000"/>
          <w:sz w:val="28"/>
        </w:rPr>
        <w:t xml:space="preserve">6.2 </w:t>
      </w:r>
      <w:r>
        <w:rPr>
          <w:rFonts w:hint="eastAsia" w:ascii="Times New Roman" w:hAnsi="Times New Roman" w:eastAsia="黑体"/>
          <w:b/>
          <w:color w:val="000000"/>
          <w:sz w:val="28"/>
        </w:rPr>
        <w:t>政策启示</w:t>
      </w:r>
    </w:p>
    <w:p w14:paraId="1D7B848E">
      <w:pPr>
        <w:widowControl/>
        <w:spacing w:before="0" w:after="60" w:line="360" w:lineRule="auto"/>
        <w:ind w:left="0" w:right="0" w:firstLine="420"/>
        <w:jc w:val="both"/>
      </w:pPr>
      <w:r>
        <w:rPr>
          <w:rFonts w:hint="eastAsia" w:ascii="Times New Roman" w:hAnsi="Times New Roman" w:eastAsia="宋体"/>
          <w:color w:val="000000"/>
          <w:sz w:val="21"/>
        </w:rPr>
        <w:t>第一，推动碳中和技术研发由分散布局转向跨区域协同。研究发现，一地研发投入形成的创新收益往往会越过行政边界，因此，科技资源的配置不宜局限于本地项目和本地成果。对于需要长期试验、工程验证和多地应用的碳中和技术，可由研发基础较好的地区牵头，与具有产业配套或应用场景的地区共同建设试验与成果转化平台，逐步开放仪器设备、试验数据和验证条件，并在项目启动阶段明确成果使用和收益分享规则。项目评价也应从关注牵头地区“产出了多少”，延伸到考察合作地区“获得了什么”，尤其关注相关技术能否被当地吸收、应用并继续改进，使跨省合作逐渐沉淀为稳定的知识流动和持续的创新能力。</w:t>
      </w:r>
    </w:p>
    <w:p w14:paraId="17742CA5">
      <w:pPr>
        <w:widowControl/>
        <w:spacing w:before="0" w:after="60" w:line="360" w:lineRule="auto"/>
        <w:ind w:left="0" w:right="0" w:firstLine="420"/>
        <w:jc w:val="both"/>
      </w:pPr>
      <w:r>
        <w:rPr>
          <w:rFonts w:hint="eastAsia" w:ascii="Times New Roman" w:hAnsi="Times New Roman" w:eastAsia="宋体"/>
          <w:color w:val="000000"/>
          <w:sz w:val="21"/>
        </w:rPr>
        <w:t>第二，把扶持重点从增加短期项目转向培育薄弱地区的长期能力。研究发现，创新基础相对薄弱的地区往往较长时间停留在原有水平，零散、短期的资金投入难以弥补其在人才、设施和成果转化条件上的累积差距。财政支持应保持必要的连续性，优先改善公共试验条件，培养能够连接科研机构与企业的专业队伍，并为技术验证和落地应用提供稳定服务。基础较好的地区可与薄弱地区建立长期合作关系，通过共同培养人才、开放仪器设备、联合开展试验和共享应用场景，使跨区域合作延伸到技术学习和能力积累。对于已经具备一定基础、正处于提升阶段的地区，还可适当增加其参与重大项目和承接科技成果的机会，推动外部知识在当地被吸收、应用和继续改进，逐步打破创新基础薄弱与发展机会不足相互交织的循环。</w:t>
      </w:r>
    </w:p>
    <w:p w14:paraId="4945A588">
      <w:pPr>
        <w:widowControl/>
        <w:spacing w:before="0" w:after="60" w:line="360" w:lineRule="auto"/>
        <w:ind w:left="0" w:right="0" w:firstLine="420"/>
        <w:jc w:val="both"/>
      </w:pPr>
      <w:r>
        <w:rPr>
          <w:rFonts w:hint="eastAsia" w:ascii="Times New Roman" w:hAnsi="Times New Roman" w:eastAsia="宋体"/>
          <w:color w:val="000000"/>
          <w:sz w:val="21"/>
        </w:rPr>
        <w:t>第三，建立贯通专利申请、授权和应用的全过程评价。研究发现，研发投入与专利申请、发明授权之间的跨区域关联并不相同，技术探索是否活跃与发明成果能否获得授权需要分别观察。科技计划和地方创新考核可适当降低申请数量的单独权重，延长项目观察期限，持续跟踪申请能否获得授权、授权成果是否得到维护和许可，以及相关技术能否进入示范应用；对于已经投入使用的成果，还可结合实际减排表现评价其公共价值。跨省合作项目应在立项之初明确专利归属、使用权限和收益分享方式，让参与地区对成果的继续开发和应用形成稳定预期。这样的评价体系既能识别公共研发投入是否扩大了技术探索，也能判断其能否进一步形成可持续使用和转化的成果，并减少地方围绕短期数量指标配置资源的冲动。</w:t>
      </w:r>
    </w:p>
    <w:p w14:paraId="1BD048E4">
      <w:pPr>
        <w:widowControl/>
        <w:spacing w:before="0" w:after="60" w:line="360" w:lineRule="auto"/>
        <w:ind w:left="0" w:right="0" w:firstLine="420"/>
        <w:jc w:val="both"/>
      </w:pPr>
      <w:r>
        <w:rPr>
          <w:rFonts w:hint="eastAsia" w:ascii="Times New Roman" w:hAnsi="Times New Roman" w:eastAsia="宋体"/>
          <w:color w:val="000000"/>
          <w:sz w:val="21"/>
        </w:rPr>
        <w:t>第四，根据不同地区的发展基础实行有侧重的支持政策。东部地区研发资源和创新主体较为集中，政策重点可放在开放试验条件、促进技术许可和加强产业链协作，使中心地区形成的知识与技术更顺畅地进入周边地区，同时持续观察新增资源是否进一步集中于少数城市和机构。中部和东北可依托制造业基础与既有科研力量，选择具备比较优势的技术方向开展省际合作；现有区域结果主要提供方向性参考，相关安排宜从小规模试点起步，根据实际成效逐步调整。西部地区更需要先改善科研设施、专业人才、应用场景和成果转化服务，为新增研发投入形成稳定产出创造条件。区域支持政策应随各地能力积累和合作成效动态调整，使差异化安排既回应现实基础，也为相对薄弱地区保留持续提升的空间。</w:t>
      </w:r>
    </w:p>
    <w:p w14:paraId="772DEE33">
      <w:pPr>
        <w:widowControl/>
        <w:spacing w:before="0" w:after="60" w:line="360" w:lineRule="auto"/>
        <w:ind w:left="0" w:right="0" w:firstLine="420"/>
        <w:jc w:val="both"/>
      </w:pPr>
      <w:r>
        <w:rPr>
          <w:rFonts w:hint="eastAsia" w:ascii="Times New Roman" w:hAnsi="Times New Roman" w:eastAsia="宋体"/>
          <w:color w:val="000000"/>
          <w:sz w:val="21"/>
        </w:rPr>
        <w:t>第五，使科技政策建立在持续、可追踪的证据之上。碳中和技术从研发投入到专利形成，再到许可、示范和减排应用，往往跨越较长时期，也涉及多个地区和主体。省级科技统计可逐步打通研发项目、专利成果、技术交易和示范工程等信息，持续记录合作主体、成果流向和后续应用情况，形成覆盖项目全过程的长期资料。年度评估既要观察各地技术创新活跃度的变化，也要关注哪些地区长期缺少提升、哪些跨省合作未形成后续成果，以及申请增长能否延续至授权和应用环节。监测结果应及时反馈到项目续期、资金调整和区域合作安排之中；对于涉及较大规模资源重新配置的政策，可先通过分阶段试点检验实际成效。由此，政策调整能够从对短期数量变化的被动反应，逐步转向对长期能力和区域协同的持续培育。</w:t>
      </w:r>
    </w:p>
    <w:bookmarkEnd w:id="29"/>
    <w:p w14:paraId="275E48A9">
      <w:pPr>
        <w:pStyle w:val="4"/>
        <w:keepNext/>
        <w:keepLines/>
        <w:spacing w:before="160" w:after="80"/>
        <w:ind w:firstLine="0"/>
      </w:pPr>
      <w:bookmarkStart w:id="30" w:name="研究展望"/>
      <w:r>
        <w:rPr>
          <w:rFonts w:ascii="Times New Roman" w:hAnsi="Times New Roman" w:eastAsia="黑体"/>
          <w:b/>
          <w:color w:val="000000"/>
          <w:sz w:val="28"/>
        </w:rPr>
        <w:t xml:space="preserve">6.3 </w:t>
      </w:r>
      <w:r>
        <w:rPr>
          <w:rFonts w:hint="eastAsia" w:ascii="Times New Roman" w:hAnsi="Times New Roman" w:eastAsia="黑体"/>
          <w:b/>
          <w:color w:val="000000"/>
          <w:sz w:val="28"/>
        </w:rPr>
        <w:t>研究展望</w:t>
      </w:r>
    </w:p>
    <w:p w14:paraId="4840DCDE">
      <w:pPr>
        <w:widowControl/>
        <w:spacing w:before="0" w:after="60" w:line="360" w:lineRule="auto"/>
        <w:ind w:left="0" w:right="0" w:firstLine="420"/>
        <w:jc w:val="both"/>
      </w:pPr>
      <w:r>
        <w:rPr>
          <w:rFonts w:hint="eastAsia" w:ascii="Times New Roman" w:hAnsi="Times New Roman" w:eastAsia="宋体"/>
          <w:color w:val="000000"/>
          <w:sz w:val="21"/>
        </w:rPr>
        <w:t>本文识别了研发投入与省域碳中和技术创新之间的系统关联，但现有证据仍以条件相关为主，具体传导过程有待进一步辨析。未来可结合碳排放交易、科技金融试点和区域创新政策的分步实施，利用不同地区进入政策的时间差异，比较政策实施前后的研发投入与创新变化，为二者关系提供更严格的因果证据，并进一步考察联合研发、人才流动、技术交易和产业链协作在地区之间发挥的传递作用。对技术成果的观察也可从专利申请延伸至更长的生命周期，将发明授权、持续维护、许可使用、示范应用和减排表现衔接起来，分别刻画技术探索、发明产出与实际应用。随着跨地区合作资料逐步完善，研究还可依据联合申请、专利引用和技术交易等实际往来描绘地区间联系，使知识流动的方向和范围得到更贴近现实的呈现。</w:t>
      </w:r>
    </w:p>
    <w:p w14:paraId="422B40FE">
      <w:pPr>
        <w:widowControl/>
        <w:spacing w:before="0" w:after="60" w:line="360" w:lineRule="auto"/>
        <w:ind w:left="0" w:right="0" w:firstLine="420"/>
        <w:jc w:val="both"/>
      </w:pPr>
      <w:r>
        <w:rPr>
          <w:rFonts w:hint="eastAsia" w:ascii="Times New Roman" w:hAnsi="Times New Roman" w:eastAsia="宋体"/>
          <w:color w:val="000000"/>
          <w:sz w:val="21"/>
        </w:rPr>
        <w:t>省级尺度有助于把握全国整体联系，但难以充分呈现城市、企业和科研机构之间更具体的合作路径。未来可将研究下沉到城市、城市群或重点经济带，结合企业、高校、科研机构及项目合作资料，观察研发资源如何在不同主体之间流动，同时增加区域比较所需的样本，缓解部分地区样本较少带来的结果不稳定。随着观察期延长，还可持续跟踪2018年前后研发投入与技术创新关联强度的变化，判断这种变化主要由少数创新中心推动，还是广泛出现于不同类型地区。对地区差异的研究也应加强数据质量和结果可靠性检验，完整记录地区联系的构造过程，清楚区分长期趋势、短期波动和个别异常观测。相关扩展可以把本文呈现的全国平均联系落实到更具体的区域、主体和政策情境，为解释碳中和技术创新为何在不同地方呈现不同的发展轨迹提供更充分的证据。</w:t>
      </w:r>
    </w:p>
    <w:bookmarkEnd w:id="27"/>
    <w:bookmarkEnd w:id="30"/>
    <w:p w14:paraId="59F2B734">
      <w:pPr>
        <w:pStyle w:val="2"/>
        <w:keepNext/>
        <w:keepLines/>
        <w:spacing w:before="160" w:after="80"/>
        <w:ind w:firstLine="0"/>
      </w:pPr>
      <w:bookmarkStart w:id="31" w:name="参考文献"/>
      <w:r>
        <w:rPr>
          <w:rFonts w:hint="eastAsia" w:ascii="Times New Roman" w:hAnsi="Times New Roman" w:eastAsia="黑体"/>
          <w:b/>
          <w:color w:val="000000"/>
          <w:sz w:val="32"/>
        </w:rPr>
        <w:t>参考文献</w:t>
      </w:r>
    </w:p>
    <w:p w14:paraId="5D1DA0C1">
      <w:pPr>
        <w:pStyle w:val="3"/>
        <w:keepLines/>
        <w:spacing w:before="0" w:after="60" w:line="276" w:lineRule="auto"/>
        <w:ind w:left="420" w:hanging="420"/>
        <w:jc w:val="left"/>
      </w:pPr>
      <w:r>
        <w:rPr>
          <w:rFonts w:ascii="Times New Roman" w:hAnsi="Times New Roman" w:eastAsia="宋体"/>
          <w:i w:val="0"/>
          <w:color w:val="000000"/>
          <w:sz w:val="19"/>
        </w:rPr>
        <w:t xml:space="preserve">Acemoglu D, Aghion P, Bursztyn L, Hemous D (2012) The environment and directed technical change. </w:t>
      </w:r>
      <w:r>
        <w:rPr>
          <w:rFonts w:ascii="Times New Roman" w:hAnsi="Times New Roman" w:eastAsia="宋体"/>
          <w:i/>
          <w:color w:val="000000"/>
          <w:sz w:val="19"/>
        </w:rPr>
        <w:t>Am Econ Rev</w:t>
      </w:r>
      <w:r>
        <w:rPr>
          <w:rFonts w:ascii="Times New Roman" w:hAnsi="Times New Roman" w:eastAsia="宋体"/>
          <w:i w:val="0"/>
          <w:color w:val="000000"/>
          <w:sz w:val="19"/>
        </w:rPr>
        <w:t xml:space="preserve"> 102:131–166. https://doi.org/10.1257/aer.102.1.131</w:t>
      </w:r>
    </w:p>
    <w:p w14:paraId="444B5BE5">
      <w:pPr>
        <w:keepLines/>
        <w:spacing w:before="0" w:after="60" w:line="276" w:lineRule="auto"/>
        <w:ind w:left="420" w:hanging="420"/>
        <w:jc w:val="left"/>
      </w:pPr>
      <w:r>
        <w:rPr>
          <w:rFonts w:ascii="Times New Roman" w:hAnsi="Times New Roman" w:eastAsia="宋体"/>
          <w:i w:val="0"/>
          <w:color w:val="000000"/>
          <w:sz w:val="19"/>
        </w:rPr>
        <w:t xml:space="preserve">Acs ZJ, Anselin L, Varga A (2002) Patents and innovation counts as measures of regional production of new knowledge. </w:t>
      </w:r>
      <w:r>
        <w:rPr>
          <w:rFonts w:ascii="Times New Roman" w:hAnsi="Times New Roman" w:eastAsia="宋体"/>
          <w:i/>
          <w:color w:val="000000"/>
          <w:sz w:val="19"/>
        </w:rPr>
        <w:t>Res Policy</w:t>
      </w:r>
      <w:r>
        <w:rPr>
          <w:rFonts w:ascii="Times New Roman" w:hAnsi="Times New Roman" w:eastAsia="宋体"/>
          <w:i w:val="0"/>
          <w:color w:val="000000"/>
          <w:sz w:val="19"/>
        </w:rPr>
        <w:t xml:space="preserve"> 31:1069–1085. https://doi.org/10.1016/S0048-7333(01)00184-6</w:t>
      </w:r>
    </w:p>
    <w:p w14:paraId="5E13D122">
      <w:pPr>
        <w:pStyle w:val="3"/>
        <w:keepLines/>
        <w:spacing w:before="0" w:after="60" w:line="276" w:lineRule="auto"/>
        <w:ind w:left="420" w:hanging="420"/>
        <w:jc w:val="left"/>
      </w:pPr>
      <w:r>
        <w:rPr>
          <w:rFonts w:ascii="Times New Roman" w:hAnsi="Times New Roman" w:eastAsia="宋体"/>
          <w:i w:val="0"/>
          <w:color w:val="000000"/>
          <w:sz w:val="19"/>
        </w:rPr>
        <w:t xml:space="preserve">Aghion P, Jaravel X (2015) Knowledge spillovers, innovation and growth. </w:t>
      </w:r>
      <w:r>
        <w:rPr>
          <w:rFonts w:ascii="Times New Roman" w:hAnsi="Times New Roman" w:eastAsia="宋体"/>
          <w:i/>
          <w:color w:val="000000"/>
          <w:sz w:val="19"/>
        </w:rPr>
        <w:t>Econ J</w:t>
      </w:r>
      <w:r>
        <w:rPr>
          <w:rFonts w:ascii="Times New Roman" w:hAnsi="Times New Roman" w:eastAsia="宋体"/>
          <w:i w:val="0"/>
          <w:color w:val="000000"/>
          <w:sz w:val="19"/>
        </w:rPr>
        <w:t xml:space="preserve"> 125:533–573. https://doi.org/10.1111/ecoj.12199</w:t>
      </w:r>
    </w:p>
    <w:p w14:paraId="213C4D12">
      <w:pPr>
        <w:pStyle w:val="3"/>
        <w:keepLines/>
        <w:spacing w:before="0" w:after="60" w:line="276" w:lineRule="auto"/>
        <w:ind w:left="420" w:hanging="420"/>
        <w:jc w:val="left"/>
      </w:pPr>
      <w:r>
        <w:rPr>
          <w:rFonts w:ascii="Times New Roman" w:hAnsi="Times New Roman" w:eastAsia="宋体"/>
          <w:i w:val="0"/>
          <w:color w:val="000000"/>
          <w:sz w:val="19"/>
        </w:rPr>
        <w:t xml:space="preserve">Anselin L (1995) Local indicators of spatial association—LISA. </w:t>
      </w:r>
      <w:r>
        <w:rPr>
          <w:rFonts w:ascii="Times New Roman" w:hAnsi="Times New Roman" w:eastAsia="宋体"/>
          <w:i/>
          <w:color w:val="000000"/>
          <w:sz w:val="19"/>
        </w:rPr>
        <w:t>Geogr Anal</w:t>
      </w:r>
      <w:r>
        <w:rPr>
          <w:rFonts w:ascii="Times New Roman" w:hAnsi="Times New Roman" w:eastAsia="宋体"/>
          <w:i w:val="0"/>
          <w:color w:val="000000"/>
          <w:sz w:val="19"/>
        </w:rPr>
        <w:t xml:space="preserve"> 27:93–115. https://doi.org/10.1111/j.1538-4632.1995.tb00338.x</w:t>
      </w:r>
    </w:p>
    <w:p w14:paraId="75640B4E">
      <w:pPr>
        <w:pStyle w:val="3"/>
        <w:keepLines/>
        <w:spacing w:before="0" w:after="60" w:line="276" w:lineRule="auto"/>
        <w:ind w:left="420" w:hanging="420"/>
        <w:jc w:val="left"/>
      </w:pPr>
      <w:r>
        <w:rPr>
          <w:rFonts w:ascii="Times New Roman" w:hAnsi="Times New Roman" w:eastAsia="宋体"/>
          <w:i w:val="0"/>
          <w:color w:val="000000"/>
          <w:sz w:val="19"/>
        </w:rPr>
        <w:t xml:space="preserve">Audretsch DB, Feldman MP (1996) R&amp;D spillovers and the geography of innovation and production. </w:t>
      </w:r>
      <w:r>
        <w:rPr>
          <w:rFonts w:ascii="Times New Roman" w:hAnsi="Times New Roman" w:eastAsia="宋体"/>
          <w:i/>
          <w:color w:val="000000"/>
          <w:sz w:val="19"/>
        </w:rPr>
        <w:t>Am Econ Rev</w:t>
      </w:r>
      <w:r>
        <w:rPr>
          <w:rFonts w:ascii="Times New Roman" w:hAnsi="Times New Roman" w:eastAsia="宋体"/>
          <w:i w:val="0"/>
          <w:color w:val="000000"/>
          <w:sz w:val="19"/>
        </w:rPr>
        <w:t xml:space="preserve"> 86:630–640.</w:t>
      </w:r>
    </w:p>
    <w:p w14:paraId="72A40FFF">
      <w:pPr>
        <w:pStyle w:val="3"/>
        <w:keepLines/>
        <w:spacing w:before="0" w:after="60" w:line="276" w:lineRule="auto"/>
        <w:ind w:left="420" w:hanging="420"/>
        <w:jc w:val="left"/>
      </w:pPr>
      <w:r>
        <w:rPr>
          <w:rFonts w:ascii="Times New Roman" w:hAnsi="Times New Roman" w:eastAsia="宋体"/>
          <w:i w:val="0"/>
          <w:color w:val="000000"/>
          <w:sz w:val="19"/>
        </w:rPr>
        <w:t xml:space="preserve">Bai Y, Song S, Jiao J, Yang R (2019) The impacts of government R&amp;D subsidies on green innovation: Evidence from Chinese energy-intensive firms. </w:t>
      </w:r>
      <w:r>
        <w:rPr>
          <w:rFonts w:ascii="Times New Roman" w:hAnsi="Times New Roman" w:eastAsia="宋体"/>
          <w:i/>
          <w:color w:val="000000"/>
          <w:sz w:val="19"/>
        </w:rPr>
        <w:t>J Clean Prod</w:t>
      </w:r>
      <w:r>
        <w:rPr>
          <w:rFonts w:ascii="Times New Roman" w:hAnsi="Times New Roman" w:eastAsia="宋体"/>
          <w:i w:val="0"/>
          <w:color w:val="000000"/>
          <w:sz w:val="19"/>
        </w:rPr>
        <w:t xml:space="preserve"> 233:819–829. https://doi.org/10.1016/j.jclepro.2019.06.107</w:t>
      </w:r>
    </w:p>
    <w:p w14:paraId="71B28373">
      <w:pPr>
        <w:pStyle w:val="3"/>
        <w:keepLines/>
        <w:spacing w:before="0" w:after="60" w:line="276" w:lineRule="auto"/>
        <w:ind w:left="420" w:hanging="420"/>
        <w:jc w:val="left"/>
      </w:pPr>
      <w:r>
        <w:rPr>
          <w:rFonts w:ascii="Times New Roman" w:hAnsi="Times New Roman" w:eastAsia="宋体"/>
          <w:i w:val="0"/>
          <w:color w:val="000000"/>
          <w:sz w:val="19"/>
        </w:rPr>
        <w:t xml:space="preserve">Bloom N, Schankerman M, Van Reenen J (2013) Identifying technology spillovers and product market rivalry. </w:t>
      </w:r>
      <w:r>
        <w:rPr>
          <w:rFonts w:ascii="Times New Roman" w:hAnsi="Times New Roman" w:eastAsia="宋体"/>
          <w:i/>
          <w:color w:val="000000"/>
          <w:sz w:val="19"/>
        </w:rPr>
        <w:t>Econometrica</w:t>
      </w:r>
      <w:r>
        <w:rPr>
          <w:rFonts w:ascii="Times New Roman" w:hAnsi="Times New Roman" w:eastAsia="宋体"/>
          <w:i w:val="0"/>
          <w:color w:val="000000"/>
          <w:sz w:val="19"/>
        </w:rPr>
        <w:t xml:space="preserve"> 81:1347–1393. https://doi.org/10.3982/ECTA9466</w:t>
      </w:r>
    </w:p>
    <w:p w14:paraId="4E8C3F3E">
      <w:pPr>
        <w:pStyle w:val="3"/>
        <w:keepLines/>
        <w:spacing w:before="0" w:after="60" w:line="276" w:lineRule="auto"/>
        <w:ind w:left="420" w:hanging="420"/>
        <w:jc w:val="left"/>
      </w:pPr>
      <w:r>
        <w:rPr>
          <w:rFonts w:ascii="Times New Roman" w:hAnsi="Times New Roman" w:eastAsia="宋体"/>
          <w:i w:val="0"/>
          <w:color w:val="000000"/>
          <w:sz w:val="19"/>
        </w:rPr>
        <w:t xml:space="preserve">Cantone B, Evans D, Reeson A (2023) The effect of carbon price on low carbon innovation. </w:t>
      </w:r>
      <w:r>
        <w:rPr>
          <w:rFonts w:ascii="Times New Roman" w:hAnsi="Times New Roman" w:eastAsia="宋体"/>
          <w:i/>
          <w:color w:val="000000"/>
          <w:sz w:val="19"/>
        </w:rPr>
        <w:t>Sci Rep</w:t>
      </w:r>
      <w:r>
        <w:rPr>
          <w:rFonts w:ascii="Times New Roman" w:hAnsi="Times New Roman" w:eastAsia="宋体"/>
          <w:i w:val="0"/>
          <w:color w:val="000000"/>
          <w:sz w:val="19"/>
        </w:rPr>
        <w:t xml:space="preserve"> 13:9525. https://doi.org/10.1038/s41598-023-36750-9</w:t>
      </w:r>
    </w:p>
    <w:p w14:paraId="1915C26F">
      <w:pPr>
        <w:pStyle w:val="3"/>
        <w:keepLines/>
        <w:spacing w:before="0" w:after="60" w:line="276" w:lineRule="auto"/>
        <w:ind w:left="420" w:hanging="420"/>
        <w:jc w:val="left"/>
      </w:pPr>
      <w:r>
        <w:rPr>
          <w:rFonts w:ascii="Times New Roman" w:hAnsi="Times New Roman" w:eastAsia="宋体"/>
          <w:i w:val="0"/>
          <w:color w:val="000000"/>
          <w:sz w:val="19"/>
        </w:rPr>
        <w:t xml:space="preserve">Cheng P, Wang X, Choi B, Huan X (2023) Green finance, international technology spillover and green technology innovation: A new perspective of regional innovation capability. </w:t>
      </w:r>
      <w:r>
        <w:rPr>
          <w:rFonts w:ascii="Times New Roman" w:hAnsi="Times New Roman" w:eastAsia="宋体"/>
          <w:i/>
          <w:color w:val="000000"/>
          <w:sz w:val="19"/>
        </w:rPr>
        <w:t>Sustainability</w:t>
      </w:r>
      <w:r>
        <w:rPr>
          <w:rFonts w:ascii="Times New Roman" w:hAnsi="Times New Roman" w:eastAsia="宋体"/>
          <w:i w:val="0"/>
          <w:color w:val="000000"/>
          <w:sz w:val="19"/>
        </w:rPr>
        <w:t xml:space="preserve"> 15:1112. https://doi.org/10.3390/su15021112</w:t>
      </w:r>
    </w:p>
    <w:p w14:paraId="6E61A243">
      <w:pPr>
        <w:pStyle w:val="3"/>
        <w:keepLines/>
        <w:spacing w:before="0" w:after="60" w:line="276" w:lineRule="auto"/>
        <w:ind w:left="420" w:hanging="420"/>
        <w:jc w:val="left"/>
      </w:pPr>
      <w:r>
        <w:rPr>
          <w:rFonts w:ascii="Times New Roman" w:hAnsi="Times New Roman" w:eastAsia="宋体"/>
          <w:i w:val="0"/>
          <w:color w:val="000000"/>
          <w:sz w:val="19"/>
        </w:rPr>
        <w:t xml:space="preserve">Cohen WM, Levinthal DA (1990) Absorptive capacity: A new perspective on learning and innovation. </w:t>
      </w:r>
      <w:r>
        <w:rPr>
          <w:rFonts w:ascii="Times New Roman" w:hAnsi="Times New Roman" w:eastAsia="宋体"/>
          <w:i/>
          <w:color w:val="000000"/>
          <w:sz w:val="19"/>
        </w:rPr>
        <w:t>Adm Sci Q</w:t>
      </w:r>
      <w:r>
        <w:rPr>
          <w:rFonts w:ascii="Times New Roman" w:hAnsi="Times New Roman" w:eastAsia="宋体"/>
          <w:i w:val="0"/>
          <w:color w:val="000000"/>
          <w:sz w:val="19"/>
        </w:rPr>
        <w:t xml:space="preserve"> 35:128–152. https://doi.org/10.2307/2393553</w:t>
      </w:r>
    </w:p>
    <w:p w14:paraId="11990798">
      <w:pPr>
        <w:pStyle w:val="3"/>
        <w:keepLines/>
        <w:spacing w:before="0" w:after="60" w:line="276" w:lineRule="auto"/>
        <w:ind w:left="420" w:hanging="420"/>
        <w:jc w:val="left"/>
      </w:pPr>
      <w:r>
        <w:rPr>
          <w:rFonts w:ascii="Times New Roman" w:hAnsi="Times New Roman" w:eastAsia="宋体"/>
          <w:i w:val="0"/>
          <w:color w:val="000000"/>
          <w:sz w:val="19"/>
        </w:rPr>
        <w:t xml:space="preserve">Comber A, Brunsdon C, Charlton M et al (2023) A route map for successful applications of geographically weighted regression. </w:t>
      </w:r>
      <w:r>
        <w:rPr>
          <w:rFonts w:ascii="Times New Roman" w:hAnsi="Times New Roman" w:eastAsia="宋体"/>
          <w:i/>
          <w:color w:val="000000"/>
          <w:sz w:val="19"/>
        </w:rPr>
        <w:t>Geogr Anal</w:t>
      </w:r>
      <w:r>
        <w:rPr>
          <w:rFonts w:ascii="Times New Roman" w:hAnsi="Times New Roman" w:eastAsia="宋体"/>
          <w:i w:val="0"/>
          <w:color w:val="000000"/>
          <w:sz w:val="19"/>
        </w:rPr>
        <w:t xml:space="preserve"> 55:155–178. https://doi.org/10.1111/gean.12316</w:t>
      </w:r>
    </w:p>
    <w:p w14:paraId="346C1165">
      <w:pPr>
        <w:pStyle w:val="3"/>
        <w:keepLines/>
        <w:spacing w:before="0" w:after="60" w:line="276" w:lineRule="auto"/>
        <w:ind w:left="420" w:hanging="420"/>
        <w:jc w:val="left"/>
      </w:pPr>
      <w:r>
        <w:rPr>
          <w:rFonts w:ascii="Times New Roman" w:hAnsi="Times New Roman" w:eastAsia="宋体"/>
          <w:i w:val="0"/>
          <w:color w:val="000000"/>
          <w:sz w:val="19"/>
        </w:rPr>
        <w:t xml:space="preserve">Ding Y, Bi C, Sun P (2025) Low carbon constraints, innovation driven and carbon neutral technological innovation: Empirical evidence based on multiple policy combinations. </w:t>
      </w:r>
      <w:r>
        <w:rPr>
          <w:rFonts w:ascii="Times New Roman" w:hAnsi="Times New Roman" w:eastAsia="宋体"/>
          <w:i/>
          <w:color w:val="000000"/>
          <w:sz w:val="19"/>
        </w:rPr>
        <w:t>Sci Rep</w:t>
      </w:r>
      <w:r>
        <w:rPr>
          <w:rFonts w:ascii="Times New Roman" w:hAnsi="Times New Roman" w:eastAsia="宋体"/>
          <w:i w:val="0"/>
          <w:color w:val="000000"/>
          <w:sz w:val="19"/>
        </w:rPr>
        <w:t xml:space="preserve"> 15. https://doi.org/10.1038/s41598-025-06207-2</w:t>
      </w:r>
    </w:p>
    <w:p w14:paraId="785AFFE6">
      <w:pPr>
        <w:pStyle w:val="3"/>
        <w:keepLines/>
        <w:spacing w:before="0" w:after="60" w:line="276" w:lineRule="auto"/>
        <w:ind w:left="420" w:hanging="420"/>
        <w:jc w:val="left"/>
      </w:pPr>
      <w:r>
        <w:rPr>
          <w:rFonts w:ascii="Times New Roman" w:hAnsi="Times New Roman" w:eastAsia="宋体"/>
          <w:i w:val="0"/>
          <w:color w:val="000000"/>
          <w:sz w:val="19"/>
        </w:rPr>
        <w:t xml:space="preserve">Fabrizi A, Fiorelli C, Meliciani V (2025) The role of green networks for environmental innovation in European regions. </w:t>
      </w:r>
      <w:r>
        <w:rPr>
          <w:rFonts w:ascii="Times New Roman" w:hAnsi="Times New Roman" w:eastAsia="宋体"/>
          <w:i/>
          <w:color w:val="000000"/>
          <w:sz w:val="19"/>
        </w:rPr>
        <w:t>J Ind Bus Econ</w:t>
      </w:r>
      <w:r>
        <w:rPr>
          <w:rFonts w:ascii="Times New Roman" w:hAnsi="Times New Roman" w:eastAsia="宋体"/>
          <w:i w:val="0"/>
          <w:color w:val="000000"/>
          <w:sz w:val="19"/>
        </w:rPr>
        <w:t xml:space="preserve"> 52. https://doi.org/10.1007/s40812-024-00339-8</w:t>
      </w:r>
    </w:p>
    <w:p w14:paraId="6E21DB07">
      <w:pPr>
        <w:pStyle w:val="3"/>
        <w:keepLines/>
        <w:spacing w:before="0" w:after="60" w:line="276" w:lineRule="auto"/>
        <w:ind w:left="420" w:hanging="420"/>
        <w:jc w:val="left"/>
      </w:pPr>
      <w:r>
        <w:rPr>
          <w:rFonts w:ascii="Times New Roman" w:hAnsi="Times New Roman" w:eastAsia="宋体"/>
          <w:i w:val="0"/>
          <w:color w:val="000000"/>
          <w:sz w:val="19"/>
        </w:rPr>
        <w:t xml:space="preserve">Geng J, Li Z, Chen Y (2025) Research on the impact of the digital economy on carbon-neutral technology innovation. </w:t>
      </w:r>
      <w:r>
        <w:rPr>
          <w:rFonts w:ascii="Times New Roman" w:hAnsi="Times New Roman" w:eastAsia="宋体"/>
          <w:i/>
          <w:color w:val="000000"/>
          <w:sz w:val="19"/>
        </w:rPr>
        <w:t>Front Environ Sci</w:t>
      </w:r>
      <w:r>
        <w:rPr>
          <w:rFonts w:ascii="Times New Roman" w:hAnsi="Times New Roman" w:eastAsia="宋体"/>
          <w:i w:val="0"/>
          <w:color w:val="000000"/>
          <w:sz w:val="19"/>
        </w:rPr>
        <w:t xml:space="preserve"> 13:1626326. https://doi.org/10.3389/fenvs.2025.1626326</w:t>
      </w:r>
    </w:p>
    <w:p w14:paraId="04A6DA1F">
      <w:pPr>
        <w:pStyle w:val="3"/>
        <w:keepLines/>
        <w:spacing w:before="0" w:after="60" w:line="276" w:lineRule="auto"/>
        <w:ind w:left="420" w:hanging="420"/>
        <w:jc w:val="left"/>
      </w:pPr>
      <w:r>
        <w:rPr>
          <w:rFonts w:ascii="Times New Roman" w:hAnsi="Times New Roman" w:eastAsia="宋体"/>
          <w:i w:val="0"/>
          <w:color w:val="000000"/>
          <w:sz w:val="19"/>
        </w:rPr>
        <w:t xml:space="preserve">Gong Y, Xiao Y (2024) Impact of sci-tech finance policy on carbon neutrality technology innovation. </w:t>
      </w:r>
      <w:r>
        <w:rPr>
          <w:rFonts w:ascii="Times New Roman" w:hAnsi="Times New Roman" w:eastAsia="宋体"/>
          <w:i/>
          <w:color w:val="000000"/>
          <w:sz w:val="19"/>
        </w:rPr>
        <w:t>China Popul Resour Environ</w:t>
      </w:r>
      <w:r>
        <w:rPr>
          <w:rFonts w:ascii="Times New Roman" w:hAnsi="Times New Roman" w:eastAsia="宋体"/>
          <w:i w:val="0"/>
          <w:color w:val="000000"/>
          <w:sz w:val="19"/>
        </w:rPr>
        <w:t xml:space="preserve"> 34:66–79. https://doi.org/10.12062/cpre.20240719</w:t>
      </w:r>
    </w:p>
    <w:p w14:paraId="3461C595">
      <w:pPr>
        <w:pStyle w:val="3"/>
        <w:keepLines/>
        <w:spacing w:before="0" w:after="60" w:line="276" w:lineRule="auto"/>
        <w:ind w:left="420" w:hanging="420"/>
        <w:jc w:val="left"/>
      </w:pPr>
      <w:r>
        <w:rPr>
          <w:rFonts w:ascii="Times New Roman" w:hAnsi="Times New Roman" w:eastAsia="宋体"/>
          <w:i w:val="0"/>
          <w:color w:val="000000"/>
          <w:sz w:val="19"/>
        </w:rPr>
        <w:t xml:space="preserve">Griliches Z (1990) Patent statistics as economic indicators: A survey. </w:t>
      </w:r>
      <w:r>
        <w:rPr>
          <w:rFonts w:ascii="Times New Roman" w:hAnsi="Times New Roman" w:eastAsia="宋体"/>
          <w:i/>
          <w:color w:val="000000"/>
          <w:sz w:val="19"/>
        </w:rPr>
        <w:t>J Econ Lit</w:t>
      </w:r>
      <w:r>
        <w:rPr>
          <w:rFonts w:ascii="Times New Roman" w:hAnsi="Times New Roman" w:eastAsia="宋体"/>
          <w:i w:val="0"/>
          <w:color w:val="000000"/>
          <w:sz w:val="19"/>
        </w:rPr>
        <w:t xml:space="preserve"> 28:1661–1707.</w:t>
      </w:r>
    </w:p>
    <w:p w14:paraId="3E95EC84">
      <w:pPr>
        <w:pStyle w:val="3"/>
        <w:keepLines/>
        <w:spacing w:before="0" w:after="60" w:line="276" w:lineRule="auto"/>
        <w:ind w:left="420" w:hanging="420"/>
        <w:jc w:val="left"/>
      </w:pPr>
      <w:r>
        <w:rPr>
          <w:rFonts w:ascii="Times New Roman" w:hAnsi="Times New Roman" w:eastAsia="宋体"/>
          <w:i w:val="0"/>
          <w:color w:val="000000"/>
          <w:sz w:val="19"/>
        </w:rPr>
        <w:t xml:space="preserve">Hall BH, Harhoff D (2012) Recent research on the economics of patents. </w:t>
      </w:r>
      <w:r>
        <w:rPr>
          <w:rFonts w:ascii="Times New Roman" w:hAnsi="Times New Roman" w:eastAsia="宋体"/>
          <w:i/>
          <w:color w:val="000000"/>
          <w:sz w:val="19"/>
        </w:rPr>
        <w:t>Annu Rev Econ</w:t>
      </w:r>
      <w:r>
        <w:rPr>
          <w:rFonts w:ascii="Times New Roman" w:hAnsi="Times New Roman" w:eastAsia="宋体"/>
          <w:i w:val="0"/>
          <w:color w:val="000000"/>
          <w:sz w:val="19"/>
        </w:rPr>
        <w:t xml:space="preserve"> 4:541–565. https://doi.org/10.1146/annurev-economics-080511-111008</w:t>
      </w:r>
    </w:p>
    <w:p w14:paraId="0F57946E">
      <w:pPr>
        <w:pStyle w:val="3"/>
        <w:keepLines/>
        <w:spacing w:before="0" w:after="60" w:line="276" w:lineRule="auto"/>
        <w:ind w:left="609" w:leftChars="290" w:firstLine="190" w:firstLineChars="100"/>
        <w:jc w:val="left"/>
      </w:pPr>
      <w:r>
        <w:rPr>
          <w:rFonts w:ascii="Times New Roman" w:hAnsi="Times New Roman" w:eastAsia="宋体"/>
          <w:i w:val="0"/>
          <w:color w:val="000000"/>
          <w:sz w:val="19"/>
        </w:rPr>
        <w:t xml:space="preserve">Hindle RL (2024) Y02 as climate praxis. </w:t>
      </w:r>
      <w:r>
        <w:rPr>
          <w:rFonts w:ascii="Times New Roman" w:hAnsi="Times New Roman" w:eastAsia="宋体"/>
          <w:i/>
          <w:color w:val="000000"/>
          <w:sz w:val="19"/>
        </w:rPr>
        <w:t>Technol Archit Des</w:t>
      </w:r>
      <w:r>
        <w:rPr>
          <w:rFonts w:ascii="Times New Roman" w:hAnsi="Times New Roman" w:eastAsia="宋体"/>
          <w:i w:val="0"/>
          <w:color w:val="000000"/>
          <w:sz w:val="19"/>
        </w:rPr>
        <w:t xml:space="preserve"> 8. https://doi.org/10.1080/24751448.2024.2313440</w:t>
      </w:r>
    </w:p>
    <w:p w14:paraId="4B3BC8A4">
      <w:pPr>
        <w:pStyle w:val="3"/>
        <w:keepLines/>
        <w:spacing w:before="0" w:after="60" w:line="276" w:lineRule="auto"/>
        <w:ind w:left="420" w:hanging="420"/>
        <w:jc w:val="left"/>
      </w:pPr>
      <w:r>
        <w:rPr>
          <w:rFonts w:ascii="Times New Roman" w:hAnsi="Times New Roman" w:eastAsia="宋体"/>
          <w:i w:val="0"/>
          <w:color w:val="000000"/>
          <w:sz w:val="19"/>
        </w:rPr>
        <w:t xml:space="preserve">Hu F, Qiu L, Xiang Y et al (2023) Spatial network and driving factors of low-carbon patent applications in China from a public health perspective. </w:t>
      </w:r>
      <w:r>
        <w:rPr>
          <w:rFonts w:ascii="Times New Roman" w:hAnsi="Times New Roman" w:eastAsia="宋体"/>
          <w:i/>
          <w:color w:val="000000"/>
          <w:sz w:val="19"/>
        </w:rPr>
        <w:t>Front Public Health</w:t>
      </w:r>
      <w:r>
        <w:rPr>
          <w:rFonts w:ascii="Times New Roman" w:hAnsi="Times New Roman" w:eastAsia="宋体"/>
          <w:i w:val="0"/>
          <w:color w:val="000000"/>
          <w:sz w:val="19"/>
        </w:rPr>
        <w:t xml:space="preserve"> 11:1121860. https://doi.org/10.3389/fpubh.2023.1121860</w:t>
      </w:r>
    </w:p>
    <w:p w14:paraId="230D9428">
      <w:pPr>
        <w:pStyle w:val="3"/>
        <w:keepLines/>
        <w:spacing w:before="0" w:after="60" w:line="276" w:lineRule="auto"/>
        <w:ind w:left="420" w:hanging="420"/>
        <w:jc w:val="left"/>
      </w:pPr>
      <w:r>
        <w:rPr>
          <w:rFonts w:ascii="Times New Roman" w:hAnsi="Times New Roman" w:eastAsia="宋体"/>
          <w:i w:val="0"/>
          <w:color w:val="000000"/>
          <w:sz w:val="19"/>
        </w:rPr>
        <w:t xml:space="preserve">Huang B, Wu B, Barry M (2010) Geographically and temporally weighted regression for modeling spatio-temporal variation in house prices. </w:t>
      </w:r>
      <w:r>
        <w:rPr>
          <w:rFonts w:ascii="Times New Roman" w:hAnsi="Times New Roman" w:eastAsia="宋体"/>
          <w:i/>
          <w:color w:val="000000"/>
          <w:sz w:val="19"/>
        </w:rPr>
        <w:t>Int J Geogr Inf Sci</w:t>
      </w:r>
      <w:r>
        <w:rPr>
          <w:rFonts w:ascii="Times New Roman" w:hAnsi="Times New Roman" w:eastAsia="宋体"/>
          <w:i w:val="0"/>
          <w:color w:val="000000"/>
          <w:sz w:val="19"/>
        </w:rPr>
        <w:t xml:space="preserve"> 24:383–401. https://doi.org/10.1080/13658810802672469</w:t>
      </w:r>
    </w:p>
    <w:p w14:paraId="231C6741">
      <w:pPr>
        <w:pStyle w:val="3"/>
        <w:keepLines/>
        <w:spacing w:before="0" w:after="60" w:line="276" w:lineRule="auto"/>
        <w:ind w:left="420" w:hanging="420"/>
        <w:jc w:val="left"/>
      </w:pPr>
      <w:r>
        <w:rPr>
          <w:rFonts w:ascii="Times New Roman" w:hAnsi="Times New Roman" w:eastAsia="宋体"/>
          <w:i w:val="0"/>
          <w:color w:val="000000"/>
          <w:sz w:val="19"/>
        </w:rPr>
        <w:t xml:space="preserve">IEA (2023) </w:t>
      </w:r>
      <w:r>
        <w:rPr>
          <w:rFonts w:ascii="Times New Roman" w:hAnsi="Times New Roman" w:eastAsia="宋体"/>
          <w:i/>
          <w:color w:val="000000"/>
          <w:sz w:val="19"/>
        </w:rPr>
        <w:t>Net Zero Roadmap: A Global Pathway to Keep the 1.5 °C Goal in Reach—2023 Update</w:t>
      </w:r>
      <w:r>
        <w:rPr>
          <w:rFonts w:ascii="Times New Roman" w:hAnsi="Times New Roman" w:eastAsia="宋体"/>
          <w:i w:val="0"/>
          <w:color w:val="000000"/>
          <w:sz w:val="19"/>
        </w:rPr>
        <w:t>. International Energy Agency.</w:t>
      </w:r>
    </w:p>
    <w:p w14:paraId="7E0B8F1A">
      <w:pPr>
        <w:pStyle w:val="3"/>
        <w:keepLines/>
        <w:spacing w:before="0" w:after="60" w:line="276" w:lineRule="auto"/>
        <w:ind w:left="420" w:hanging="420"/>
        <w:jc w:val="left"/>
      </w:pPr>
      <w:r>
        <w:rPr>
          <w:rFonts w:ascii="Times New Roman" w:hAnsi="Times New Roman" w:eastAsia="宋体"/>
          <w:i w:val="0"/>
          <w:color w:val="000000"/>
          <w:sz w:val="19"/>
        </w:rPr>
        <w:t xml:space="preserve">IPCC (2023) </w:t>
      </w:r>
      <w:r>
        <w:rPr>
          <w:rFonts w:ascii="Times New Roman" w:hAnsi="Times New Roman" w:eastAsia="宋体"/>
          <w:i/>
          <w:color w:val="000000"/>
          <w:sz w:val="19"/>
        </w:rPr>
        <w:t>Climate Change 2023: Synthesis Report</w:t>
      </w:r>
      <w:r>
        <w:rPr>
          <w:rFonts w:ascii="Times New Roman" w:hAnsi="Times New Roman" w:eastAsia="宋体"/>
          <w:i w:val="0"/>
          <w:color w:val="000000"/>
          <w:sz w:val="19"/>
        </w:rPr>
        <w:t>. Intergovernmental Panel on Climate Change. https://doi.org/10.59327/IPCC/AR6-9789291691647</w:t>
      </w:r>
    </w:p>
    <w:p w14:paraId="0F58D157">
      <w:pPr>
        <w:pStyle w:val="3"/>
        <w:keepLines/>
        <w:spacing w:before="0" w:after="60" w:line="276" w:lineRule="auto"/>
        <w:ind w:left="420" w:hanging="420"/>
        <w:jc w:val="left"/>
      </w:pPr>
      <w:r>
        <w:rPr>
          <w:rFonts w:ascii="Times New Roman" w:hAnsi="Times New Roman" w:eastAsia="宋体"/>
          <w:i w:val="0"/>
          <w:color w:val="000000"/>
          <w:sz w:val="19"/>
        </w:rPr>
        <w:t xml:space="preserve">Jaffe AB, Trajtenberg M, Henderson R (1993) Geographic localization of knowledge spillovers as evidenced by patent citations. </w:t>
      </w:r>
      <w:r>
        <w:rPr>
          <w:rFonts w:ascii="Times New Roman" w:hAnsi="Times New Roman" w:eastAsia="宋体"/>
          <w:i/>
          <w:color w:val="000000"/>
          <w:sz w:val="19"/>
        </w:rPr>
        <w:t>Q J Econ</w:t>
      </w:r>
      <w:r>
        <w:rPr>
          <w:rFonts w:ascii="Times New Roman" w:hAnsi="Times New Roman" w:eastAsia="宋体"/>
          <w:i w:val="0"/>
          <w:color w:val="000000"/>
          <w:sz w:val="19"/>
        </w:rPr>
        <w:t xml:space="preserve"> 108:577–598. https://doi.org/10.2307/2118401</w:t>
      </w:r>
    </w:p>
    <w:p w14:paraId="67D13656">
      <w:pPr>
        <w:pStyle w:val="3"/>
        <w:keepLines/>
        <w:spacing w:before="0" w:after="60" w:line="276" w:lineRule="auto"/>
        <w:ind w:left="420" w:hanging="420"/>
        <w:jc w:val="left"/>
      </w:pPr>
      <w:r>
        <w:rPr>
          <w:rFonts w:ascii="Times New Roman" w:hAnsi="Times New Roman" w:eastAsia="宋体"/>
          <w:i w:val="0"/>
          <w:color w:val="000000"/>
          <w:sz w:val="19"/>
        </w:rPr>
        <w:t xml:space="preserve">Johnstone N, Haščič I, Popp D (2010) Renewable energy policies and technological innovation: Evidence based on patent counts. </w:t>
      </w:r>
      <w:r>
        <w:rPr>
          <w:rFonts w:ascii="Times New Roman" w:hAnsi="Times New Roman" w:eastAsia="宋体"/>
          <w:i/>
          <w:color w:val="000000"/>
          <w:sz w:val="19"/>
        </w:rPr>
        <w:t>Environ Resour Econ</w:t>
      </w:r>
      <w:r>
        <w:rPr>
          <w:rFonts w:ascii="Times New Roman" w:hAnsi="Times New Roman" w:eastAsia="宋体"/>
          <w:i w:val="0"/>
          <w:color w:val="000000"/>
          <w:sz w:val="19"/>
        </w:rPr>
        <w:t xml:space="preserve"> 45:133–155. https://doi.org/10.1007/s10640-009-9309-1</w:t>
      </w:r>
    </w:p>
    <w:p w14:paraId="2A2AEDE8">
      <w:pPr>
        <w:pStyle w:val="3"/>
        <w:keepLines/>
        <w:spacing w:before="0" w:after="60" w:line="276" w:lineRule="auto"/>
        <w:ind w:left="420" w:hanging="420"/>
        <w:jc w:val="left"/>
      </w:pPr>
      <w:r>
        <w:rPr>
          <w:rFonts w:ascii="Times New Roman" w:hAnsi="Times New Roman" w:eastAsia="宋体"/>
          <w:i w:val="0"/>
          <w:color w:val="000000"/>
          <w:sz w:val="19"/>
        </w:rPr>
        <w:t xml:space="preserve">Le Gallo J (2004) Space-time analysis of GDP disparities among European regions: A Markov chains approach. </w:t>
      </w:r>
      <w:r>
        <w:rPr>
          <w:rFonts w:ascii="Times New Roman" w:hAnsi="Times New Roman" w:eastAsia="宋体"/>
          <w:i/>
          <w:color w:val="000000"/>
          <w:sz w:val="19"/>
        </w:rPr>
        <w:t>Int Reg Sci Rev</w:t>
      </w:r>
      <w:r>
        <w:rPr>
          <w:rFonts w:ascii="Times New Roman" w:hAnsi="Times New Roman" w:eastAsia="宋体"/>
          <w:i w:val="0"/>
          <w:color w:val="000000"/>
          <w:sz w:val="19"/>
        </w:rPr>
        <w:t xml:space="preserve"> 27:138–163. https://doi.org/10.1177/0160017603262402</w:t>
      </w:r>
    </w:p>
    <w:p w14:paraId="4D34BE3F">
      <w:pPr>
        <w:pStyle w:val="3"/>
        <w:keepLines/>
        <w:spacing w:before="0" w:after="60" w:line="276" w:lineRule="auto"/>
        <w:ind w:left="420" w:hanging="420"/>
        <w:jc w:val="left"/>
      </w:pPr>
      <w:r>
        <w:rPr>
          <w:rFonts w:ascii="Times New Roman" w:hAnsi="Times New Roman" w:eastAsia="宋体"/>
          <w:i w:val="0"/>
          <w:color w:val="000000"/>
          <w:sz w:val="19"/>
        </w:rPr>
        <w:t xml:space="preserve">LeSage JP, Pace RK (2009) </w:t>
      </w:r>
      <w:r>
        <w:rPr>
          <w:rFonts w:ascii="Times New Roman" w:hAnsi="Times New Roman" w:eastAsia="宋体"/>
          <w:i/>
          <w:color w:val="000000"/>
          <w:sz w:val="19"/>
        </w:rPr>
        <w:t>Introduction to Spatial Econometrics</w:t>
      </w:r>
      <w:r>
        <w:rPr>
          <w:rFonts w:ascii="Times New Roman" w:hAnsi="Times New Roman" w:eastAsia="宋体"/>
          <w:i w:val="0"/>
          <w:color w:val="000000"/>
          <w:sz w:val="19"/>
        </w:rPr>
        <w:t>. CRC Press.</w:t>
      </w:r>
    </w:p>
    <w:p w14:paraId="3F9DCC78">
      <w:pPr>
        <w:pStyle w:val="3"/>
        <w:keepLines/>
        <w:spacing w:before="0" w:after="60" w:line="276" w:lineRule="auto"/>
        <w:ind w:left="420" w:hanging="420"/>
        <w:jc w:val="left"/>
      </w:pPr>
      <w:r>
        <w:rPr>
          <w:rFonts w:ascii="Times New Roman" w:hAnsi="Times New Roman" w:eastAsia="宋体"/>
          <w:i w:val="0"/>
          <w:color w:val="000000"/>
          <w:sz w:val="19"/>
        </w:rPr>
        <w:t xml:space="preserve">Li G, Li X, Huo L (2023) Digital economy, spatial spillover and industrial green innovation efficiency: Empirical evidence from China. </w:t>
      </w:r>
      <w:r>
        <w:rPr>
          <w:rFonts w:ascii="Times New Roman" w:hAnsi="Times New Roman" w:eastAsia="宋体"/>
          <w:i/>
          <w:color w:val="000000"/>
          <w:sz w:val="19"/>
        </w:rPr>
        <w:t>Heliyon</w:t>
      </w:r>
      <w:r>
        <w:rPr>
          <w:rFonts w:ascii="Times New Roman" w:hAnsi="Times New Roman" w:eastAsia="宋体"/>
          <w:i w:val="0"/>
          <w:color w:val="000000"/>
          <w:sz w:val="19"/>
        </w:rPr>
        <w:t xml:space="preserve"> 9:e12875. https://doi.org/10.1016/j.heliyon.2023.e12875</w:t>
      </w:r>
    </w:p>
    <w:p w14:paraId="163B66BB">
      <w:pPr>
        <w:pStyle w:val="3"/>
      </w:pPr>
      <w:r>
        <w:rPr>
          <w:i w:val="0"/>
        </w:rPr>
        <w:t xml:space="preserve">Manski CF (1993) Identification of endogenous social effects: The reflection problem. </w:t>
      </w:r>
      <w:r>
        <w:rPr>
          <w:i/>
        </w:rPr>
        <w:t>Rev Econ Stud</w:t>
      </w:r>
      <w:r>
        <w:rPr>
          <w:i w:val="0"/>
        </w:rPr>
        <w:t xml:space="preserve"> 60:531–542. https://doi.org/10.2307/2298123</w:t>
      </w:r>
    </w:p>
    <w:p w14:paraId="5AACF187">
      <w:pPr>
        <w:pStyle w:val="3"/>
        <w:keepLines/>
        <w:spacing w:before="0" w:after="60" w:line="276" w:lineRule="auto"/>
        <w:ind w:left="420" w:hanging="420"/>
        <w:jc w:val="left"/>
      </w:pPr>
      <w:r>
        <w:rPr>
          <w:rFonts w:ascii="Times New Roman" w:hAnsi="Times New Roman" w:eastAsia="宋体"/>
          <w:i w:val="0"/>
          <w:color w:val="000000"/>
          <w:sz w:val="19"/>
        </w:rPr>
        <w:t xml:space="preserve">Popp D (2002) Induced innovation and energy prices. </w:t>
      </w:r>
      <w:r>
        <w:rPr>
          <w:rFonts w:ascii="Times New Roman" w:hAnsi="Times New Roman" w:eastAsia="宋体"/>
          <w:i/>
          <w:color w:val="000000"/>
          <w:sz w:val="19"/>
        </w:rPr>
        <w:t>Am Econ Rev</w:t>
      </w:r>
      <w:r>
        <w:rPr>
          <w:rFonts w:ascii="Times New Roman" w:hAnsi="Times New Roman" w:eastAsia="宋体"/>
          <w:i w:val="0"/>
          <w:color w:val="000000"/>
          <w:sz w:val="19"/>
        </w:rPr>
        <w:t xml:space="preserve"> 92:160–180. https://doi.org/10.1257/000282802760015658</w:t>
      </w:r>
    </w:p>
    <w:p w14:paraId="72573F5C">
      <w:pPr>
        <w:pStyle w:val="3"/>
      </w:pPr>
      <w:r>
        <w:rPr>
          <w:i w:val="0"/>
        </w:rPr>
        <w:t xml:space="preserve">Porter ME, van der Linde C (1995) Toward a new conception of the environment-competitiveness relationship. </w:t>
      </w:r>
      <w:r>
        <w:rPr>
          <w:i/>
        </w:rPr>
        <w:t>J Econ Perspect</w:t>
      </w:r>
      <w:r>
        <w:rPr>
          <w:i w:val="0"/>
        </w:rPr>
        <w:t xml:space="preserve"> 9:97–118. https://doi.org/10.1257/jep.9.4.97</w:t>
      </w:r>
    </w:p>
    <w:p w14:paraId="683AF05C">
      <w:pPr>
        <w:pStyle w:val="3"/>
        <w:keepLines/>
        <w:spacing w:before="0" w:after="60" w:line="276" w:lineRule="auto"/>
        <w:ind w:left="420" w:hanging="420"/>
        <w:jc w:val="left"/>
      </w:pPr>
      <w:r>
        <w:rPr>
          <w:rFonts w:ascii="Times New Roman" w:hAnsi="Times New Roman" w:eastAsia="宋体"/>
          <w:i w:val="0"/>
          <w:color w:val="000000"/>
          <w:sz w:val="19"/>
        </w:rPr>
        <w:t xml:space="preserve">Rainville A, Dikker I, Buggenhagen M (2024) Tracking innovation via green patent classification systems: Are we truly capturing circular economy progress? </w:t>
      </w:r>
      <w:r>
        <w:rPr>
          <w:rFonts w:ascii="Times New Roman" w:hAnsi="Times New Roman" w:eastAsia="宋体"/>
          <w:i/>
          <w:color w:val="000000"/>
          <w:sz w:val="19"/>
        </w:rPr>
        <w:t>J Clean Prod</w:t>
      </w:r>
      <w:r>
        <w:rPr>
          <w:rFonts w:ascii="Times New Roman" w:hAnsi="Times New Roman" w:eastAsia="宋体"/>
          <w:i w:val="0"/>
          <w:color w:val="000000"/>
          <w:sz w:val="19"/>
        </w:rPr>
        <w:t xml:space="preserve"> 480:144385. https://doi.org/10.1016/j.jclepro.2024.144385</w:t>
      </w:r>
    </w:p>
    <w:p w14:paraId="6B481767">
      <w:pPr>
        <w:pStyle w:val="3"/>
      </w:pPr>
      <w:r>
        <w:rPr>
          <w:i w:val="0"/>
        </w:rPr>
        <w:t xml:space="preserve">Rennings K (2000) Redefining innovation—eco-innovation research and the contribution from ecological economics. </w:t>
      </w:r>
      <w:r>
        <w:rPr>
          <w:i/>
        </w:rPr>
        <w:t>Ecol Econ</w:t>
      </w:r>
      <w:r>
        <w:rPr>
          <w:i w:val="0"/>
        </w:rPr>
        <w:t xml:space="preserve"> 32:319–332. https://doi.org/10.1016/S0921-8009(99)00112-3</w:t>
      </w:r>
    </w:p>
    <w:p w14:paraId="263FBA9B">
      <w:pPr>
        <w:pStyle w:val="3"/>
        <w:keepLines/>
        <w:spacing w:before="0" w:after="60" w:line="276" w:lineRule="auto"/>
        <w:ind w:left="420" w:hanging="420"/>
        <w:jc w:val="left"/>
      </w:pPr>
      <w:r>
        <w:rPr>
          <w:rFonts w:ascii="Times New Roman" w:hAnsi="Times New Roman" w:eastAsia="宋体"/>
          <w:i w:val="0"/>
          <w:color w:val="000000"/>
          <w:sz w:val="19"/>
        </w:rPr>
        <w:t xml:space="preserve">Rey SJ (2001) Spatial empirics for economic growth and convergence. </w:t>
      </w:r>
      <w:r>
        <w:rPr>
          <w:rFonts w:ascii="Times New Roman" w:hAnsi="Times New Roman" w:eastAsia="宋体"/>
          <w:i/>
          <w:color w:val="000000"/>
          <w:sz w:val="19"/>
        </w:rPr>
        <w:t>Geogr Anal</w:t>
      </w:r>
      <w:r>
        <w:rPr>
          <w:rFonts w:ascii="Times New Roman" w:hAnsi="Times New Roman" w:eastAsia="宋体"/>
          <w:i w:val="0"/>
          <w:color w:val="000000"/>
          <w:sz w:val="19"/>
        </w:rPr>
        <w:t xml:space="preserve"> 33:195–214. https://doi.org/10.1111/j.1538-4632.2001.tb00444.x</w:t>
      </w:r>
    </w:p>
    <w:p w14:paraId="4C3D6097">
      <w:pPr>
        <w:pStyle w:val="3"/>
      </w:pPr>
      <w:r>
        <w:rPr>
          <w:i w:val="0"/>
        </w:rPr>
        <w:t xml:space="preserve">Romer PM (1990) Endogenous technological change. </w:t>
      </w:r>
      <w:r>
        <w:rPr>
          <w:i/>
        </w:rPr>
        <w:t>J Polit Econ</w:t>
      </w:r>
      <w:r>
        <w:rPr>
          <w:i w:val="0"/>
        </w:rPr>
        <w:t xml:space="preserve"> 98:S71–S102. https://doi.org/10.1086/261725</w:t>
      </w:r>
    </w:p>
    <w:p w14:paraId="0E6B33C7">
      <w:pPr>
        <w:pStyle w:val="3"/>
        <w:keepLines/>
        <w:spacing w:before="0" w:after="60" w:line="276" w:lineRule="auto"/>
        <w:ind w:left="420" w:hanging="420"/>
        <w:jc w:val="left"/>
      </w:pPr>
      <w:r>
        <w:rPr>
          <w:rFonts w:ascii="Times New Roman" w:hAnsi="Times New Roman" w:eastAsia="宋体"/>
          <w:i w:val="0"/>
          <w:color w:val="000000"/>
          <w:sz w:val="19"/>
        </w:rPr>
        <w:t xml:space="preserve">Veefkind V, Hurtado-Albir F, Angelucci S et al (2012) A new EPO classification scheme for climate change mitigation technologies. </w:t>
      </w:r>
      <w:r>
        <w:rPr>
          <w:rFonts w:ascii="Times New Roman" w:hAnsi="Times New Roman" w:eastAsia="宋体"/>
          <w:i/>
          <w:color w:val="000000"/>
          <w:sz w:val="19"/>
        </w:rPr>
        <w:t>World Pat Inf</w:t>
      </w:r>
      <w:r>
        <w:rPr>
          <w:rFonts w:ascii="Times New Roman" w:hAnsi="Times New Roman" w:eastAsia="宋体"/>
          <w:i w:val="0"/>
          <w:color w:val="000000"/>
          <w:sz w:val="19"/>
        </w:rPr>
        <w:t xml:space="preserve"> 34:106–111. https://doi.org/10.1016/j.wpi.2011.12.004</w:t>
      </w:r>
    </w:p>
    <w:p w14:paraId="20C48A2A">
      <w:pPr>
        <w:pStyle w:val="3"/>
        <w:keepLines/>
        <w:spacing w:before="0" w:after="60" w:line="276" w:lineRule="auto"/>
        <w:ind w:left="420" w:hanging="420"/>
        <w:jc w:val="left"/>
      </w:pPr>
      <w:r>
        <w:rPr>
          <w:rFonts w:ascii="Times New Roman" w:hAnsi="Times New Roman" w:eastAsia="宋体"/>
          <w:i w:val="0"/>
          <w:color w:val="000000"/>
          <w:sz w:val="19"/>
        </w:rPr>
        <w:t xml:space="preserve">Yang C, Liu S (2020) Spatial correlation analysis of low-carbon innovation: A case study of manufacturing patents in China. </w:t>
      </w:r>
      <w:r>
        <w:rPr>
          <w:rFonts w:ascii="Times New Roman" w:hAnsi="Times New Roman" w:eastAsia="宋体"/>
          <w:i/>
          <w:color w:val="000000"/>
          <w:sz w:val="19"/>
        </w:rPr>
        <w:t>J Clean Prod</w:t>
      </w:r>
      <w:r>
        <w:rPr>
          <w:rFonts w:ascii="Times New Roman" w:hAnsi="Times New Roman" w:eastAsia="宋体"/>
          <w:i w:val="0"/>
          <w:color w:val="000000"/>
          <w:sz w:val="19"/>
        </w:rPr>
        <w:t xml:space="preserve"> 273:122893. https://doi.org/10.1016/j.jclepro.2020.122893</w:t>
      </w:r>
    </w:p>
    <w:p w14:paraId="0D42656A">
      <w:pPr>
        <w:pStyle w:val="3"/>
        <w:keepLines/>
        <w:spacing w:before="0" w:after="60" w:line="276" w:lineRule="auto"/>
        <w:ind w:left="420" w:hanging="420"/>
        <w:jc w:val="left"/>
      </w:pPr>
      <w:r>
        <w:rPr>
          <w:rFonts w:ascii="Times New Roman" w:hAnsi="Times New Roman" w:eastAsia="宋体"/>
          <w:i w:val="0"/>
          <w:color w:val="000000"/>
          <w:sz w:val="19"/>
        </w:rPr>
        <w:t xml:space="preserve">You Z, Teirlinck P (2024) Specialization in climate technologies at the regional level in Europe: Relatedness and the moderating role of policy direction. </w:t>
      </w:r>
      <w:r>
        <w:rPr>
          <w:rFonts w:ascii="Times New Roman" w:hAnsi="Times New Roman" w:eastAsia="宋体"/>
          <w:i/>
          <w:color w:val="000000"/>
          <w:sz w:val="19"/>
        </w:rPr>
        <w:t>Technol Forecast Soc Change</w:t>
      </w:r>
      <w:r>
        <w:rPr>
          <w:rFonts w:ascii="Times New Roman" w:hAnsi="Times New Roman" w:eastAsia="宋体"/>
          <w:i w:val="0"/>
          <w:color w:val="000000"/>
          <w:sz w:val="19"/>
        </w:rPr>
        <w:t xml:space="preserve"> 209:123348. https://doi.org/10.1016/j.techfore.2024.123348</w:t>
      </w:r>
    </w:p>
    <w:p w14:paraId="140CCF59">
      <w:pPr>
        <w:pStyle w:val="3"/>
        <w:keepLines/>
        <w:spacing w:before="0" w:after="60" w:line="276" w:lineRule="auto"/>
        <w:ind w:left="420" w:hanging="420"/>
        <w:jc w:val="left"/>
      </w:pPr>
      <w:r>
        <w:rPr>
          <w:rFonts w:ascii="Times New Roman" w:hAnsi="Times New Roman" w:eastAsia="宋体"/>
          <w:i w:val="0"/>
          <w:color w:val="000000"/>
          <w:sz w:val="19"/>
        </w:rPr>
        <w:t xml:space="preserve">Zhang JH, Ballas D, Liu X (2024) Global climate change mitigation technology diffusion: A network perspective. </w:t>
      </w:r>
      <w:r>
        <w:rPr>
          <w:rFonts w:ascii="Times New Roman" w:hAnsi="Times New Roman" w:eastAsia="宋体"/>
          <w:i/>
          <w:color w:val="000000"/>
          <w:sz w:val="19"/>
        </w:rPr>
        <w:t>Energy Econ</w:t>
      </w:r>
      <w:r>
        <w:rPr>
          <w:rFonts w:ascii="Times New Roman" w:hAnsi="Times New Roman" w:eastAsia="宋体"/>
          <w:i w:val="0"/>
          <w:color w:val="000000"/>
          <w:sz w:val="19"/>
        </w:rPr>
        <w:t xml:space="preserve"> 137:107497. https://doi.org/10.1016/j.eneco.2024.107497</w:t>
      </w:r>
    </w:p>
    <w:p w14:paraId="7F3A2B1C">
      <w:pPr>
        <w:pStyle w:val="3"/>
        <w:keepLines/>
        <w:spacing w:before="0" w:after="60" w:line="276" w:lineRule="auto"/>
        <w:ind w:left="420" w:hanging="420"/>
        <w:jc w:val="left"/>
      </w:pPr>
      <w:r>
        <w:rPr>
          <w:rFonts w:ascii="Times New Roman" w:hAnsi="Times New Roman" w:eastAsia="宋体"/>
          <w:i w:val="0"/>
          <w:color w:val="000000"/>
          <w:sz w:val="19"/>
        </w:rPr>
        <w:t xml:space="preserve">Zhou J (2023) Spatial–temporal evolution and spatial spillover of the green efficiency of urban construction land in the Yangtze River Economic Belt, China. </w:t>
      </w:r>
      <w:r>
        <w:rPr>
          <w:rFonts w:ascii="Times New Roman" w:hAnsi="Times New Roman" w:eastAsia="宋体"/>
          <w:i/>
          <w:color w:val="000000"/>
          <w:sz w:val="19"/>
        </w:rPr>
        <w:t>Sci Rep</w:t>
      </w:r>
      <w:r>
        <w:rPr>
          <w:rFonts w:ascii="Times New Roman" w:hAnsi="Times New Roman" w:eastAsia="宋体"/>
          <w:i w:val="0"/>
          <w:color w:val="000000"/>
          <w:sz w:val="19"/>
        </w:rPr>
        <w:t xml:space="preserve"> 13:14387. https://doi.org/10.1038/s41598-023-41621-4</w:t>
      </w:r>
    </w:p>
    <w:p w14:paraId="5E0CC700">
      <w:pPr>
        <w:pStyle w:val="3"/>
        <w:keepLines/>
        <w:spacing w:before="0" w:after="60" w:line="276" w:lineRule="auto"/>
        <w:ind w:left="420" w:hanging="420"/>
        <w:jc w:val="left"/>
      </w:pPr>
      <w:r>
        <w:rPr>
          <w:rFonts w:hint="eastAsia" w:ascii="Times New Roman" w:hAnsi="Times New Roman" w:eastAsia="宋体"/>
          <w:i w:val="0"/>
          <w:color w:val="000000"/>
          <w:sz w:val="19"/>
        </w:rPr>
        <w:t>国务院 (2021) 2030年前碳达峰行动方案（国发〔2021〕23号）.</w:t>
      </w:r>
    </w:p>
    <w:p w14:paraId="09FA0F86">
      <w:pPr>
        <w:pStyle w:val="3"/>
        <w:keepLines/>
        <w:spacing w:before="0" w:after="60" w:line="276" w:lineRule="auto"/>
        <w:ind w:left="420" w:hanging="420"/>
        <w:jc w:val="left"/>
      </w:pPr>
      <w:r>
        <w:rPr>
          <w:rFonts w:hint="eastAsia" w:ascii="Times New Roman" w:hAnsi="Times New Roman" w:eastAsia="宋体"/>
          <w:i w:val="0"/>
          <w:color w:val="000000"/>
          <w:sz w:val="19"/>
        </w:rPr>
        <w:t>科技部等九部门 (2022) 科技支撑碳达峰碳中和实施方案（2022—2030年）（国科发社〔2022〕157号）.</w:t>
      </w:r>
    </w:p>
    <w:bookmarkEnd w:id="31"/>
    <w:sectPr>
      <w:pgSz w:w="11906" w:h="16838"/>
      <w:pgMar w:top="1304" w:right="1417" w:bottom="1304" w:left="1417" w:header="680" w:footer="68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1DA0"/>
    <w:rsid w:val="00022C27"/>
    <w:rsid w:val="00125AAF"/>
    <w:rsid w:val="00156584"/>
    <w:rsid w:val="00180835"/>
    <w:rsid w:val="001B6C8B"/>
    <w:rsid w:val="001D6A73"/>
    <w:rsid w:val="0021269E"/>
    <w:rsid w:val="00212E7C"/>
    <w:rsid w:val="002618C9"/>
    <w:rsid w:val="00277A8C"/>
    <w:rsid w:val="002A103C"/>
    <w:rsid w:val="002D46BB"/>
    <w:rsid w:val="003E688F"/>
    <w:rsid w:val="0043079B"/>
    <w:rsid w:val="00487868"/>
    <w:rsid w:val="004E484E"/>
    <w:rsid w:val="0053304A"/>
    <w:rsid w:val="005935DB"/>
    <w:rsid w:val="005B7909"/>
    <w:rsid w:val="00616083"/>
    <w:rsid w:val="00622C01"/>
    <w:rsid w:val="00687694"/>
    <w:rsid w:val="006D53E2"/>
    <w:rsid w:val="00836D55"/>
    <w:rsid w:val="008440B4"/>
    <w:rsid w:val="008643CC"/>
    <w:rsid w:val="00864EB9"/>
    <w:rsid w:val="00886440"/>
    <w:rsid w:val="008E2CCE"/>
    <w:rsid w:val="00975D28"/>
    <w:rsid w:val="009A435B"/>
    <w:rsid w:val="009B2137"/>
    <w:rsid w:val="009B2E12"/>
    <w:rsid w:val="009C2100"/>
    <w:rsid w:val="00A46C82"/>
    <w:rsid w:val="00A47702"/>
    <w:rsid w:val="00C15A9C"/>
    <w:rsid w:val="00C7219F"/>
    <w:rsid w:val="00C7759E"/>
    <w:rsid w:val="00CC090C"/>
    <w:rsid w:val="00D03214"/>
    <w:rsid w:val="00D162C6"/>
    <w:rsid w:val="00D208C5"/>
    <w:rsid w:val="00D863B5"/>
    <w:rsid w:val="00DD7E02"/>
    <w:rsid w:val="00E430AB"/>
    <w:rsid w:val="00ED0B21"/>
    <w:rsid w:val="00F06146"/>
    <w:rsid w:val="00F53E6D"/>
    <w:rsid w:val="00FD1DA0"/>
    <w:rsid w:val="00FD7CE8"/>
    <w:rsid w:val="0287320A"/>
    <w:rsid w:val="05687CD1"/>
    <w:rsid w:val="06FB15AB"/>
    <w:rsid w:val="073F0F06"/>
    <w:rsid w:val="08FA1588"/>
    <w:rsid w:val="0ABD0165"/>
    <w:rsid w:val="0BA870F8"/>
    <w:rsid w:val="0BE55429"/>
    <w:rsid w:val="0E6A4C34"/>
    <w:rsid w:val="0E815B0A"/>
    <w:rsid w:val="0EFA6D2E"/>
    <w:rsid w:val="13AD28B3"/>
    <w:rsid w:val="153100AC"/>
    <w:rsid w:val="175F13E4"/>
    <w:rsid w:val="17D31922"/>
    <w:rsid w:val="196E00E4"/>
    <w:rsid w:val="1AE97737"/>
    <w:rsid w:val="1AFA1BD0"/>
    <w:rsid w:val="1B4E306E"/>
    <w:rsid w:val="1C030713"/>
    <w:rsid w:val="1D4B149F"/>
    <w:rsid w:val="209C508F"/>
    <w:rsid w:val="20BD3045"/>
    <w:rsid w:val="21E533F6"/>
    <w:rsid w:val="23BD2815"/>
    <w:rsid w:val="25A86B8C"/>
    <w:rsid w:val="275301F5"/>
    <w:rsid w:val="276C66C5"/>
    <w:rsid w:val="28333D17"/>
    <w:rsid w:val="29817026"/>
    <w:rsid w:val="2A315B45"/>
    <w:rsid w:val="2ACC06BE"/>
    <w:rsid w:val="2B40111A"/>
    <w:rsid w:val="2D0B196B"/>
    <w:rsid w:val="2E9C1DF7"/>
    <w:rsid w:val="2F31727D"/>
    <w:rsid w:val="2F8C3C14"/>
    <w:rsid w:val="30F57DBC"/>
    <w:rsid w:val="32534AFB"/>
    <w:rsid w:val="334B4FFB"/>
    <w:rsid w:val="33DB598F"/>
    <w:rsid w:val="34907FC9"/>
    <w:rsid w:val="36DA6785"/>
    <w:rsid w:val="388114A1"/>
    <w:rsid w:val="38C44830"/>
    <w:rsid w:val="38E67315"/>
    <w:rsid w:val="394C1291"/>
    <w:rsid w:val="3A5E388E"/>
    <w:rsid w:val="3A6B10EF"/>
    <w:rsid w:val="3A8748DC"/>
    <w:rsid w:val="3B1874C8"/>
    <w:rsid w:val="3B4E7B98"/>
    <w:rsid w:val="3BA50921"/>
    <w:rsid w:val="3FDC0668"/>
    <w:rsid w:val="403606AE"/>
    <w:rsid w:val="40853BBE"/>
    <w:rsid w:val="40D07EFD"/>
    <w:rsid w:val="414C1C7A"/>
    <w:rsid w:val="417C1E33"/>
    <w:rsid w:val="4229146A"/>
    <w:rsid w:val="43FC0168"/>
    <w:rsid w:val="451B19F1"/>
    <w:rsid w:val="452E2214"/>
    <w:rsid w:val="454F3AE7"/>
    <w:rsid w:val="469F3D6C"/>
    <w:rsid w:val="47823D1F"/>
    <w:rsid w:val="47862D65"/>
    <w:rsid w:val="49C618B9"/>
    <w:rsid w:val="4B405B7A"/>
    <w:rsid w:val="4C2F3279"/>
    <w:rsid w:val="4C6726C0"/>
    <w:rsid w:val="4CFB4554"/>
    <w:rsid w:val="4D7762D0"/>
    <w:rsid w:val="4E1E4806"/>
    <w:rsid w:val="50FA33E2"/>
    <w:rsid w:val="51960CEF"/>
    <w:rsid w:val="51D86272"/>
    <w:rsid w:val="55132319"/>
    <w:rsid w:val="56533B8E"/>
    <w:rsid w:val="579D653B"/>
    <w:rsid w:val="59016E01"/>
    <w:rsid w:val="5AED4D94"/>
    <w:rsid w:val="5BAA5AC3"/>
    <w:rsid w:val="5BB209FC"/>
    <w:rsid w:val="5BBD4F0B"/>
    <w:rsid w:val="5E583259"/>
    <w:rsid w:val="5F4E36BA"/>
    <w:rsid w:val="62041C2D"/>
    <w:rsid w:val="63220C33"/>
    <w:rsid w:val="63FD6018"/>
    <w:rsid w:val="640502D6"/>
    <w:rsid w:val="65DD0AAC"/>
    <w:rsid w:val="66EB166F"/>
    <w:rsid w:val="6B496552"/>
    <w:rsid w:val="6DA93E2C"/>
    <w:rsid w:val="6DDC713D"/>
    <w:rsid w:val="6F520E52"/>
    <w:rsid w:val="702A28D7"/>
    <w:rsid w:val="70FC6E6A"/>
    <w:rsid w:val="71122318"/>
    <w:rsid w:val="74064D0E"/>
    <w:rsid w:val="75602922"/>
    <w:rsid w:val="762D2F6F"/>
    <w:rsid w:val="772F1899"/>
    <w:rsid w:val="78570929"/>
    <w:rsid w:val="7B542EFE"/>
    <w:rsid w:val="7D2E186E"/>
    <w:rsid w:val="7D4C2098"/>
    <w:rsid w:val="7D662FE9"/>
    <w:rsid w:val="7F547970"/>
    <w:rsid w:val="7F775CF8"/>
    <w:rsid w:val="7F8C6664"/>
    <w:rsid w:val="7F931F97"/>
    <w:rsid w:val="7FC9A8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1"/>
      <w:szCs w:val="24"/>
      <w:lang w:val="en-US" w:eastAsia="zh-CN" w:bidi="ar-SA"/>
    </w:rPr>
  </w:style>
  <w:style w:type="paragraph" w:styleId="2">
    <w:name w:val="heading 1"/>
    <w:next w:val="3"/>
    <w:link w:val="16"/>
    <w:qFormat/>
    <w:uiPriority w:val="0"/>
    <w:pPr>
      <w:spacing w:before="50" w:beforeLines="50" w:after="50" w:afterLines="50"/>
      <w:outlineLvl w:val="0"/>
    </w:pPr>
    <w:rPr>
      <w:rFonts w:ascii="Times New Roman" w:hAnsi="Times New Roman" w:eastAsia="黑体" w:cs="宋体"/>
      <w:b/>
      <w:color w:val="000000" w:themeColor="text1"/>
      <w:sz w:val="30"/>
      <w:szCs w:val="30"/>
      <w:lang w:val="en-US" w:eastAsia="zh-CN" w:bidi="ar-SA"/>
      <w14:textFill>
        <w14:solidFill>
          <w14:schemeClr w14:val="tx1"/>
        </w14:solidFill>
      </w14:textFill>
    </w:rPr>
  </w:style>
  <w:style w:type="paragraph" w:styleId="4">
    <w:name w:val="heading 2"/>
    <w:basedOn w:val="1"/>
    <w:next w:val="1"/>
    <w:link w:val="15"/>
    <w:unhideWhenUsed/>
    <w:qFormat/>
    <w:uiPriority w:val="0"/>
    <w:pPr>
      <w:spacing w:before="50" w:beforeLines="50" w:after="50" w:afterLines="50" w:line="240" w:lineRule="auto"/>
      <w:ind w:firstLine="0" w:firstLineChars="0"/>
      <w:jc w:val="left"/>
      <w:outlineLvl w:val="1"/>
    </w:pPr>
    <w:rPr>
      <w:rFonts w:ascii="Times New Roman" w:hAnsi="Times New Roman" w:eastAsia="黑体"/>
      <w:b/>
      <w:bCs/>
      <w:color w:val="000000"/>
      <w:kern w:val="0"/>
      <w:sz w:val="28"/>
      <w:szCs w:val="36"/>
    </w:rPr>
  </w:style>
  <w:style w:type="paragraph" w:styleId="5">
    <w:name w:val="heading 3"/>
    <w:basedOn w:val="1"/>
    <w:next w:val="1"/>
    <w:unhideWhenUsed/>
    <w:qFormat/>
    <w:uiPriority w:val="0"/>
    <w:pPr>
      <w:spacing w:beforeAutospacing="1" w:afterAutospacing="1" w:line="240" w:lineRule="auto"/>
      <w:jc w:val="left"/>
      <w:outlineLvl w:val="2"/>
    </w:pPr>
    <w:rPr>
      <w:rFonts w:ascii="Times New Roman" w:hAnsi="Times New Roman" w:eastAsia="黑体"/>
      <w:b/>
      <w:bCs/>
      <w:color w:val="000000"/>
      <w:kern w:val="0"/>
      <w:szCs w:val="27"/>
    </w:rPr>
  </w:style>
  <w:style w:type="paragraph" w:styleId="6">
    <w:name w:val="heading 4"/>
    <w:basedOn w:val="1"/>
    <w:next w:val="1"/>
    <w:semiHidden/>
    <w:unhideWhenUsed/>
    <w:qFormat/>
    <w:uiPriority w:val="0"/>
    <w:pPr>
      <w:keepNext/>
      <w:keepLines/>
      <w:outlineLvl w:val="3"/>
    </w:pPr>
    <w:rPr>
      <w:rFonts w:ascii="Times New Roman" w:hAnsi="Times New Roman" w:eastAsia="黑体"/>
      <w:b/>
      <w:color w:val="000000"/>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2"/>
    <w:qFormat/>
    <w:uiPriority w:val="0"/>
    <w:pPr>
      <w:spacing w:after="120"/>
    </w:pPr>
  </w:style>
  <w:style w:type="paragraph" w:styleId="7">
    <w:name w:val="caption"/>
    <w:basedOn w:val="1"/>
    <w:next w:val="1"/>
    <w:autoRedefine/>
    <w:unhideWhenUsed/>
    <w:qFormat/>
    <w:uiPriority w:val="0"/>
    <w:pPr>
      <w:keepNext/>
      <w:jc w:val="center"/>
    </w:pPr>
    <w:rPr>
      <w:rFonts w:eastAsia="楷体" w:cstheme="majorBidi"/>
      <w:sz w:val="21"/>
      <w:szCs w:val="20"/>
    </w:rPr>
  </w:style>
  <w:style w:type="paragraph" w:styleId="8">
    <w:name w:val="annotation text"/>
    <w:basedOn w:val="1"/>
    <w:qFormat/>
    <w:uiPriority w:val="0"/>
    <w:pPr>
      <w:jc w:val="left"/>
    </w:pPr>
  </w:style>
  <w:style w:type="paragraph" w:styleId="9">
    <w:name w:val="Block Text"/>
    <w:basedOn w:val="3"/>
    <w:next w:val="3"/>
    <w:unhideWhenUsed/>
    <w:qFormat/>
    <w:uiPriority w:val="9"/>
    <w:pPr>
      <w:spacing w:before="100" w:after="100"/>
      <w:ind w:left="480" w:right="480" w:firstLine="0"/>
    </w:pPr>
  </w:style>
  <w:style w:type="paragraph" w:styleId="10">
    <w:name w:val="Normal (Web)"/>
    <w:basedOn w:val="1"/>
    <w:qFormat/>
    <w:uiPriority w:val="0"/>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26E5" w:themeColor="hyperlink"/>
      <w:u w:val="single"/>
      <w14:textFill>
        <w14:solidFill>
          <w14:schemeClr w14:val="hlink"/>
        </w14:solidFill>
      </w14:textFill>
    </w:rPr>
  </w:style>
  <w:style w:type="character" w:customStyle="1" w:styleId="15">
    <w:name w:val="标题 2 字符"/>
    <w:basedOn w:val="13"/>
    <w:link w:val="4"/>
    <w:semiHidden/>
    <w:qFormat/>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16">
    <w:name w:val="标题 1 字符"/>
    <w:basedOn w:val="13"/>
    <w:link w:val="2"/>
    <w:qFormat/>
    <w:uiPriority w:val="9"/>
    <w:rPr>
      <w:rFonts w:ascii="Times New Roman" w:hAnsi="Times New Roman" w:eastAsia="宋体" w:cstheme="majorBidi"/>
      <w:b/>
      <w:color w:val="000000" w:themeColor="text1"/>
      <w:sz w:val="28"/>
      <w:szCs w:val="40"/>
      <w14:textFill>
        <w14:solidFill>
          <w14:schemeClr w14:val="tx1"/>
        </w14:solidFill>
      </w14:textFill>
    </w:rPr>
  </w:style>
  <w:style w:type="character" w:styleId="17">
    <w:name w:val="Placeholder Text"/>
    <w:basedOn w:val="13"/>
    <w:unhideWhenUsed/>
    <w:qFormat/>
    <w:uiPriority w:val="99"/>
    <w:rPr>
      <w:color w:val="666666"/>
    </w:rPr>
  </w:style>
  <w:style w:type="paragraph" w:customStyle="1" w:styleId="18">
    <w:name w:val="Bibliography"/>
    <w:basedOn w:val="1"/>
    <w:next w:val="1"/>
    <w:unhideWhenUsed/>
    <w:qFormat/>
    <w:uiPriority w:val="37"/>
    <w:pPr>
      <w:spacing w:line="240" w:lineRule="auto"/>
      <w:ind w:left="720" w:hanging="720"/>
    </w:pPr>
  </w:style>
  <w:style w:type="character" w:customStyle="1" w:styleId="19">
    <w:name w:val="Unresolved Mention"/>
    <w:basedOn w:val="13"/>
    <w:semiHidden/>
    <w:unhideWhenUsed/>
    <w:qFormat/>
    <w:uiPriority w:val="99"/>
    <w:rPr>
      <w:color w:val="605E5C"/>
      <w:shd w:val="clear" w:color="auto" w:fill="E1DFDD"/>
    </w:rPr>
  </w:style>
  <w:style w:type="paragraph" w:customStyle="1" w:styleId="20">
    <w:name w:val="Source Code"/>
    <w:basedOn w:val="1"/>
    <w:link w:val="21"/>
    <w:qFormat/>
    <w:uiPriority w:val="0"/>
    <w:pPr>
      <w:wordWrap w:val="0"/>
    </w:pPr>
  </w:style>
  <w:style w:type="character" w:customStyle="1" w:styleId="21">
    <w:name w:val="Verbatim Char"/>
    <w:basedOn w:val="22"/>
    <w:link w:val="20"/>
    <w:qFormat/>
    <w:uiPriority w:val="0"/>
  </w:style>
  <w:style w:type="character" w:customStyle="1" w:styleId="22">
    <w:name w:val="Body Text Char"/>
    <w:basedOn w:val="13"/>
    <w:link w:val="3"/>
    <w:qFormat/>
    <w:uiPriority w:val="0"/>
  </w:style>
  <w:style w:type="character" w:customStyle="1" w:styleId="23">
    <w:name w:val="KeywordTok"/>
    <w:qFormat/>
    <w:uiPriority w:val="0"/>
    <w:rPr>
      <w:b/>
      <w:color w:val="007020"/>
    </w:rPr>
  </w:style>
  <w:style w:type="character" w:customStyle="1" w:styleId="24">
    <w:name w:val="DataTypeTok"/>
    <w:qFormat/>
    <w:uiPriority w:val="0"/>
    <w:rPr>
      <w:color w:val="902000"/>
    </w:rPr>
  </w:style>
  <w:style w:type="character" w:customStyle="1" w:styleId="25">
    <w:name w:val="DecValTok"/>
    <w:qFormat/>
    <w:uiPriority w:val="0"/>
    <w:rPr>
      <w:color w:val="40A070"/>
    </w:rPr>
  </w:style>
  <w:style w:type="character" w:customStyle="1" w:styleId="26">
    <w:name w:val="BaseNTok"/>
    <w:qFormat/>
    <w:uiPriority w:val="0"/>
    <w:rPr>
      <w:color w:val="40A070"/>
    </w:rPr>
  </w:style>
  <w:style w:type="character" w:customStyle="1" w:styleId="27">
    <w:name w:val="FloatTok"/>
    <w:qFormat/>
    <w:uiPriority w:val="0"/>
    <w:rPr>
      <w:color w:val="40A070"/>
    </w:rPr>
  </w:style>
  <w:style w:type="character" w:customStyle="1" w:styleId="28">
    <w:name w:val="ConstantTok"/>
    <w:uiPriority w:val="0"/>
    <w:rPr>
      <w:color w:val="880000"/>
    </w:rPr>
  </w:style>
  <w:style w:type="character" w:customStyle="1" w:styleId="29">
    <w:name w:val="CharTok"/>
    <w:qFormat/>
    <w:uiPriority w:val="0"/>
    <w:rPr>
      <w:color w:val="4070A0"/>
    </w:rPr>
  </w:style>
  <w:style w:type="character" w:customStyle="1" w:styleId="30">
    <w:name w:val="SpecialCharTok"/>
    <w:qFormat/>
    <w:uiPriority w:val="0"/>
    <w:rPr>
      <w:color w:val="4070A0"/>
    </w:rPr>
  </w:style>
  <w:style w:type="character" w:customStyle="1" w:styleId="31">
    <w:name w:val="StringTok"/>
    <w:qFormat/>
    <w:uiPriority w:val="0"/>
    <w:rPr>
      <w:color w:val="4070A0"/>
    </w:rPr>
  </w:style>
  <w:style w:type="character" w:customStyle="1" w:styleId="32">
    <w:name w:val="VerbatimStringTok"/>
    <w:qFormat/>
    <w:uiPriority w:val="0"/>
    <w:rPr>
      <w:color w:val="4070A0"/>
    </w:rPr>
  </w:style>
  <w:style w:type="character" w:customStyle="1" w:styleId="33">
    <w:name w:val="SpecialStringTok"/>
    <w:qFormat/>
    <w:uiPriority w:val="0"/>
    <w:rPr>
      <w:color w:val="BB6688"/>
    </w:rPr>
  </w:style>
  <w:style w:type="character" w:customStyle="1" w:styleId="34">
    <w:name w:val="ImportTok"/>
    <w:qFormat/>
    <w:uiPriority w:val="0"/>
    <w:rPr>
      <w:b/>
      <w:color w:val="008000"/>
    </w:rPr>
  </w:style>
  <w:style w:type="character" w:customStyle="1" w:styleId="35">
    <w:name w:val="CommentTok"/>
    <w:qFormat/>
    <w:uiPriority w:val="0"/>
    <w:rPr>
      <w:i/>
      <w:color w:val="60A0B0"/>
    </w:rPr>
  </w:style>
  <w:style w:type="character" w:customStyle="1" w:styleId="36">
    <w:name w:val="DocumentationTok"/>
    <w:qFormat/>
    <w:uiPriority w:val="0"/>
    <w:rPr>
      <w:i/>
      <w:color w:val="BA2121"/>
    </w:rPr>
  </w:style>
  <w:style w:type="character" w:customStyle="1" w:styleId="37">
    <w:name w:val="AnnotationTok"/>
    <w:qFormat/>
    <w:uiPriority w:val="0"/>
    <w:rPr>
      <w:b/>
      <w:i/>
      <w:color w:val="60A0B0"/>
    </w:rPr>
  </w:style>
  <w:style w:type="character" w:customStyle="1" w:styleId="38">
    <w:name w:val="CommentVarTok"/>
    <w:qFormat/>
    <w:uiPriority w:val="0"/>
    <w:rPr>
      <w:b/>
      <w:i/>
      <w:color w:val="60A0B0"/>
    </w:rPr>
  </w:style>
  <w:style w:type="character" w:customStyle="1" w:styleId="39">
    <w:name w:val="OtherTok"/>
    <w:qFormat/>
    <w:uiPriority w:val="0"/>
    <w:rPr>
      <w:color w:val="007020"/>
    </w:rPr>
  </w:style>
  <w:style w:type="character" w:customStyle="1" w:styleId="40">
    <w:name w:val="FunctionTok"/>
    <w:qFormat/>
    <w:uiPriority w:val="0"/>
    <w:rPr>
      <w:color w:val="06287E"/>
    </w:rPr>
  </w:style>
  <w:style w:type="character" w:customStyle="1" w:styleId="41">
    <w:name w:val="VariableTok"/>
    <w:qFormat/>
    <w:uiPriority w:val="0"/>
    <w:rPr>
      <w:color w:val="19177C"/>
    </w:rPr>
  </w:style>
  <w:style w:type="character" w:customStyle="1" w:styleId="42">
    <w:name w:val="ControlFlowTok"/>
    <w:qFormat/>
    <w:uiPriority w:val="0"/>
    <w:rPr>
      <w:b/>
      <w:color w:val="007020"/>
    </w:rPr>
  </w:style>
  <w:style w:type="character" w:customStyle="1" w:styleId="43">
    <w:name w:val="OperatorTok"/>
    <w:qFormat/>
    <w:uiPriority w:val="0"/>
    <w:rPr>
      <w:color w:val="666666"/>
    </w:rPr>
  </w:style>
  <w:style w:type="character" w:customStyle="1" w:styleId="44">
    <w:name w:val="BuiltInTok"/>
    <w:qFormat/>
    <w:uiPriority w:val="0"/>
    <w:rPr>
      <w:color w:val="008000"/>
    </w:rPr>
  </w:style>
  <w:style w:type="character" w:customStyle="1" w:styleId="45">
    <w:name w:val="ExtensionTok"/>
    <w:qFormat/>
    <w:uiPriority w:val="0"/>
  </w:style>
  <w:style w:type="character" w:customStyle="1" w:styleId="46">
    <w:name w:val="PreprocessorTok"/>
    <w:qFormat/>
    <w:uiPriority w:val="0"/>
    <w:rPr>
      <w:color w:val="BC7A00"/>
    </w:rPr>
  </w:style>
  <w:style w:type="character" w:customStyle="1" w:styleId="47">
    <w:name w:val="AttributeTok"/>
    <w:qFormat/>
    <w:uiPriority w:val="0"/>
    <w:rPr>
      <w:color w:val="7D9029"/>
    </w:rPr>
  </w:style>
  <w:style w:type="character" w:customStyle="1" w:styleId="48">
    <w:name w:val="RegionMarkerTok"/>
    <w:qFormat/>
    <w:uiPriority w:val="0"/>
  </w:style>
  <w:style w:type="character" w:customStyle="1" w:styleId="49">
    <w:name w:val="InformationTok"/>
    <w:qFormat/>
    <w:uiPriority w:val="0"/>
    <w:rPr>
      <w:b/>
      <w:i/>
      <w:color w:val="60A0B0"/>
    </w:rPr>
  </w:style>
  <w:style w:type="character" w:customStyle="1" w:styleId="50">
    <w:name w:val="WarningTok"/>
    <w:qFormat/>
    <w:uiPriority w:val="0"/>
    <w:rPr>
      <w:b/>
      <w:i/>
      <w:color w:val="60A0B0"/>
    </w:rPr>
  </w:style>
  <w:style w:type="character" w:customStyle="1" w:styleId="51">
    <w:name w:val="AlertTok"/>
    <w:qFormat/>
    <w:uiPriority w:val="0"/>
    <w:rPr>
      <w:b/>
      <w:color w:val="FF0000"/>
    </w:rPr>
  </w:style>
  <w:style w:type="character" w:customStyle="1" w:styleId="52">
    <w:name w:val="ErrorTok"/>
    <w:qFormat/>
    <w:uiPriority w:val="0"/>
    <w:rPr>
      <w:b/>
      <w:color w:val="FF0000"/>
    </w:rPr>
  </w:style>
  <w:style w:type="character" w:customStyle="1" w:styleId="53">
    <w:name w:val="NormalTok"/>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10750</Words>
  <Characters>12885</Characters>
  <Lines>3525</Lines>
  <Paragraphs>3467</Paragraphs>
  <TotalTime>1</TotalTime>
  <ScaleCrop>false</ScaleCrop>
  <LinksUpToDate>false</LinksUpToDate>
  <CharactersWithSpaces>13134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2026-08-19T08:16:00Z</dcterms:created>
  <dc:creator>凉城以北</dc:creator>
  <cp:keywords>碳中和技术创新; 研发投入; 空间Markov; 空间杜宾模型; GTWR</cp:keywords>
  <cp:lastModifiedBy>凉城以北</cp:lastModifiedBy>
  <dcterms:modified xsi:type="dcterms:W3CDTF">2026-08-22T07:12:35Z</dcterms:modified>
  <dc:subject>中国省域碳中和技术创新、空间Markov、SDM与GTWR</dc:subject>
  <dc:title>研发投入如何塑造中国省域碳中和技术创新？——状态跃迁、空间溢出与局部时空差异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5B8B334318AF422F9C2C440406BE8A0B_13</vt:lpwstr>
  </property>
  <property fmtid="{D5CDD505-2E9C-101B-9397-08002B2CF9AE}" pid="4" name="KSOTemplateDocerSaveRecord">
    <vt:lpwstr>eyJoZGlkIjoiODFiYjBhYmQzMWM4ZWRmMzU3ZDRlN2IyMTI3YTUzZmUiLCJ1c2VySWQiOiI4NzYyMzQ1MzAifQ==</vt:lpwstr>
  </property>
</Properties>
</file>