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drawing>
          <wp:inline distT="0" distB="0" distL="0" distR="0">
            <wp:extent cx="6477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 cy="838200"/>
                    </a:xfrm>
                    <a:prstGeom prst="rect">
                      <a:avLst/>
                    </a:prstGeom>
                  </pic:spPr>
                </pic:pic>
              </a:graphicData>
            </a:graphic>
          </wp:inline>
        </w:drawing>
      </w:r>
      <w:r>
        <w:t xml:space="preserve">				</w:t>
      </w:r>
      <w:r>
        <w:drawing>
          <wp:inline distT="0" distB="0" distL="0" distR="0">
            <wp:extent cx="8572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 cy="876300"/>
                    </a:xfrm>
                    <a:prstGeom prst="rect">
                      <a:avLst/>
                    </a:prstGeom>
                  </pic:spPr>
                </pic:pic>
              </a:graphicData>
            </a:graphic>
          </wp:inline>
        </w:drawing>
      </w:r>
    </w:p>
    <w:p>
      <w:pPr>
        <w:spacing w:after="60"/>
        <w:jc w:val="center"/>
      </w:pPr>
      <w:r>
        <w:rPr>
          <w:b/>
          <w:bCs/>
          <w:sz w:val="26"/>
          <w:szCs w:val="26"/>
        </w:rPr>
        <w:t xml:space="preserve">UNIVERSITÉ DE FIANARANTSOA</w:t>
      </w:r>
    </w:p>
    <w:p>
      <w:pPr>
        <w:spacing w:after="500"/>
        <w:jc w:val="center"/>
      </w:pPr>
      <w:r>
        <w:rPr>
          <w:b/>
          <w:bCs/>
          <w:sz w:val="26"/>
          <w:szCs w:val="26"/>
        </w:rPr>
        <w:t xml:space="preserve">ÉCOLE NATIONALE D'INFORMATIQUE</w:t>
      </w:r>
    </w:p>
    <w:p>
      <w:pPr>
        <w:spacing w:after="120"/>
        <w:jc w:val="center"/>
      </w:pPr>
      <w:r>
        <w:rPr>
          <w:b/>
          <w:bCs/>
          <w:sz w:val="22"/>
          <w:szCs w:val="22"/>
        </w:rPr>
        <w:t xml:space="preserve">Mention : INTELLIGENCE ARTIFICIELLE</w:t>
      </w:r>
    </w:p>
    <w:p>
      <w:pPr>
        <w:spacing w:after="600"/>
        <w:jc w:val="center"/>
      </w:pPr>
      <w:r>
        <w:rPr>
          <w:b/>
          <w:bCs/>
          <w:sz w:val="22"/>
          <w:szCs w:val="22"/>
        </w:rPr>
        <w:t xml:space="preserve">Parcours : ……………………………………………</w:t>
      </w:r>
    </w:p>
    <w:p>
      <w:pPr>
        <w:spacing w:after="120"/>
        <w:jc w:val="center"/>
      </w:pPr>
      <w:r>
        <w:rPr>
          <w:b/>
          <w:bCs/>
          <w:sz w:val="22"/>
          <w:szCs w:val="22"/>
        </w:rPr>
        <w:t xml:space="preserve">Intitulé :</w:t>
      </w:r>
    </w:p>
    <w:p>
      <w:pPr>
        <w:spacing w:after="700"/>
        <w:jc w:val="center"/>
      </w:pPr>
      <w:r>
        <w:rPr>
          <w:b/>
          <w:bCs/>
          <w:sz w:val="32"/>
          <w:szCs w:val="32"/>
        </w:rPr>
        <w:t xml:space="preserve">ANALYSE &amp; OPTIMISATION MARKETING BASÉE SUR LA SEGMENTATION CLIENT</w:t>
      </w:r>
    </w:p>
    <w:p>
      <w:pPr>
        <w:spacing w:after="700"/>
      </w:pPr>
      <w:r>
        <w:t xml:space="preserve"/>
      </w:r>
    </w:p>
    <w:p>
      <w:pPr>
        <w:spacing w:after="160"/>
      </w:pPr>
      <w:r>
        <w:rPr>
          <w:b/>
          <w:bCs/>
          <w:sz w:val="22"/>
          <w:szCs w:val="22"/>
        </w:rPr>
        <w:t xml:space="preserve">Présenté par le groupe :</w:t>
      </w:r>
    </w:p>
    <w:p>
      <w:pPr>
        <w:tabs>
          <w:tab w:val="left" w:pos="500"/>
        </w:tabs>
        <w:spacing w:after="60"/>
      </w:pPr>
      <w:r>
        <w:rPr>
          <w:b/>
          <w:bCs/>
          <w:sz w:val="22"/>
          <w:szCs w:val="22"/>
        </w:rPr>
        <w:t xml:space="preserve">	* …………………………………………………………… – N° ……………</w:t>
      </w:r>
    </w:p>
    <w:p>
      <w:pPr>
        <w:tabs>
          <w:tab w:val="left" w:pos="500"/>
        </w:tabs>
        <w:spacing w:after="60"/>
      </w:pPr>
      <w:r>
        <w:rPr>
          <w:b/>
          <w:bCs/>
          <w:sz w:val="22"/>
          <w:szCs w:val="22"/>
        </w:rPr>
        <w:t xml:space="preserve">	* …………………………………………………………… – N° ……………</w:t>
      </w:r>
    </w:p>
    <w:p>
      <w:pPr>
        <w:tabs>
          <w:tab w:val="left" w:pos="500"/>
        </w:tabs>
        <w:spacing w:after="60"/>
      </w:pPr>
      <w:r>
        <w:rPr>
          <w:b/>
          <w:bCs/>
          <w:sz w:val="22"/>
          <w:szCs w:val="22"/>
        </w:rPr>
        <w:t xml:space="preserve">	* …………………………………………………………… – N° ……………</w:t>
      </w:r>
    </w:p>
    <w:p>
      <w:pPr>
        <w:spacing w:after="700"/>
      </w:pPr>
      <w:r>
        <w:t xml:space="preserve"/>
      </w:r>
    </w:p>
    <w:p>
      <w:pPr>
        <w:jc w:val="center"/>
      </w:pPr>
      <w:r>
        <w:rPr>
          <w:sz w:val="22"/>
          <w:szCs w:val="22"/>
        </w:rPr>
        <w:t xml:space="preserve">Année universitaire : ……………… – ………………</w:t>
      </w:r>
    </w:p>
    <w:p>
      <w:r>
        <w:br w:type="page"/>
      </w:r>
    </w:p>
    <w:p>
      <w:pPr>
        <w:sectPr>
          <w:headerReference w:type="default" r:id="rId7"/>
          <w:footerReference w:type="default" r:id="rId8"/>
          <w:pgSz w:w="11906" w:h="16838" w:orient="portrait"/>
          <w:pgMar w:top="1000" w:right="1200" w:bottom="1000" w:left="1200" w:header="708" w:footer="708" w:gutter="0"/>
          <w:pgNumType/>
          <w:titlePg/>
          <w:docGrid w:linePitch="360"/>
        </w:sectPr>
      </w:pPr>
    </w:p>
    <w:p>
      <w:pPr>
        <w:pStyle w:val="Heading1"/>
        <w:spacing w:after="200" w:before="360"/>
      </w:pPr>
      <w:r>
        <w:rPr>
          <w:b/>
          <w:bCs/>
          <w:color w:val="1F3864"/>
          <w:sz w:val="28"/>
          <w:szCs w:val="28"/>
        </w:rPr>
        <w:t xml:space="preserve">Sommaire</w:t>
      </w:r>
    </w:p>
    <w:p>
      <w:pPr>
        <w:tabs>
          <w:tab w:val="right" w:pos="9026" w:leader="dot"/>
        </w:tabs>
        <w:spacing w:after="140"/>
      </w:pPr>
      <w:r>
        <w:rPr>
          <w:sz w:val="22"/>
          <w:szCs w:val="22"/>
        </w:rPr>
        <w:t xml:space="preserve">1. Introduction et objectif du projet</w:t>
      </w:r>
      <w:r>
        <w:rPr>
          <w:sz w:val="22"/>
          <w:szCs w:val="22"/>
        </w:rPr>
        <w:t xml:space="preserve">	3</w:t>
      </w:r>
    </w:p>
    <w:p>
      <w:pPr>
        <w:tabs>
          <w:tab w:val="right" w:pos="9026" w:leader="dot"/>
        </w:tabs>
        <w:spacing w:after="140"/>
      </w:pPr>
      <w:r>
        <w:rPr>
          <w:sz w:val="22"/>
          <w:szCs w:val="22"/>
        </w:rPr>
        <w:t xml:space="preserve">2. Préparation des données</w:t>
      </w:r>
      <w:r>
        <w:rPr>
          <w:sz w:val="22"/>
          <w:szCs w:val="22"/>
        </w:rPr>
        <w:t xml:space="preserve">	3</w:t>
      </w:r>
    </w:p>
    <w:p>
      <w:pPr>
        <w:tabs>
          <w:tab w:val="right" w:pos="9026" w:leader="dot"/>
        </w:tabs>
        <w:spacing w:after="140"/>
      </w:pPr>
      <w:r>
        <w:rPr>
          <w:sz w:val="22"/>
          <w:szCs w:val="22"/>
        </w:rPr>
        <w:t xml:space="preserve">3. Exploration et comportement d'achat</w:t>
      </w:r>
      <w:r>
        <w:rPr>
          <w:sz w:val="22"/>
          <w:szCs w:val="22"/>
        </w:rPr>
        <w:t xml:space="preserve">	3</w:t>
      </w:r>
    </w:p>
    <w:p>
      <w:pPr>
        <w:tabs>
          <w:tab w:val="right" w:pos="9026" w:leader="dot"/>
        </w:tabs>
        <w:spacing w:after="140"/>
      </w:pPr>
      <w:r>
        <w:rPr>
          <w:sz w:val="22"/>
          <w:szCs w:val="22"/>
        </w:rPr>
        <w:t xml:space="preserve">4. Segmentation client</w:t>
      </w:r>
      <w:r>
        <w:rPr>
          <w:sz w:val="22"/>
          <w:szCs w:val="22"/>
        </w:rPr>
        <w:t xml:space="preserve">	3</w:t>
      </w:r>
    </w:p>
    <w:p>
      <w:pPr>
        <w:tabs>
          <w:tab w:val="right" w:pos="9026" w:leader="dot"/>
        </w:tabs>
        <w:spacing w:after="140"/>
      </w:pPr>
      <w:r>
        <w:rPr>
          <w:sz w:val="22"/>
          <w:szCs w:val="22"/>
        </w:rPr>
        <w:t xml:space="preserve">5. Performance des campagnes marketing</w:t>
      </w:r>
      <w:r>
        <w:rPr>
          <w:sz w:val="22"/>
          <w:szCs w:val="22"/>
        </w:rPr>
        <w:t xml:space="preserve">	4</w:t>
      </w:r>
    </w:p>
    <w:p>
      <w:pPr>
        <w:tabs>
          <w:tab w:val="right" w:pos="9026" w:leader="dot"/>
        </w:tabs>
        <w:spacing w:after="140"/>
      </w:pPr>
      <w:r>
        <w:rPr>
          <w:sz w:val="22"/>
          <w:szCs w:val="22"/>
        </w:rPr>
        <w:t xml:space="preserve">6. Prédiction du churn et de la valeur client (CLV)</w:t>
      </w:r>
      <w:r>
        <w:rPr>
          <w:sz w:val="22"/>
          <w:szCs w:val="22"/>
        </w:rPr>
        <w:t xml:space="preserve">	4</w:t>
      </w:r>
    </w:p>
    <w:p>
      <w:pPr>
        <w:tabs>
          <w:tab w:val="right" w:pos="9026" w:leader="dot"/>
        </w:tabs>
        <w:spacing w:after="140"/>
      </w:pPr>
      <w:r>
        <w:rPr>
          <w:sz w:val="22"/>
          <w:szCs w:val="22"/>
        </w:rPr>
        <w:t xml:space="preserve">7. Stratégie marketing digitale personnalisée</w:t>
      </w:r>
      <w:r>
        <w:rPr>
          <w:sz w:val="22"/>
          <w:szCs w:val="22"/>
        </w:rPr>
        <w:t xml:space="preserve">	5</w:t>
      </w:r>
    </w:p>
    <w:p>
      <w:pPr>
        <w:tabs>
          <w:tab w:val="right" w:pos="9026" w:leader="dot"/>
        </w:tabs>
        <w:spacing w:after="140"/>
      </w:pPr>
      <w:r>
        <w:rPr>
          <w:sz w:val="22"/>
          <w:szCs w:val="22"/>
        </w:rPr>
        <w:t xml:space="preserve">8. Dashboard interactif</w:t>
      </w:r>
      <w:r>
        <w:rPr>
          <w:sz w:val="22"/>
          <w:szCs w:val="22"/>
        </w:rPr>
        <w:t xml:space="preserve">	6</w:t>
      </w:r>
    </w:p>
    <w:p>
      <w:pPr>
        <w:tabs>
          <w:tab w:val="right" w:pos="9026" w:leader="dot"/>
        </w:tabs>
        <w:spacing w:after="140"/>
      </w:pPr>
      <w:r>
        <w:rPr>
          <w:sz w:val="22"/>
          <w:szCs w:val="22"/>
        </w:rPr>
        <w:t xml:space="preserve">9. Conclusion et livrables</w:t>
      </w:r>
      <w:r>
        <w:rPr>
          <w:sz w:val="22"/>
          <w:szCs w:val="22"/>
        </w:rPr>
        <w:t xml:space="preserve">	6</w:t>
      </w:r>
    </w:p>
    <w:p>
      <w:r>
        <w:br w:type="page"/>
      </w:r>
    </w:p>
    <w:p>
      <w:pPr>
        <w:pStyle w:val="Heading1"/>
        <w:spacing w:after="200" w:before="360"/>
      </w:pPr>
      <w:r>
        <w:rPr>
          <w:b/>
          <w:bCs/>
          <w:color w:val="1F3864"/>
          <w:sz w:val="28"/>
          <w:szCs w:val="28"/>
        </w:rPr>
        <w:t xml:space="preserve">1. Introduction et objectif du projet</w:t>
      </w:r>
    </w:p>
    <w:p>
      <w:pPr>
        <w:spacing w:after="160" w:line="300"/>
        <w:jc w:val="both"/>
      </w:pPr>
      <w:r>
        <w:rPr>
          <w:sz w:val="22"/>
          <w:szCs w:val="22"/>
        </w:rPr>
        <w:t xml:space="preserve">Ce rapport présente le travail réalisé dans le cadre du projet pédagogique « Analyse &amp; Optimisation Marketing », qui vise à exploiter des données clients, produits, ventes et campagnes afin de segmenter la clientèle, comprendre les comportements d'achat, mesurer la performance des actions marketing et proposer une stratégie de personnalisation assistée par l'intelligence artificielle. La démarche suit la structure en modules (M1 à M9) fixée par l'énoncé du projet, et s'appuie sur quatre fichiers sources : customers_data.csv, sales_data.csv, products_data.csv et marketing_data.csv.</w:t>
      </w:r>
    </w:p>
    <w:p>
      <w:pPr>
        <w:spacing w:after="160" w:line="300"/>
        <w:jc w:val="both"/>
      </w:pPr>
      <w:r>
        <w:rPr>
          <w:sz w:val="22"/>
          <w:szCs w:val="22"/>
        </w:rPr>
        <w:t xml:space="preserve">L'échantillon fourni est volontairement restreint (5 clients, 5 ventes, 5 produits, 5 campagnes), ce qui convient à un exercice pédagogique mais impose une lecture prudente des résultats : les tendances dégagées illustrent une méthode plutôt qu'elles ne constituent des conclusions statistiquement robustes. Cette limite est rappelée à chaque fois qu'elle est pertinente, plutôt que dissimulée.</w:t>
      </w:r>
    </w:p>
    <w:p>
      <w:pPr>
        <w:pStyle w:val="Heading1"/>
        <w:spacing w:after="200" w:before="360"/>
      </w:pPr>
      <w:r>
        <w:rPr>
          <w:b/>
          <w:bCs/>
          <w:color w:val="1F3864"/>
          <w:sz w:val="28"/>
          <w:szCs w:val="28"/>
        </w:rPr>
        <w:t xml:space="preserve">2. Préparation des données</w:t>
      </w:r>
    </w:p>
    <w:p>
      <w:pPr>
        <w:spacing w:after="160" w:line="300"/>
        <w:jc w:val="both"/>
      </w:pPr>
      <w:r>
        <w:rPr>
          <w:sz w:val="22"/>
          <w:szCs w:val="22"/>
        </w:rPr>
        <w:t xml:space="preserve">La préparation a porté sur trois points : la conversion des champs de date, la vérification des valeurs manquantes et le calcul du chiffre d'affaires de chaque vente (quantité × prix unitaire). Les quatre fichiers ont ensuite été rapprochés par jointure sur les identifiants client et produit afin de relier chaque transaction à un profil démographique et à une fiche produit.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300"/>
      </w:tblGrid>
      <w:tr>
        <w:trPr>
          <w:tblHeader/>
        </w:trPr>
        <w:tc>
          <w:tcPr>
            <w:shd w:fill="1F3864" w:val="clear"/>
            <w:tcMar>
              <w:top w:type="dxa" w:w="80"/>
              <w:left w:type="dxa" w:w="120"/>
              <w:bottom w:type="dxa" w:w="80"/>
              <w:right w:type="dxa" w:w="120"/>
            </w:tcMar>
            <w:vAlign w:val="center"/>
          </w:tcPr>
          <w:p>
            <w:pPr>
              <w:jc w:val="left"/>
            </w:pPr>
            <w:r>
              <w:rPr>
                <w:b/>
                <w:bCs/>
                <w:color w:val="FFFFFF"/>
                <w:sz w:val="20"/>
                <w:szCs w:val="20"/>
              </w:rPr>
              <w:t xml:space="preserve">Fichier source</w:t>
            </w:r>
          </w:p>
        </w:tc>
        <w:tc>
          <w:tcPr>
            <w:shd w:fill="1F3864" w:val="clear"/>
            <w:tcMar>
              <w:top w:type="dxa" w:w="80"/>
              <w:left w:type="dxa" w:w="120"/>
              <w:bottom w:type="dxa" w:w="80"/>
              <w:right w:type="dxa" w:w="120"/>
            </w:tcMar>
            <w:vAlign w:val="center"/>
          </w:tcPr>
          <w:p>
            <w:pPr>
              <w:jc w:val="center"/>
            </w:pPr>
            <w:r>
              <w:rPr>
                <w:b/>
                <w:bCs/>
                <w:color w:val="FFFFFF"/>
                <w:sz w:val="20"/>
                <w:szCs w:val="20"/>
              </w:rPr>
              <w:t xml:space="preserve">Volume</w:t>
            </w:r>
          </w:p>
        </w:tc>
        <w:tc>
          <w:tcPr>
            <w:shd w:fill="1F3864" w:val="clear"/>
            <w:tcMar>
              <w:top w:type="dxa" w:w="80"/>
              <w:left w:type="dxa" w:w="120"/>
              <w:bottom w:type="dxa" w:w="80"/>
              <w:right w:type="dxa" w:w="120"/>
            </w:tcMar>
            <w:vAlign w:val="center"/>
          </w:tcPr>
          <w:p>
            <w:pPr>
              <w:jc w:val="left"/>
            </w:pPr>
            <w:r>
              <w:rPr>
                <w:b/>
                <w:bCs/>
                <w:color w:val="FFFFFF"/>
                <w:sz w:val="20"/>
                <w:szCs w:val="20"/>
              </w:rPr>
              <w:t xml:space="preserve">Variables mobilisées</w:t>
            </w:r>
          </w:p>
        </w:tc>
      </w:tr>
      <w:tr>
        <w:tc>
          <w:tcPr>
            <w:tcMar>
              <w:top w:type="dxa" w:w="80"/>
              <w:left w:type="dxa" w:w="120"/>
              <w:bottom w:type="dxa" w:w="80"/>
              <w:right w:type="dxa" w:w="120"/>
            </w:tcMar>
            <w:vAlign w:val="center"/>
          </w:tcPr>
          <w:p>
            <w:pPr>
              <w:jc w:val="left"/>
            </w:pPr>
            <w:r>
              <w:rPr>
                <w:b w:val="false"/>
                <w:bCs w:val="false"/>
                <w:color w:val="000000"/>
                <w:sz w:val="20"/>
                <w:szCs w:val="20"/>
              </w:rPr>
              <w:t xml:space="preserve">customers_data.csv</w:t>
            </w:r>
          </w:p>
        </w:tc>
        <w:tc>
          <w:tcPr>
            <w:tcMar>
              <w:top w:type="dxa" w:w="80"/>
              <w:left w:type="dxa" w:w="120"/>
              <w:bottom w:type="dxa" w:w="80"/>
              <w:right w:type="dxa" w:w="120"/>
            </w:tcMar>
            <w:vAlign w:val="center"/>
          </w:tcPr>
          <w:p>
            <w:pPr>
              <w:jc w:val="center"/>
            </w:pPr>
            <w:r>
              <w:rPr>
                <w:b w:val="false"/>
                <w:bCs w:val="false"/>
                <w:color w:val="000000"/>
                <w:sz w:val="20"/>
                <w:szCs w:val="20"/>
              </w:rPr>
              <w:t xml:space="preserve">5 clients</w:t>
            </w:r>
          </w:p>
        </w:tc>
        <w:tc>
          <w:tcPr>
            <w:tcMar>
              <w:top w:type="dxa" w:w="80"/>
              <w:left w:type="dxa" w:w="120"/>
              <w:bottom w:type="dxa" w:w="80"/>
              <w:right w:type="dxa" w:w="120"/>
            </w:tcMar>
            <w:vAlign w:val="center"/>
          </w:tcPr>
          <w:p>
            <w:pPr>
              <w:jc w:val="left"/>
            </w:pPr>
            <w:r>
              <w:rPr>
                <w:b w:val="false"/>
                <w:bCs w:val="false"/>
                <w:color w:val="000000"/>
                <w:sz w:val="20"/>
                <w:szCs w:val="20"/>
              </w:rPr>
              <w:t xml:space="preserve">Âge, sexe, localisation, dépense cumulée</w:t>
            </w:r>
          </w:p>
        </w:tc>
      </w:tr>
      <w:tr>
        <w:tc>
          <w:tcPr>
            <w:tcMar>
              <w:top w:type="dxa" w:w="80"/>
              <w:left w:type="dxa" w:w="120"/>
              <w:bottom w:type="dxa" w:w="80"/>
              <w:right w:type="dxa" w:w="120"/>
            </w:tcMar>
            <w:vAlign w:val="center"/>
          </w:tcPr>
          <w:p>
            <w:pPr>
              <w:jc w:val="left"/>
            </w:pPr>
            <w:r>
              <w:rPr>
                <w:b w:val="false"/>
                <w:bCs w:val="false"/>
                <w:color w:val="000000"/>
                <w:sz w:val="20"/>
                <w:szCs w:val="20"/>
              </w:rPr>
              <w:t xml:space="preserve">sales_data.csv</w:t>
            </w:r>
          </w:p>
        </w:tc>
        <w:tc>
          <w:tcPr>
            <w:tcMar>
              <w:top w:type="dxa" w:w="80"/>
              <w:left w:type="dxa" w:w="120"/>
              <w:bottom w:type="dxa" w:w="80"/>
              <w:right w:type="dxa" w:w="120"/>
            </w:tcMar>
            <w:vAlign w:val="center"/>
          </w:tcPr>
          <w:p>
            <w:pPr>
              <w:jc w:val="center"/>
            </w:pPr>
            <w:r>
              <w:rPr>
                <w:b w:val="false"/>
                <w:bCs w:val="false"/>
                <w:color w:val="000000"/>
                <w:sz w:val="20"/>
                <w:szCs w:val="20"/>
              </w:rPr>
              <w:t xml:space="preserve">5 ventes</w:t>
            </w:r>
          </w:p>
        </w:tc>
        <w:tc>
          <w:tcPr>
            <w:tcMar>
              <w:top w:type="dxa" w:w="80"/>
              <w:left w:type="dxa" w:w="120"/>
              <w:bottom w:type="dxa" w:w="80"/>
              <w:right w:type="dxa" w:w="120"/>
            </w:tcMar>
            <w:vAlign w:val="center"/>
          </w:tcPr>
          <w:p>
            <w:pPr>
              <w:jc w:val="left"/>
            </w:pPr>
            <w:r>
              <w:rPr>
                <w:b w:val="false"/>
                <w:bCs w:val="false"/>
                <w:color w:val="000000"/>
                <w:sz w:val="20"/>
                <w:szCs w:val="20"/>
              </w:rPr>
              <w:t xml:space="preserve">Produit, client, quantité, prix, canal, date</w:t>
            </w:r>
          </w:p>
        </w:tc>
      </w:tr>
      <w:tr>
        <w:tc>
          <w:tcPr>
            <w:tcMar>
              <w:top w:type="dxa" w:w="80"/>
              <w:left w:type="dxa" w:w="120"/>
              <w:bottom w:type="dxa" w:w="80"/>
              <w:right w:type="dxa" w:w="120"/>
            </w:tcMar>
            <w:vAlign w:val="center"/>
          </w:tcPr>
          <w:p>
            <w:pPr>
              <w:jc w:val="left"/>
            </w:pPr>
            <w:r>
              <w:rPr>
                <w:b w:val="false"/>
                <w:bCs w:val="false"/>
                <w:color w:val="000000"/>
                <w:sz w:val="20"/>
                <w:szCs w:val="20"/>
              </w:rPr>
              <w:t xml:space="preserve">products_data.csv</w:t>
            </w:r>
          </w:p>
        </w:tc>
        <w:tc>
          <w:tcPr>
            <w:tcMar>
              <w:top w:type="dxa" w:w="80"/>
              <w:left w:type="dxa" w:w="120"/>
              <w:bottom w:type="dxa" w:w="80"/>
              <w:right w:type="dxa" w:w="120"/>
            </w:tcMar>
            <w:vAlign w:val="center"/>
          </w:tcPr>
          <w:p>
            <w:pPr>
              <w:jc w:val="center"/>
            </w:pPr>
            <w:r>
              <w:rPr>
                <w:b w:val="false"/>
                <w:bCs w:val="false"/>
                <w:color w:val="000000"/>
                <w:sz w:val="20"/>
                <w:szCs w:val="20"/>
              </w:rPr>
              <w:t xml:space="preserve">5 produits</w:t>
            </w:r>
          </w:p>
        </w:tc>
        <w:tc>
          <w:tcPr>
            <w:tcMar>
              <w:top w:type="dxa" w:w="80"/>
              <w:left w:type="dxa" w:w="120"/>
              <w:bottom w:type="dxa" w:w="80"/>
              <w:right w:type="dxa" w:w="120"/>
            </w:tcMar>
            <w:vAlign w:val="center"/>
          </w:tcPr>
          <w:p>
            <w:pPr>
              <w:jc w:val="left"/>
            </w:pPr>
            <w:r>
              <w:rPr>
                <w:b w:val="false"/>
                <w:bCs w:val="false"/>
                <w:color w:val="000000"/>
                <w:sz w:val="20"/>
                <w:szCs w:val="20"/>
              </w:rPr>
              <w:t xml:space="preserve">Catégorie, prix, marque</w:t>
            </w:r>
          </w:p>
        </w:tc>
      </w:tr>
      <w:tr>
        <w:tc>
          <w:tcPr>
            <w:tcMar>
              <w:top w:type="dxa" w:w="80"/>
              <w:left w:type="dxa" w:w="120"/>
              <w:bottom w:type="dxa" w:w="80"/>
              <w:right w:type="dxa" w:w="120"/>
            </w:tcMar>
            <w:vAlign w:val="center"/>
          </w:tcPr>
          <w:p>
            <w:pPr>
              <w:jc w:val="left"/>
            </w:pPr>
            <w:r>
              <w:rPr>
                <w:b w:val="false"/>
                <w:bCs w:val="false"/>
                <w:color w:val="000000"/>
                <w:sz w:val="20"/>
                <w:szCs w:val="20"/>
              </w:rPr>
              <w:t xml:space="preserve">marketing_data.csv</w:t>
            </w:r>
          </w:p>
        </w:tc>
        <w:tc>
          <w:tcPr>
            <w:tcMar>
              <w:top w:type="dxa" w:w="80"/>
              <w:left w:type="dxa" w:w="120"/>
              <w:bottom w:type="dxa" w:w="80"/>
              <w:right w:type="dxa" w:w="120"/>
            </w:tcMar>
            <w:vAlign w:val="center"/>
          </w:tcPr>
          <w:p>
            <w:pPr>
              <w:jc w:val="center"/>
            </w:pPr>
            <w:r>
              <w:rPr>
                <w:b w:val="false"/>
                <w:bCs w:val="false"/>
                <w:color w:val="000000"/>
                <w:sz w:val="20"/>
                <w:szCs w:val="20"/>
              </w:rPr>
              <w:t xml:space="preserve">5 campagnes</w:t>
            </w:r>
          </w:p>
        </w:tc>
        <w:tc>
          <w:tcPr>
            <w:tcMar>
              <w:top w:type="dxa" w:w="80"/>
              <w:left w:type="dxa" w:w="120"/>
              <w:bottom w:type="dxa" w:w="80"/>
              <w:right w:type="dxa" w:w="120"/>
            </w:tcMar>
            <w:vAlign w:val="center"/>
          </w:tcPr>
          <w:p>
            <w:pPr>
              <w:jc w:val="left"/>
            </w:pPr>
            <w:r>
              <w:rPr>
                <w:b w:val="false"/>
                <w:bCs w:val="false"/>
                <w:color w:val="000000"/>
                <w:sz w:val="20"/>
                <w:szCs w:val="20"/>
              </w:rPr>
              <w:t xml:space="preserve">Canal, budget, impressions, clics, conversions</w:t>
            </w:r>
          </w:p>
        </w:tc>
      </w:tr>
    </w:tbl>
    <w:p>
      <w:pPr>
        <w:spacing w:after="200"/>
      </w:pPr>
    </w:p>
    <w:p>
      <w:pPr>
        <w:pStyle w:val="Heading1"/>
        <w:spacing w:after="200" w:before="360"/>
      </w:pPr>
      <w:r>
        <w:rPr>
          <w:b/>
          <w:bCs/>
          <w:color w:val="1F3864"/>
          <w:sz w:val="28"/>
          <w:szCs w:val="28"/>
        </w:rPr>
        <w:t xml:space="preserve">3. Exploration et comportement d'achat</w:t>
      </w:r>
    </w:p>
    <w:p>
      <w:pPr>
        <w:spacing w:after="160" w:line="300"/>
        <w:jc w:val="both"/>
      </w:pPr>
      <w:r>
        <w:rPr>
          <w:sz w:val="22"/>
          <w:szCs w:val="22"/>
        </w:rPr>
        <w:t xml:space="preserve">Les cinq ventes enregistrées représentent 9 unités vendues pour un chiffre d'affaires calculé de 475,00. La fusion ventes-clients-produits met en évidence des profils contrastés dans un échantillon aussi restreint : Alice réalise deux achats portant sur deux produits différents, ce qui en fait la cliente la plus active sur la période observée. Bob affiche la dépense cumulée la plus élevée du fichier clients (750), bien qu'une seule vente lui soit associée dans l'historique fourni. Eva, en revanche, figure dans la base clients sans qu'aucune vente ne lui soit rattachée : elle constitue une cible naturelle de réactivation, sous réserve de vérifier que l'historique transmis est bien complet.</w:t>
      </w:r>
    </w:p>
    <w:p>
      <w:pPr>
        <w:pStyle w:val="Heading1"/>
        <w:spacing w:after="200" w:before="360"/>
      </w:pPr>
      <w:r>
        <w:rPr>
          <w:b/>
          <w:bCs/>
          <w:color w:val="1F3864"/>
          <w:sz w:val="28"/>
          <w:szCs w:val="28"/>
        </w:rPr>
        <w:t xml:space="preserve">4. Segmentation client</w:t>
      </w:r>
    </w:p>
    <w:p>
      <w:pPr>
        <w:spacing w:after="160" w:line="300"/>
        <w:jc w:val="both"/>
      </w:pPr>
      <w:r>
        <w:rPr>
          <w:sz w:val="22"/>
          <w:szCs w:val="22"/>
        </w:rPr>
        <w:t xml:space="preserve">La segmentation repose sur un algorithme K-means à 3 groupes, appliqué après standardisation des variables suivantes : âge, dépense totale, nombre de commandes, quantité achetée, chiffre d'affaires observé et diversité des produits achetés. Avec seulement cinq clients, les groupes obtenus doivent être compris comme des profils illustratifs et non comme des segments validés statistiquement — une segmentation exploitable en production demanderait un historique nettement plus large.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800"/>
        <w:gridCol w:w="2500"/>
      </w:tblGrid>
      <w:tr>
        <w:trPr>
          <w:tblHeader/>
        </w:trPr>
        <w:tc>
          <w:tcPr>
            <w:shd w:fill="1F3864" w:val="clear"/>
            <w:tcMar>
              <w:top w:type="dxa" w:w="80"/>
              <w:left w:type="dxa" w:w="120"/>
              <w:bottom w:type="dxa" w:w="80"/>
              <w:right w:type="dxa" w:w="120"/>
            </w:tcMar>
            <w:vAlign w:val="center"/>
          </w:tcPr>
          <w:p>
            <w:pPr>
              <w:jc w:val="left"/>
            </w:pPr>
            <w:r>
              <w:rPr>
                <w:b/>
                <w:bCs/>
                <w:color w:val="FFFFFF"/>
                <w:sz w:val="20"/>
                <w:szCs w:val="20"/>
              </w:rPr>
              <w:t xml:space="preserve">Segment</w:t>
            </w:r>
          </w:p>
        </w:tc>
        <w:tc>
          <w:tcPr>
            <w:shd w:fill="1F3864" w:val="clear"/>
            <w:tcMar>
              <w:top w:type="dxa" w:w="80"/>
              <w:left w:type="dxa" w:w="120"/>
              <w:bottom w:type="dxa" w:w="80"/>
              <w:right w:type="dxa" w:w="120"/>
            </w:tcMar>
            <w:vAlign w:val="center"/>
          </w:tcPr>
          <w:p>
            <w:pPr>
              <w:jc w:val="center"/>
            </w:pPr>
            <w:r>
              <w:rPr>
                <w:b/>
                <w:bCs/>
                <w:color w:val="FFFFFF"/>
                <w:sz w:val="20"/>
                <w:szCs w:val="20"/>
              </w:rPr>
              <w:t xml:space="preserve">Client(s)</w:t>
            </w:r>
          </w:p>
        </w:tc>
        <w:tc>
          <w:tcPr>
            <w:shd w:fill="1F3864" w:val="clear"/>
            <w:tcMar>
              <w:top w:type="dxa" w:w="80"/>
              <w:left w:type="dxa" w:w="120"/>
              <w:bottom w:type="dxa" w:w="80"/>
              <w:right w:type="dxa" w:w="120"/>
            </w:tcMar>
            <w:vAlign w:val="center"/>
          </w:tcPr>
          <w:p>
            <w:pPr>
              <w:jc w:val="left"/>
            </w:pPr>
            <w:r>
              <w:rPr>
                <w:b/>
                <w:bCs/>
                <w:color w:val="FFFFFF"/>
                <w:sz w:val="20"/>
                <w:szCs w:val="20"/>
              </w:rPr>
              <w:t xml:space="preserve">Profil observé</w:t>
            </w:r>
          </w:p>
        </w:tc>
        <w:tc>
          <w:tcPr>
            <w:shd w:fill="1F3864" w:val="clear"/>
            <w:tcMar>
              <w:top w:type="dxa" w:w="80"/>
              <w:left w:type="dxa" w:w="120"/>
              <w:bottom w:type="dxa" w:w="80"/>
              <w:right w:type="dxa" w:w="120"/>
            </w:tcMar>
            <w:vAlign w:val="center"/>
          </w:tcPr>
          <w:p>
            <w:pPr>
              <w:jc w:val="left"/>
            </w:pPr>
            <w:r>
              <w:rPr>
                <w:b/>
                <w:bCs/>
                <w:color w:val="FFFFFF"/>
                <w:sz w:val="20"/>
                <w:szCs w:val="20"/>
              </w:rPr>
              <w:t xml:space="preserve">Action recommandée</w:t>
            </w:r>
          </w:p>
        </w:tc>
      </w:tr>
      <w:tr>
        <w:tc>
          <w:tcPr>
            <w:tcMar>
              <w:top w:type="dxa" w:w="80"/>
              <w:left w:type="dxa" w:w="120"/>
              <w:bottom w:type="dxa" w:w="80"/>
              <w:right w:type="dxa" w:w="120"/>
            </w:tcMar>
            <w:vAlign w:val="center"/>
          </w:tcPr>
          <w:p>
            <w:pPr>
              <w:jc w:val="left"/>
            </w:pPr>
            <w:r>
              <w:rPr>
                <w:b w:val="false"/>
                <w:bCs w:val="false"/>
                <w:color w:val="000000"/>
                <w:sz w:val="20"/>
                <w:szCs w:val="20"/>
              </w:rPr>
              <w:t xml:space="preserve">Forte valeur</w:t>
            </w:r>
          </w:p>
        </w:tc>
        <w:tc>
          <w:tcPr>
            <w:tcMar>
              <w:top w:type="dxa" w:w="80"/>
              <w:left w:type="dxa" w:w="120"/>
              <w:bottom w:type="dxa" w:w="80"/>
              <w:right w:type="dxa" w:w="120"/>
            </w:tcMar>
            <w:vAlign w:val="center"/>
          </w:tcPr>
          <w:p>
            <w:pPr>
              <w:jc w:val="center"/>
            </w:pPr>
            <w:r>
              <w:rPr>
                <w:b w:val="false"/>
                <w:bCs w:val="false"/>
                <w:color w:val="000000"/>
                <w:sz w:val="20"/>
                <w:szCs w:val="20"/>
              </w:rPr>
              <w:t xml:space="preserve">Alice</w:t>
            </w:r>
          </w:p>
        </w:tc>
        <w:tc>
          <w:tcPr>
            <w:tcMar>
              <w:top w:type="dxa" w:w="80"/>
              <w:left w:type="dxa" w:w="120"/>
              <w:bottom w:type="dxa" w:w="80"/>
              <w:right w:type="dxa" w:w="120"/>
            </w:tcMar>
            <w:vAlign w:val="center"/>
          </w:tcPr>
          <w:p>
            <w:pPr>
              <w:jc w:val="left"/>
            </w:pPr>
            <w:r>
              <w:rPr>
                <w:b w:val="false"/>
                <w:bCs w:val="false"/>
                <w:color w:val="000000"/>
                <w:sz w:val="20"/>
                <w:szCs w:val="20"/>
              </w:rPr>
              <w:t xml:space="preserve">Activité d'achat et valeur cumulée élevées</w:t>
            </w:r>
          </w:p>
        </w:tc>
        <w:tc>
          <w:tcPr>
            <w:tcMar>
              <w:top w:type="dxa" w:w="80"/>
              <w:left w:type="dxa" w:w="120"/>
              <w:bottom w:type="dxa" w:w="80"/>
              <w:right w:type="dxa" w:w="120"/>
            </w:tcMar>
            <w:vAlign w:val="center"/>
          </w:tcPr>
          <w:p>
            <w:pPr>
              <w:jc w:val="left"/>
            </w:pPr>
            <w:r>
              <w:rPr>
                <w:b w:val="false"/>
                <w:bCs w:val="false"/>
                <w:color w:val="000000"/>
                <w:sz w:val="20"/>
                <w:szCs w:val="20"/>
              </w:rPr>
              <w:t xml:space="preserve">Fidélisation, offres premium, cross-sell</w:t>
            </w:r>
          </w:p>
        </w:tc>
      </w:tr>
      <w:tr>
        <w:tc>
          <w:tcPr>
            <w:tcMar>
              <w:top w:type="dxa" w:w="80"/>
              <w:left w:type="dxa" w:w="120"/>
              <w:bottom w:type="dxa" w:w="80"/>
              <w:right w:type="dxa" w:w="120"/>
            </w:tcMar>
            <w:vAlign w:val="center"/>
          </w:tcPr>
          <w:p>
            <w:pPr>
              <w:jc w:val="left"/>
            </w:pPr>
            <w:r>
              <w:rPr>
                <w:b w:val="false"/>
                <w:bCs w:val="false"/>
                <w:color w:val="000000"/>
                <w:sz w:val="20"/>
                <w:szCs w:val="20"/>
              </w:rPr>
              <w:t xml:space="preserve">Intermédiaire</w:t>
            </w:r>
          </w:p>
        </w:tc>
        <w:tc>
          <w:tcPr>
            <w:tcMar>
              <w:top w:type="dxa" w:w="80"/>
              <w:left w:type="dxa" w:w="120"/>
              <w:bottom w:type="dxa" w:w="80"/>
              <w:right w:type="dxa" w:w="120"/>
            </w:tcMar>
            <w:vAlign w:val="center"/>
          </w:tcPr>
          <w:p>
            <w:pPr>
              <w:jc w:val="center"/>
            </w:pPr>
            <w:r>
              <w:rPr>
                <w:b w:val="false"/>
                <w:bCs w:val="false"/>
                <w:color w:val="000000"/>
                <w:sz w:val="20"/>
                <w:szCs w:val="20"/>
              </w:rPr>
              <w:t xml:space="preserve">Bob, Diana</w:t>
            </w:r>
          </w:p>
        </w:tc>
        <w:tc>
          <w:tcPr>
            <w:tcMar>
              <w:top w:type="dxa" w:w="80"/>
              <w:left w:type="dxa" w:w="120"/>
              <w:bottom w:type="dxa" w:w="80"/>
              <w:right w:type="dxa" w:w="120"/>
            </w:tcMar>
            <w:vAlign w:val="center"/>
          </w:tcPr>
          <w:p>
            <w:pPr>
              <w:jc w:val="left"/>
            </w:pPr>
            <w:r>
              <w:rPr>
                <w:b w:val="false"/>
                <w:bCs w:val="false"/>
                <w:color w:val="000000"/>
                <w:sz w:val="20"/>
                <w:szCs w:val="20"/>
              </w:rPr>
              <w:t xml:space="preserve">Dépense et fréquence d'achat moyennes</w:t>
            </w:r>
          </w:p>
        </w:tc>
        <w:tc>
          <w:tcPr>
            <w:tcMar>
              <w:top w:type="dxa" w:w="80"/>
              <w:left w:type="dxa" w:w="120"/>
              <w:bottom w:type="dxa" w:w="80"/>
              <w:right w:type="dxa" w:w="120"/>
            </w:tcMar>
            <w:vAlign w:val="center"/>
          </w:tcPr>
          <w:p>
            <w:pPr>
              <w:jc w:val="left"/>
            </w:pPr>
            <w:r>
              <w:rPr>
                <w:b w:val="false"/>
                <w:bCs w:val="false"/>
                <w:color w:val="000000"/>
                <w:sz w:val="20"/>
                <w:szCs w:val="20"/>
              </w:rPr>
              <w:t xml:space="preserve">Bundles, recommandations ciblées</w:t>
            </w:r>
          </w:p>
        </w:tc>
      </w:tr>
      <w:tr>
        <w:tc>
          <w:tcPr>
            <w:tcMar>
              <w:top w:type="dxa" w:w="80"/>
              <w:left w:type="dxa" w:w="120"/>
              <w:bottom w:type="dxa" w:w="80"/>
              <w:right w:type="dxa" w:w="120"/>
            </w:tcMar>
            <w:vAlign w:val="center"/>
          </w:tcPr>
          <w:p>
            <w:pPr>
              <w:jc w:val="left"/>
            </w:pPr>
            <w:r>
              <w:rPr>
                <w:b w:val="false"/>
                <w:bCs w:val="false"/>
                <w:color w:val="000000"/>
                <w:sz w:val="20"/>
                <w:szCs w:val="20"/>
              </w:rPr>
              <w:t xml:space="preserve">Faible activité</w:t>
            </w:r>
          </w:p>
        </w:tc>
        <w:tc>
          <w:tcPr>
            <w:tcMar>
              <w:top w:type="dxa" w:w="80"/>
              <w:left w:type="dxa" w:w="120"/>
              <w:bottom w:type="dxa" w:w="80"/>
              <w:right w:type="dxa" w:w="120"/>
            </w:tcMar>
            <w:vAlign w:val="center"/>
          </w:tcPr>
          <w:p>
            <w:pPr>
              <w:jc w:val="center"/>
            </w:pPr>
            <w:r>
              <w:rPr>
                <w:b w:val="false"/>
                <w:bCs w:val="false"/>
                <w:color w:val="000000"/>
                <w:sz w:val="20"/>
                <w:szCs w:val="20"/>
              </w:rPr>
              <w:t xml:space="preserve">Charlie, Eva</w:t>
            </w:r>
          </w:p>
        </w:tc>
        <w:tc>
          <w:tcPr>
            <w:tcMar>
              <w:top w:type="dxa" w:w="80"/>
              <w:left w:type="dxa" w:w="120"/>
              <w:bottom w:type="dxa" w:w="80"/>
              <w:right w:type="dxa" w:w="120"/>
            </w:tcMar>
            <w:vAlign w:val="center"/>
          </w:tcPr>
          <w:p>
            <w:pPr>
              <w:jc w:val="left"/>
            </w:pPr>
            <w:r>
              <w:rPr>
                <w:b w:val="false"/>
                <w:bCs w:val="false"/>
                <w:color w:val="000000"/>
                <w:sz w:val="20"/>
                <w:szCs w:val="20"/>
              </w:rPr>
              <w:t xml:space="preserve">Achat ponctuel ou absent sur la période</w:t>
            </w:r>
          </w:p>
        </w:tc>
        <w:tc>
          <w:tcPr>
            <w:tcMar>
              <w:top w:type="dxa" w:w="80"/>
              <w:left w:type="dxa" w:w="120"/>
              <w:bottom w:type="dxa" w:w="80"/>
              <w:right w:type="dxa" w:w="120"/>
            </w:tcMar>
            <w:vAlign w:val="center"/>
          </w:tcPr>
          <w:p>
            <w:pPr>
              <w:jc w:val="left"/>
            </w:pPr>
            <w:r>
              <w:rPr>
                <w:b w:val="false"/>
                <w:bCs w:val="false"/>
                <w:color w:val="000000"/>
                <w:sz w:val="20"/>
                <w:szCs w:val="20"/>
              </w:rPr>
              <w:t xml:space="preserve">Relance e-mail / réseaux sociaux, offre de retour</w:t>
            </w:r>
          </w:p>
        </w:tc>
      </w:tr>
    </w:tbl>
    <w:p>
      <w:pPr>
        <w:spacing w:after="200"/>
      </w:pPr>
    </w:p>
    <w:p>
      <w:pPr>
        <w:pStyle w:val="Heading1"/>
        <w:spacing w:after="200" w:before="360"/>
      </w:pPr>
      <w:r>
        <w:rPr>
          <w:b/>
          <w:bCs/>
          <w:color w:val="1F3864"/>
          <w:sz w:val="28"/>
          <w:szCs w:val="28"/>
        </w:rPr>
        <w:t xml:space="preserve">5. Performance des campagnes marketing</w:t>
      </w:r>
    </w:p>
    <w:p>
      <w:pPr>
        <w:spacing w:after="160" w:line="300"/>
        <w:jc w:val="both"/>
      </w:pPr>
      <w:r>
        <w:rPr>
          <w:sz w:val="22"/>
          <w:szCs w:val="22"/>
        </w:rPr>
        <w:t xml:space="preserve">Les cinq campagnes mobilisent un budget cumulé de 8 000, pour 200 000 impressions, 8 000 clics et 750 conversions. Le CTR global s'établit à 4,00 % et le taux de conversion (du clic à la conversion) à 9,38 %. Le canal In-Store affiche le meilleur taux de conversion (20,00 %), tandis que le canal Online présente le CPA le plus bas (6,67) et le canal Email le CTR le plus élevé (5,00 %).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300"/>
      </w:tblGrid>
      <w:tr>
        <w:trPr>
          <w:tblHeader/>
        </w:trPr>
        <w:tc>
          <w:tcPr>
            <w:shd w:fill="1F3864" w:val="clear"/>
            <w:tcMar>
              <w:top w:type="dxa" w:w="80"/>
              <w:left w:type="dxa" w:w="120"/>
              <w:bottom w:type="dxa" w:w="80"/>
              <w:right w:type="dxa" w:w="120"/>
            </w:tcMar>
            <w:vAlign w:val="center"/>
          </w:tcPr>
          <w:p>
            <w:pPr>
              <w:jc w:val="left"/>
            </w:pPr>
            <w:r>
              <w:rPr>
                <w:b/>
                <w:bCs/>
                <w:color w:val="FFFFFF"/>
                <w:sz w:val="20"/>
                <w:szCs w:val="20"/>
              </w:rPr>
              <w:t xml:space="preserve">Indicateur</w:t>
            </w:r>
          </w:p>
        </w:tc>
        <w:tc>
          <w:tcPr>
            <w:shd w:fill="1F3864" w:val="clear"/>
            <w:tcMar>
              <w:top w:type="dxa" w:w="80"/>
              <w:left w:type="dxa" w:w="120"/>
              <w:bottom w:type="dxa" w:w="80"/>
              <w:right w:type="dxa" w:w="120"/>
            </w:tcMar>
            <w:vAlign w:val="center"/>
          </w:tcPr>
          <w:p>
            <w:pPr>
              <w:jc w:val="center"/>
            </w:pPr>
            <w:r>
              <w:rPr>
                <w:b/>
                <w:bCs/>
                <w:color w:val="FFFFFF"/>
                <w:sz w:val="20"/>
                <w:szCs w:val="20"/>
              </w:rPr>
              <w:t xml:space="preserve">Valeur</w:t>
            </w:r>
          </w:p>
        </w:tc>
        <w:tc>
          <w:tcPr>
            <w:shd w:fill="1F3864" w:val="clear"/>
            <w:tcMar>
              <w:top w:type="dxa" w:w="80"/>
              <w:left w:type="dxa" w:w="120"/>
              <w:bottom w:type="dxa" w:w="80"/>
              <w:right w:type="dxa" w:w="120"/>
            </w:tcMar>
            <w:vAlign w:val="center"/>
          </w:tcPr>
          <w:p>
            <w:pPr>
              <w:jc w:val="center"/>
            </w:pPr>
            <w:r>
              <w:rPr>
                <w:b/>
                <w:bCs/>
                <w:color w:val="FFFFFF"/>
                <w:sz w:val="20"/>
                <w:szCs w:val="20"/>
              </w:rPr>
              <w:t xml:space="preserve">Meilleur canal</w:t>
            </w:r>
          </w:p>
        </w:tc>
        <w:tc>
          <w:tcPr>
            <w:shd w:fill="1F3864" w:val="clear"/>
            <w:tcMar>
              <w:top w:type="dxa" w:w="80"/>
              <w:left w:type="dxa" w:w="120"/>
              <w:bottom w:type="dxa" w:w="80"/>
              <w:right w:type="dxa" w:w="120"/>
            </w:tcMar>
            <w:vAlign w:val="center"/>
          </w:tcPr>
          <w:p>
            <w:pPr>
              <w:jc w:val="center"/>
            </w:pPr>
            <w:r>
              <w:rPr>
                <w:b/>
                <w:bCs/>
                <w:color w:val="FFFFFF"/>
                <w:sz w:val="20"/>
                <w:szCs w:val="20"/>
              </w:rPr>
              <w:t xml:space="preserve">Valeur du canal</w:t>
            </w:r>
          </w:p>
        </w:tc>
      </w:tr>
      <w:tr>
        <w:tc>
          <w:tcPr>
            <w:tcMar>
              <w:top w:type="dxa" w:w="80"/>
              <w:left w:type="dxa" w:w="120"/>
              <w:bottom w:type="dxa" w:w="80"/>
              <w:right w:type="dxa" w:w="120"/>
            </w:tcMar>
            <w:vAlign w:val="center"/>
          </w:tcPr>
          <w:p>
            <w:pPr>
              <w:jc w:val="left"/>
            </w:pPr>
            <w:r>
              <w:rPr>
                <w:b w:val="false"/>
                <w:bCs w:val="false"/>
                <w:color w:val="000000"/>
                <w:sz w:val="20"/>
                <w:szCs w:val="20"/>
              </w:rPr>
              <w:t xml:space="preserve">CTR global</w:t>
            </w:r>
          </w:p>
        </w:tc>
        <w:tc>
          <w:tcPr>
            <w:tcMar>
              <w:top w:type="dxa" w:w="80"/>
              <w:left w:type="dxa" w:w="120"/>
              <w:bottom w:type="dxa" w:w="80"/>
              <w:right w:type="dxa" w:w="120"/>
            </w:tcMar>
            <w:vAlign w:val="center"/>
          </w:tcPr>
          <w:p>
            <w:pPr>
              <w:jc w:val="center"/>
            </w:pPr>
            <w:r>
              <w:rPr>
                <w:b w:val="false"/>
                <w:bCs w:val="false"/>
                <w:color w:val="000000"/>
                <w:sz w:val="20"/>
                <w:szCs w:val="20"/>
              </w:rPr>
              <w:t xml:space="preserve">4,00 %</w:t>
            </w:r>
          </w:p>
        </w:tc>
        <w:tc>
          <w:tcPr>
            <w:tcMar>
              <w:top w:type="dxa" w:w="80"/>
              <w:left w:type="dxa" w:w="120"/>
              <w:bottom w:type="dxa" w:w="80"/>
              <w:right w:type="dxa" w:w="120"/>
            </w:tcMar>
            <w:vAlign w:val="center"/>
          </w:tcPr>
          <w:p>
            <w:pPr>
              <w:jc w:val="center"/>
            </w:pPr>
            <w:r>
              <w:rPr>
                <w:b w:val="false"/>
                <w:bCs w:val="false"/>
                <w:color w:val="000000"/>
                <w:sz w:val="20"/>
                <w:szCs w:val="20"/>
              </w:rPr>
              <w:t xml:space="preserve">Email</w:t>
            </w:r>
          </w:p>
        </w:tc>
        <w:tc>
          <w:tcPr>
            <w:tcMar>
              <w:top w:type="dxa" w:w="80"/>
              <w:left w:type="dxa" w:w="120"/>
              <w:bottom w:type="dxa" w:w="80"/>
              <w:right w:type="dxa" w:w="120"/>
            </w:tcMar>
            <w:vAlign w:val="center"/>
          </w:tcPr>
          <w:p>
            <w:pPr>
              <w:jc w:val="center"/>
            </w:pPr>
            <w:r>
              <w:rPr>
                <w:b w:val="false"/>
                <w:bCs w:val="false"/>
                <w:color w:val="000000"/>
                <w:sz w:val="20"/>
                <w:szCs w:val="20"/>
              </w:rPr>
              <w:t xml:space="preserve">5,00 %</w:t>
            </w:r>
          </w:p>
        </w:tc>
      </w:tr>
      <w:tr>
        <w:tc>
          <w:tcPr>
            <w:tcMar>
              <w:top w:type="dxa" w:w="80"/>
              <w:left w:type="dxa" w:w="120"/>
              <w:bottom w:type="dxa" w:w="80"/>
              <w:right w:type="dxa" w:w="120"/>
            </w:tcMar>
            <w:vAlign w:val="center"/>
          </w:tcPr>
          <w:p>
            <w:pPr>
              <w:jc w:val="left"/>
            </w:pPr>
            <w:r>
              <w:rPr>
                <w:b w:val="false"/>
                <w:bCs w:val="false"/>
                <w:color w:val="000000"/>
                <w:sz w:val="20"/>
                <w:szCs w:val="20"/>
              </w:rPr>
              <w:t xml:space="preserve">Taux de conversion (clic → conversion)</w:t>
            </w:r>
          </w:p>
        </w:tc>
        <w:tc>
          <w:tcPr>
            <w:tcMar>
              <w:top w:type="dxa" w:w="80"/>
              <w:left w:type="dxa" w:w="120"/>
              <w:bottom w:type="dxa" w:w="80"/>
              <w:right w:type="dxa" w:w="120"/>
            </w:tcMar>
            <w:vAlign w:val="center"/>
          </w:tcPr>
          <w:p>
            <w:pPr>
              <w:jc w:val="center"/>
            </w:pPr>
            <w:r>
              <w:rPr>
                <w:b w:val="false"/>
                <w:bCs w:val="false"/>
                <w:color w:val="000000"/>
                <w:sz w:val="20"/>
                <w:szCs w:val="20"/>
              </w:rPr>
              <w:t xml:space="preserve">9,38 %</w:t>
            </w:r>
          </w:p>
        </w:tc>
        <w:tc>
          <w:tcPr>
            <w:tcMar>
              <w:top w:type="dxa" w:w="80"/>
              <w:left w:type="dxa" w:w="120"/>
              <w:bottom w:type="dxa" w:w="80"/>
              <w:right w:type="dxa" w:w="120"/>
            </w:tcMar>
            <w:vAlign w:val="center"/>
          </w:tcPr>
          <w:p>
            <w:pPr>
              <w:jc w:val="center"/>
            </w:pPr>
            <w:r>
              <w:rPr>
                <w:b w:val="false"/>
                <w:bCs w:val="false"/>
                <w:color w:val="000000"/>
                <w:sz w:val="20"/>
                <w:szCs w:val="20"/>
              </w:rPr>
              <w:t xml:space="preserve">In-Store</w:t>
            </w:r>
          </w:p>
        </w:tc>
        <w:tc>
          <w:tcPr>
            <w:tcMar>
              <w:top w:type="dxa" w:w="80"/>
              <w:left w:type="dxa" w:w="120"/>
              <w:bottom w:type="dxa" w:w="80"/>
              <w:right w:type="dxa" w:w="120"/>
            </w:tcMar>
            <w:vAlign w:val="center"/>
          </w:tcPr>
          <w:p>
            <w:pPr>
              <w:jc w:val="center"/>
            </w:pPr>
            <w:r>
              <w:rPr>
                <w:b w:val="false"/>
                <w:bCs w:val="false"/>
                <w:color w:val="000000"/>
                <w:sz w:val="20"/>
                <w:szCs w:val="20"/>
              </w:rPr>
              <w:t xml:space="preserve">20,00 %</w:t>
            </w:r>
          </w:p>
        </w:tc>
      </w:tr>
      <w:tr>
        <w:tc>
          <w:tcPr>
            <w:tcMar>
              <w:top w:type="dxa" w:w="80"/>
              <w:left w:type="dxa" w:w="120"/>
              <w:bottom w:type="dxa" w:w="80"/>
              <w:right w:type="dxa" w:w="120"/>
            </w:tcMar>
            <w:vAlign w:val="center"/>
          </w:tcPr>
          <w:p>
            <w:pPr>
              <w:jc w:val="left"/>
            </w:pPr>
            <w:r>
              <w:rPr>
                <w:b w:val="false"/>
                <w:bCs w:val="false"/>
                <w:color w:val="000000"/>
                <w:sz w:val="20"/>
                <w:szCs w:val="20"/>
              </w:rPr>
              <w:t xml:space="preserve">CPA moyen</w:t>
            </w:r>
          </w:p>
        </w:tc>
        <w:tc>
          <w:tcPr>
            <w:tcMar>
              <w:top w:type="dxa" w:w="80"/>
              <w:left w:type="dxa" w:w="120"/>
              <w:bottom w:type="dxa" w:w="80"/>
              <w:right w:type="dxa" w:w="120"/>
            </w:tcMar>
            <w:vAlign w:val="center"/>
          </w:tcPr>
          <w:p>
            <w:pPr>
              <w:jc w:val="center"/>
            </w:pPr>
            <w:r>
              <w:rPr>
                <w:b w:val="false"/>
                <w:bCs w:val="false"/>
                <w:color w:val="000000"/>
                <w:sz w:val="20"/>
                <w:szCs w:val="20"/>
              </w:rPr>
              <w:t xml:space="preserve">—</w:t>
            </w:r>
          </w:p>
        </w:tc>
        <w:tc>
          <w:tcPr>
            <w:tcMar>
              <w:top w:type="dxa" w:w="80"/>
              <w:left w:type="dxa" w:w="120"/>
              <w:bottom w:type="dxa" w:w="80"/>
              <w:right w:type="dxa" w:w="120"/>
            </w:tcMar>
            <w:vAlign w:val="center"/>
          </w:tcPr>
          <w:p>
            <w:pPr>
              <w:jc w:val="center"/>
            </w:pPr>
            <w:r>
              <w:rPr>
                <w:b w:val="false"/>
                <w:bCs w:val="false"/>
                <w:color w:val="000000"/>
                <w:sz w:val="20"/>
                <w:szCs w:val="20"/>
              </w:rPr>
              <w:t xml:space="preserve">Online</w:t>
            </w:r>
          </w:p>
        </w:tc>
        <w:tc>
          <w:tcPr>
            <w:tcMar>
              <w:top w:type="dxa" w:w="80"/>
              <w:left w:type="dxa" w:w="120"/>
              <w:bottom w:type="dxa" w:w="80"/>
              <w:right w:type="dxa" w:w="120"/>
            </w:tcMar>
            <w:vAlign w:val="center"/>
          </w:tcPr>
          <w:p>
            <w:pPr>
              <w:jc w:val="center"/>
            </w:pPr>
            <w:r>
              <w:rPr>
                <w:b w:val="false"/>
                <w:bCs w:val="false"/>
                <w:color w:val="000000"/>
                <w:sz w:val="20"/>
                <w:szCs w:val="20"/>
              </w:rPr>
              <w:t xml:space="preserve">6,67</w:t>
            </w:r>
          </w:p>
        </w:tc>
      </w:tr>
    </w:tbl>
    <w:p>
      <w:pPr>
        <w:spacing w:after="200" w:before="200"/>
      </w:pPr>
    </w:p>
    <w:p>
      <w:pPr>
        <w:spacing w:after="160" w:line="300"/>
        <w:jc w:val="both"/>
      </w:pPr>
      <w:r>
        <w:rPr>
          <w:sz w:val="22"/>
          <w:szCs w:val="22"/>
        </w:rPr>
        <w:t xml:space="preserve">Le retour sur investissement (ROI) n'a volontairement pas été calculé : les fichiers fournis ne permettent pas d'attribuer un chiffre d'affaires à chaque campagne. Le déduire uniquement du budget et du nombre de conversions aurait produit un chiffre trompeur ; il est préférable de signaler cette limite que de présenter un indicateur inventé.</w:t>
      </w:r>
    </w:p>
    <w:p>
      <w:pPr>
        <w:pStyle w:val="Heading1"/>
        <w:spacing w:after="200" w:before="360"/>
      </w:pPr>
      <w:r>
        <w:rPr>
          <w:b/>
          <w:bCs/>
          <w:color w:val="1F3864"/>
          <w:sz w:val="28"/>
          <w:szCs w:val="28"/>
        </w:rPr>
        <w:t xml:space="preserve">6. Prédiction du churn et de la valeur client (CLV)</w:t>
      </w:r>
    </w:p>
    <w:p>
      <w:pPr>
        <w:spacing w:after="160" w:line="300"/>
        <w:jc w:val="both"/>
      </w:pPr>
      <w:r>
        <w:rPr>
          <w:sz w:val="22"/>
          <w:szCs w:val="22"/>
        </w:rPr>
        <w:t xml:space="preserve">Le cahier des charges prévoit la construction d'un modèle prédictif (Random Forest, XGBoost ou régression logistique) pour anticiper le churn ou estimer la valeur vie client. Un pipeline complet a été construit (préparation des variables, régression logistique, validation leave-one-out) afin de répondre à cette demande — mais son résultat doit être lu avec une réserve méthodologique forte, détaillée ci-dessous plutôt que masquée.</w:t>
      </w:r>
    </w:p>
    <w:p>
      <w:pPr>
        <w:pStyle w:val="Heading2"/>
        <w:spacing w:after="120" w:before="240"/>
      </w:pPr>
      <w:r>
        <w:rPr>
          <w:b/>
          <w:bCs/>
          <w:color w:val="1F3864"/>
          <w:sz w:val="24"/>
          <w:szCs w:val="24"/>
        </w:rPr>
        <w:t xml:space="preserve">Construction du proxy de churn et des variables</w:t>
      </w:r>
    </w:p>
    <w:p>
      <w:pPr>
        <w:spacing w:after="160" w:line="300"/>
        <w:jc w:val="both"/>
      </w:pPr>
      <w:r>
        <w:rPr>
          <w:sz w:val="22"/>
          <w:szCs w:val="22"/>
        </w:rPr>
        <w:t xml:space="preserve">Les données fournies ne contiennent aucune variable de résiliation réelle. Un proxy a donc été défini par une règle métier : un client est considéré « churn = 1 » s'il n'a aucune vente enregistrée dans sales_data.csv sur la période observée. Ce proxy classe Eva en churn (aucun achat) et les quatre autres clients en non-churn. Les variables utilisées sont l'âge, la dépense totale déclarée, l'ancienneté (jours depuis inscription) et la récence (jours depuis le dernier achat, ou depuis l'inscription si aucun achat).</w:t>
      </w:r>
    </w:p>
    <w:p>
      <w:pPr>
        <w:pStyle w:val="Heading2"/>
        <w:spacing w:after="120" w:before="240"/>
      </w:pPr>
      <w:r>
        <w:rPr>
          <w:b/>
          <w:bCs/>
          <w:color w:val="1F3864"/>
          <w:sz w:val="24"/>
          <w:szCs w:val="24"/>
        </w:rPr>
        <w:t xml:space="preserve">Modèle et validation</w:t>
      </w:r>
    </w:p>
    <w:p>
      <w:pPr>
        <w:spacing w:after="160" w:line="300"/>
        <w:jc w:val="both"/>
      </w:pPr>
      <w:r>
        <w:rPr>
          <w:sz w:val="22"/>
          <w:szCs w:val="22"/>
        </w:rPr>
        <w:t xml:space="preserve">Une régression logistique a été entraînée sur les 5 clients, avec une validation leave-one-out (chaque client testé après entraînement sur les 4 autres). Sur ce très petit échantillon, la validation n'a pu être menée que sur 4 des 5 cas : l'exemple restant ne peut pas être évalué car son pli d'entraînement ne contient qu'une seule classe. Cette contrainte à elle seule illustre la limite : aucune métrique de performance (accuracy, précision, rappel) calculée sur un tel échantillon ne peut être considérée comme représentative d'une capacité de généralisation réelle.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500"/>
        <w:gridCol w:w="2500"/>
      </w:tblGrid>
      <w:tr>
        <w:trPr>
          <w:tblHeader/>
        </w:trPr>
        <w:tc>
          <w:tcPr>
            <w:shd w:fill="1F3864" w:val="clear"/>
            <w:tcMar>
              <w:top w:type="dxa" w:w="80"/>
              <w:left w:type="dxa" w:w="120"/>
              <w:bottom w:type="dxa" w:w="80"/>
              <w:right w:type="dxa" w:w="120"/>
            </w:tcMar>
            <w:vAlign w:val="center"/>
          </w:tcPr>
          <w:p>
            <w:pPr>
              <w:jc w:val="left"/>
            </w:pPr>
            <w:r>
              <w:rPr>
                <w:b/>
                <w:bCs/>
                <w:color w:val="FFFFFF"/>
                <w:sz w:val="20"/>
                <w:szCs w:val="20"/>
              </w:rPr>
              <w:t xml:space="preserve">Client</w:t>
            </w:r>
          </w:p>
        </w:tc>
        <w:tc>
          <w:tcPr>
            <w:shd w:fill="1F3864" w:val="clear"/>
            <w:tcMar>
              <w:top w:type="dxa" w:w="80"/>
              <w:left w:type="dxa" w:w="120"/>
              <w:bottom w:type="dxa" w:w="80"/>
              <w:right w:type="dxa" w:w="120"/>
            </w:tcMar>
            <w:vAlign w:val="center"/>
          </w:tcPr>
          <w:p>
            <w:pPr>
              <w:jc w:val="center"/>
            </w:pPr>
            <w:r>
              <w:rPr>
                <w:b/>
                <w:bCs/>
                <w:color w:val="FFFFFF"/>
                <w:sz w:val="20"/>
                <w:szCs w:val="20"/>
              </w:rPr>
              <w:t xml:space="preserve">Churn proxy</w:t>
            </w:r>
          </w:p>
        </w:tc>
        <w:tc>
          <w:tcPr>
            <w:shd w:fill="1F3864" w:val="clear"/>
            <w:tcMar>
              <w:top w:type="dxa" w:w="80"/>
              <w:left w:type="dxa" w:w="120"/>
              <w:bottom w:type="dxa" w:w="80"/>
              <w:right w:type="dxa" w:w="120"/>
            </w:tcMar>
            <w:vAlign w:val="center"/>
          </w:tcPr>
          <w:p>
            <w:pPr>
              <w:jc w:val="center"/>
            </w:pPr>
            <w:r>
              <w:rPr>
                <w:b/>
                <w:bCs/>
                <w:color w:val="FFFFFF"/>
                <w:sz w:val="20"/>
                <w:szCs w:val="20"/>
              </w:rPr>
              <w:t xml:space="preserve">Risque modèle</w:t>
            </w:r>
          </w:p>
        </w:tc>
        <w:tc>
          <w:tcPr>
            <w:shd w:fill="1F3864" w:val="clear"/>
            <w:tcMar>
              <w:top w:type="dxa" w:w="80"/>
              <w:left w:type="dxa" w:w="120"/>
              <w:bottom w:type="dxa" w:w="80"/>
              <w:right w:type="dxa" w:w="120"/>
            </w:tcMar>
            <w:vAlign w:val="center"/>
          </w:tcPr>
          <w:p>
            <w:pPr>
              <w:jc w:val="center"/>
            </w:pPr>
            <w:r>
              <w:rPr>
                <w:b/>
                <w:bCs/>
                <w:color w:val="FFFFFF"/>
                <w:sz w:val="20"/>
                <w:szCs w:val="20"/>
              </w:rPr>
              <w:t xml:space="preserve">CLV historique</w:t>
            </w:r>
          </w:p>
        </w:tc>
        <w:tc>
          <w:tcPr>
            <w:shd w:fill="1F3864" w:val="clear"/>
            <w:tcMar>
              <w:top w:type="dxa" w:w="80"/>
              <w:left w:type="dxa" w:w="120"/>
              <w:bottom w:type="dxa" w:w="80"/>
              <w:right w:type="dxa" w:w="120"/>
            </w:tcMar>
            <w:vAlign w:val="center"/>
          </w:tcPr>
          <w:p>
            <w:pPr>
              <w:jc w:val="center"/>
            </w:pPr>
            <w:r>
              <w:rPr>
                <w:b/>
                <w:bCs/>
                <w:color w:val="FFFFFF"/>
                <w:sz w:val="20"/>
                <w:szCs w:val="20"/>
              </w:rPr>
              <w:t xml:space="preserve">CLV projetée (12 mois)</w:t>
            </w:r>
          </w:p>
        </w:tc>
      </w:tr>
      <w:tr>
        <w:tc>
          <w:tcPr>
            <w:tcMar>
              <w:top w:type="dxa" w:w="80"/>
              <w:left w:type="dxa" w:w="120"/>
              <w:bottom w:type="dxa" w:w="80"/>
              <w:right w:type="dxa" w:w="120"/>
            </w:tcMar>
            <w:vAlign w:val="center"/>
          </w:tcPr>
          <w:p>
            <w:pPr>
              <w:jc w:val="left"/>
            </w:pPr>
            <w:r>
              <w:rPr>
                <w:b w:val="false"/>
                <w:bCs w:val="false"/>
                <w:color w:val="000000"/>
                <w:sz w:val="20"/>
                <w:szCs w:val="20"/>
              </w:rPr>
              <w:t xml:space="preserve">Alice</w:t>
            </w:r>
          </w:p>
        </w:tc>
        <w:tc>
          <w:tcPr>
            <w:tcMar>
              <w:top w:type="dxa" w:w="80"/>
              <w:left w:type="dxa" w:w="120"/>
              <w:bottom w:type="dxa" w:w="80"/>
              <w:right w:type="dxa" w:w="120"/>
            </w:tcMar>
            <w:vAlign w:val="center"/>
          </w:tcPr>
          <w:p>
            <w:pPr>
              <w:jc w:val="center"/>
            </w:pPr>
            <w:r>
              <w:rPr>
                <w:b w:val="false"/>
                <w:bCs w:val="false"/>
                <w:color w:val="000000"/>
                <w:sz w:val="20"/>
                <w:szCs w:val="20"/>
              </w:rPr>
              <w:t xml:space="preserve">0</w:t>
            </w:r>
          </w:p>
        </w:tc>
        <w:tc>
          <w:tcPr>
            <w:tcMar>
              <w:top w:type="dxa" w:w="80"/>
              <w:left w:type="dxa" w:w="120"/>
              <w:bottom w:type="dxa" w:w="80"/>
              <w:right w:type="dxa" w:w="120"/>
            </w:tcMar>
            <w:vAlign w:val="center"/>
          </w:tcPr>
          <w:p>
            <w:pPr>
              <w:jc w:val="center"/>
            </w:pPr>
            <w:r>
              <w:rPr>
                <w:b w:val="false"/>
                <w:bCs w:val="false"/>
                <w:color w:val="000000"/>
                <w:sz w:val="20"/>
                <w:szCs w:val="20"/>
              </w:rPr>
              <w:t xml:space="preserve">5,0 %</w:t>
            </w:r>
          </w:p>
        </w:tc>
        <w:tc>
          <w:tcPr>
            <w:tcMar>
              <w:top w:type="dxa" w:w="80"/>
              <w:left w:type="dxa" w:w="120"/>
              <w:bottom w:type="dxa" w:w="80"/>
              <w:right w:type="dxa" w:w="120"/>
            </w:tcMar>
            <w:vAlign w:val="center"/>
          </w:tcPr>
          <w:p>
            <w:pPr>
              <w:jc w:val="center"/>
            </w:pPr>
            <w:r>
              <w:rPr>
                <w:b w:val="false"/>
                <w:bCs w:val="false"/>
                <w:color w:val="000000"/>
                <w:sz w:val="20"/>
                <w:szCs w:val="20"/>
              </w:rPr>
              <w:t xml:space="preserve">500</w:t>
            </w:r>
          </w:p>
        </w:tc>
        <w:tc>
          <w:tcPr>
            <w:tcMar>
              <w:top w:type="dxa" w:w="80"/>
              <w:left w:type="dxa" w:w="120"/>
              <w:bottom w:type="dxa" w:w="80"/>
              <w:right w:type="dxa" w:w="120"/>
            </w:tcMar>
            <w:vAlign w:val="center"/>
          </w:tcPr>
          <w:p>
            <w:pPr>
              <w:jc w:val="center"/>
            </w:pPr>
            <w:r>
              <w:rPr>
                <w:b w:val="false"/>
                <w:bCs w:val="false"/>
                <w:color w:val="000000"/>
                <w:sz w:val="20"/>
                <w:szCs w:val="20"/>
              </w:rPr>
              <w:t xml:space="preserve">683,52</w:t>
            </w:r>
          </w:p>
        </w:tc>
      </w:tr>
      <w:tr>
        <w:tc>
          <w:tcPr>
            <w:tcMar>
              <w:top w:type="dxa" w:w="80"/>
              <w:left w:type="dxa" w:w="120"/>
              <w:bottom w:type="dxa" w:w="80"/>
              <w:right w:type="dxa" w:w="120"/>
            </w:tcMar>
            <w:vAlign w:val="center"/>
          </w:tcPr>
          <w:p>
            <w:pPr>
              <w:jc w:val="left"/>
            </w:pPr>
            <w:r>
              <w:rPr>
                <w:b w:val="false"/>
                <w:bCs w:val="false"/>
                <w:color w:val="000000"/>
                <w:sz w:val="20"/>
                <w:szCs w:val="20"/>
              </w:rPr>
              <w:t xml:space="preserve">Bob</w:t>
            </w:r>
          </w:p>
        </w:tc>
        <w:tc>
          <w:tcPr>
            <w:tcMar>
              <w:top w:type="dxa" w:w="80"/>
              <w:left w:type="dxa" w:w="120"/>
              <w:bottom w:type="dxa" w:w="80"/>
              <w:right w:type="dxa" w:w="120"/>
            </w:tcMar>
            <w:vAlign w:val="center"/>
          </w:tcPr>
          <w:p>
            <w:pPr>
              <w:jc w:val="center"/>
            </w:pPr>
            <w:r>
              <w:rPr>
                <w:b w:val="false"/>
                <w:bCs w:val="false"/>
                <w:color w:val="000000"/>
                <w:sz w:val="20"/>
                <w:szCs w:val="20"/>
              </w:rPr>
              <w:t xml:space="preserve">0</w:t>
            </w:r>
          </w:p>
        </w:tc>
        <w:tc>
          <w:tcPr>
            <w:tcMar>
              <w:top w:type="dxa" w:w="80"/>
              <w:left w:type="dxa" w:w="120"/>
              <w:bottom w:type="dxa" w:w="80"/>
              <w:right w:type="dxa" w:w="120"/>
            </w:tcMar>
            <w:vAlign w:val="center"/>
          </w:tcPr>
          <w:p>
            <w:pPr>
              <w:jc w:val="center"/>
            </w:pPr>
            <w:r>
              <w:rPr>
                <w:b w:val="false"/>
                <w:bCs w:val="false"/>
                <w:color w:val="000000"/>
                <w:sz w:val="20"/>
                <w:szCs w:val="20"/>
              </w:rPr>
              <w:t xml:space="preserve">5,4 %</w:t>
            </w:r>
          </w:p>
        </w:tc>
        <w:tc>
          <w:tcPr>
            <w:tcMar>
              <w:top w:type="dxa" w:w="80"/>
              <w:left w:type="dxa" w:w="120"/>
              <w:bottom w:type="dxa" w:w="80"/>
              <w:right w:type="dxa" w:w="120"/>
            </w:tcMar>
            <w:vAlign w:val="center"/>
          </w:tcPr>
          <w:p>
            <w:pPr>
              <w:jc w:val="center"/>
            </w:pPr>
            <w:r>
              <w:rPr>
                <w:b w:val="false"/>
                <w:bCs w:val="false"/>
                <w:color w:val="000000"/>
                <w:sz w:val="20"/>
                <w:szCs w:val="20"/>
              </w:rPr>
              <w:t xml:space="preserve">750</w:t>
            </w:r>
          </w:p>
        </w:tc>
        <w:tc>
          <w:tcPr>
            <w:tcMar>
              <w:top w:type="dxa" w:w="80"/>
              <w:left w:type="dxa" w:w="120"/>
              <w:bottom w:type="dxa" w:w="80"/>
              <w:right w:type="dxa" w:w="120"/>
            </w:tcMar>
            <w:vAlign w:val="center"/>
          </w:tcPr>
          <w:p>
            <w:pPr>
              <w:jc w:val="center"/>
            </w:pPr>
            <w:r>
              <w:rPr>
                <w:b w:val="false"/>
                <w:bCs w:val="false"/>
                <w:color w:val="000000"/>
                <w:sz w:val="20"/>
                <w:szCs w:val="20"/>
              </w:rPr>
              <w:t xml:space="preserve">1 185,06</w:t>
            </w:r>
          </w:p>
        </w:tc>
      </w:tr>
      <w:tr>
        <w:tc>
          <w:tcPr>
            <w:tcMar>
              <w:top w:type="dxa" w:w="80"/>
              <w:left w:type="dxa" w:w="120"/>
              <w:bottom w:type="dxa" w:w="80"/>
              <w:right w:type="dxa" w:w="120"/>
            </w:tcMar>
            <w:vAlign w:val="center"/>
          </w:tcPr>
          <w:p>
            <w:pPr>
              <w:jc w:val="left"/>
            </w:pPr>
            <w:r>
              <w:rPr>
                <w:b w:val="false"/>
                <w:bCs w:val="false"/>
                <w:color w:val="000000"/>
                <w:sz w:val="20"/>
                <w:szCs w:val="20"/>
              </w:rPr>
              <w:t xml:space="preserve">Charlie</w:t>
            </w:r>
          </w:p>
        </w:tc>
        <w:tc>
          <w:tcPr>
            <w:tcMar>
              <w:top w:type="dxa" w:w="80"/>
              <w:left w:type="dxa" w:w="120"/>
              <w:bottom w:type="dxa" w:w="80"/>
              <w:right w:type="dxa" w:w="120"/>
            </w:tcMar>
            <w:vAlign w:val="center"/>
          </w:tcPr>
          <w:p>
            <w:pPr>
              <w:jc w:val="center"/>
            </w:pPr>
            <w:r>
              <w:rPr>
                <w:b w:val="false"/>
                <w:bCs w:val="false"/>
                <w:color w:val="000000"/>
                <w:sz w:val="20"/>
                <w:szCs w:val="20"/>
              </w:rPr>
              <w:t xml:space="preserve">0</w:t>
            </w:r>
          </w:p>
        </w:tc>
        <w:tc>
          <w:tcPr>
            <w:tcMar>
              <w:top w:type="dxa" w:w="80"/>
              <w:left w:type="dxa" w:w="120"/>
              <w:bottom w:type="dxa" w:w="80"/>
              <w:right w:type="dxa" w:w="120"/>
            </w:tcMar>
            <w:vAlign w:val="center"/>
          </w:tcPr>
          <w:p>
            <w:pPr>
              <w:jc w:val="center"/>
            </w:pPr>
            <w:r>
              <w:rPr>
                <w:b w:val="false"/>
                <w:bCs w:val="false"/>
                <w:color w:val="000000"/>
                <w:sz w:val="20"/>
                <w:szCs w:val="20"/>
              </w:rPr>
              <w:t xml:space="preserve">11,8 %</w:t>
            </w:r>
          </w:p>
        </w:tc>
        <w:tc>
          <w:tcPr>
            <w:tcMar>
              <w:top w:type="dxa" w:w="80"/>
              <w:left w:type="dxa" w:w="120"/>
              <w:bottom w:type="dxa" w:w="80"/>
              <w:right w:type="dxa" w:w="120"/>
            </w:tcMar>
            <w:vAlign w:val="center"/>
          </w:tcPr>
          <w:p>
            <w:pPr>
              <w:jc w:val="center"/>
            </w:pPr>
            <w:r>
              <w:rPr>
                <w:b w:val="false"/>
                <w:bCs w:val="false"/>
                <w:color w:val="000000"/>
                <w:sz w:val="20"/>
                <w:szCs w:val="20"/>
              </w:rPr>
              <w:t xml:space="preserve">300</w:t>
            </w:r>
          </w:p>
        </w:tc>
        <w:tc>
          <w:tcPr>
            <w:tcMar>
              <w:top w:type="dxa" w:w="80"/>
              <w:left w:type="dxa" w:w="120"/>
              <w:bottom w:type="dxa" w:w="80"/>
              <w:right w:type="dxa" w:w="120"/>
            </w:tcMar>
            <w:vAlign w:val="center"/>
          </w:tcPr>
          <w:p>
            <w:pPr>
              <w:jc w:val="center"/>
            </w:pPr>
            <w:r>
              <w:rPr>
                <w:b w:val="false"/>
                <w:bCs w:val="false"/>
                <w:color w:val="000000"/>
                <w:sz w:val="20"/>
                <w:szCs w:val="20"/>
              </w:rPr>
              <w:t xml:space="preserve">558,67</w:t>
            </w:r>
          </w:p>
        </w:tc>
      </w:tr>
      <w:tr>
        <w:tc>
          <w:tcPr>
            <w:tcMar>
              <w:top w:type="dxa" w:w="80"/>
              <w:left w:type="dxa" w:w="120"/>
              <w:bottom w:type="dxa" w:w="80"/>
              <w:right w:type="dxa" w:w="120"/>
            </w:tcMar>
            <w:vAlign w:val="center"/>
          </w:tcPr>
          <w:p>
            <w:pPr>
              <w:jc w:val="left"/>
            </w:pPr>
            <w:r>
              <w:rPr>
                <w:b w:val="false"/>
                <w:bCs w:val="false"/>
                <w:color w:val="000000"/>
                <w:sz w:val="20"/>
                <w:szCs w:val="20"/>
              </w:rPr>
              <w:t xml:space="preserve">Diana</w:t>
            </w:r>
          </w:p>
        </w:tc>
        <w:tc>
          <w:tcPr>
            <w:tcMar>
              <w:top w:type="dxa" w:w="80"/>
              <w:left w:type="dxa" w:w="120"/>
              <w:bottom w:type="dxa" w:w="80"/>
              <w:right w:type="dxa" w:w="120"/>
            </w:tcMar>
            <w:vAlign w:val="center"/>
          </w:tcPr>
          <w:p>
            <w:pPr>
              <w:jc w:val="center"/>
            </w:pPr>
            <w:r>
              <w:rPr>
                <w:b w:val="false"/>
                <w:bCs w:val="false"/>
                <w:color w:val="000000"/>
                <w:sz w:val="20"/>
                <w:szCs w:val="20"/>
              </w:rPr>
              <w:t xml:space="preserve">0</w:t>
            </w:r>
          </w:p>
        </w:tc>
        <w:tc>
          <w:tcPr>
            <w:tcMar>
              <w:top w:type="dxa" w:w="80"/>
              <w:left w:type="dxa" w:w="120"/>
              <w:bottom w:type="dxa" w:w="80"/>
              <w:right w:type="dxa" w:w="120"/>
            </w:tcMar>
            <w:vAlign w:val="center"/>
          </w:tcPr>
          <w:p>
            <w:pPr>
              <w:jc w:val="center"/>
            </w:pPr>
            <w:r>
              <w:rPr>
                <w:b w:val="false"/>
                <w:bCs w:val="false"/>
                <w:color w:val="000000"/>
                <w:sz w:val="20"/>
                <w:szCs w:val="20"/>
              </w:rPr>
              <w:t xml:space="preserve">11,7 %</w:t>
            </w:r>
          </w:p>
        </w:tc>
        <w:tc>
          <w:tcPr>
            <w:tcMar>
              <w:top w:type="dxa" w:w="80"/>
              <w:left w:type="dxa" w:w="120"/>
              <w:bottom w:type="dxa" w:w="80"/>
              <w:right w:type="dxa" w:w="120"/>
            </w:tcMar>
            <w:vAlign w:val="center"/>
          </w:tcPr>
          <w:p>
            <w:pPr>
              <w:jc w:val="center"/>
            </w:pPr>
            <w:r>
              <w:rPr>
                <w:b w:val="false"/>
                <w:bCs w:val="false"/>
                <w:color w:val="000000"/>
                <w:sz w:val="20"/>
                <w:szCs w:val="20"/>
              </w:rPr>
              <w:t xml:space="preserve">600</w:t>
            </w:r>
          </w:p>
        </w:tc>
        <w:tc>
          <w:tcPr>
            <w:tcMar>
              <w:top w:type="dxa" w:w="80"/>
              <w:left w:type="dxa" w:w="120"/>
              <w:bottom w:type="dxa" w:w="80"/>
              <w:right w:type="dxa" w:w="120"/>
            </w:tcMar>
            <w:vAlign w:val="center"/>
          </w:tcPr>
          <w:p>
            <w:pPr>
              <w:jc w:val="center"/>
            </w:pPr>
            <w:r>
              <w:rPr>
                <w:b w:val="false"/>
                <w:bCs w:val="false"/>
                <w:color w:val="000000"/>
                <w:sz w:val="20"/>
                <w:szCs w:val="20"/>
              </w:rPr>
              <w:t xml:space="preserve">1 368,75</w:t>
            </w:r>
          </w:p>
        </w:tc>
      </w:tr>
      <w:tr>
        <w:tc>
          <w:tcPr>
            <w:tcMar>
              <w:top w:type="dxa" w:w="80"/>
              <w:left w:type="dxa" w:w="120"/>
              <w:bottom w:type="dxa" w:w="80"/>
              <w:right w:type="dxa" w:w="120"/>
            </w:tcMar>
            <w:vAlign w:val="center"/>
          </w:tcPr>
          <w:p>
            <w:pPr>
              <w:jc w:val="left"/>
            </w:pPr>
            <w:r>
              <w:rPr>
                <w:b w:val="false"/>
                <w:bCs w:val="false"/>
                <w:color w:val="000000"/>
                <w:sz w:val="20"/>
                <w:szCs w:val="20"/>
              </w:rPr>
              <w:t xml:space="preserve">Eva</w:t>
            </w:r>
          </w:p>
        </w:tc>
        <w:tc>
          <w:tcP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Mar>
              <w:top w:type="dxa" w:w="80"/>
              <w:left w:type="dxa" w:w="120"/>
              <w:bottom w:type="dxa" w:w="80"/>
              <w:right w:type="dxa" w:w="120"/>
            </w:tcMar>
            <w:vAlign w:val="center"/>
          </w:tcPr>
          <w:p>
            <w:pPr>
              <w:jc w:val="center"/>
            </w:pPr>
            <w:r>
              <w:rPr>
                <w:b w:val="false"/>
                <w:bCs w:val="false"/>
                <w:color w:val="000000"/>
                <w:sz w:val="20"/>
                <w:szCs w:val="20"/>
              </w:rPr>
              <w:t xml:space="preserve">66,0 %</w:t>
            </w:r>
          </w:p>
        </w:tc>
        <w:tc>
          <w:tcPr>
            <w:tcMar>
              <w:top w:type="dxa" w:w="80"/>
              <w:left w:type="dxa" w:w="120"/>
              <w:bottom w:type="dxa" w:w="80"/>
              <w:right w:type="dxa" w:w="120"/>
            </w:tcMar>
            <w:vAlign w:val="center"/>
          </w:tcPr>
          <w:p>
            <w:pPr>
              <w:jc w:val="center"/>
            </w:pPr>
            <w:r>
              <w:rPr>
                <w:b w:val="false"/>
                <w:bCs w:val="false"/>
                <w:color w:val="000000"/>
                <w:sz w:val="20"/>
                <w:szCs w:val="20"/>
              </w:rPr>
              <w:t xml:space="preserve">450</w:t>
            </w:r>
          </w:p>
        </w:tc>
        <w:tc>
          <w:tcPr>
            <w:tcMar>
              <w:top w:type="dxa" w:w="80"/>
              <w:left w:type="dxa" w:w="120"/>
              <w:bottom w:type="dxa" w:w="80"/>
              <w:right w:type="dxa" w:w="120"/>
            </w:tcMar>
            <w:vAlign w:val="center"/>
          </w:tcPr>
          <w:p>
            <w:pPr>
              <w:jc w:val="center"/>
            </w:pPr>
            <w:r>
              <w:rPr>
                <w:b w:val="false"/>
                <w:bCs w:val="false"/>
                <w:color w:val="000000"/>
                <w:sz w:val="20"/>
                <w:szCs w:val="20"/>
              </w:rPr>
              <w:t xml:space="preserve">1 324,60</w:t>
            </w:r>
          </w:p>
        </w:tc>
      </w:tr>
    </w:tbl>
    <w:p>
      <w:pPr>
        <w:spacing w:after="200" w:before="200"/>
      </w:pPr>
    </w:p>
    <w:p>
      <w:pPr>
        <w:spacing w:after="160" w:line="300"/>
        <w:jc w:val="both"/>
      </w:pPr>
      <w:r>
        <w:rPr>
          <w:sz w:val="22"/>
          <w:szCs w:val="22"/>
        </w:rPr>
        <w:t xml:space="preserve">Les résultats restent néanmoins cohérents avec l'intuition métier : Eva, seule cliente sans vente enregistrée, obtient le risque de churn le plus élevé (66,0 %) loin devant les autres clients (5,0 % à 11,8 %). La CLV projetée à 12 mois (dépense actuelle extrapolée sur l'ancienneté du client) situe Diana et Bob au-dessus de 1 000, à nuancer eux aussi par le faible nombre d'observations disponibles.</w:t>
      </w:r>
    </w:p>
    <w:p>
      <w:pPr>
        <w:spacing w:after="160" w:line="300"/>
        <w:jc w:val="both"/>
      </w:pPr>
      <w:r>
        <w:rPr>
          <w:sz w:val="22"/>
          <w:szCs w:val="22"/>
        </w:rPr>
        <w:t xml:space="preserve">Avertissement à conserver pour toute utilisation de ces résultats : ce modèle est un exercice pédagogique sur 5 lignes, pas un outil de décision commerciale. Le déployer en production sans un historique substantiellement plus large et une variable de churn réelle produirait des recommandations non fiables, malgré une apparence de rigueur technique.</w:t>
      </w:r>
    </w:p>
    <w:p>
      <w:pPr>
        <w:spacing w:after="160" w:line="300"/>
        <w:jc w:val="both"/>
      </w:pPr>
      <w:r>
        <w:rPr>
          <w:sz w:val="22"/>
          <w:szCs w:val="22"/>
        </w:rPr>
        <w:t xml:space="preserve">Pour rendre ce module réellement opérationnel, il faudrait au minimum : un historique de transactions par client sur plusieurs périodes, une définition explicite et mesurée du churn (par exemple une absence d'achat pendant N jours), ainsi qu'une marge ou un revenu par client pour fiabiliser le calcul de la CLV.</w:t>
      </w:r>
    </w:p>
    <w:p>
      <w:pPr>
        <w:pStyle w:val="Heading1"/>
        <w:spacing w:after="200" w:before="360"/>
      </w:pPr>
      <w:r>
        <w:rPr>
          <w:b/>
          <w:bCs/>
          <w:color w:val="1F3864"/>
          <w:sz w:val="28"/>
          <w:szCs w:val="28"/>
        </w:rPr>
        <w:t xml:space="preserve">7. Stratégie marketing digitale personnalisée</w:t>
      </w:r>
    </w:p>
    <w:p>
      <w:pPr>
        <w:spacing w:after="160" w:line="300"/>
        <w:jc w:val="both"/>
      </w:pPr>
      <w:r>
        <w:rPr>
          <w:sz w:val="22"/>
          <w:szCs w:val="22"/>
        </w:rPr>
        <w:t xml:space="preserve">La stratégie proposée est directement adossée aux trois segments identifiés au point 4 :</w:t>
      </w:r>
    </w:p>
    <w:p>
      <w:pPr>
        <w:pStyle w:val="ListParagraph"/>
        <w:numPr>
          <w:ilvl w:val="0"/>
          <w:numId w:val="1"/>
        </w:numPr>
        <w:spacing w:after="80"/>
      </w:pPr>
      <w:r>
        <w:rPr>
          <w:sz w:val="22"/>
          <w:szCs w:val="22"/>
        </w:rPr>
        <w:t xml:space="preserve">Forte valeur — programme de fidélité, recommandations de produits complémentaires, offres premium et communication personnalisée.</w:t>
      </w:r>
    </w:p>
    <w:p>
      <w:pPr>
        <w:pStyle w:val="ListParagraph"/>
        <w:numPr>
          <w:ilvl w:val="0"/>
          <w:numId w:val="1"/>
        </w:numPr>
        <w:spacing w:after="80"/>
      </w:pPr>
      <w:r>
        <w:rPr>
          <w:sz w:val="22"/>
          <w:szCs w:val="22"/>
        </w:rPr>
        <w:t xml:space="preserve">Intermédiaire — bundles, remises conditionnelles, contenus pédagogiques sur les catégories pertinentes et relance après achat.</w:t>
      </w:r>
    </w:p>
    <w:p>
      <w:pPr>
        <w:pStyle w:val="ListParagraph"/>
        <w:numPr>
          <w:ilvl w:val="0"/>
          <w:numId w:val="1"/>
        </w:numPr>
        <w:spacing w:after="80"/>
      </w:pPr>
      <w:r>
        <w:rPr>
          <w:sz w:val="22"/>
          <w:szCs w:val="22"/>
        </w:rPr>
        <w:t xml:space="preserve">Faible activité — retargeting e-mail et réseaux sociaux, offre de retour limitée dans le temps, rappel des avantages du programme.</w:t>
      </w:r>
    </w:p>
    <w:p>
      <w:pPr>
        <w:spacing w:before="160"/>
      </w:pPr>
    </w:p>
    <w:p>
      <w:pPr>
        <w:spacing w:after="160" w:line="300"/>
        <w:jc w:val="both"/>
      </w:pPr>
      <w:r>
        <w:rPr>
          <w:sz w:val="22"/>
          <w:szCs w:val="22"/>
        </w:rPr>
        <w:t xml:space="preserve">L'intelligence artificielle générative peut accélérer la production de variantes de messages par segment (objet d'e-mail, accroche, visuel), à condition que les règles métier, la cohérence de marque et les indicateurs de performance restent sous contrôle humain avant diffusion.</w:t>
      </w:r>
    </w:p>
    <w:p>
      <w:pPr>
        <w:pStyle w:val="Heading1"/>
        <w:spacing w:after="200" w:before="360"/>
      </w:pPr>
      <w:r>
        <w:rPr>
          <w:b/>
          <w:bCs/>
          <w:color w:val="1F3864"/>
          <w:sz w:val="28"/>
          <w:szCs w:val="28"/>
        </w:rPr>
        <w:t xml:space="preserve">8. Dashboard interactif</w:t>
      </w:r>
    </w:p>
    <w:p>
      <w:pPr>
        <w:spacing w:after="160" w:line="300"/>
        <w:jc w:val="both"/>
      </w:pPr>
      <w:r>
        <w:rPr>
          <w:sz w:val="22"/>
          <w:szCs w:val="22"/>
        </w:rPr>
        <w:t xml:space="preserve">Un dashboard Streamlit (dossier dashboard/, fichier app.py) accompagne ce rapport. Il recalcule la segmentation en direct à partir de customers_data.csv et sales_data.csv, affiche les KPI de campagnes par canal, et présente les résultats du modèle churn/CLV avec l'avertissement de fiabilité repris directement à l'écran. Il se lance avec pip install -r requirements.txt puis streamlit run app.py ; le détail est donné dans le README.md du dossier.</w:t>
      </w:r>
    </w:p>
    <w:p>
      <w:pPr>
        <w:pStyle w:val="Heading1"/>
        <w:spacing w:after="200" w:before="360"/>
      </w:pPr>
      <w:r>
        <w:rPr>
          <w:b/>
          <w:bCs/>
          <w:color w:val="1F3864"/>
          <w:sz w:val="28"/>
          <w:szCs w:val="28"/>
        </w:rPr>
        <w:t xml:space="preserve">9. Conclusion et livrables</w:t>
      </w:r>
    </w:p>
    <w:p>
      <w:pPr>
        <w:spacing w:after="160" w:line="300"/>
        <w:jc w:val="both"/>
      </w:pPr>
      <w:r>
        <w:rPr>
          <w:sz w:val="22"/>
          <w:szCs w:val="22"/>
        </w:rPr>
        <w:t xml:space="preserve">Le projet couvre l'ensemble des modules M2 à M8 avec les données mises à disposition, y compris le module M6 (churn/CLV), traité avec un pipeline complet et un avertissement méthodologique explicite plutôt qu'un résultat présenté comme fiable sans nuance. La prochaine itération devrait porter en priorité sur l'élargissement du volume de données, sur une vraie variable de résiliation et sur l'ajout d'une attribution campagne → vente, condition nécessaire à un calcul de ROI et à une optimisation marketing complète.</w:t>
      </w:r>
    </w:p>
    <w:p>
      <w:pPr>
        <w:spacing w:after="160" w:line="300"/>
        <w:jc w:val="both"/>
      </w:pPr>
      <w:r>
        <w:rPr>
          <w:sz w:val="22"/>
          <w:szCs w:val="22"/>
        </w:rPr>
        <w:t xml:space="preserve">Livrables produits :</w:t>
      </w:r>
    </w:p>
    <w:p>
      <w:pPr>
        <w:pStyle w:val="ListParagraph"/>
        <w:numPr>
          <w:ilvl w:val="0"/>
          <w:numId w:val="1"/>
        </w:numPr>
        <w:spacing w:after="80"/>
      </w:pPr>
      <w:r>
        <w:rPr>
          <w:sz w:val="22"/>
          <w:szCs w:val="22"/>
        </w:rPr>
        <w:t xml:space="preserve">Segmentation client et profils détaillés</w:t>
      </w:r>
    </w:p>
    <w:p>
      <w:pPr>
        <w:pStyle w:val="ListParagraph"/>
        <w:numPr>
          <w:ilvl w:val="0"/>
          <w:numId w:val="1"/>
        </w:numPr>
        <w:spacing w:after="80"/>
      </w:pPr>
      <w:r>
        <w:rPr>
          <w:sz w:val="22"/>
          <w:szCs w:val="22"/>
        </w:rPr>
        <w:t xml:space="preserve">Analyse des campagnes et recommandations</w:t>
      </w:r>
    </w:p>
    <w:p>
      <w:pPr>
        <w:pStyle w:val="ListParagraph"/>
        <w:numPr>
          <w:ilvl w:val="0"/>
          <w:numId w:val="1"/>
        </w:numPr>
        <w:spacing w:after="80"/>
      </w:pPr>
      <w:r>
        <w:rPr>
          <w:sz w:val="22"/>
          <w:szCs w:val="22"/>
        </w:rPr>
        <w:t xml:space="preserve">Modèle exploratoire churn / CLV, avec avertissement de fiabilité</w:t>
      </w:r>
    </w:p>
    <w:p>
      <w:pPr>
        <w:pStyle w:val="ListParagraph"/>
        <w:numPr>
          <w:ilvl w:val="0"/>
          <w:numId w:val="1"/>
        </w:numPr>
        <w:spacing w:after="80"/>
      </w:pPr>
      <w:r>
        <w:rPr>
          <w:sz w:val="22"/>
          <w:szCs w:val="22"/>
        </w:rPr>
        <w:t xml:space="preserve">Dashboard interactif Streamlit (dossier dashboard/)</w:t>
      </w:r>
    </w:p>
    <w:p>
      <w:pPr>
        <w:pStyle w:val="ListParagraph"/>
        <w:numPr>
          <w:ilvl w:val="0"/>
          <w:numId w:val="1"/>
        </w:numPr>
        <w:spacing w:after="80"/>
      </w:pPr>
      <w:r>
        <w:rPr>
          <w:sz w:val="22"/>
          <w:szCs w:val="22"/>
        </w:rPr>
        <w:t xml:space="preserve">Rapport (Word/PDF) et présentation (PowerPoint)</w:t>
      </w:r>
    </w:p>
    <w:sectPr>
      <w:headerReference w:type="default" r:id="rId9"/>
      <w:footerReference w:type="default" r:id="rId10"/>
      <w:pgSz w:w="11906" w:h="16838" w:orient="portrait"/>
      <w:pgMar w:top="14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i/>
        <w:iCs/>
        <w:color w:val="595959"/>
        <w:sz w:val="16"/>
        <w:szCs w:val="16"/>
      </w:rPr>
      <w:t xml:space="preserve">Analyse &amp; Optimisation Marketing — ENI Fianarantsoa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8bdc1415c1d0c12e4cb9746d6a716e8afbf8e3b2.png"/><Relationship Id="rId12" Type="http://schemas.openxmlformats.org/officeDocument/2006/relationships/image" Target="media/eb174322488ee8c13446c31084932f9093355e3b.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2026-09-07T07:37:38.808Z</dcterms:created>
  <dcterms:modified xsi:type="dcterms:W3CDTF">2026-09-07T07:37:38.808Z</dcterms:modified>
</cp:coreProperties>
</file>

<file path=docProps/custom.xml><?xml version="1.0" encoding="utf-8"?>
<Properties xmlns="http://schemas.openxmlformats.org/officeDocument/2006/custom-properties" xmlns:vt="http://schemas.openxmlformats.org/officeDocument/2006/docPropsVTypes"/>
</file>