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4F72"/>
          <w:sz w:val="56"/>
        </w:rPr>
        <w:t>GARYCIO</w:t>
      </w:r>
    </w:p>
    <w:p>
      <w:pPr>
        <w:jc w:val="center"/>
      </w:pPr>
      <w:r>
        <w:rPr>
          <w:b/>
          <w:color w:val="34495E"/>
          <w:sz w:val="28"/>
        </w:rPr>
        <w:t>Propuesta de Presupuesto - Sistema de Gestión para Recolección de Residuos</w:t>
      </w:r>
    </w:p>
    <w:p>
      <w:pPr>
        <w:jc w:val="center"/>
      </w:pPr>
      <w:r>
        <w:rPr>
          <w:i/>
          <w:color w:val="7F8C8D"/>
          <w:sz w:val="20"/>
        </w:rPr>
        <w:t>Cliente: Gary CIO  |  Preparado por: Ranuk  |  Fecha: Marzo 2026</w:t>
      </w:r>
    </w:p>
    <w:p/>
    <w:p>
      <w:pPr>
        <w:pStyle w:val="Heading1"/>
      </w:pPr>
      <w:r>
        <w:rPr>
          <w:color w:val="1B4F72"/>
        </w:rPr>
        <w:t>Resumen Ejecutivo</w:t>
      </w:r>
    </w:p>
    <w:p>
      <w:r>
        <w:rPr>
          <w:rFonts w:ascii="Calibri" w:hAnsi="Calibri"/>
          <w:b w:val="0"/>
          <w:i w:val="0"/>
          <w:sz w:val="22"/>
        </w:rPr>
        <w:t>El presente documento detalla la propuesta de presupuesto para el desarrollo del sistema GARYCIO, una plataforma integral de gestión para servicios de recolección de residuos. El proyecto se divide en dos fases principales, con el objetivo de entregar valor incremental desde la primera etapa.</w:t>
      </w:r>
    </w:p>
    <w:p>
      <w:pPr>
        <w:pStyle w:val="Heading1"/>
      </w:pPr>
      <w:r>
        <w:rPr>
          <w:color w:val="1B4F72"/>
        </w:rPr>
        <w:t>Fase 1 - MVP (Producto Mínimo Viable)</w:t>
      </w:r>
    </w:p>
    <w:p>
      <w:r>
        <w:rPr>
          <w:rFonts w:ascii="Calibri" w:hAnsi="Calibri"/>
          <w:b w:val="0"/>
          <w:i w:val="0"/>
          <w:sz w:val="22"/>
        </w:rPr>
        <w:t>La primera fase se enfoca en la automatización de comunicaciones y la base operativa del sistema.</w:t>
      </w:r>
    </w:p>
    <w:p>
      <w:pPr>
        <w:pStyle w:val="Heading2"/>
      </w:pPr>
      <w:r>
        <w:rPr>
          <w:color w:val="1B4F72"/>
        </w:rPr>
        <w:t>Alcance de Fase 1</w:t>
      </w:r>
    </w:p>
    <w:p>
      <w:pPr>
        <w:pStyle w:val="ListBullet"/>
      </w:pPr>
      <w:r>
        <w:rPr>
          <w:rFonts w:ascii="Calibri" w:hAnsi="Calibri"/>
          <w:b/>
          <w:sz w:val="22"/>
        </w:rPr>
        <w:t xml:space="preserve">Bot WhatsApp: </w:t>
      </w:r>
      <w:r>
        <w:rPr>
          <w:rFonts w:ascii="Calibri" w:hAnsi="Calibri"/>
          <w:sz w:val="22"/>
        </w:rPr>
        <w:t>Desarrollo completo del Bot de WhatsApp con 7 flujos conversacionales, incluyendo reclamos, avisos, alta de donantes y recolección de dirección exacta</w:t>
      </w:r>
    </w:p>
    <w:p>
      <w:pPr>
        <w:pStyle w:val="ListBullet"/>
      </w:pPr>
      <w:r>
        <w:rPr>
          <w:rFonts w:ascii="Calibri" w:hAnsi="Calibri"/>
          <w:b/>
          <w:sz w:val="22"/>
        </w:rPr>
        <w:t xml:space="preserve">Sistema de choferes: </w:t>
      </w:r>
      <w:r>
        <w:rPr>
          <w:rFonts w:ascii="Calibri" w:hAnsi="Calibri"/>
          <w:sz w:val="22"/>
        </w:rPr>
        <w:t>Interfaz para choferes: registro de litros, bidones, combustible e incidentes con alerta inmediata al CEO</w:t>
      </w:r>
    </w:p>
    <w:p>
      <w:pPr>
        <w:pStyle w:val="ListBullet"/>
      </w:pPr>
      <w:r>
        <w:rPr>
          <w:rFonts w:ascii="Calibri" w:hAnsi="Calibri"/>
          <w:b/>
          <w:sz w:val="22"/>
        </w:rPr>
        <w:t xml:space="preserve">Reportes PDF: </w:t>
      </w:r>
      <w:r>
        <w:rPr>
          <w:rFonts w:ascii="Calibri" w:hAnsi="Calibri"/>
          <w:sz w:val="22"/>
        </w:rPr>
        <w:t>Reporte PDF diario automático a las 19:00 hs con gráficos y estadísticas, más opción on-demand</w:t>
      </w:r>
    </w:p>
    <w:p>
      <w:pPr>
        <w:pStyle w:val="ListBullet"/>
      </w:pPr>
      <w:r>
        <w:rPr>
          <w:rFonts w:ascii="Calibri" w:hAnsi="Calibri"/>
          <w:b/>
          <w:sz w:val="22"/>
        </w:rPr>
        <w:t xml:space="preserve">Base de datos: </w:t>
      </w:r>
      <w:r>
        <w:rPr>
          <w:rFonts w:ascii="Calibri" w:hAnsi="Calibri"/>
          <w:sz w:val="22"/>
        </w:rPr>
        <w:t>Diseño e implementación de base de datos PostgreSQL con 18 tablas y migración de datos</w:t>
      </w:r>
    </w:p>
    <w:p>
      <w:pPr>
        <w:pStyle w:val="ListBullet"/>
      </w:pPr>
      <w:r>
        <w:rPr>
          <w:rFonts w:ascii="Calibri" w:hAnsi="Calibri"/>
          <w:b/>
          <w:sz w:val="22"/>
        </w:rPr>
        <w:t xml:space="preserve">Deploy: </w:t>
      </w:r>
      <w:r>
        <w:rPr>
          <w:rFonts w:ascii="Calibri" w:hAnsi="Calibri"/>
          <w:sz w:val="22"/>
        </w:rPr>
        <w:t>Deploy en servidor de producción y configuración completa</w:t>
      </w:r>
    </w:p>
    <w:p>
      <w:pPr>
        <w:pStyle w:val="Heading2"/>
      </w:pPr>
      <w:r>
        <w:rPr>
          <w:color w:val="1B4F72"/>
        </w:rPr>
        <w:t>Presupuesto Fase 1</w:t>
      </w:r>
    </w:p>
    <w:tbl>
      <w:tblPr>
        <w:tblStyle w:val="TableGrid"/>
        <w:tblW w:type="auto" w:w="0"/>
        <w:jc w:val="center"/>
        <w:tblLook w:firstColumn="1" w:firstRow="1" w:lastColumn="0" w:lastRow="0" w:noHBand="0" w:noVBand="1" w:val="04A0"/>
      </w:tblPr>
      <w:tblGrid>
        <w:gridCol w:w="2880"/>
        <w:gridCol w:w="2880"/>
        <w:gridCol w:w="2880"/>
      </w:tblGrid>
      <w:tr>
        <w:tc>
          <w:tcPr>
            <w:tcW w:type="dxa" w:w="5669"/>
            <w:shd w:fill="1B4F72"/>
          </w:tcPr>
          <w:p>
            <w:pPr>
              <w:spacing w:before="40" w:after="40"/>
              <w:jc w:val="center"/>
            </w:pPr>
            <w:r/>
            <w:r>
              <w:rPr>
                <w:rFonts w:ascii="Calibri" w:hAnsi="Calibri"/>
                <w:b/>
                <w:color w:val="FFFFFF"/>
                <w:sz w:val="20"/>
              </w:rPr>
              <w:t>Concepto</w:t>
            </w:r>
          </w:p>
        </w:tc>
        <w:tc>
          <w:tcPr>
            <w:tcW w:type="dxa" w:w="2551"/>
            <w:shd w:fill="1B4F72"/>
          </w:tcPr>
          <w:p>
            <w:pPr>
              <w:spacing w:before="40" w:after="40"/>
              <w:jc w:val="center"/>
            </w:pPr>
            <w:r/>
            <w:r>
              <w:rPr>
                <w:rFonts w:ascii="Calibri" w:hAnsi="Calibri"/>
                <w:b/>
                <w:color w:val="FFFFFF"/>
                <w:sz w:val="20"/>
              </w:rPr>
              <w:t>Precio Mercado (USD)</w:t>
            </w:r>
          </w:p>
        </w:tc>
        <w:tc>
          <w:tcPr>
            <w:tcW w:type="dxa" w:w="2551"/>
            <w:shd w:fill="1B4F72"/>
          </w:tcPr>
          <w:p>
            <w:pPr>
              <w:spacing w:before="40" w:after="40"/>
              <w:jc w:val="center"/>
            </w:pPr>
            <w:r/>
            <w:r>
              <w:rPr>
                <w:rFonts w:ascii="Calibri" w:hAnsi="Calibri"/>
                <w:b/>
                <w:color w:val="FFFFFF"/>
                <w:sz w:val="20"/>
              </w:rPr>
              <w:t>Precio Amigo (USD)</w:t>
            </w:r>
          </w:p>
        </w:tc>
      </w:tr>
      <w:tr>
        <w:tc>
          <w:tcPr>
            <w:tcW w:type="dxa" w:w="5669"/>
            <w:shd w:fill="EBF5FB"/>
          </w:tcPr>
          <w:p>
            <w:pPr>
              <w:spacing w:before="40" w:after="40"/>
              <w:jc w:val="left"/>
            </w:pPr>
            <w:r/>
            <w:r>
              <w:rPr>
                <w:rFonts w:ascii="Calibri" w:hAnsi="Calibri"/>
                <w:b w:val="0"/>
                <w:sz w:val="20"/>
              </w:rPr>
              <w:t>Bot WhatsApp (7 flujos + choferes + incidentes)</w:t>
            </w:r>
          </w:p>
        </w:tc>
        <w:tc>
          <w:tcPr>
            <w:tcW w:type="dxa" w:w="2551"/>
            <w:shd w:fill="EBF5FB"/>
          </w:tcPr>
          <w:p>
            <w:pPr>
              <w:spacing w:before="40" w:after="40"/>
              <w:jc w:val="center"/>
            </w:pPr>
            <w:r/>
            <w:r>
              <w:rPr>
                <w:rFonts w:ascii="Calibri" w:hAnsi="Calibri"/>
                <w:b w:val="0"/>
                <w:sz w:val="20"/>
              </w:rPr>
              <w:t>1,200</w:t>
            </w:r>
          </w:p>
        </w:tc>
        <w:tc>
          <w:tcPr>
            <w:tcW w:type="dxa" w:w="2551"/>
            <w:shd w:fill="EBF5FB"/>
          </w:tcPr>
          <w:p>
            <w:pPr>
              <w:spacing w:before="40" w:after="40"/>
              <w:jc w:val="center"/>
            </w:pPr>
            <w:r/>
            <w:r>
              <w:rPr>
                <w:rFonts w:ascii="Calibri" w:hAnsi="Calibri"/>
                <w:b w:val="0"/>
                <w:sz w:val="20"/>
              </w:rPr>
              <w:t>700</w:t>
            </w:r>
          </w:p>
        </w:tc>
      </w:tr>
      <w:tr>
        <w:tc>
          <w:tcPr>
            <w:tcW w:type="dxa" w:w="5669"/>
            <w:shd w:fill="FFFFFF"/>
          </w:tcPr>
          <w:p>
            <w:pPr>
              <w:spacing w:before="40" w:after="40"/>
              <w:jc w:val="left"/>
            </w:pPr>
            <w:r/>
            <w:r>
              <w:rPr>
                <w:rFonts w:ascii="Calibri" w:hAnsi="Calibri"/>
                <w:b w:val="0"/>
                <w:sz w:val="20"/>
              </w:rPr>
              <w:t>Reportes PDF diarios + on-demand</w:t>
            </w:r>
          </w:p>
        </w:tc>
        <w:tc>
          <w:tcPr>
            <w:tcW w:type="dxa" w:w="2551"/>
            <w:shd w:fill="FFFFFF"/>
          </w:tcPr>
          <w:p>
            <w:pPr>
              <w:spacing w:before="40" w:after="40"/>
              <w:jc w:val="center"/>
            </w:pPr>
            <w:r/>
            <w:r>
              <w:rPr>
                <w:rFonts w:ascii="Calibri" w:hAnsi="Calibri"/>
                <w:b w:val="0"/>
                <w:sz w:val="20"/>
              </w:rPr>
              <w:t>300</w:t>
            </w:r>
          </w:p>
        </w:tc>
        <w:tc>
          <w:tcPr>
            <w:tcW w:type="dxa" w:w="2551"/>
            <w:shd w:fill="FFFFFF"/>
          </w:tcPr>
          <w:p>
            <w:pPr>
              <w:spacing w:before="40" w:after="40"/>
              <w:jc w:val="center"/>
            </w:pPr>
            <w:r/>
            <w:r>
              <w:rPr>
                <w:rFonts w:ascii="Calibri" w:hAnsi="Calibri"/>
                <w:b w:val="0"/>
                <w:sz w:val="20"/>
              </w:rPr>
              <w:t>200</w:t>
            </w:r>
          </w:p>
        </w:tc>
      </w:tr>
      <w:tr>
        <w:tc>
          <w:tcPr>
            <w:tcW w:type="dxa" w:w="5669"/>
            <w:shd w:fill="EBF5FB"/>
          </w:tcPr>
          <w:p>
            <w:pPr>
              <w:spacing w:before="40" w:after="40"/>
              <w:jc w:val="left"/>
            </w:pPr>
            <w:r/>
            <w:r>
              <w:rPr>
                <w:rFonts w:ascii="Calibri" w:hAnsi="Calibri"/>
                <w:b w:val="0"/>
                <w:sz w:val="20"/>
              </w:rPr>
              <w:t>Base de datos PostgreSQL + migración</w:t>
            </w:r>
          </w:p>
        </w:tc>
        <w:tc>
          <w:tcPr>
            <w:tcW w:type="dxa" w:w="2551"/>
            <w:shd w:fill="EBF5FB"/>
          </w:tcPr>
          <w:p>
            <w:pPr>
              <w:spacing w:before="40" w:after="40"/>
              <w:jc w:val="center"/>
            </w:pPr>
            <w:r/>
            <w:r>
              <w:rPr>
                <w:rFonts w:ascii="Calibri" w:hAnsi="Calibri"/>
                <w:b w:val="0"/>
                <w:sz w:val="20"/>
              </w:rPr>
              <w:t>350</w:t>
            </w:r>
          </w:p>
        </w:tc>
        <w:tc>
          <w:tcPr>
            <w:tcW w:type="dxa" w:w="2551"/>
            <w:shd w:fill="EBF5FB"/>
          </w:tcPr>
          <w:p>
            <w:pPr>
              <w:spacing w:before="40" w:after="40"/>
              <w:jc w:val="center"/>
            </w:pPr>
            <w:r/>
            <w:r>
              <w:rPr>
                <w:rFonts w:ascii="Calibri" w:hAnsi="Calibri"/>
                <w:b w:val="0"/>
                <w:sz w:val="20"/>
              </w:rPr>
              <w:t>200</w:t>
            </w:r>
          </w:p>
        </w:tc>
      </w:tr>
      <w:tr>
        <w:tc>
          <w:tcPr>
            <w:tcW w:type="dxa" w:w="5669"/>
            <w:shd w:fill="FFFFFF"/>
          </w:tcPr>
          <w:p>
            <w:pPr>
              <w:spacing w:before="40" w:after="40"/>
              <w:jc w:val="left"/>
            </w:pPr>
            <w:r/>
            <w:r>
              <w:rPr>
                <w:rFonts w:ascii="Calibri" w:hAnsi="Calibri"/>
                <w:b w:val="0"/>
                <w:sz w:val="20"/>
              </w:rPr>
              <w:t>Optimización de recorridos</w:t>
            </w:r>
          </w:p>
        </w:tc>
        <w:tc>
          <w:tcPr>
            <w:tcW w:type="dxa" w:w="2551"/>
            <w:shd w:fill="FFFFFF"/>
          </w:tcPr>
          <w:p>
            <w:pPr>
              <w:spacing w:before="40" w:after="40"/>
              <w:jc w:val="center"/>
            </w:pPr>
            <w:r/>
            <w:r>
              <w:rPr>
                <w:rFonts w:ascii="Calibri" w:hAnsi="Calibri"/>
                <w:b w:val="0"/>
                <w:sz w:val="20"/>
              </w:rPr>
              <w:t>300</w:t>
            </w:r>
          </w:p>
        </w:tc>
        <w:tc>
          <w:tcPr>
            <w:tcW w:type="dxa" w:w="2551"/>
            <w:shd w:fill="FFFFFF"/>
          </w:tcPr>
          <w:p>
            <w:pPr>
              <w:spacing w:before="40" w:after="40"/>
              <w:jc w:val="center"/>
            </w:pPr>
            <w:r/>
            <w:r>
              <w:rPr>
                <w:rFonts w:ascii="Calibri" w:hAnsi="Calibri"/>
                <w:b w:val="0"/>
                <w:sz w:val="20"/>
              </w:rPr>
              <w:t>150</w:t>
            </w:r>
          </w:p>
        </w:tc>
      </w:tr>
      <w:tr>
        <w:tc>
          <w:tcPr>
            <w:tcW w:type="dxa" w:w="5669"/>
            <w:shd w:fill="EBF5FB"/>
          </w:tcPr>
          <w:p>
            <w:pPr>
              <w:spacing w:before="40" w:after="40"/>
              <w:jc w:val="left"/>
            </w:pPr>
            <w:r/>
            <w:r>
              <w:rPr>
                <w:rFonts w:ascii="Calibri" w:hAnsi="Calibri"/>
                <w:b w:val="0"/>
                <w:sz w:val="20"/>
              </w:rPr>
              <w:t>Deploy + configuración servidor</w:t>
            </w:r>
          </w:p>
        </w:tc>
        <w:tc>
          <w:tcPr>
            <w:tcW w:type="dxa" w:w="2551"/>
            <w:shd w:fill="EBF5FB"/>
          </w:tcPr>
          <w:p>
            <w:pPr>
              <w:spacing w:before="40" w:after="40"/>
              <w:jc w:val="center"/>
            </w:pPr>
            <w:r/>
            <w:r>
              <w:rPr>
                <w:rFonts w:ascii="Calibri" w:hAnsi="Calibri"/>
                <w:b w:val="0"/>
                <w:sz w:val="20"/>
              </w:rPr>
              <w:t>200</w:t>
            </w:r>
          </w:p>
        </w:tc>
        <w:tc>
          <w:tcPr>
            <w:tcW w:type="dxa" w:w="2551"/>
            <w:shd w:fill="EBF5FB"/>
          </w:tcPr>
          <w:p>
            <w:pPr>
              <w:spacing w:before="40" w:after="40"/>
              <w:jc w:val="center"/>
            </w:pPr>
            <w:r/>
            <w:r>
              <w:rPr>
                <w:rFonts w:ascii="Calibri" w:hAnsi="Calibri"/>
                <w:b w:val="0"/>
                <w:sz w:val="20"/>
              </w:rPr>
              <w:t>50</w:t>
            </w:r>
          </w:p>
        </w:tc>
      </w:tr>
      <w:tr>
        <w:tc>
          <w:tcPr>
            <w:tcW w:type="dxa" w:w="5669"/>
            <w:shd w:fill="D4E6F1"/>
          </w:tcPr>
          <w:p>
            <w:pPr>
              <w:spacing w:before="40" w:after="40"/>
              <w:jc w:val="left"/>
            </w:pPr>
            <w:r/>
            <w:r>
              <w:rPr>
                <w:rFonts w:ascii="Calibri" w:hAnsi="Calibri"/>
                <w:b/>
                <w:sz w:val="20"/>
              </w:rPr>
              <w:t>TOTAL FASE 1</w:t>
            </w:r>
          </w:p>
        </w:tc>
        <w:tc>
          <w:tcPr>
            <w:tcW w:type="dxa" w:w="2551"/>
            <w:shd w:fill="D4E6F1"/>
          </w:tcPr>
          <w:p>
            <w:pPr>
              <w:spacing w:before="40" w:after="40"/>
              <w:jc w:val="center"/>
            </w:pPr>
            <w:r/>
            <w:r>
              <w:rPr>
                <w:rFonts w:ascii="Calibri" w:hAnsi="Calibri"/>
                <w:b/>
                <w:sz w:val="20"/>
              </w:rPr>
              <w:t>2,250</w:t>
            </w:r>
          </w:p>
        </w:tc>
        <w:tc>
          <w:tcPr>
            <w:tcW w:type="dxa" w:w="2551"/>
            <w:shd w:fill="D4E6F1"/>
          </w:tcPr>
          <w:p>
            <w:pPr>
              <w:spacing w:before="40" w:after="40"/>
              <w:jc w:val="center"/>
            </w:pPr>
            <w:r/>
            <w:r>
              <w:rPr>
                <w:rFonts w:ascii="Calibri" w:hAnsi="Calibri"/>
                <w:b/>
                <w:sz w:val="20"/>
              </w:rPr>
              <w:t>1,300</w:t>
            </w:r>
          </w:p>
        </w:tc>
      </w:tr>
    </w:tbl>
    <w:p/>
    <w:p>
      <w:pPr>
        <w:pStyle w:val="Heading1"/>
      </w:pPr>
      <w:r>
        <w:rPr>
          <w:color w:val="1B4F72"/>
        </w:rPr>
        <w:t>Fase 2 - Plataforma Completa</w:t>
      </w:r>
    </w:p>
    <w:p>
      <w:r>
        <w:rPr>
          <w:rFonts w:ascii="Calibri" w:hAnsi="Calibri"/>
          <w:b w:val="0"/>
          <w:i w:val="0"/>
          <w:sz w:val="22"/>
        </w:rPr>
        <w:t>La segunda fase expande el sistema con herramientas de administración, aplicación móvil y gestión avanzada de flota.</w:t>
      </w:r>
    </w:p>
    <w:p>
      <w:pPr>
        <w:pStyle w:val="Heading2"/>
      </w:pPr>
      <w:r>
        <w:rPr>
          <w:color w:val="1B4F72"/>
        </w:rPr>
        <w:t>Alcance de Fase 2</w:t>
      </w:r>
    </w:p>
    <w:p>
      <w:pPr>
        <w:pStyle w:val="ListBullet"/>
      </w:pPr>
      <w:r>
        <w:rPr>
          <w:rFonts w:ascii="Calibri" w:hAnsi="Calibri"/>
          <w:b/>
          <w:sz w:val="22"/>
        </w:rPr>
        <w:t xml:space="preserve">Dashboard web: </w:t>
      </w:r>
      <w:r>
        <w:rPr>
          <w:rFonts w:ascii="Calibri" w:hAnsi="Calibri"/>
          <w:sz w:val="22"/>
        </w:rPr>
        <w:t>Panel web completo para administración y monitoreo en tiempo real</w:t>
      </w:r>
    </w:p>
    <w:p>
      <w:pPr>
        <w:pStyle w:val="ListBullet"/>
      </w:pPr>
      <w:r>
        <w:rPr>
          <w:rFonts w:ascii="Calibri" w:hAnsi="Calibri"/>
          <w:b/>
          <w:sz w:val="22"/>
        </w:rPr>
        <w:t xml:space="preserve">App móvil: </w:t>
      </w:r>
      <w:r>
        <w:rPr>
          <w:rFonts w:ascii="Calibri" w:hAnsi="Calibri"/>
          <w:sz w:val="22"/>
        </w:rPr>
        <w:t>Aplicación móvil nativa para choferes y peones con funcionalidades offline</w:t>
      </w:r>
    </w:p>
    <w:p>
      <w:pPr>
        <w:pStyle w:val="ListBullet"/>
      </w:pPr>
      <w:r>
        <w:rPr>
          <w:rFonts w:ascii="Calibri" w:hAnsi="Calibri"/>
          <w:b/>
          <w:sz w:val="22"/>
        </w:rPr>
        <w:t xml:space="preserve">Gestión de flota: </w:t>
      </w:r>
      <w:r>
        <w:rPr>
          <w:rFonts w:ascii="Calibri" w:hAnsi="Calibri"/>
          <w:sz w:val="22"/>
        </w:rPr>
        <w:t>Sistema completo de gestión de flota con tracking GPS en tiempo real</w:t>
      </w:r>
    </w:p>
    <w:p>
      <w:pPr>
        <w:pStyle w:val="ListBullet"/>
      </w:pPr>
      <w:r>
        <w:rPr>
          <w:rFonts w:ascii="Calibri" w:hAnsi="Calibri"/>
          <w:b/>
          <w:sz w:val="22"/>
        </w:rPr>
        <w:t xml:space="preserve">Testing + Deploy: </w:t>
      </w:r>
      <w:r>
        <w:rPr>
          <w:rFonts w:ascii="Calibri" w:hAnsi="Calibri"/>
          <w:sz w:val="22"/>
        </w:rPr>
        <w:t>Testing integral y deploy de la plataforma completa</w:t>
      </w:r>
    </w:p>
    <w:p>
      <w:pPr>
        <w:pStyle w:val="Heading2"/>
      </w:pPr>
      <w:r>
        <w:rPr>
          <w:color w:val="1B4F72"/>
        </w:rPr>
        <w:t>Presupuesto Fase 2</w:t>
      </w:r>
    </w:p>
    <w:tbl>
      <w:tblPr>
        <w:tblStyle w:val="TableGrid"/>
        <w:tblW w:type="auto" w:w="0"/>
        <w:jc w:val="center"/>
        <w:tblLook w:firstColumn="1" w:firstRow="1" w:lastColumn="0" w:lastRow="0" w:noHBand="0" w:noVBand="1" w:val="04A0"/>
      </w:tblPr>
      <w:tblGrid>
        <w:gridCol w:w="2880"/>
        <w:gridCol w:w="2880"/>
        <w:gridCol w:w="2880"/>
      </w:tblGrid>
      <w:tr>
        <w:tc>
          <w:tcPr>
            <w:tcW w:type="dxa" w:w="5669"/>
            <w:shd w:fill="1B4F72"/>
          </w:tcPr>
          <w:p>
            <w:pPr>
              <w:spacing w:before="40" w:after="40"/>
              <w:jc w:val="center"/>
            </w:pPr>
            <w:r/>
            <w:r>
              <w:rPr>
                <w:rFonts w:ascii="Calibri" w:hAnsi="Calibri"/>
                <w:b/>
                <w:color w:val="FFFFFF"/>
                <w:sz w:val="20"/>
              </w:rPr>
              <w:t>Concepto</w:t>
            </w:r>
          </w:p>
        </w:tc>
        <w:tc>
          <w:tcPr>
            <w:tcW w:type="dxa" w:w="2551"/>
            <w:shd w:fill="1B4F72"/>
          </w:tcPr>
          <w:p>
            <w:pPr>
              <w:spacing w:before="40" w:after="40"/>
              <w:jc w:val="center"/>
            </w:pPr>
            <w:r/>
            <w:r>
              <w:rPr>
                <w:rFonts w:ascii="Calibri" w:hAnsi="Calibri"/>
                <w:b/>
                <w:color w:val="FFFFFF"/>
                <w:sz w:val="20"/>
              </w:rPr>
              <w:t>Precio Mercado (USD)</w:t>
            </w:r>
          </w:p>
        </w:tc>
        <w:tc>
          <w:tcPr>
            <w:tcW w:type="dxa" w:w="2551"/>
            <w:shd w:fill="1B4F72"/>
          </w:tcPr>
          <w:p>
            <w:pPr>
              <w:spacing w:before="40" w:after="40"/>
              <w:jc w:val="center"/>
            </w:pPr>
            <w:r/>
            <w:r>
              <w:rPr>
                <w:rFonts w:ascii="Calibri" w:hAnsi="Calibri"/>
                <w:b/>
                <w:color w:val="FFFFFF"/>
                <w:sz w:val="20"/>
              </w:rPr>
              <w:t>Precio Amigo (USD)</w:t>
            </w:r>
          </w:p>
        </w:tc>
      </w:tr>
      <w:tr>
        <w:tc>
          <w:tcPr>
            <w:tcW w:type="dxa" w:w="5669"/>
            <w:shd w:fill="EBF5FB"/>
          </w:tcPr>
          <w:p>
            <w:pPr>
              <w:spacing w:before="40" w:after="40"/>
              <w:jc w:val="left"/>
            </w:pPr>
            <w:r/>
            <w:r>
              <w:rPr>
                <w:rFonts w:ascii="Calibri" w:hAnsi="Calibri"/>
                <w:b w:val="0"/>
                <w:sz w:val="20"/>
              </w:rPr>
              <w:t>Dashboard web administración</w:t>
            </w:r>
          </w:p>
        </w:tc>
        <w:tc>
          <w:tcPr>
            <w:tcW w:type="dxa" w:w="2551"/>
            <w:shd w:fill="EBF5FB"/>
          </w:tcPr>
          <w:p>
            <w:pPr>
              <w:spacing w:before="40" w:after="40"/>
              <w:jc w:val="center"/>
            </w:pPr>
            <w:r/>
            <w:r>
              <w:rPr>
                <w:rFonts w:ascii="Calibri" w:hAnsi="Calibri"/>
                <w:b w:val="0"/>
                <w:sz w:val="20"/>
              </w:rPr>
              <w:t>2,500</w:t>
            </w:r>
          </w:p>
        </w:tc>
        <w:tc>
          <w:tcPr>
            <w:tcW w:type="dxa" w:w="2551"/>
            <w:shd w:fill="EBF5FB"/>
          </w:tcPr>
          <w:p>
            <w:pPr>
              <w:spacing w:before="40" w:after="40"/>
              <w:jc w:val="center"/>
            </w:pPr>
            <w:r/>
            <w:r>
              <w:rPr>
                <w:rFonts w:ascii="Calibri" w:hAnsi="Calibri"/>
                <w:b w:val="0"/>
                <w:sz w:val="20"/>
              </w:rPr>
              <w:t>1,400</w:t>
            </w:r>
          </w:p>
        </w:tc>
      </w:tr>
      <w:tr>
        <w:tc>
          <w:tcPr>
            <w:tcW w:type="dxa" w:w="5669"/>
            <w:shd w:fill="FFFFFF"/>
          </w:tcPr>
          <w:p>
            <w:pPr>
              <w:spacing w:before="40" w:after="40"/>
              <w:jc w:val="left"/>
            </w:pPr>
            <w:r/>
            <w:r>
              <w:rPr>
                <w:rFonts w:ascii="Calibri" w:hAnsi="Calibri"/>
                <w:b w:val="0"/>
                <w:sz w:val="20"/>
              </w:rPr>
              <w:t>App móvil (choferes + peones)</w:t>
            </w:r>
          </w:p>
        </w:tc>
        <w:tc>
          <w:tcPr>
            <w:tcW w:type="dxa" w:w="2551"/>
            <w:shd w:fill="FFFFFF"/>
          </w:tcPr>
          <w:p>
            <w:pPr>
              <w:spacing w:before="40" w:after="40"/>
              <w:jc w:val="center"/>
            </w:pPr>
            <w:r/>
            <w:r>
              <w:rPr>
                <w:rFonts w:ascii="Calibri" w:hAnsi="Calibri"/>
                <w:b w:val="0"/>
                <w:sz w:val="20"/>
              </w:rPr>
              <w:t>3,500</w:t>
            </w:r>
          </w:p>
        </w:tc>
        <w:tc>
          <w:tcPr>
            <w:tcW w:type="dxa" w:w="2551"/>
            <w:shd w:fill="FFFFFF"/>
          </w:tcPr>
          <w:p>
            <w:pPr>
              <w:spacing w:before="40" w:after="40"/>
              <w:jc w:val="center"/>
            </w:pPr>
            <w:r/>
            <w:r>
              <w:rPr>
                <w:rFonts w:ascii="Calibri" w:hAnsi="Calibri"/>
                <w:b w:val="0"/>
                <w:sz w:val="20"/>
              </w:rPr>
              <w:t>2,000</w:t>
            </w:r>
          </w:p>
        </w:tc>
      </w:tr>
      <w:tr>
        <w:tc>
          <w:tcPr>
            <w:tcW w:type="dxa" w:w="5669"/>
            <w:shd w:fill="EBF5FB"/>
          </w:tcPr>
          <w:p>
            <w:pPr>
              <w:spacing w:before="40" w:after="40"/>
              <w:jc w:val="left"/>
            </w:pPr>
            <w:r/>
            <w:r>
              <w:rPr>
                <w:rFonts w:ascii="Calibri" w:hAnsi="Calibri"/>
                <w:b w:val="0"/>
                <w:sz w:val="20"/>
              </w:rPr>
              <w:t>Sistema de gestión de flota + tracking</w:t>
            </w:r>
          </w:p>
        </w:tc>
        <w:tc>
          <w:tcPr>
            <w:tcW w:type="dxa" w:w="2551"/>
            <w:shd w:fill="EBF5FB"/>
          </w:tcPr>
          <w:p>
            <w:pPr>
              <w:spacing w:before="40" w:after="40"/>
              <w:jc w:val="center"/>
            </w:pPr>
            <w:r/>
            <w:r>
              <w:rPr>
                <w:rFonts w:ascii="Calibri" w:hAnsi="Calibri"/>
                <w:b w:val="0"/>
                <w:sz w:val="20"/>
              </w:rPr>
              <w:t>1,800</w:t>
            </w:r>
          </w:p>
        </w:tc>
        <w:tc>
          <w:tcPr>
            <w:tcW w:type="dxa" w:w="2551"/>
            <w:shd w:fill="EBF5FB"/>
          </w:tcPr>
          <w:p>
            <w:pPr>
              <w:spacing w:before="40" w:after="40"/>
              <w:jc w:val="center"/>
            </w:pPr>
            <w:r/>
            <w:r>
              <w:rPr>
                <w:rFonts w:ascii="Calibri" w:hAnsi="Calibri"/>
                <w:b w:val="0"/>
                <w:sz w:val="20"/>
              </w:rPr>
              <w:t>1,000</w:t>
            </w:r>
          </w:p>
        </w:tc>
      </w:tr>
      <w:tr>
        <w:tc>
          <w:tcPr>
            <w:tcW w:type="dxa" w:w="5669"/>
            <w:shd w:fill="FFFFFF"/>
          </w:tcPr>
          <w:p>
            <w:pPr>
              <w:spacing w:before="40" w:after="40"/>
              <w:jc w:val="left"/>
            </w:pPr>
            <w:r/>
            <w:r>
              <w:rPr>
                <w:rFonts w:ascii="Calibri" w:hAnsi="Calibri"/>
                <w:b w:val="0"/>
                <w:sz w:val="20"/>
              </w:rPr>
              <w:t>Testing + Deploy</w:t>
            </w:r>
          </w:p>
        </w:tc>
        <w:tc>
          <w:tcPr>
            <w:tcW w:type="dxa" w:w="2551"/>
            <w:shd w:fill="FFFFFF"/>
          </w:tcPr>
          <w:p>
            <w:pPr>
              <w:spacing w:before="40" w:after="40"/>
              <w:jc w:val="center"/>
            </w:pPr>
            <w:r/>
            <w:r>
              <w:rPr>
                <w:rFonts w:ascii="Calibri" w:hAnsi="Calibri"/>
                <w:b w:val="0"/>
                <w:sz w:val="20"/>
              </w:rPr>
              <w:t>500</w:t>
            </w:r>
          </w:p>
        </w:tc>
        <w:tc>
          <w:tcPr>
            <w:tcW w:type="dxa" w:w="2551"/>
            <w:shd w:fill="FFFFFF"/>
          </w:tcPr>
          <w:p>
            <w:pPr>
              <w:spacing w:before="40" w:after="40"/>
              <w:jc w:val="center"/>
            </w:pPr>
            <w:r/>
            <w:r>
              <w:rPr>
                <w:rFonts w:ascii="Calibri" w:hAnsi="Calibri"/>
                <w:b w:val="0"/>
                <w:sz w:val="20"/>
              </w:rPr>
              <w:t>300</w:t>
            </w:r>
          </w:p>
        </w:tc>
      </w:tr>
      <w:tr>
        <w:tc>
          <w:tcPr>
            <w:tcW w:type="dxa" w:w="5669"/>
            <w:shd w:fill="D4E6F1"/>
          </w:tcPr>
          <w:p>
            <w:pPr>
              <w:spacing w:before="40" w:after="40"/>
              <w:jc w:val="left"/>
            </w:pPr>
            <w:r/>
            <w:r>
              <w:rPr>
                <w:rFonts w:ascii="Calibri" w:hAnsi="Calibri"/>
                <w:b/>
                <w:sz w:val="20"/>
              </w:rPr>
              <w:t>TOTAL FASE 2</w:t>
            </w:r>
          </w:p>
        </w:tc>
        <w:tc>
          <w:tcPr>
            <w:tcW w:type="dxa" w:w="2551"/>
            <w:shd w:fill="D4E6F1"/>
          </w:tcPr>
          <w:p>
            <w:pPr>
              <w:spacing w:before="40" w:after="40"/>
              <w:jc w:val="center"/>
            </w:pPr>
            <w:r/>
            <w:r>
              <w:rPr>
                <w:rFonts w:ascii="Calibri" w:hAnsi="Calibri"/>
                <w:b/>
                <w:sz w:val="20"/>
              </w:rPr>
              <w:t>8,300</w:t>
            </w:r>
          </w:p>
        </w:tc>
        <w:tc>
          <w:tcPr>
            <w:tcW w:type="dxa" w:w="2551"/>
            <w:shd w:fill="D4E6F1"/>
          </w:tcPr>
          <w:p>
            <w:pPr>
              <w:spacing w:before="40" w:after="40"/>
              <w:jc w:val="center"/>
            </w:pPr>
            <w:r/>
            <w:r>
              <w:rPr>
                <w:rFonts w:ascii="Calibri" w:hAnsi="Calibri"/>
                <w:b/>
                <w:sz w:val="20"/>
              </w:rPr>
              <w:t>4,700</w:t>
            </w:r>
          </w:p>
        </w:tc>
      </w:tr>
    </w:tbl>
    <w:p/>
    <w:p>
      <w:pPr>
        <w:pStyle w:val="Heading1"/>
      </w:pPr>
      <w:r>
        <w:rPr>
          <w:color w:val="1B4F72"/>
        </w:rPr>
        <w:t>Resumen Total del Proyecto</w:t>
      </w:r>
    </w:p>
    <w:tbl>
      <w:tblPr>
        <w:tblStyle w:val="TableGrid"/>
        <w:tblW w:type="auto" w:w="0"/>
        <w:jc w:val="center"/>
        <w:tblLook w:firstColumn="1" w:firstRow="1" w:lastColumn="0" w:lastRow="0" w:noHBand="0" w:noVBand="1" w:val="04A0"/>
      </w:tblPr>
      <w:tblGrid>
        <w:gridCol w:w="2880"/>
        <w:gridCol w:w="2880"/>
        <w:gridCol w:w="2880"/>
      </w:tblGrid>
      <w:tr>
        <w:tc>
          <w:tcPr>
            <w:tcW w:type="dxa" w:w="5669"/>
            <w:shd w:fill="1B4F72"/>
          </w:tcPr>
          <w:p>
            <w:pPr>
              <w:spacing w:before="40" w:after="40"/>
              <w:jc w:val="center"/>
            </w:pPr>
            <w:r/>
            <w:r>
              <w:rPr>
                <w:rFonts w:ascii="Calibri" w:hAnsi="Calibri"/>
                <w:b/>
                <w:color w:val="FFFFFF"/>
                <w:sz w:val="20"/>
              </w:rPr>
            </w:r>
          </w:p>
        </w:tc>
        <w:tc>
          <w:tcPr>
            <w:tcW w:type="dxa" w:w="2551"/>
            <w:shd w:fill="1B4F72"/>
          </w:tcPr>
          <w:p>
            <w:pPr>
              <w:spacing w:before="40" w:after="40"/>
              <w:jc w:val="center"/>
            </w:pPr>
            <w:r/>
            <w:r>
              <w:rPr>
                <w:rFonts w:ascii="Calibri" w:hAnsi="Calibri"/>
                <w:b/>
                <w:color w:val="FFFFFF"/>
                <w:sz w:val="20"/>
              </w:rPr>
              <w:t>Precio Mercado (USD)</w:t>
            </w:r>
          </w:p>
        </w:tc>
        <w:tc>
          <w:tcPr>
            <w:tcW w:type="dxa" w:w="2551"/>
            <w:shd w:fill="1B4F72"/>
          </w:tcPr>
          <w:p>
            <w:pPr>
              <w:spacing w:before="40" w:after="40"/>
              <w:jc w:val="center"/>
            </w:pPr>
            <w:r/>
            <w:r>
              <w:rPr>
                <w:rFonts w:ascii="Calibri" w:hAnsi="Calibri"/>
                <w:b/>
                <w:color w:val="FFFFFF"/>
                <w:sz w:val="20"/>
              </w:rPr>
              <w:t>Precio Amigo (USD)</w:t>
            </w:r>
          </w:p>
        </w:tc>
      </w:tr>
      <w:tr>
        <w:tc>
          <w:tcPr>
            <w:tcW w:type="dxa" w:w="5669"/>
            <w:shd w:fill="EBF5FB"/>
          </w:tcPr>
          <w:p>
            <w:pPr>
              <w:spacing w:before="40" w:after="40"/>
              <w:jc w:val="left"/>
            </w:pPr>
            <w:r/>
            <w:r>
              <w:rPr>
                <w:rFonts w:ascii="Calibri" w:hAnsi="Calibri"/>
                <w:b w:val="0"/>
                <w:sz w:val="20"/>
              </w:rPr>
              <w:t>Fase 1 - MVP</w:t>
            </w:r>
          </w:p>
        </w:tc>
        <w:tc>
          <w:tcPr>
            <w:tcW w:type="dxa" w:w="2551"/>
            <w:shd w:fill="EBF5FB"/>
          </w:tcPr>
          <w:p>
            <w:pPr>
              <w:spacing w:before="40" w:after="40"/>
              <w:jc w:val="center"/>
            </w:pPr>
            <w:r/>
            <w:r>
              <w:rPr>
                <w:rFonts w:ascii="Calibri" w:hAnsi="Calibri"/>
                <w:b w:val="0"/>
                <w:sz w:val="20"/>
              </w:rPr>
              <w:t>2,250</w:t>
            </w:r>
          </w:p>
        </w:tc>
        <w:tc>
          <w:tcPr>
            <w:tcW w:type="dxa" w:w="2551"/>
            <w:shd w:fill="EBF5FB"/>
          </w:tcPr>
          <w:p>
            <w:pPr>
              <w:spacing w:before="40" w:after="40"/>
              <w:jc w:val="center"/>
            </w:pPr>
            <w:r/>
            <w:r>
              <w:rPr>
                <w:rFonts w:ascii="Calibri" w:hAnsi="Calibri"/>
                <w:b w:val="0"/>
                <w:sz w:val="20"/>
              </w:rPr>
              <w:t>1,300</w:t>
            </w:r>
          </w:p>
        </w:tc>
      </w:tr>
      <w:tr>
        <w:tc>
          <w:tcPr>
            <w:tcW w:type="dxa" w:w="5669"/>
            <w:shd w:fill="FFFFFF"/>
          </w:tcPr>
          <w:p>
            <w:pPr>
              <w:spacing w:before="40" w:after="40"/>
              <w:jc w:val="left"/>
            </w:pPr>
            <w:r/>
            <w:r>
              <w:rPr>
                <w:rFonts w:ascii="Calibri" w:hAnsi="Calibri"/>
                <w:b w:val="0"/>
                <w:sz w:val="20"/>
              </w:rPr>
              <w:t>Fase 2 - Plataforma Completa</w:t>
            </w:r>
          </w:p>
        </w:tc>
        <w:tc>
          <w:tcPr>
            <w:tcW w:type="dxa" w:w="2551"/>
            <w:shd w:fill="FFFFFF"/>
          </w:tcPr>
          <w:p>
            <w:pPr>
              <w:spacing w:before="40" w:after="40"/>
              <w:jc w:val="center"/>
            </w:pPr>
            <w:r/>
            <w:r>
              <w:rPr>
                <w:rFonts w:ascii="Calibri" w:hAnsi="Calibri"/>
                <w:b w:val="0"/>
                <w:sz w:val="20"/>
              </w:rPr>
              <w:t>8,300</w:t>
            </w:r>
          </w:p>
        </w:tc>
        <w:tc>
          <w:tcPr>
            <w:tcW w:type="dxa" w:w="2551"/>
            <w:shd w:fill="FFFFFF"/>
          </w:tcPr>
          <w:p>
            <w:pPr>
              <w:spacing w:before="40" w:after="40"/>
              <w:jc w:val="center"/>
            </w:pPr>
            <w:r/>
            <w:r>
              <w:rPr>
                <w:rFonts w:ascii="Calibri" w:hAnsi="Calibri"/>
                <w:b w:val="0"/>
                <w:sz w:val="20"/>
              </w:rPr>
              <w:t>4,700</w:t>
            </w:r>
          </w:p>
        </w:tc>
      </w:tr>
      <w:tr>
        <w:tc>
          <w:tcPr>
            <w:tcW w:type="dxa" w:w="5669"/>
            <w:shd w:fill="D4E6F1"/>
          </w:tcPr>
          <w:p>
            <w:pPr>
              <w:spacing w:before="40" w:after="40"/>
              <w:jc w:val="left"/>
            </w:pPr>
            <w:r/>
            <w:r>
              <w:rPr>
                <w:rFonts w:ascii="Calibri" w:hAnsi="Calibri"/>
                <w:b/>
                <w:sz w:val="20"/>
              </w:rPr>
              <w:t>TOTAL PROYECTO</w:t>
            </w:r>
          </w:p>
        </w:tc>
        <w:tc>
          <w:tcPr>
            <w:tcW w:type="dxa" w:w="2551"/>
            <w:shd w:fill="D4E6F1"/>
          </w:tcPr>
          <w:p>
            <w:pPr>
              <w:spacing w:before="40" w:after="40"/>
              <w:jc w:val="center"/>
            </w:pPr>
            <w:r/>
            <w:r>
              <w:rPr>
                <w:rFonts w:ascii="Calibri" w:hAnsi="Calibri"/>
                <w:b/>
                <w:sz w:val="20"/>
              </w:rPr>
              <w:t>10,550</w:t>
            </w:r>
          </w:p>
        </w:tc>
        <w:tc>
          <w:tcPr>
            <w:tcW w:type="dxa" w:w="2551"/>
            <w:shd w:fill="D4E6F1"/>
          </w:tcPr>
          <w:p>
            <w:pPr>
              <w:spacing w:before="40" w:after="40"/>
              <w:jc w:val="center"/>
            </w:pPr>
            <w:r/>
            <w:r>
              <w:rPr>
                <w:rFonts w:ascii="Calibri" w:hAnsi="Calibri"/>
                <w:b/>
                <w:sz w:val="20"/>
              </w:rPr>
              <w:t>6,000</w:t>
            </w:r>
          </w:p>
        </w:tc>
      </w:tr>
    </w:tbl>
    <w:p/>
    <w:p>
      <w:pPr>
        <w:jc w:val="center"/>
      </w:pPr>
      <w:r>
        <w:rPr>
          <w:b/>
          <w:color w:val="27AE60"/>
          <w:sz w:val="24"/>
        </w:rPr>
        <w:t>Ahorro total con precio amigo: USD 4,550 (43% de descuento)</w:t>
      </w:r>
    </w:p>
    <w:p/>
    <w:p>
      <w:pPr>
        <w:pStyle w:val="Heading1"/>
      </w:pPr>
      <w:r>
        <w:rPr>
          <w:color w:val="1B4F72"/>
        </w:rPr>
        <w:t>Costos Recurrentes (post-lanzamiento)</w:t>
      </w:r>
    </w:p>
    <w:p>
      <w:r>
        <w:rPr>
          <w:rFonts w:ascii="Calibri" w:hAnsi="Calibri"/>
          <w:b w:val="0"/>
          <w:i w:val="0"/>
          <w:sz w:val="22"/>
        </w:rPr>
        <w:t>Una vez desplegado el sistema, se aplican los siguientes costos operativos mensuales:</w:t>
      </w:r>
    </w:p>
    <w:tbl>
      <w:tblPr>
        <w:tblStyle w:val="TableGrid"/>
        <w:tblW w:type="auto" w:w="0"/>
        <w:jc w:val="center"/>
        <w:tblLook w:firstColumn="1" w:firstRow="1" w:lastColumn="0" w:lastRow="0" w:noHBand="0" w:noVBand="1" w:val="04A0"/>
      </w:tblPr>
      <w:tblGrid>
        <w:gridCol w:w="4320"/>
        <w:gridCol w:w="4320"/>
      </w:tblGrid>
      <w:tr>
        <w:tc>
          <w:tcPr>
            <w:tcW w:type="dxa" w:w="5669"/>
            <w:shd w:fill="1B4F72"/>
          </w:tcPr>
          <w:p>
            <w:pPr>
              <w:spacing w:before="40" w:after="40"/>
              <w:jc w:val="center"/>
            </w:pPr>
            <w:r/>
            <w:r>
              <w:rPr>
                <w:rFonts w:ascii="Calibri" w:hAnsi="Calibri"/>
                <w:b/>
                <w:color w:val="FFFFFF"/>
                <w:sz w:val="20"/>
              </w:rPr>
              <w:t>Concepto</w:t>
            </w:r>
          </w:p>
        </w:tc>
        <w:tc>
          <w:tcPr>
            <w:tcW w:type="dxa" w:w="5102"/>
            <w:shd w:fill="1B4F72"/>
          </w:tcPr>
          <w:p>
            <w:pPr>
              <w:spacing w:before="40" w:after="40"/>
              <w:jc w:val="center"/>
            </w:pPr>
            <w:r/>
            <w:r>
              <w:rPr>
                <w:rFonts w:ascii="Calibri" w:hAnsi="Calibri"/>
                <w:b/>
                <w:color w:val="FFFFFF"/>
                <w:sz w:val="20"/>
              </w:rPr>
              <w:t>Costo</w:t>
            </w:r>
          </w:p>
        </w:tc>
      </w:tr>
      <w:tr>
        <w:tc>
          <w:tcPr>
            <w:tcW w:type="dxa" w:w="5669"/>
            <w:shd w:fill="EBF5FB"/>
          </w:tcPr>
          <w:p>
            <w:pPr>
              <w:spacing w:before="40" w:after="40"/>
              <w:jc w:val="left"/>
            </w:pPr>
            <w:r/>
            <w:r>
              <w:rPr>
                <w:rFonts w:ascii="Calibri" w:hAnsi="Calibri"/>
                <w:b w:val="0"/>
                <w:sz w:val="20"/>
              </w:rPr>
              <w:t>Servidor VPS</w:t>
            </w:r>
          </w:p>
        </w:tc>
        <w:tc>
          <w:tcPr>
            <w:tcW w:type="dxa" w:w="5102"/>
            <w:shd w:fill="EBF5FB"/>
          </w:tcPr>
          <w:p>
            <w:pPr>
              <w:spacing w:before="40" w:after="40"/>
              <w:jc w:val="center"/>
            </w:pPr>
            <w:r/>
            <w:r>
              <w:rPr>
                <w:rFonts w:ascii="Calibri" w:hAnsi="Calibri"/>
                <w:b w:val="0"/>
                <w:sz w:val="20"/>
              </w:rPr>
              <w:t>USD 15-25/mes</w:t>
            </w:r>
          </w:p>
        </w:tc>
      </w:tr>
      <w:tr>
        <w:tc>
          <w:tcPr>
            <w:tcW w:type="dxa" w:w="5669"/>
            <w:shd w:fill="FFFFFF"/>
          </w:tcPr>
          <w:p>
            <w:pPr>
              <w:spacing w:before="40" w:after="40"/>
              <w:jc w:val="left"/>
            </w:pPr>
            <w:r/>
            <w:r>
              <w:rPr>
                <w:rFonts w:ascii="Calibri" w:hAnsi="Calibri"/>
                <w:b w:val="0"/>
                <w:sz w:val="20"/>
              </w:rPr>
              <w:t>Dominio (anual)</w:t>
            </w:r>
          </w:p>
        </w:tc>
        <w:tc>
          <w:tcPr>
            <w:tcW w:type="dxa" w:w="5102"/>
            <w:shd w:fill="FFFFFF"/>
          </w:tcPr>
          <w:p>
            <w:pPr>
              <w:spacing w:before="40" w:after="40"/>
              <w:jc w:val="center"/>
            </w:pPr>
            <w:r/>
            <w:r>
              <w:rPr>
                <w:rFonts w:ascii="Calibri" w:hAnsi="Calibri"/>
                <w:b w:val="0"/>
                <w:sz w:val="20"/>
              </w:rPr>
              <w:t>USD 12/año</w:t>
            </w:r>
          </w:p>
        </w:tc>
      </w:tr>
      <w:tr>
        <w:tc>
          <w:tcPr>
            <w:tcW w:type="dxa" w:w="5669"/>
            <w:shd w:fill="EBF5FB"/>
          </w:tcPr>
          <w:p>
            <w:pPr>
              <w:spacing w:before="40" w:after="40"/>
              <w:jc w:val="left"/>
            </w:pPr>
            <w:r/>
            <w:r>
              <w:rPr>
                <w:rFonts w:ascii="Calibri" w:hAnsi="Calibri"/>
                <w:b w:val="0"/>
                <w:sz w:val="20"/>
              </w:rPr>
              <w:t>Mantenimiento y soporte</w:t>
            </w:r>
          </w:p>
        </w:tc>
        <w:tc>
          <w:tcPr>
            <w:tcW w:type="dxa" w:w="5102"/>
            <w:shd w:fill="EBF5FB"/>
          </w:tcPr>
          <w:p>
            <w:pPr>
              <w:spacing w:before="40" w:after="40"/>
              <w:jc w:val="center"/>
            </w:pPr>
            <w:r/>
            <w:r>
              <w:rPr>
                <w:rFonts w:ascii="Calibri" w:hAnsi="Calibri"/>
                <w:b w:val="0"/>
                <w:sz w:val="20"/>
              </w:rPr>
              <w:t>USD 100/mes (precio amigo)</w:t>
            </w:r>
          </w:p>
        </w:tc>
      </w:tr>
    </w:tbl>
    <w:p/>
    <w:p>
      <w:pPr>
        <w:pStyle w:val="Heading1"/>
      </w:pPr>
      <w:r>
        <w:rPr>
          <w:color w:val="1B4F72"/>
        </w:rPr>
        <w:t>Forma de Pago</w:t>
      </w:r>
    </w:p>
    <w:p>
      <w:pPr>
        <w:pStyle w:val="Heading2"/>
      </w:pPr>
      <w:r>
        <w:rPr>
          <w:color w:val="1B4F72"/>
        </w:rPr>
        <w:t>Fase 1</w:t>
      </w:r>
    </w:p>
    <w:p>
      <w:pPr>
        <w:pStyle w:val="ListBullet"/>
      </w:pPr>
      <w:r>
        <w:rPr>
          <w:rFonts w:ascii="Calibri" w:hAnsi="Calibri"/>
          <w:sz w:val="22"/>
        </w:rPr>
        <w:t>50% al inicio del proyecto</w:t>
      </w:r>
    </w:p>
    <w:p>
      <w:pPr>
        <w:pStyle w:val="ListBullet"/>
      </w:pPr>
      <w:r>
        <w:rPr>
          <w:rFonts w:ascii="Calibri" w:hAnsi="Calibri"/>
          <w:sz w:val="22"/>
        </w:rPr>
        <w:t>50% al finalizar y entregar Fase 1</w:t>
      </w:r>
    </w:p>
    <w:p>
      <w:pPr>
        <w:pStyle w:val="Heading2"/>
      </w:pPr>
      <w:r>
        <w:rPr>
          <w:color w:val="1B4F72"/>
        </w:rPr>
        <w:t>Fase 2</w:t>
      </w:r>
    </w:p>
    <w:p>
      <w:pPr>
        <w:pStyle w:val="ListBullet"/>
      </w:pPr>
      <w:r>
        <w:rPr>
          <w:rFonts w:ascii="Calibri" w:hAnsi="Calibri"/>
          <w:sz w:val="22"/>
        </w:rPr>
        <w:t>Pago 1: al inicio de Fase 2</w:t>
      </w:r>
    </w:p>
    <w:p>
      <w:pPr>
        <w:pStyle w:val="ListBullet"/>
      </w:pPr>
      <w:r>
        <w:rPr>
          <w:rFonts w:ascii="Calibri" w:hAnsi="Calibri"/>
          <w:sz w:val="22"/>
        </w:rPr>
        <w:t>Pago 2: al alcanzar hito intermedio (entrega parcial)</w:t>
      </w:r>
    </w:p>
    <w:p>
      <w:pPr>
        <w:pStyle w:val="ListBullet"/>
      </w:pPr>
      <w:r>
        <w:rPr>
          <w:rFonts w:ascii="Calibri" w:hAnsi="Calibri"/>
          <w:sz w:val="22"/>
        </w:rPr>
        <w:t>Pago 3: al finalizar y entregar Fase 2</w:t>
      </w:r>
    </w:p>
    <w:p/>
    <w:p>
      <w:pPr>
        <w:pStyle w:val="Heading1"/>
      </w:pPr>
      <w:r>
        <w:rPr>
          <w:color w:val="1B4F72"/>
        </w:rPr>
        <w:t>Notas Importantes</w:t>
      </w:r>
    </w:p>
    <w:p>
      <w:pPr>
        <w:pStyle w:val="ListBullet"/>
      </w:pPr>
      <w:r>
        <w:rPr>
          <w:rFonts w:ascii="Calibri" w:hAnsi="Calibri"/>
          <w:sz w:val="22"/>
        </w:rPr>
        <w:t>Los precios no incluyen IVA.</w:t>
      </w:r>
    </w:p>
    <w:p>
      <w:pPr>
        <w:pStyle w:val="ListBullet"/>
      </w:pPr>
      <w:r>
        <w:rPr>
          <w:rFonts w:ascii="Calibri" w:hAnsi="Calibri"/>
          <w:sz w:val="22"/>
        </w:rPr>
        <w:t>Los plazos de entrega se acordarán al inicio de cada fase.</w:t>
      </w:r>
    </w:p>
    <w:p>
      <w:pPr>
        <w:pStyle w:val="ListBullet"/>
      </w:pPr>
      <w:r>
        <w:rPr>
          <w:rFonts w:ascii="Calibri" w:hAnsi="Calibri"/>
          <w:sz w:val="22"/>
        </w:rPr>
        <w:t>El precio amigo está sujeto a la relación comercial y confianza mutua.</w:t>
      </w:r>
    </w:p>
    <w:p>
      <w:pPr>
        <w:pStyle w:val="ListBullet"/>
      </w:pPr>
      <w:r>
        <w:rPr>
          <w:rFonts w:ascii="Calibri" w:hAnsi="Calibri"/>
          <w:sz w:val="22"/>
        </w:rPr>
        <w:t>Cualquier funcionalidad fuera del alcance descrito se cotizará por separado.</w:t>
      </w:r>
    </w:p>
    <w:p>
      <w:pPr>
        <w:pStyle w:val="ListBullet"/>
      </w:pPr>
      <w:r>
        <w:rPr>
          <w:rFonts w:ascii="Calibri" w:hAnsi="Calibri"/>
          <w:sz w:val="22"/>
        </w:rPr>
        <w:t>Se incluye soporte técnico durante 30 días posteriores a cada entrega sin costo adicional.</w:t>
      </w:r>
    </w:p>
    <w:p/>
    <w:p>
      <w:pPr>
        <w:jc w:val="center"/>
      </w:pPr>
      <w:r>
        <w:rPr>
          <w:i/>
          <w:color w:val="7F8C8D"/>
          <w:sz w:val="20"/>
        </w:rPr>
        <w:t>Ranuk - Soluciones Tecnológicas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