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60"/>
        <w:jc w:val="center"/>
      </w:pPr>
      <w:r>
        <w:rPr>
          <w:b/>
          <w:bCs/>
          <w:sz w:val="30"/>
          <w:szCs w:val="30"/>
        </w:rPr>
        <w:t xml:space="preserve">EuqVid: A Multimodal Approach to Gender Bias Detection in Video Datasets</w:t>
      </w:r>
    </w:p>
    <w:p>
      <w:pPr>
        <w:spacing w:after="500"/>
        <w:jc w:val="center"/>
      </w:pPr>
      <w:r>
        <w:rPr>
          <w:sz w:val="26"/>
          <w:szCs w:val="26"/>
        </w:rPr>
        <w:t xml:space="preserve">EuqVid-Text: A Dialogue-Based Approach to Gender Bias Detection in Video Datasets</w:t>
      </w:r>
    </w:p>
    <w:p>
      <w:pPr>
        <w:spacing w:after="700"/>
        <w:jc w:val="center"/>
      </w:pPr>
      <w:r>
        <w:rPr>
          <w:b/>
          <w:bCs/>
          <w:sz w:val="24"/>
          <w:szCs w:val="24"/>
        </w:rPr>
        <w:t xml:space="preserve">Project ID: J26-DS-343</w:t>
      </w:r>
    </w:p>
    <w:p>
      <w:pPr>
        <w:spacing w:after="200"/>
        <w:jc w:val="center"/>
      </w:pPr>
      <w:r>
        <w:rPr>
          <w:b/>
          <w:bCs/>
          <w:sz w:val="26"/>
          <w:szCs w:val="26"/>
        </w:rPr>
        <w:t xml:space="preserve">Project Proposal Report</w:t>
      </w:r>
    </w:p>
    <w:p>
      <w:pPr>
        <w:spacing w:after="800"/>
        <w:jc w:val="center"/>
      </w:pPr>
      <w:r>
        <w:rPr>
          <w:sz w:val="24"/>
          <w:szCs w:val="24"/>
        </w:rPr>
        <w:t xml:space="preserve">Fernando R. S. R. — IT23449282</w:t>
      </w:r>
    </w:p>
    <w:p>
      <w:pPr>
        <w:spacing w:after="60"/>
        <w:jc w:val="center"/>
      </w:pPr>
      <w:r>
        <w:rPr>
          <w:sz w:val="22"/>
          <w:szCs w:val="22"/>
        </w:rPr>
        <w:t xml:space="preserve">B.Sc. (Hons) Degree in Information Technology</w:t>
      </w:r>
    </w:p>
    <w:p>
      <w:pPr>
        <w:spacing w:after="500"/>
        <w:jc w:val="center"/>
      </w:pPr>
      <w:r>
        <w:rPr>
          <w:sz w:val="22"/>
          <w:szCs w:val="22"/>
        </w:rPr>
        <w:t xml:space="preserve">Specialized in Data Science</w:t>
      </w:r>
    </w:p>
    <w:p>
      <w:pPr>
        <w:spacing w:after="400"/>
        <w:jc w:val="center"/>
      </w:pPr>
      <w:r>
        <w:rPr>
          <w:sz w:val="22"/>
          <w:szCs w:val="22"/>
        </w:rPr>
        <w:t xml:space="preserve">[TO COMPLETE] Department of ____________________</w:t>
      </w:r>
    </w:p>
    <w:p>
      <w:pPr>
        <w:spacing w:after="700"/>
        <w:jc w:val="center"/>
      </w:pPr>
      <w:r>
        <w:rPr>
          <w:sz w:val="22"/>
          <w:szCs w:val="22"/>
        </w:rPr>
        <w:t xml:space="preserve">Sri Lanka Institute of Information Technology, Sri Lanka</w:t>
      </w:r>
    </w:p>
    <w:p>
      <w:pPr>
        <w:spacing w:after="0"/>
        <w:jc w:val="center"/>
      </w:pPr>
      <w:r>
        <w:rPr>
          <w:sz w:val="22"/>
          <w:szCs w:val="22"/>
        </w:rPr>
        <w:t xml:space="preserve">September 2026</w:t>
      </w:r>
    </w:p>
    <w:p>
      <w:r>
        <w:br w:type="page"/>
      </w:r>
    </w:p>
    <w:p>
      <w:pPr>
        <w:pStyle w:val="Heading1"/>
        <w:spacing w:after="140" w:before="280"/>
      </w:pPr>
      <w:r>
        <w:t xml:space="preserve">DECLARATION</w:t>
      </w:r>
    </w:p>
    <w:p>
      <w:pPr>
        <w:spacing w:after="120" w:line="300"/>
      </w:pPr>
      <w:r>
        <w:rPr>
          <w:sz w:val="22"/>
          <w:szCs w:val="22"/>
        </w:rPr>
        <w:t xml:space="preserve">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400"/>
      </w:tblGrid>
      <w:tr>
        <w:trPr>
          <w:cantSplit/>
          <w:tblHeader/>
        </w:trPr>
        <w:tc>
          <w:tcPr>
            <w:tcW w:type="dxa" w:w="2300"/>
            <w:shd w:fill="E8E8E8" w:val="clear"/>
            <w:tcMar>
              <w:top w:type="dxa" w:w="60"/>
              <w:left w:type="dxa" w:w="90"/>
              <w:bottom w:type="dxa" w:w="60"/>
              <w:right w:type="dxa" w:w="90"/>
            </w:tcMar>
          </w:tcPr>
          <w:p>
            <w:pPr>
              <w:spacing w:after="0" w:line="260"/>
            </w:pPr>
            <w:r>
              <w:rPr>
                <w:b/>
                <w:bCs/>
                <w:sz w:val="20"/>
                <w:szCs w:val="20"/>
              </w:rPr>
              <w:t xml:space="preserve">Name</w:t>
            </w:r>
          </w:p>
        </w:tc>
        <w:tc>
          <w:tcPr>
            <w:tcW w:type="dxa" w:w="3400"/>
            <w:shd w:fill="E8E8E8" w:val="clear"/>
            <w:tcMar>
              <w:top w:type="dxa" w:w="60"/>
              <w:left w:type="dxa" w:w="90"/>
              <w:bottom w:type="dxa" w:w="60"/>
              <w:right w:type="dxa" w:w="90"/>
            </w:tcMar>
          </w:tcPr>
          <w:p>
            <w:pPr>
              <w:spacing w:after="0" w:line="260"/>
            </w:pPr>
            <w:r>
              <w:rPr>
                <w:b/>
                <w:bCs/>
                <w:sz w:val="20"/>
                <w:szCs w:val="20"/>
              </w:rPr>
              <w:t xml:space="preserve">Student ID</w:t>
            </w:r>
          </w:p>
        </w:tc>
        <w:tc>
          <w:tcPr>
            <w:tcW w:type="dxa" w:w="3400"/>
            <w:shd w:fill="E8E8E8" w:val="clear"/>
            <w:tcMar>
              <w:top w:type="dxa" w:w="60"/>
              <w:left w:type="dxa" w:w="90"/>
              <w:bottom w:type="dxa" w:w="60"/>
              <w:right w:type="dxa" w:w="90"/>
            </w:tcMar>
          </w:tcPr>
          <w:p>
            <w:pPr>
              <w:spacing w:after="0" w:line="260"/>
            </w:pPr>
            <w:r>
              <w:rPr>
                <w:b/>
                <w:bCs/>
                <w:sz w:val="20"/>
                <w:szCs w:val="20"/>
              </w:rPr>
              <w:t xml:space="preserve">Signature</w:t>
            </w:r>
          </w:p>
        </w:tc>
      </w:tr>
      <w:tr>
        <w:trPr>
          <w:cantSplit/>
        </w:trPr>
        <w:tc>
          <w:tcPr>
            <w:tcW w:type="dxa" w:w="2300"/>
            <w:tcMar>
              <w:top w:type="dxa" w:w="60"/>
              <w:left w:type="dxa" w:w="90"/>
              <w:bottom w:type="dxa" w:w="60"/>
              <w:right w:type="dxa" w:w="90"/>
            </w:tcMar>
          </w:tcPr>
          <w:p>
            <w:pPr>
              <w:spacing w:after="0" w:line="260"/>
            </w:pPr>
            <w:r>
              <w:rPr>
                <w:b w:val="false"/>
                <w:bCs w:val="false"/>
                <w:sz w:val="20"/>
                <w:szCs w:val="20"/>
              </w:rPr>
              <w:t xml:space="preserve">Fernando R. S. R.</w:t>
            </w:r>
          </w:p>
        </w:tc>
        <w:tc>
          <w:tcPr>
            <w:tcW w:type="dxa" w:w="3400"/>
            <w:tcMar>
              <w:top w:type="dxa" w:w="60"/>
              <w:left w:type="dxa" w:w="90"/>
              <w:bottom w:type="dxa" w:w="60"/>
              <w:right w:type="dxa" w:w="90"/>
            </w:tcMar>
          </w:tcPr>
          <w:p>
            <w:pPr>
              <w:spacing w:after="0" w:line="260"/>
            </w:pPr>
            <w:r>
              <w:rPr>
                <w:b w:val="false"/>
                <w:bCs w:val="false"/>
                <w:sz w:val="20"/>
                <w:szCs w:val="20"/>
              </w:rPr>
              <w:t xml:space="preserve">IT23449282</w:t>
            </w:r>
          </w:p>
        </w:tc>
        <w:tc>
          <w:tcPr>
            <w:tcW w:type="dxa" w:w="3400"/>
            <w:tcMar>
              <w:top w:type="dxa" w:w="60"/>
              <w:left w:type="dxa" w:w="90"/>
              <w:bottom w:type="dxa" w:w="60"/>
              <w:right w:type="dxa" w:w="90"/>
            </w:tcMar>
          </w:tcPr>
          <w:p>
            <w:pPr>
              <w:spacing w:after="0" w:line="260"/>
            </w:pPr>
            <w:r>
              <w:rPr>
                <w:b w:val="false"/>
                <w:bCs w:val="false"/>
                <w:sz w:val="20"/>
                <w:szCs w:val="20"/>
              </w:rPr>
              <w:t xml:space="preserve"/>
            </w:r>
          </w:p>
        </w:tc>
      </w:tr>
    </w:tbl>
    <w:p>
      <w:pPr>
        <w:spacing w:after="120"/>
      </w:pPr>
    </w:p>
    <w:p>
      <w:pPr>
        <w:spacing w:after="120"/>
      </w:pPr>
    </w:p>
    <w:p>
      <w:pPr>
        <w:spacing w:after="120" w:line="300"/>
      </w:pPr>
      <w:r>
        <w:rPr>
          <w:sz w:val="22"/>
          <w:szCs w:val="22"/>
        </w:rPr>
        <w:t xml:space="preserve">The above candidate is conducting research for their undergraduate Dissertation under my supervision.</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400"/>
      </w:tblGrid>
      <w:tr>
        <w:trPr>
          <w:cantSplit/>
          <w:tblHeader/>
        </w:trPr>
        <w:tc>
          <w:tcPr>
            <w:tcW w:type="dxa" w:w="2300"/>
            <w:shd w:fill="E8E8E8" w:val="clear"/>
            <w:tcMar>
              <w:top w:type="dxa" w:w="60"/>
              <w:left w:type="dxa" w:w="90"/>
              <w:bottom w:type="dxa" w:w="60"/>
              <w:right w:type="dxa" w:w="90"/>
            </w:tcMar>
          </w:tcPr>
          <w:p>
            <w:pPr>
              <w:spacing w:after="0" w:line="260"/>
            </w:pPr>
            <w:r>
              <w:rPr>
                <w:b/>
                <w:bCs/>
                <w:sz w:val="20"/>
                <w:szCs w:val="20"/>
              </w:rPr>
              <w:t xml:space="preserve">Name</w:t>
            </w:r>
          </w:p>
        </w:tc>
        <w:tc>
          <w:tcPr>
            <w:tcW w:type="dxa" w:w="3400"/>
            <w:shd w:fill="E8E8E8" w:val="clear"/>
            <w:tcMar>
              <w:top w:type="dxa" w:w="60"/>
              <w:left w:type="dxa" w:w="90"/>
              <w:bottom w:type="dxa" w:w="60"/>
              <w:right w:type="dxa" w:w="90"/>
            </w:tcMar>
          </w:tcPr>
          <w:p>
            <w:pPr>
              <w:spacing w:after="0" w:line="260"/>
            </w:pPr>
            <w:r>
              <w:rPr>
                <w:b/>
                <w:bCs/>
                <w:sz w:val="20"/>
                <w:szCs w:val="20"/>
              </w:rPr>
              <w:t xml:space="preserve">Date</w:t>
            </w:r>
          </w:p>
        </w:tc>
        <w:tc>
          <w:tcPr>
            <w:tcW w:type="dxa" w:w="3400"/>
            <w:shd w:fill="E8E8E8" w:val="clear"/>
            <w:tcMar>
              <w:top w:type="dxa" w:w="60"/>
              <w:left w:type="dxa" w:w="90"/>
              <w:bottom w:type="dxa" w:w="60"/>
              <w:right w:type="dxa" w:w="90"/>
            </w:tcMar>
          </w:tcPr>
          <w:p>
            <w:pPr>
              <w:spacing w:after="0" w:line="260"/>
            </w:pPr>
            <w:r>
              <w:rPr>
                <w:b/>
                <w:bCs/>
                <w:sz w:val="20"/>
                <w:szCs w:val="20"/>
              </w:rPr>
              <w:t xml:space="preserve">Signature</w:t>
            </w:r>
          </w:p>
        </w:tc>
      </w:tr>
      <w:tr>
        <w:trPr>
          <w:cantSplit/>
        </w:trPr>
        <w:tc>
          <w:tcPr>
            <w:tcW w:type="dxa" w:w="2300"/>
            <w:tcMar>
              <w:top w:type="dxa" w:w="60"/>
              <w:left w:type="dxa" w:w="90"/>
              <w:bottom w:type="dxa" w:w="60"/>
              <w:right w:type="dxa" w:w="90"/>
            </w:tcMar>
          </w:tcPr>
          <w:p>
            <w:pPr>
              <w:spacing w:after="0" w:line="260"/>
            </w:pPr>
            <w:r>
              <w:rPr>
                <w:b w:val="false"/>
                <w:bCs w:val="false"/>
                <w:sz w:val="20"/>
                <w:szCs w:val="20"/>
              </w:rPr>
              <w:t xml:space="preserve">Dr. Prasanna S. Haddela</w:t>
            </w:r>
          </w:p>
        </w:tc>
        <w:tc>
          <w:tcPr>
            <w:tcW w:type="dxa" w:w="3400"/>
            <w:tcMar>
              <w:top w:type="dxa" w:w="60"/>
              <w:left w:type="dxa" w:w="90"/>
              <w:bottom w:type="dxa" w:w="60"/>
              <w:right w:type="dxa" w:w="90"/>
            </w:tcMar>
          </w:tcPr>
          <w:p>
            <w:pPr>
              <w:spacing w:after="0" w:line="260"/>
            </w:pPr>
            <w:r>
              <w:rPr>
                <w:b w:val="false"/>
                <w:bCs w:val="false"/>
                <w:sz w:val="20"/>
                <w:szCs w:val="20"/>
              </w:rPr>
              <w:t xml:space="preserve"/>
            </w:r>
          </w:p>
        </w:tc>
        <w:tc>
          <w:tcPr>
            <w:tcW w:type="dxa" w:w="3400"/>
            <w:tcMar>
              <w:top w:type="dxa" w:w="60"/>
              <w:left w:type="dxa" w:w="90"/>
              <w:bottom w:type="dxa" w:w="60"/>
              <w:right w:type="dxa" w:w="90"/>
            </w:tcMar>
          </w:tcPr>
          <w:p>
            <w:pPr>
              <w:spacing w:after="0" w:line="260"/>
            </w:pPr>
            <w:r>
              <w:rPr>
                <w:b w:val="false"/>
                <w:bCs w:val="false"/>
                <w:sz w:val="20"/>
                <w:szCs w:val="20"/>
              </w:rPr>
              <w:t xml:space="preserve"/>
            </w:r>
          </w:p>
        </w:tc>
      </w:tr>
    </w:tbl>
    <w:p>
      <w:r>
        <w:br w:type="page"/>
      </w:r>
    </w:p>
    <w:p>
      <w:pPr>
        <w:pStyle w:val="Heading1"/>
        <w:spacing w:after="140" w:before="280"/>
      </w:pPr>
      <w:r>
        <w:t xml:space="preserve">ABSTRACT</w:t>
      </w:r>
    </w:p>
    <w:p>
      <w:pPr>
        <w:spacing w:after="120" w:line="300"/>
      </w:pPr>
      <w:r>
        <w:rPr>
          <w:sz w:val="22"/>
          <w:szCs w:val="22"/>
        </w:rPr>
        <w:t xml:space="preserve">Video datasets used to train multimodal artificial intelligence systems carry gender bias not only in their imagery but in the dialogue transcripts distributed alongside it. Models trained on gender-skewed corpora have been shown to reproduce and amplify that skew, so bias present before training surfaces afterwards as measurable performance disparity, when correction is costly. No method currently converts textual gender disparity in a video dataset into a number a dataset builder can compute before training.</w:t>
      </w:r>
    </w:p>
    <w:p>
      <w:pPr>
        <w:spacing w:after="120" w:line="300"/>
      </w:pPr>
      <w:r>
        <w:rPr>
          <w:sz w:val="22"/>
          <w:szCs w:val="22"/>
        </w:rPr>
        <w:t xml:space="preserve">This component, EuqVid-Text, addresses that gap. It is the textual sub-metric of EuqVid, a four-modality pre-training audit metric extending the polynomial regression methodology of EuqAud from audio into video. The component extracts scale-free dialogue disparity features spanning three levels — volume, interaction structure, and agency and power derived from connotation-frame lexicons — from the speaker-attributed transcripts that ship inside video corpora, rather than from screenplays, which are pre-production artefacts not distributed with any video dataset.</w:t>
      </w:r>
    </w:p>
    <w:p>
      <w:pPr>
        <w:spacing w:after="120" w:line="300"/>
      </w:pPr>
      <w:r>
        <w:rPr>
          <w:sz w:val="22"/>
          <w:szCs w:val="22"/>
        </w:rPr>
        <w:t xml:space="preserve">The research follows a quantitative experimental design. Ground-truth bias labels are generated by applying a shared augmentation protocol that reduces one gender’s features at controlled increments, producing shards of known disparity. A polynomial Ridge regression model, degree capped at two, is fitted with feature screening performed inside cross-validation folds, then frozen as an explicit closed-form equation in raw feature units and normalised to a shared −10 to +10 scale with derived severity tiers. Development follows iterative prototyping against a synthetic feature table, so the pipeline is complete before corpus extraction finishes.</w:t>
      </w:r>
    </w:p>
    <w:p>
      <w:pPr>
        <w:spacing w:after="120" w:line="300"/>
      </w:pPr>
      <w:r>
        <w:rPr>
          <w:sz w:val="22"/>
          <w:szCs w:val="22"/>
        </w:rPr>
        <w:t xml:space="preserve">Evaluation compares the equation against simple dialogue-ratio baselines, reports regression diagnostics per assumption, and characterises stability through 1,000-iteration bootstrap resampling at shard and identity level, leave-one-corpus-out cross-validation and a monotonicity check on held-out perturbation curves. The frozen equation, its normalisation constants, tier thresholds and per-shard scores are delivered to the fusion stage, where they compose with the visual, temporal and acoustic sub-metrics to form the complete EuqVid score.</w:t>
      </w:r>
    </w:p>
    <w:p>
      <w:pPr>
        <w:spacing w:after="120"/>
      </w:pPr>
    </w:p>
    <w:p>
      <w:pPr>
        <w:spacing w:after="120" w:line="300"/>
      </w:pPr>
      <w:r>
        <w:rPr>
          <w:i/>
          <w:iCs/>
          <w:sz w:val="22"/>
          <w:szCs w:val="22"/>
        </w:rPr>
        <w:t xml:space="preserve">Keywords: gender bias; dataset auditing; dialogue analysis; polynomial Ridge regression; responsible AI</w:t>
      </w:r>
    </w:p>
    <w:p>
      <w:r>
        <w:br w:type="page"/>
      </w:r>
    </w:p>
    <w:p>
      <w:pPr>
        <w:pStyle w:val="Heading1"/>
        <w:spacing w:after="140" w:before="280"/>
      </w:pPr>
      <w:r>
        <w:t xml:space="preserve">ACKNOWLEDGEMENT</w:t>
      </w:r>
    </w:p>
    <w:p>
      <w:pPr>
        <w:pBdr>
          <w:left w:val="single" w:color="888888" w:sz="12" w:space="8"/>
        </w:pBdr>
        <w:spacing w:after="140" w:line="300"/>
        <w:ind w:left="215"/>
      </w:pPr>
      <w:r>
        <w:rPr>
          <w:i/>
          <w:iCs/>
          <w:color w:val="444444"/>
          <w:sz w:val="22"/>
          <w:szCs w:val="22"/>
        </w:rPr>
        <w:t xml:space="preserve">[TO COMPLETE] Write your own acknowledgement. Conventionally: supervisor Dr. Prasanna S. Haddela, co-supervisor, the EuqAud authors if they respond to your access request, group members, and the Faculty of Computing.</w:t>
      </w:r>
    </w:p>
    <w:p>
      <w:r>
        <w:br w:type="page"/>
      </w:r>
    </w:p>
    <w:p>
      <w:pPr>
        <w:pStyle w:val="Heading1"/>
        <w:spacing w:after="140" w:before="280"/>
      </w:pPr>
      <w:r>
        <w:t xml:space="preserve">TABLE OF CONTENTS</w:t>
      </w:r>
    </w:p>
    <w:sdt>
      <w:sdtPr>
        <w:alias w:val="Right-click and select &quot;Update Field&quot; in Word to generat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t xml:space="preserve">LIST OF TABLES</w:t>
      </w:r>
    </w:p>
    <w:p>
      <w:pPr>
        <w:spacing w:after="120" w:line="300"/>
      </w:pPr>
      <w:r>
        <w:rPr>
          <w:sz w:val="22"/>
          <w:szCs w:val="22"/>
        </w:rPr>
        <w:t xml:space="preserve">Table 1. Analysis of existing approaches and their limitations</w:t>
      </w:r>
    </w:p>
    <w:p>
      <w:pPr>
        <w:spacing w:after="120" w:line="300"/>
      </w:pPr>
      <w:r>
        <w:rPr>
          <w:sz w:val="22"/>
          <w:szCs w:val="22"/>
        </w:rPr>
        <w:t xml:space="preserve">Table 2. Extracted dialogue disparity features</w:t>
      </w:r>
    </w:p>
    <w:p>
      <w:pPr>
        <w:spacing w:after="120" w:line="300"/>
      </w:pPr>
      <w:r>
        <w:rPr>
          <w:sz w:val="22"/>
          <w:szCs w:val="22"/>
        </w:rPr>
        <w:t xml:space="preserve">Table 3. Corpora and component coverage</w:t>
      </w:r>
    </w:p>
    <w:p>
      <w:pPr>
        <w:spacing w:after="120" w:line="300"/>
      </w:pPr>
      <w:r>
        <w:rPr>
          <w:sz w:val="22"/>
          <w:szCs w:val="22"/>
        </w:rPr>
        <w:t xml:space="preserve">Table 4. Evaluation metrics</w:t>
      </w:r>
    </w:p>
    <w:p>
      <w:pPr>
        <w:spacing w:after="120" w:line="300"/>
      </w:pPr>
      <w:r>
        <w:rPr>
          <w:sz w:val="22"/>
          <w:szCs w:val="22"/>
        </w:rPr>
        <w:t xml:space="preserve">Table 5. Individual responsibility boundary</w:t>
      </w:r>
    </w:p>
    <w:p>
      <w:pPr>
        <w:spacing w:after="120" w:line="300"/>
      </w:pPr>
      <w:r>
        <w:rPr>
          <w:sz w:val="22"/>
          <w:szCs w:val="22"/>
        </w:rPr>
        <w:t xml:space="preserve">Table 6. Functional requirements</w:t>
      </w:r>
    </w:p>
    <w:p>
      <w:pPr>
        <w:spacing w:after="120" w:line="300"/>
      </w:pPr>
      <w:r>
        <w:rPr>
          <w:sz w:val="22"/>
          <w:szCs w:val="22"/>
        </w:rPr>
        <w:t xml:space="preserve">Table 7. Non-functional requirements</w:t>
      </w:r>
    </w:p>
    <w:p>
      <w:pPr>
        <w:spacing w:after="120" w:line="300"/>
      </w:pPr>
      <w:r>
        <w:rPr>
          <w:sz w:val="22"/>
          <w:szCs w:val="22"/>
        </w:rPr>
        <w:t xml:space="preserve">Table 8. Budget and justification</w:t>
      </w:r>
    </w:p>
    <w:p>
      <w:pPr>
        <w:spacing w:after="120" w:line="300"/>
      </w:pPr>
      <w:r>
        <w:rPr>
          <w:sz w:val="22"/>
          <w:szCs w:val="22"/>
        </w:rPr>
        <w:t xml:space="preserve">Table 9. Work breakdown structure</w:t>
      </w:r>
    </w:p>
    <w:p>
      <w:pPr>
        <w:spacing w:after="120"/>
      </w:pPr>
    </w:p>
    <w:p>
      <w:pPr>
        <w:pStyle w:val="Heading1"/>
        <w:spacing w:after="140" w:before="280"/>
      </w:pPr>
      <w:r>
        <w:t xml:space="preserve">LIST OF FIGURES</w:t>
      </w:r>
    </w:p>
    <w:p>
      <w:pPr>
        <w:pBdr>
          <w:left w:val="single" w:color="888888" w:sz="12" w:space="8"/>
        </w:pBdr>
        <w:spacing w:after="140" w:line="300"/>
        <w:ind w:left="215"/>
      </w:pPr>
      <w:r>
        <w:rPr>
          <w:i/>
          <w:iCs/>
          <w:color w:val="444444"/>
          <w:sz w:val="22"/>
          <w:szCs w:val="22"/>
        </w:rPr>
        <w:t xml:space="preserve">[TO COMPLETE] Figure 1. High-level system architecture of EuqVid, with the EuqVid-Text component highlighted. You must draw this yourself, in black and white, without AI tools — see Section 4.</w:t>
      </w:r>
    </w:p>
    <w:p>
      <w:pPr>
        <w:pBdr>
          <w:left w:val="single" w:color="888888" w:sz="12" w:space="8"/>
        </w:pBdr>
        <w:spacing w:after="140" w:line="300"/>
        <w:ind w:left="215"/>
      </w:pPr>
      <w:r>
        <w:rPr>
          <w:i/>
          <w:iCs/>
          <w:color w:val="444444"/>
          <w:sz w:val="22"/>
          <w:szCs w:val="22"/>
        </w:rPr>
        <w:t xml:space="preserve">[TO COMPLETE] Figure 2. EuqVid-Text component pipeline, twelve steps from raw corpus to frozen equation. Also hand-drawn, black and white.</w:t>
      </w:r>
    </w:p>
    <w:p>
      <w:pPr>
        <w:pBdr>
          <w:left w:val="single" w:color="888888" w:sz="12" w:space="8"/>
        </w:pBdr>
        <w:spacing w:after="140" w:line="300"/>
        <w:ind w:left="215"/>
      </w:pPr>
      <w:r>
        <w:rPr>
          <w:i/>
          <w:iCs/>
          <w:color w:val="444444"/>
          <w:sz w:val="22"/>
          <w:szCs w:val="22"/>
        </w:rPr>
        <w:t xml:space="preserve">[TO COMPLETE] Figure 3. Gantt chart — see Section 9.</w:t>
      </w:r>
    </w:p>
    <w:p>
      <w:pPr>
        <w:spacing w:after="120"/>
      </w:pPr>
    </w:p>
    <w:p>
      <w:pPr>
        <w:pStyle w:val="Heading1"/>
        <w:spacing w:after="140" w:before="280"/>
      </w:pPr>
      <w:r>
        <w:t xml:space="preserve">LIST OF ABBREVIATIONS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cantSplit/>
          <w:tblHeader/>
        </w:trPr>
        <w:tc>
          <w:tcPr>
            <w:tcW w:type="dxa" w:w="2600"/>
            <w:shd w:fill="E8E8E8" w:val="clear"/>
            <w:tcMar>
              <w:top w:type="dxa" w:w="60"/>
              <w:left w:type="dxa" w:w="90"/>
              <w:bottom w:type="dxa" w:w="60"/>
              <w:right w:type="dxa" w:w="90"/>
            </w:tcMar>
          </w:tcPr>
          <w:p>
            <w:pPr>
              <w:spacing w:after="0" w:line="260"/>
            </w:pPr>
            <w:r>
              <w:rPr>
                <w:b/>
                <w:bCs/>
                <w:sz w:val="20"/>
                <w:szCs w:val="20"/>
              </w:rPr>
              <w:t xml:space="preserve">Abbreviation</w:t>
            </w:r>
          </w:p>
        </w:tc>
        <w:tc>
          <w:tcPr>
            <w:tcW w:type="dxa" w:w="6500"/>
            <w:shd w:fill="E8E8E8" w:val="clear"/>
            <w:tcMar>
              <w:top w:type="dxa" w:w="60"/>
              <w:left w:type="dxa" w:w="90"/>
              <w:bottom w:type="dxa" w:w="60"/>
              <w:right w:type="dxa" w:w="90"/>
            </w:tcMar>
          </w:tcPr>
          <w:p>
            <w:pPr>
              <w:spacing w:after="0" w:line="260"/>
            </w:pPr>
            <w:r>
              <w:rPr>
                <w:b/>
                <w:bCs/>
                <w:sz w:val="20"/>
                <w:szCs w:val="20"/>
              </w:rPr>
              <w:t xml:space="preserve">Meaning</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AMI</w:t>
            </w:r>
          </w:p>
        </w:tc>
        <w:tc>
          <w:tcPr>
            <w:tcW w:type="dxa" w:w="6500"/>
            <w:tcMar>
              <w:top w:type="dxa" w:w="60"/>
              <w:left w:type="dxa" w:w="90"/>
              <w:bottom w:type="dxa" w:w="60"/>
              <w:right w:type="dxa" w:w="90"/>
            </w:tcMar>
          </w:tcPr>
          <w:p>
            <w:pPr>
              <w:spacing w:after="0" w:line="260"/>
            </w:pPr>
            <w:r>
              <w:rPr>
                <w:b w:val="false"/>
                <w:bCs w:val="false"/>
                <w:sz w:val="20"/>
                <w:szCs w:val="20"/>
              </w:rPr>
              <w:t xml:space="preserve">Augmented Multi-party Interaction Meeting Corpus</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ASR</w:t>
            </w:r>
          </w:p>
        </w:tc>
        <w:tc>
          <w:tcPr>
            <w:tcW w:type="dxa" w:w="6500"/>
            <w:tcMar>
              <w:top w:type="dxa" w:w="60"/>
              <w:left w:type="dxa" w:w="90"/>
              <w:bottom w:type="dxa" w:w="60"/>
              <w:right w:type="dxa" w:w="90"/>
            </w:tcMar>
          </w:tcPr>
          <w:p>
            <w:pPr>
              <w:spacing w:after="0" w:line="260"/>
            </w:pPr>
            <w:r>
              <w:rPr>
                <w:b w:val="false"/>
                <w:bCs w:val="false"/>
                <w:sz w:val="20"/>
                <w:szCs w:val="20"/>
              </w:rPr>
              <w:t xml:space="preserve">Automatic Speech Recognition</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AVA</w:t>
            </w:r>
          </w:p>
        </w:tc>
        <w:tc>
          <w:tcPr>
            <w:tcW w:type="dxa" w:w="6500"/>
            <w:tcMar>
              <w:top w:type="dxa" w:w="60"/>
              <w:left w:type="dxa" w:w="90"/>
              <w:bottom w:type="dxa" w:w="60"/>
              <w:right w:type="dxa" w:w="90"/>
            </w:tcMar>
          </w:tcPr>
          <w:p>
            <w:pPr>
              <w:spacing w:after="0" w:line="260"/>
            </w:pPr>
            <w:r>
              <w:rPr>
                <w:b w:val="false"/>
                <w:bCs w:val="false"/>
                <w:sz w:val="20"/>
                <w:szCs w:val="20"/>
              </w:rPr>
              <w:t xml:space="preserve">Atomic Visual Actions dataset</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CV</w:t>
            </w:r>
          </w:p>
        </w:tc>
        <w:tc>
          <w:tcPr>
            <w:tcW w:type="dxa" w:w="6500"/>
            <w:tcMar>
              <w:top w:type="dxa" w:w="60"/>
              <w:left w:type="dxa" w:w="90"/>
              <w:bottom w:type="dxa" w:w="60"/>
              <w:right w:type="dxa" w:w="90"/>
            </w:tcMar>
          </w:tcPr>
          <w:p>
            <w:pPr>
              <w:spacing w:after="0" w:line="260"/>
            </w:pPr>
            <w:r>
              <w:rPr>
                <w:b w:val="false"/>
                <w:bCs w:val="false"/>
                <w:sz w:val="20"/>
                <w:szCs w:val="20"/>
              </w:rPr>
              <w:t xml:space="preserve">Cross-Validation</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MELD</w:t>
            </w:r>
          </w:p>
        </w:tc>
        <w:tc>
          <w:tcPr>
            <w:tcW w:type="dxa" w:w="6500"/>
            <w:tcMar>
              <w:top w:type="dxa" w:w="60"/>
              <w:left w:type="dxa" w:w="90"/>
              <w:bottom w:type="dxa" w:w="60"/>
              <w:right w:type="dxa" w:w="90"/>
            </w:tcMar>
          </w:tcPr>
          <w:p>
            <w:pPr>
              <w:spacing w:after="0" w:line="260"/>
            </w:pPr>
            <w:r>
              <w:rPr>
                <w:b w:val="false"/>
                <w:bCs w:val="false"/>
                <w:sz w:val="20"/>
                <w:szCs w:val="20"/>
              </w:rPr>
              <w:t xml:space="preserve">Multimodal EmotionLines Dataset</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NLP</w:t>
            </w:r>
          </w:p>
        </w:tc>
        <w:tc>
          <w:tcPr>
            <w:tcW w:type="dxa" w:w="6500"/>
            <w:tcMar>
              <w:top w:type="dxa" w:w="60"/>
              <w:left w:type="dxa" w:w="90"/>
              <w:bottom w:type="dxa" w:w="60"/>
              <w:right w:type="dxa" w:w="90"/>
            </w:tcMar>
          </w:tcPr>
          <w:p>
            <w:pPr>
              <w:spacing w:after="0" w:line="260"/>
            </w:pPr>
            <w:r>
              <w:rPr>
                <w:b w:val="false"/>
                <w:bCs w:val="false"/>
                <w:sz w:val="20"/>
                <w:szCs w:val="20"/>
              </w:rPr>
              <w:t xml:space="preserve">Natural Language Processing</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OOV</w:t>
            </w:r>
          </w:p>
        </w:tc>
        <w:tc>
          <w:tcPr>
            <w:tcW w:type="dxa" w:w="6500"/>
            <w:tcMar>
              <w:top w:type="dxa" w:w="60"/>
              <w:left w:type="dxa" w:w="90"/>
              <w:bottom w:type="dxa" w:w="60"/>
              <w:right w:type="dxa" w:w="90"/>
            </w:tcMar>
          </w:tcPr>
          <w:p>
            <w:pPr>
              <w:spacing w:after="0" w:line="260"/>
            </w:pPr>
            <w:r>
              <w:rPr>
                <w:b w:val="false"/>
                <w:bCs w:val="false"/>
                <w:sz w:val="20"/>
                <w:szCs w:val="20"/>
              </w:rPr>
              <w:t xml:space="preserve">Out-Of-Vocabulary</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SDG</w:t>
            </w:r>
          </w:p>
        </w:tc>
        <w:tc>
          <w:tcPr>
            <w:tcW w:type="dxa" w:w="6500"/>
            <w:tcMar>
              <w:top w:type="dxa" w:w="60"/>
              <w:left w:type="dxa" w:w="90"/>
              <w:bottom w:type="dxa" w:w="60"/>
              <w:right w:type="dxa" w:w="90"/>
            </w:tcMar>
          </w:tcPr>
          <w:p>
            <w:pPr>
              <w:spacing w:after="0" w:line="260"/>
            </w:pPr>
            <w:r>
              <w:rPr>
                <w:b w:val="false"/>
                <w:bCs w:val="false"/>
                <w:sz w:val="20"/>
                <w:szCs w:val="20"/>
              </w:rPr>
              <w:t xml:space="preserve">Sustainable Development Goal</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VIF</w:t>
            </w:r>
          </w:p>
        </w:tc>
        <w:tc>
          <w:tcPr>
            <w:tcW w:type="dxa" w:w="6500"/>
            <w:tcMar>
              <w:top w:type="dxa" w:w="60"/>
              <w:left w:type="dxa" w:w="90"/>
              <w:bottom w:type="dxa" w:w="60"/>
              <w:right w:type="dxa" w:w="90"/>
            </w:tcMar>
          </w:tcPr>
          <w:p>
            <w:pPr>
              <w:spacing w:after="0" w:line="260"/>
            </w:pPr>
            <w:r>
              <w:rPr>
                <w:b w:val="false"/>
                <w:bCs w:val="false"/>
                <w:sz w:val="20"/>
                <w:szCs w:val="20"/>
              </w:rPr>
              <w:t xml:space="preserve">Variance Inflation Factor</w:t>
            </w:r>
          </w:p>
        </w:tc>
      </w:tr>
    </w:tbl>
    <w:p>
      <w:pPr>
        <w:spacing w:after="120"/>
      </w:pPr>
    </w:p>
    <w:p>
      <w:pPr>
        <w:pStyle w:val="Heading1"/>
        <w:spacing w:after="140" w:before="280"/>
      </w:pPr>
      <w:r>
        <w:t xml:space="preserve">LIST OF APPENDICES</w:t>
      </w:r>
    </w:p>
    <w:p>
      <w:pPr>
        <w:spacing w:after="120" w:line="300"/>
      </w:pPr>
      <w:r>
        <w:rPr>
          <w:sz w:val="22"/>
          <w:szCs w:val="22"/>
        </w:rPr>
        <w:t xml:space="preserve">Appendix 1 — Speaker-to-gender mapping protocol</w:t>
      </w:r>
    </w:p>
    <w:p>
      <w:pPr>
        <w:spacing w:after="120" w:line="300"/>
      </w:pPr>
      <w:r>
        <w:rPr>
          <w:sz w:val="22"/>
          <w:szCs w:val="22"/>
        </w:rPr>
        <w:t xml:space="preserve">Appendix 2 — Mandatory proposal evidence and decision log</w:t>
      </w:r>
    </w:p>
    <w:p>
      <w:pPr>
        <w:spacing w:after="120" w:line="300"/>
      </w:pPr>
      <w:r>
        <w:rPr>
          <w:sz w:val="22"/>
          <w:szCs w:val="22"/>
        </w:rPr>
        <w:t xml:space="preserve">Appendix 3 — AI use disclosure</w:t>
      </w:r>
    </w:p>
    <w:p>
      <w:r>
        <w:br w:type="page"/>
      </w:r>
    </w:p>
    <w:p>
      <w:pPr>
        <w:pStyle w:val="Heading1"/>
        <w:spacing w:after="140" w:before="280"/>
      </w:pPr>
      <w:r>
        <w:t xml:space="preserve">1. INTRODUCTION</w:t>
      </w:r>
    </w:p>
    <w:p>
      <w:pPr>
        <w:pStyle w:val="Heading2"/>
        <w:spacing w:after="140" w:before="280"/>
      </w:pPr>
      <w:r>
        <w:t xml:space="preserve">1.1 Background and Context</w:t>
      </w:r>
    </w:p>
    <w:p>
      <w:pPr>
        <w:spacing w:after="120" w:line="300"/>
      </w:pPr>
      <w:r>
        <w:rPr>
          <w:sz w:val="22"/>
          <w:szCs w:val="22"/>
        </w:rPr>
        <w:t xml:space="preserve">Artificial intelligence systems trained on video are now deployed in consequential settings, and the datasets behind them are assembled from film and television material that was never produced with balanced representation as a design goal. Those datasets do not ship only imagery. They ship words: utterance transcripts, subtitles and speaker annotations, distributed as first-class training inputs. MELD, for example, is an extension of the text-only EmotionLines corpus, so its emotion labels were annotated from dialogue in the first place [1]. Video-language models, captioning systems and video question-answering systems all ingest that text alongside the frames.</w:t>
      </w:r>
    </w:p>
    <w:p>
      <w:pPr>
        <w:spacing w:after="120" w:line="300"/>
      </w:pPr>
      <w:r>
        <w:rPr>
          <w:sz w:val="22"/>
          <w:szCs w:val="22"/>
        </w:rPr>
        <w:t xml:space="preserve">The problem is that gender bias in the text half of a video corpus is invisible to existing dataset documentation. Dataset cards report clip counts, licences and label schemas; none report whether one gender is written with systematically more to say, or with language that positions them as acting rather than being acted upon.</w:t>
      </w:r>
    </w:p>
    <w:p>
      <w:pPr>
        <w:pStyle w:val="Heading3"/>
        <w:spacing w:after="140" w:before="280"/>
      </w:pPr>
      <w:r>
        <w:t xml:space="preserve">Who is affected</w:t>
      </w:r>
    </w:p>
    <w:p>
      <w:pPr>
        <w:pStyle w:val="ListParagraph"/>
        <w:numPr>
          <w:ilvl w:val="0"/>
          <w:numId w:val="1"/>
        </w:numPr>
        <w:spacing w:after="80" w:line="300"/>
      </w:pPr>
      <w:r>
        <w:rPr>
          <w:sz w:val="22"/>
          <w:szCs w:val="22"/>
        </w:rPr>
        <w:t xml:space="preserve">Dataset curators and machine-learning practitioners, who have no standardised way to audit the textual representation of a corpus before committing compute to training on it.</w:t>
      </w:r>
    </w:p>
    <w:p>
      <w:pPr>
        <w:pStyle w:val="ListParagraph"/>
        <w:numPr>
          <w:ilvl w:val="0"/>
          <w:numId w:val="1"/>
        </w:numPr>
        <w:spacing w:after="80" w:line="300"/>
      </w:pPr>
      <w:r>
        <w:rPr>
          <w:sz w:val="22"/>
          <w:szCs w:val="22"/>
        </w:rPr>
        <w:t xml:space="preserve">End users of the resulting systems, who encounter the consequences as unequal accuracy across gender subgroups in captioning, emotion recognition and video retrieval.</w:t>
      </w:r>
    </w:p>
    <w:p>
      <w:pPr>
        <w:pStyle w:val="ListParagraph"/>
        <w:numPr>
          <w:ilvl w:val="0"/>
          <w:numId w:val="1"/>
        </w:numPr>
        <w:spacing w:after="80" w:line="300"/>
      </w:pPr>
      <w:r>
        <w:rPr>
          <w:sz w:val="22"/>
          <w:szCs w:val="22"/>
        </w:rPr>
        <w:t xml:space="preserve">Researchers reporting on fairness, who currently cannot compare the textual disparity of two corpora on a common scale.</w:t>
      </w:r>
    </w:p>
    <w:p>
      <w:pPr>
        <w:pStyle w:val="Heading3"/>
        <w:spacing w:after="140" w:before="280"/>
      </w:pPr>
      <w:r>
        <w:t xml:space="preserve">Evidence</w:t>
      </w:r>
    </w:p>
    <w:p>
      <w:pPr>
        <w:spacing w:after="120" w:line="300"/>
      </w:pPr>
      <w:r>
        <w:rPr>
          <w:sz w:val="22"/>
          <w:szCs w:val="22"/>
        </w:rPr>
        <w:t xml:space="preserve">Three findings, taken together, establish both that the problem exists and that measuring it before training is the correct point of intervention.</w:t>
      </w:r>
    </w:p>
    <w:p>
      <w:pPr>
        <w:pStyle w:val="ListParagraph"/>
        <w:numPr>
          <w:ilvl w:val="0"/>
          <w:numId w:val="1"/>
        </w:numPr>
        <w:spacing w:after="80" w:line="300"/>
      </w:pPr>
      <w:r>
        <w:rPr>
          <w:sz w:val="22"/>
          <w:szCs w:val="22"/>
        </w:rPr>
        <w:t xml:space="preserve">Film and television dialogue is gendered. Sap et al. analysed a large collection of modern film scripts using connotation frames and found female characters written with systematically less power and less agency than male characters; the lexicons were released publicly [2].</w:t>
      </w:r>
    </w:p>
    <w:p>
      <w:pPr>
        <w:pStyle w:val="ListParagraph"/>
        <w:numPr>
          <w:ilvl w:val="0"/>
          <w:numId w:val="1"/>
        </w:numPr>
        <w:spacing w:after="80" w:line="300"/>
      </w:pPr>
      <w:r>
        <w:rPr>
          <w:sz w:val="22"/>
          <w:szCs w:val="22"/>
        </w:rPr>
        <w:t xml:space="preserve">Interaction-level gender structure is machine-detectable. Agarwal et al. built a computational version of the Bechdel test over film scripts, demonstrating that who speaks to whom can be recovered automatically [3].</w:t>
      </w:r>
    </w:p>
    <w:p>
      <w:pPr>
        <w:pStyle w:val="ListParagraph"/>
        <w:numPr>
          <w:ilvl w:val="0"/>
          <w:numId w:val="1"/>
        </w:numPr>
        <w:spacing w:after="80" w:line="300"/>
      </w:pPr>
      <w:r>
        <w:rPr>
          <w:sz w:val="22"/>
          <w:szCs w:val="22"/>
        </w:rPr>
        <w:t xml:space="preserve">Models amplify what they are trained on. Zhao et al. showed that models trained on gender-skewed data become more biased than the data itself [4]. This is the single strongest argument for a pre-training dataset metric: a corpus that is moderately skewed yields a model that behaves as though it were severely skewed, so measuring the corpus is a more efficient intervention than repairing the model.</w:t>
      </w:r>
    </w:p>
    <w:p>
      <w:pPr>
        <w:spacing w:after="120" w:line="300"/>
      </w:pPr>
      <w:r>
        <w:rPr>
          <w:sz w:val="22"/>
          <w:szCs w:val="22"/>
        </w:rPr>
        <w:t xml:space="preserve">Within the group’s own preliminary work, the main-cast speaking-time ratio of MELD was computed as 1.094 male to female — a nine per cent skew. This is reported here not as evidence of bias but as evidence of the opposite: MELD is an unusually balanced ensemble, and its role in this research is as a negative control against false positives.</w:t>
      </w:r>
    </w:p>
    <w:p>
      <w:pPr>
        <w:pStyle w:val="Heading3"/>
        <w:spacing w:after="140" w:before="280"/>
      </w:pPr>
      <w:r>
        <w:t xml:space="preserve">Analysis of existing solutions and their limitations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900"/>
      </w:tblGrid>
      <w:tr>
        <w:trPr>
          <w:cantSplit/>
          <w:tblHeader/>
        </w:trPr>
        <w:tc>
          <w:tcPr>
            <w:tcW w:type="dxa" w:w="2300"/>
            <w:shd w:fill="E8E8E8" w:val="clear"/>
            <w:tcMar>
              <w:top w:type="dxa" w:w="60"/>
              <w:left w:type="dxa" w:w="90"/>
              <w:bottom w:type="dxa" w:w="60"/>
              <w:right w:type="dxa" w:w="90"/>
            </w:tcMar>
          </w:tcPr>
          <w:p>
            <w:pPr>
              <w:spacing w:after="0" w:line="260"/>
            </w:pPr>
            <w:r>
              <w:rPr>
                <w:b/>
                <w:bCs/>
                <w:sz w:val="20"/>
                <w:szCs w:val="20"/>
              </w:rPr>
              <w:t xml:space="preserve">Existing approach</w:t>
            </w:r>
          </w:p>
        </w:tc>
        <w:tc>
          <w:tcPr>
            <w:tcW w:type="dxa" w:w="2900"/>
            <w:shd w:fill="E8E8E8" w:val="clear"/>
            <w:tcMar>
              <w:top w:type="dxa" w:w="60"/>
              <w:left w:type="dxa" w:w="90"/>
              <w:bottom w:type="dxa" w:w="60"/>
              <w:right w:type="dxa" w:w="90"/>
            </w:tcMar>
          </w:tcPr>
          <w:p>
            <w:pPr>
              <w:spacing w:after="0" w:line="260"/>
            </w:pPr>
            <w:r>
              <w:rPr>
                <w:b/>
                <w:bCs/>
                <w:sz w:val="20"/>
                <w:szCs w:val="20"/>
              </w:rPr>
              <w:t xml:space="preserve">What it does</w:t>
            </w:r>
          </w:p>
        </w:tc>
        <w:tc>
          <w:tcPr>
            <w:tcW w:type="dxa" w:w="3900"/>
            <w:shd w:fill="E8E8E8" w:val="clear"/>
            <w:tcMar>
              <w:top w:type="dxa" w:w="60"/>
              <w:left w:type="dxa" w:w="90"/>
              <w:bottom w:type="dxa" w:w="60"/>
              <w:right w:type="dxa" w:w="90"/>
            </w:tcMar>
          </w:tcPr>
          <w:p>
            <w:pPr>
              <w:spacing w:after="0" w:line="260"/>
            </w:pPr>
            <w:r>
              <w:rPr>
                <w:b/>
                <w:bCs/>
                <w:sz w:val="20"/>
                <w:szCs w:val="20"/>
              </w:rPr>
              <w:t xml:space="preserve">Limitation this component addresses</w:t>
            </w:r>
          </w:p>
        </w:tc>
      </w:tr>
      <w:tr>
        <w:trPr>
          <w:cantSplit/>
        </w:trPr>
        <w:tc>
          <w:tcPr>
            <w:tcW w:type="dxa" w:w="2300"/>
            <w:tcMar>
              <w:top w:type="dxa" w:w="60"/>
              <w:left w:type="dxa" w:w="90"/>
              <w:bottom w:type="dxa" w:w="60"/>
              <w:right w:type="dxa" w:w="90"/>
            </w:tcMar>
          </w:tcPr>
          <w:p>
            <w:pPr>
              <w:spacing w:after="0" w:line="260"/>
            </w:pPr>
            <w:r>
              <w:rPr>
                <w:b w:val="false"/>
                <w:bCs w:val="false"/>
                <w:sz w:val="20"/>
                <w:szCs w:val="20"/>
              </w:rPr>
              <w:t xml:space="preserve">GD-IQ (Geena Davis Inclusion Quotient)</w:t>
            </w:r>
          </w:p>
        </w:tc>
        <w:tc>
          <w:tcPr>
            <w:tcW w:type="dxa" w:w="2900"/>
            <w:tcMar>
              <w:top w:type="dxa" w:w="60"/>
              <w:left w:type="dxa" w:w="90"/>
              <w:bottom w:type="dxa" w:w="60"/>
              <w:right w:type="dxa" w:w="90"/>
            </w:tcMar>
          </w:tcPr>
          <w:p>
            <w:pPr>
              <w:spacing w:after="0" w:line="260"/>
            </w:pPr>
            <w:r>
              <w:rPr>
                <w:b w:val="false"/>
                <w:bCs w:val="false"/>
                <w:sz w:val="20"/>
                <w:szCs w:val="20"/>
              </w:rPr>
              <w:t xml:space="preserve">Automated measurement of screen and speaking time by gender across film</w:t>
            </w:r>
          </w:p>
        </w:tc>
        <w:tc>
          <w:tcPr>
            <w:tcW w:type="dxa" w:w="3900"/>
            <w:tcMar>
              <w:top w:type="dxa" w:w="60"/>
              <w:left w:type="dxa" w:w="90"/>
              <w:bottom w:type="dxa" w:w="60"/>
              <w:right w:type="dxa" w:w="90"/>
            </w:tcMar>
          </w:tcPr>
          <w:p>
            <w:pPr>
              <w:spacing w:after="0" w:line="260"/>
            </w:pPr>
            <w:r>
              <w:rPr>
                <w:b w:val="false"/>
                <w:bCs w:val="false"/>
                <w:sz w:val="20"/>
                <w:szCs w:val="20"/>
              </w:rPr>
              <w:t xml:space="preserve">A descriptive analytics instrument, not a dataset-auditing metric. Produces reports, not a score that composes into a machine-learning pipeline, and does not examine what is said.</w:t>
            </w:r>
          </w:p>
        </w:tc>
      </w:tr>
      <w:tr>
        <w:trPr>
          <w:cantSplit/>
        </w:trPr>
        <w:tc>
          <w:tcPr>
            <w:tcW w:type="dxa" w:w="2300"/>
            <w:tcMar>
              <w:top w:type="dxa" w:w="60"/>
              <w:left w:type="dxa" w:w="90"/>
              <w:bottom w:type="dxa" w:w="60"/>
              <w:right w:type="dxa" w:w="90"/>
            </w:tcMar>
          </w:tcPr>
          <w:p>
            <w:pPr>
              <w:spacing w:after="0" w:line="260"/>
            </w:pPr>
            <w:r>
              <w:rPr>
                <w:b w:val="false"/>
                <w:bCs w:val="false"/>
                <w:sz w:val="20"/>
                <w:szCs w:val="20"/>
              </w:rPr>
              <w:t xml:space="preserve">Bechdel-test automation [3]</w:t>
            </w:r>
          </w:p>
        </w:tc>
        <w:tc>
          <w:tcPr>
            <w:tcW w:type="dxa" w:w="2900"/>
            <w:tcMar>
              <w:top w:type="dxa" w:w="60"/>
              <w:left w:type="dxa" w:w="90"/>
              <w:bottom w:type="dxa" w:w="60"/>
              <w:right w:type="dxa" w:w="90"/>
            </w:tcMar>
          </w:tcPr>
          <w:p>
            <w:pPr>
              <w:spacing w:after="0" w:line="260"/>
            </w:pPr>
            <w:r>
              <w:rPr>
                <w:b w:val="false"/>
                <w:bCs w:val="false"/>
                <w:sz w:val="20"/>
                <w:szCs w:val="20"/>
              </w:rPr>
              <w:t xml:space="preserve">Classifies whether a film satisfies an interaction-level criterion</w:t>
            </w:r>
          </w:p>
        </w:tc>
        <w:tc>
          <w:tcPr>
            <w:tcW w:type="dxa" w:w="3900"/>
            <w:tcMar>
              <w:top w:type="dxa" w:w="60"/>
              <w:left w:type="dxa" w:w="90"/>
              <w:bottom w:type="dxa" w:w="60"/>
              <w:right w:type="dxa" w:w="90"/>
            </w:tcMar>
          </w:tcPr>
          <w:p>
            <w:pPr>
              <w:spacing w:after="0" w:line="260"/>
            </w:pPr>
            <w:r>
              <w:rPr>
                <w:b w:val="false"/>
                <w:bCs w:val="false"/>
                <w:sz w:val="20"/>
                <w:szCs w:val="20"/>
              </w:rPr>
              <w:t xml:space="preserve">Binary and film-level. Not a continuous, scale-invariant score, and not computable per dataset shard.</w:t>
            </w:r>
          </w:p>
        </w:tc>
      </w:tr>
      <w:tr>
        <w:trPr>
          <w:cantSplit/>
        </w:trPr>
        <w:tc>
          <w:tcPr>
            <w:tcW w:type="dxa" w:w="2300"/>
            <w:tcMar>
              <w:top w:type="dxa" w:w="60"/>
              <w:left w:type="dxa" w:w="90"/>
              <w:bottom w:type="dxa" w:w="60"/>
              <w:right w:type="dxa" w:w="90"/>
            </w:tcMar>
          </w:tcPr>
          <w:p>
            <w:pPr>
              <w:spacing w:after="0" w:line="260"/>
            </w:pPr>
            <w:r>
              <w:rPr>
                <w:b w:val="false"/>
                <w:bCs w:val="false"/>
                <w:sz w:val="20"/>
                <w:szCs w:val="20"/>
              </w:rPr>
              <w:t xml:space="preserve">Connotation-frame analysis [2]</w:t>
            </w:r>
          </w:p>
        </w:tc>
        <w:tc>
          <w:tcPr>
            <w:tcW w:type="dxa" w:w="2900"/>
            <w:tcMar>
              <w:top w:type="dxa" w:w="60"/>
              <w:left w:type="dxa" w:w="90"/>
              <w:bottom w:type="dxa" w:w="60"/>
              <w:right w:type="dxa" w:w="90"/>
            </w:tcMar>
          </w:tcPr>
          <w:p>
            <w:pPr>
              <w:spacing w:after="0" w:line="260"/>
            </w:pPr>
            <w:r>
              <w:rPr>
                <w:b w:val="false"/>
                <w:bCs w:val="false"/>
                <w:sz w:val="20"/>
                <w:szCs w:val="20"/>
              </w:rPr>
              <w:t xml:space="preserve">Measures agency and power in film scripts</w:t>
            </w:r>
          </w:p>
        </w:tc>
        <w:tc>
          <w:tcPr>
            <w:tcW w:type="dxa" w:w="3900"/>
            <w:tcMar>
              <w:top w:type="dxa" w:w="60"/>
              <w:left w:type="dxa" w:w="90"/>
              <w:bottom w:type="dxa" w:w="60"/>
              <w:right w:type="dxa" w:w="90"/>
            </w:tcMar>
          </w:tcPr>
          <w:p>
            <w:pPr>
              <w:spacing w:after="0" w:line="260"/>
            </w:pPr>
            <w:r>
              <w:rPr>
                <w:b w:val="false"/>
                <w:bCs w:val="false"/>
                <w:sz w:val="20"/>
                <w:szCs w:val="20"/>
              </w:rPr>
              <w:t xml:space="preserve">A descriptive finding about a corpus of screenplays. Screenplays are pre-production artefacts not distributed with any video dataset, and no dataset-level score is produced.</w:t>
            </w:r>
          </w:p>
        </w:tc>
      </w:tr>
      <w:tr>
        <w:trPr>
          <w:cantSplit/>
        </w:trPr>
        <w:tc>
          <w:tcPr>
            <w:tcW w:type="dxa" w:w="2300"/>
            <w:tcMar>
              <w:top w:type="dxa" w:w="60"/>
              <w:left w:type="dxa" w:w="90"/>
              <w:bottom w:type="dxa" w:w="60"/>
              <w:right w:type="dxa" w:w="90"/>
            </w:tcMar>
          </w:tcPr>
          <w:p>
            <w:pPr>
              <w:spacing w:after="0" w:line="260"/>
            </w:pPr>
            <w:r>
              <w:rPr>
                <w:b w:val="false"/>
                <w:bCs w:val="false"/>
                <w:sz w:val="20"/>
                <w:szCs w:val="20"/>
              </w:rPr>
              <w:t xml:space="preserve">Dataset rebalancing tools</w:t>
            </w:r>
          </w:p>
        </w:tc>
        <w:tc>
          <w:tcPr>
            <w:tcW w:type="dxa" w:w="2900"/>
            <w:tcMar>
              <w:top w:type="dxa" w:w="60"/>
              <w:left w:type="dxa" w:w="90"/>
              <w:bottom w:type="dxa" w:w="60"/>
              <w:right w:type="dxa" w:w="90"/>
            </w:tcMar>
          </w:tcPr>
          <w:p>
            <w:pPr>
              <w:spacing w:after="0" w:line="260"/>
            </w:pPr>
            <w:r>
              <w:rPr>
                <w:b w:val="false"/>
                <w:bCs w:val="false"/>
                <w:sz w:val="20"/>
                <w:szCs w:val="20"/>
              </w:rPr>
              <w:t xml:space="preserve">Adjust sample counts to equalise representation</w:t>
            </w:r>
          </w:p>
        </w:tc>
        <w:tc>
          <w:tcPr>
            <w:tcW w:type="dxa" w:w="3900"/>
            <w:tcMar>
              <w:top w:type="dxa" w:w="60"/>
              <w:left w:type="dxa" w:w="90"/>
              <w:bottom w:type="dxa" w:w="60"/>
              <w:right w:type="dxa" w:w="90"/>
            </w:tcMar>
          </w:tcPr>
          <w:p>
            <w:pPr>
              <w:spacing w:after="0" w:line="260"/>
            </w:pPr>
            <w:r>
              <w:rPr>
                <w:b w:val="false"/>
                <w:bCs w:val="false"/>
                <w:sz w:val="20"/>
                <w:szCs w:val="20"/>
              </w:rPr>
              <w:t xml:space="preserve">Operate on counts only, offer no continuous measure of severity, and cannot indicate whether intervention is warranted.</w:t>
            </w:r>
          </w:p>
        </w:tc>
      </w:tr>
      <w:tr>
        <w:trPr>
          <w:cantSplit/>
        </w:trPr>
        <w:tc>
          <w:tcPr>
            <w:tcW w:type="dxa" w:w="2300"/>
            <w:tcMar>
              <w:top w:type="dxa" w:w="60"/>
              <w:left w:type="dxa" w:w="90"/>
              <w:bottom w:type="dxa" w:w="60"/>
              <w:right w:type="dxa" w:w="90"/>
            </w:tcMar>
          </w:tcPr>
          <w:p>
            <w:pPr>
              <w:spacing w:after="0" w:line="260"/>
            </w:pPr>
            <w:r>
              <w:rPr>
                <w:b w:val="false"/>
                <w:bCs w:val="false"/>
                <w:sz w:val="20"/>
                <w:szCs w:val="20"/>
              </w:rPr>
              <w:t xml:space="preserve">EuqAud [5]</w:t>
            </w:r>
          </w:p>
        </w:tc>
        <w:tc>
          <w:tcPr>
            <w:tcW w:type="dxa" w:w="2900"/>
            <w:tcMar>
              <w:top w:type="dxa" w:w="60"/>
              <w:left w:type="dxa" w:w="90"/>
              <w:bottom w:type="dxa" w:w="60"/>
              <w:right w:type="dxa" w:w="90"/>
            </w:tcMar>
          </w:tcPr>
          <w:p>
            <w:pPr>
              <w:spacing w:after="0" w:line="260"/>
            </w:pPr>
            <w:r>
              <w:rPr>
                <w:b w:val="false"/>
                <w:bCs w:val="false"/>
                <w:sz w:val="20"/>
                <w:szCs w:val="20"/>
              </w:rPr>
              <w:t xml:space="preserve">Regression-derived closed-form gender bias score for audio datasets</w:t>
            </w:r>
          </w:p>
        </w:tc>
        <w:tc>
          <w:tcPr>
            <w:tcW w:type="dxa" w:w="3900"/>
            <w:tcMar>
              <w:top w:type="dxa" w:w="60"/>
              <w:left w:type="dxa" w:w="90"/>
              <w:bottom w:type="dxa" w:w="60"/>
              <w:right w:type="dxa" w:w="90"/>
            </w:tcMar>
          </w:tcPr>
          <w:p>
            <w:pPr>
              <w:spacing w:after="0" w:line="260"/>
            </w:pPr>
            <w:r>
              <w:rPr>
                <w:b w:val="false"/>
                <w:bCs w:val="false"/>
                <w:sz w:val="20"/>
                <w:szCs w:val="20"/>
              </w:rPr>
              <w:t xml:space="preserve">Audio modality only. Its features are acoustic and its corpora are read speech recorded in quiet conditions, so neither the features nor the fitted equation transfer to text.</w:t>
            </w:r>
          </w:p>
        </w:tc>
      </w:tr>
    </w:tbl>
    <w:p>
      <w:pPr>
        <w:spacing w:after="120" w:line="300"/>
      </w:pPr>
      <w:r>
        <w:rPr>
          <w:i/>
          <w:iCs/>
          <w:sz w:val="20"/>
          <w:szCs w:val="20"/>
        </w:rPr>
        <w:t xml:space="preserve">Table 1. Analysis of existing approaches and their limitations</w:t>
      </w:r>
    </w:p>
    <w:p>
      <w:pPr>
        <w:pStyle w:val="Heading3"/>
        <w:spacing w:after="140" w:before="280"/>
      </w:pPr>
      <w:r>
        <w:t xml:space="preserve">Proposed solution</w:t>
      </w:r>
    </w:p>
    <w:p>
      <w:pPr>
        <w:spacing w:after="120" w:line="300"/>
      </w:pPr>
      <w:r>
        <w:rPr>
          <w:sz w:val="22"/>
          <w:szCs w:val="22"/>
        </w:rPr>
        <w:t xml:space="preserve">EuqVid-Text converts the dialogue track of a video dataset into a single interpretable gender-bias score on a −10 to +10 scale, computed from a frozen closed-form equation that requires no model training to apply. It is one of four modality sub-metrics — visual, temporal, textual and acoustic — which compose into the complete EuqVid score. The component consists of four parts: a speaker-attributed and gender-mapped text acquisition stage; a feature extraction stage producing scale-free disparity features at three levels of depth; a regression stage that fits, freezes and normalises the equation; and a stability characterisation stage.</w:t>
      </w:r>
    </w:p>
    <w:p>
      <w:pPr>
        <w:pStyle w:val="Heading3"/>
        <w:spacing w:after="140" w:before="280"/>
      </w:pPr>
      <w:r>
        <w:t xml:space="preserve">SDG alignment</w:t>
      </w:r>
    </w:p>
    <w:p>
      <w:pPr>
        <w:pStyle w:val="ListParagraph"/>
        <w:numPr>
          <w:ilvl w:val="0"/>
          <w:numId w:val="1"/>
        </w:numPr>
        <w:spacing w:after="80" w:line="300"/>
      </w:pPr>
      <w:r>
        <w:rPr>
          <w:sz w:val="22"/>
          <w:szCs w:val="22"/>
        </w:rPr>
        <w:t xml:space="preserve">SDG 5 — Gender Equality: the component provides a measurable instrument for detecting gender disparity in the material used to build AI systems.</w:t>
      </w:r>
    </w:p>
    <w:p>
      <w:pPr>
        <w:pStyle w:val="ListParagraph"/>
        <w:numPr>
          <w:ilvl w:val="0"/>
          <w:numId w:val="1"/>
        </w:numPr>
        <w:spacing w:after="80" w:line="300"/>
      </w:pPr>
      <w:r>
        <w:rPr>
          <w:sz w:val="22"/>
          <w:szCs w:val="22"/>
        </w:rPr>
        <w:t xml:space="preserve">SDG 10 — Reduced Inequalities: measuring representational disparity before training supports reducing downstream inequality of system performance across groups.</w:t>
      </w:r>
    </w:p>
    <w:p>
      <w:pPr>
        <w:pStyle w:val="ListParagraph"/>
        <w:numPr>
          <w:ilvl w:val="0"/>
          <w:numId w:val="1"/>
        </w:numPr>
        <w:spacing w:after="80" w:line="300"/>
      </w:pPr>
      <w:r>
        <w:rPr>
          <w:sz w:val="22"/>
          <w:szCs w:val="22"/>
        </w:rPr>
        <w:t xml:space="preserve">SDG 16 — Peace, Justice and Strong Institutions: auditable, frozen equations support transparency and accountability in automated decision systems.</w:t>
      </w:r>
    </w:p>
    <w:p>
      <w:pPr>
        <w:pStyle w:val="Heading3"/>
        <w:spacing w:after="140" w:before="280"/>
      </w:pPr>
      <w:r>
        <w:t xml:space="preserve">Research cluster alignment</w:t>
      </w:r>
    </w:p>
    <w:p>
      <w:pPr>
        <w:pBdr>
          <w:left w:val="single" w:color="888888" w:sz="12" w:space="8"/>
        </w:pBdr>
        <w:spacing w:after="140" w:line="300"/>
        <w:ind w:left="215"/>
      </w:pPr>
      <w:r>
        <w:rPr>
          <w:i/>
          <w:iCs/>
          <w:color w:val="444444"/>
          <w:sz w:val="22"/>
          <w:szCs w:val="22"/>
        </w:rPr>
        <w:t xml:space="preserve">[TO COMPLETE] State the SLIIT research cluster your project is registered under and one sentence connecting this component to it. Confirm the exact cluster name with your supervisor rather than assuming it.</w:t>
      </w:r>
    </w:p>
    <w:p>
      <w:pPr>
        <w:pStyle w:val="Heading2"/>
        <w:spacing w:after="140" w:before="280"/>
      </w:pPr>
      <w:r>
        <w:t xml:space="preserve">1.2 Literature Review</w:t>
      </w:r>
    </w:p>
    <w:p>
      <w:pPr>
        <w:spacing w:after="120" w:line="300"/>
      </w:pPr>
      <w:r>
        <w:rPr>
          <w:sz w:val="22"/>
          <w:szCs w:val="22"/>
        </w:rPr>
        <w:t xml:space="preserve">The literature divides into two strands: work establishing that film and television text is gendered, and work establishing that text bias in training data transfers into models and amplifies. The gap this component occupies lies between them.</w:t>
      </w:r>
    </w:p>
    <w:p>
      <w:pPr>
        <w:pStyle w:val="Heading3"/>
        <w:spacing w:after="140" w:before="280"/>
      </w:pPr>
      <w:r>
        <w:t xml:space="preserve">Gender bias is measurable in film and television text</w:t>
      </w:r>
    </w:p>
    <w:p>
      <w:pPr>
        <w:spacing w:after="120" w:line="300"/>
      </w:pPr>
      <w:r>
        <w:rPr>
          <w:sz w:val="22"/>
          <w:szCs w:val="22"/>
        </w:rPr>
        <w:t xml:space="preserve">Sap, Prasettio, Holtzman, Rashkin and Choi [2] introduced connotation frames of power and agency and applied them to a corpus of modern film screenplays. Method: verbs were annotated for the power differential and level of agency they imply for their syntactic subject, and the resulting lexicons applied to characters’ dialogue and action lines. Dataset: film screenplays. Findings: female characters were written with systematically lower agency and lower power than male characters. Strengths: the lexicons are public, the method is interpretable, and the finding is robust across a large corpus. Limitations: the analysis is descriptive, is performed on screenplays rather than on distributed dataset text, and yields no aggregate score. This work is the anchor for the present component: its lexicons supply the agency and power features, while its limitations define what remains to be built.</w:t>
      </w:r>
    </w:p>
    <w:p>
      <w:pPr>
        <w:spacing w:after="120" w:line="300"/>
      </w:pPr>
      <w:r>
        <w:rPr>
          <w:sz w:val="22"/>
          <w:szCs w:val="22"/>
        </w:rPr>
        <w:t xml:space="preserve">Agarwal, Zheng, Kamath, Balasubramanian and Dey [3] automated the Bechdel test. Method: dependency parsing and classification over screenplay structure to detect whether two named female characters converse about something other than a man. Dataset: film screenplays. Findings: the criterion is machine-detectable with useful accuracy. Strengths: establishes that interaction structure, not merely volume, is computationally accessible. Limitations: the output is a binary verdict at film level, which cannot express severity or support comparison between datasets. The present component retains the interaction construct but expresses it as a continuous share rather than a pass or fail.</w:t>
      </w:r>
    </w:p>
    <w:p>
      <w:pPr>
        <w:spacing w:after="120" w:line="300"/>
      </w:pPr>
      <w:r>
        <w:rPr>
          <w:sz w:val="22"/>
          <w:szCs w:val="22"/>
        </w:rPr>
        <w:t xml:space="preserve">Bamman, O’Connor and Smith [6] learned latent personas of film characters from text and found the recovered archetypes strongly gendered. Method: unsupervised topic-style modelling over character-associated words. Strengths: demonstrates that gendered characterisation is recoverable without supervision. Limitations: personas are descriptive clusters rather than a disparity measure, and the method requires a large corpus per model fit, which is unsuited to per-shard scoring.</w:t>
      </w:r>
    </w:p>
    <w:p>
      <w:pPr>
        <w:pStyle w:val="Heading3"/>
        <w:spacing w:after="140" w:before="280"/>
      </w:pPr>
      <w:r>
        <w:t xml:space="preserve">Text bias transfers into models and amplifies</w:t>
      </w:r>
    </w:p>
    <w:p>
      <w:pPr>
        <w:spacing w:after="120" w:line="300"/>
      </w:pPr>
      <w:r>
        <w:rPr>
          <w:sz w:val="22"/>
          <w:szCs w:val="22"/>
        </w:rPr>
        <w:t xml:space="preserve">Zhao, Wang, Yatskar, Ordonez and Chang [4] studied bias amplification. Method: measured the gender skew of training corpora and of the predictions of models trained on them, then proposed corpus-level constraints to reduce the gap. Datasets: imSitu and MS-COCO. Findings: models trained on gender-skewed data are measurably more biased than the data itself. Strengths: a direct, quantified demonstration of amplification, which converts dataset bias from a descriptive concern into a predictive one. Limitations: the study addresses images and structured labels rather than narrative dialogue, and proposes mitigation at inference rather than dataset measurement. Its significance here is as justification for the timing of the intervention: if models amplify, measuring the corpus before training is the efficient point to act.</w:t>
      </w:r>
    </w:p>
    <w:p>
      <w:pPr>
        <w:spacing w:after="120" w:line="300"/>
      </w:pPr>
      <w:r>
        <w:rPr>
          <w:sz w:val="22"/>
          <w:szCs w:val="22"/>
        </w:rPr>
        <w:t xml:space="preserve">Hendricks, Burns, Saenko, Darrell and Rohrbach [7] found that captioning models predicted a subject’s gender from scene context rather than from the person depicted. This result bears directly on a design decision taken in this component: an obvious shortcut for corpora lacking transcripts would be to generate descriptive text with a captioning model, but doing so would measure the captioning model’s bias rather than the dataset’s. That route is therefore rejected, and this paper is the reason.</w:t>
      </w:r>
    </w:p>
    <w:p>
      <w:pPr>
        <w:spacing w:after="120" w:line="300"/>
      </w:pPr>
      <w:r>
        <w:rPr>
          <w:sz w:val="22"/>
          <w:szCs w:val="22"/>
        </w:rPr>
        <w:t xml:space="preserve">Caliskan, Bryson and Narayanan [8] demonstrated that human-like biases are embedded in language corpora themselves, independent of any particular model, which supports treating the corpus rather than the model as the object of measurement.</w:t>
      </w:r>
    </w:p>
    <w:p>
      <w:pPr>
        <w:pStyle w:val="Heading3"/>
        <w:spacing w:after="140" w:before="280"/>
      </w:pPr>
      <w:r>
        <w:t xml:space="preserve">Recent work and the state of the gap</w:t>
      </w:r>
    </w:p>
    <w:p>
      <w:pPr>
        <w:spacing w:after="120" w:line="300"/>
      </w:pPr>
      <w:r>
        <w:rPr>
          <w:sz w:val="22"/>
          <w:szCs w:val="22"/>
        </w:rPr>
        <w:t xml:space="preserve">A 2026 network analysis of gendered speaker–addressee patterns in film screenplays [9] examined 4,600 manually annotated directed dialogue events across 38 screenplays and reported male characters dominant as both speakers and addressees, even in scenes with a female majority. The study concluded that gender bias in film dialogue operates through the architecture of conversation itself. Its methods are network analysis and non-parametric testing; its output is a set of descriptive findings and visualisations. Notably, it produces no dataset-level bias score. The recency of this work confirms that interaction-level dialogue bias remains an active research concern, and its form confirms that the gap identified below has not been closed.</w:t>
      </w:r>
    </w:p>
    <w:p>
      <w:pPr>
        <w:spacing w:after="120" w:line="300"/>
      </w:pPr>
      <w:r>
        <w:rPr>
          <w:sz w:val="22"/>
          <w:szCs w:val="22"/>
        </w:rPr>
        <w:t xml:space="preserve">One methodological caution is inherited from it: that study used manually annotated addressees, whereas the present component approximates addressee from turn adjacency. This is recorded as a declared limitation in Section 3 rather than left to be discovered.</w:t>
      </w:r>
    </w:p>
    <w:p>
      <w:pPr>
        <w:pStyle w:val="Heading3"/>
        <w:spacing w:after="140" w:before="280"/>
      </w:pPr>
      <w:r>
        <w:t xml:space="preserve">Existing systems and products</w:t>
      </w:r>
    </w:p>
    <w:p>
      <w:pPr>
        <w:spacing w:after="120" w:line="300"/>
      </w:pPr>
      <w:r>
        <w:rPr>
          <w:sz w:val="22"/>
          <w:szCs w:val="22"/>
        </w:rPr>
        <w:t xml:space="preserve">The Geena Davis Inclusion Quotient is the most established applied system in this space, measuring screen and speaking time by gender in film using automated audio and video analysis, and is used by studios and advocacy organisations to produce representation reports. Its functions are descriptive analytics and reporting; its users are content producers rather than dataset builders; its limitation, for present purposes, is that it does not examine dialogue content, does not emit a continuous score, and is not designed to sit inside a machine-learning dataset pipeline. Dataset documentation practices such as datasheets and model cards record provenance and intended use but contain no quantitative representational measure.</w:t>
      </w:r>
    </w:p>
    <w:p>
      <w:pPr>
        <w:pBdr>
          <w:left w:val="single" w:color="888888" w:sz="12" w:space="8"/>
        </w:pBdr>
        <w:spacing w:after="140" w:line="300"/>
        <w:ind w:left="215"/>
      </w:pPr>
      <w:r>
        <w:rPr>
          <w:i/>
          <w:iCs/>
          <w:color w:val="444444"/>
          <w:sz w:val="22"/>
          <w:szCs w:val="22"/>
        </w:rPr>
        <w:t xml:space="preserve">[TO COMPLETE] Verify GD-IQ’s current published figures and cite the specific report you rely on. Do not repeat a numerical claim about screen-time or speaking-time ratios until you have read the source that states it.</w:t>
      </w:r>
    </w:p>
    <w:p>
      <w:pPr>
        <w:pStyle w:val="Heading2"/>
        <w:spacing w:after="140" w:before="280"/>
      </w:pPr>
      <w:r>
        <w:t xml:space="preserve">1.3 Research Gap</w:t>
      </w:r>
    </w:p>
    <w:p>
      <w:pPr>
        <w:spacing w:after="120" w:line="300"/>
      </w:pPr>
      <w:r>
        <w:rPr>
          <w:sz w:val="22"/>
          <w:szCs w:val="22"/>
        </w:rPr>
        <w:t xml:space="preserve">Natural language processing has measured gendered film text extensively, but always as a descriptive finding about a corpus of screenplays. Computer vision has measured screen-time disparity. Neither has produced a computable, scale-invariant, dataset-level score over the dialogue that actually ships inside a video corpus — the text a multimodal model ingests — and no such measure has been integrated with visual, temporal and acoustic signals into a single pre-training audit metric.</w:t>
      </w:r>
    </w:p>
    <w:p>
      <w:pPr>
        <w:spacing w:after="120" w:line="300"/>
      </w:pPr>
      <w:r>
        <w:rPr>
          <w:b/>
          <w:bCs/>
          <w:sz w:val="22"/>
          <w:szCs w:val="22"/>
        </w:rPr>
        <w:t xml:space="preserve">Stated precisely:</w:t>
      </w:r>
    </w:p>
    <w:p>
      <w:pPr>
        <w:spacing w:after="120" w:line="300"/>
      </w:pPr>
      <w:r>
        <w:rPr>
          <w:i/>
          <w:iCs/>
          <w:sz w:val="22"/>
          <w:szCs w:val="22"/>
        </w:rPr>
        <w:t xml:space="preserve">No method exists to compute a continuous, scale-invariant gender-disparity score from the speaker-attributed dialogue distributed inside a video dataset, before any model is trained, on a scale comparable with measures of visual and temporal disparity.</w:t>
      </w:r>
    </w:p>
    <w:p>
      <w:pPr>
        <w:spacing w:after="120" w:line="300"/>
      </w:pPr>
      <w:r>
        <w:rPr>
          <w:sz w:val="22"/>
          <w:szCs w:val="22"/>
        </w:rPr>
        <w:t xml:space="preserve">Two properties of the gap are worth separating. First, existing work analyses screenplays, which are pre-production documents not distributed with any video dataset; the transcripts that are distributed have not been analysed for representational disparity. Second, existing work reports findings rather than producing an instrument, so results cannot be applied by a dataset builder to a new corpus without repeating the study.</w:t>
      </w:r>
    </w:p>
    <w:p>
      <w:r>
        <w:br w:type="page"/>
      </w:r>
    </w:p>
    <w:p>
      <w:pPr>
        <w:pStyle w:val="Heading1"/>
        <w:spacing w:after="140" w:before="280"/>
      </w:pPr>
      <w:r>
        <w:t xml:space="preserve">2. OBJECTIVE</w:t>
      </w:r>
    </w:p>
    <w:p>
      <w:pPr>
        <w:pStyle w:val="Heading2"/>
        <w:spacing w:after="140" w:before="280"/>
      </w:pPr>
      <w:r>
        <w:t xml:space="preserve">2.1 Main Objective</w:t>
      </w:r>
    </w:p>
    <w:p>
      <w:pPr>
        <w:spacing w:after="120" w:line="300"/>
      </w:pPr>
      <w:r>
        <w:rPr>
          <w:sz w:val="22"/>
          <w:szCs w:val="22"/>
        </w:rPr>
        <w:t xml:space="preserve">To develop and freeze a closed-form, scale-invariant polynomial Ridge regression equation that maps dialogue-derived disparity features of a video dataset to a single interpretable gender-bias score on the interval −10 to +10, and to demonstrate that the equation responds monotonically to controlled disparity and that its coefficients are stable under resampling at shard and identity level.</w:t>
      </w:r>
    </w:p>
    <w:p>
      <w:pPr>
        <w:pStyle w:val="Heading2"/>
        <w:spacing w:after="140" w:before="280"/>
      </w:pPr>
      <w:r>
        <w:t xml:space="preserve">2.2 Specific Objectives</w:t>
      </w:r>
    </w:p>
    <w:p>
      <w:pPr>
        <w:spacing w:after="120" w:line="300"/>
      </w:pPr>
      <w:r>
        <w:rPr>
          <w:sz w:val="22"/>
          <w:szCs w:val="22"/>
        </w:rPr>
        <w:t xml:space="preserve">Each objective states a deliverable that can be checked as present or absent, and a quantity that can be reported.</w:t>
      </w:r>
    </w:p>
    <w:p>
      <w:pPr>
        <w:pStyle w:val="ListParagraph"/>
        <w:numPr>
          <w:ilvl w:val="0"/>
          <w:numId w:val="1"/>
        </w:numPr>
        <w:spacing w:after="80" w:line="300"/>
      </w:pPr>
      <w:r>
        <w:rPr>
          <w:sz w:val="22"/>
          <w:szCs w:val="22"/>
        </w:rPr>
        <w:t xml:space="preserve">SO1 — Construct a time-aligned, speaker-attributed and gender-mapped utterance table from MELD and AMI and at least one additional dialogue corpus, and report the proportion of utterances excluded for unresolved or ambiguous speaker identity.</w:t>
      </w:r>
    </w:p>
    <w:p>
      <w:pPr>
        <w:pStyle w:val="ListParagraph"/>
        <w:numPr>
          <w:ilvl w:val="0"/>
          <w:numId w:val="1"/>
        </w:numPr>
        <w:spacing w:after="80" w:line="300"/>
      </w:pPr>
      <w:r>
        <w:rPr>
          <w:sz w:val="22"/>
          <w:szCs w:val="22"/>
        </w:rPr>
        <w:t xml:space="preserve">SO2 — Extract seven scale-free dialogue disparity features per shard per gender, spanning volume, interaction and agency–power levels, and report the out-of-vocabulary rate of subject–verb pairs against the connotation-frame lexicon.</w:t>
      </w:r>
    </w:p>
    <w:p>
      <w:pPr>
        <w:pStyle w:val="ListParagraph"/>
        <w:numPr>
          <w:ilvl w:val="0"/>
          <w:numId w:val="1"/>
        </w:numPr>
        <w:spacing w:after="80" w:line="300"/>
      </w:pPr>
      <w:r>
        <w:rPr>
          <w:sz w:val="22"/>
          <w:szCs w:val="22"/>
        </w:rPr>
        <w:t xml:space="preserve">SO3 — Generate synthetic ground-truth bias labels by applying the shared group augmentation protocol at controlled incremental disparity levels, producing a labelled training set of at least 200 independent shards.</w:t>
      </w:r>
    </w:p>
    <w:p>
      <w:pPr>
        <w:pStyle w:val="ListParagraph"/>
        <w:numPr>
          <w:ilvl w:val="0"/>
          <w:numId w:val="1"/>
        </w:numPr>
        <w:spacing w:after="80" w:line="300"/>
      </w:pPr>
      <w:r>
        <w:rPr>
          <w:sz w:val="22"/>
          <w:szCs w:val="22"/>
        </w:rPr>
        <w:t xml:space="preserve">SO4 — Fit and select a polynomial Ridge model with degree capped at two by cross-validated grid search, with feature screening performed inside folds, reporting both nominal row count and effective sample size.</w:t>
      </w:r>
    </w:p>
    <w:p>
      <w:pPr>
        <w:pStyle w:val="ListParagraph"/>
        <w:numPr>
          <w:ilvl w:val="0"/>
          <w:numId w:val="1"/>
        </w:numPr>
        <w:spacing w:after="80" w:line="300"/>
      </w:pPr>
      <w:r>
        <w:rPr>
          <w:sz w:val="22"/>
          <w:szCs w:val="22"/>
        </w:rPr>
        <w:t xml:space="preserve">SO5 — Freeze the fitted model as an explicit closed-form equation in raw feature units, with scaling constants folded into the published coefficients, stated min–max normalisation bounds, and severity-tier thresholds derived from stated disparity levels.</w:t>
      </w:r>
    </w:p>
    <w:p>
      <w:pPr>
        <w:pStyle w:val="ListParagraph"/>
        <w:numPr>
          <w:ilvl w:val="0"/>
          <w:numId w:val="1"/>
        </w:numPr>
        <w:spacing w:after="80" w:line="300"/>
      </w:pPr>
      <w:r>
        <w:rPr>
          <w:sz w:val="22"/>
          <w:szCs w:val="22"/>
        </w:rPr>
        <w:t xml:space="preserve">SO6 — Characterise stability and generalisation through 1,000-iteration bootstrap resampling at shard and identity level, leave-one-corpus-out cross-validation, and a monotonicity check against held-out perturbation curves, reporting confidence intervals at both score and tier level.</w:t>
      </w:r>
    </w:p>
    <w:p>
      <w:r>
        <w:br w:type="page"/>
      </w:r>
    </w:p>
    <w:p>
      <w:pPr>
        <w:pStyle w:val="Heading1"/>
        <w:spacing w:after="140" w:before="280"/>
      </w:pPr>
      <w:r>
        <w:t xml:space="preserve">3. METHODOLOGY</w:t>
      </w:r>
    </w:p>
    <w:p>
      <w:pPr>
        <w:pStyle w:val="Heading2"/>
        <w:spacing w:after="140" w:before="280"/>
      </w:pPr>
      <w:r>
        <w:t xml:space="preserve">3.1 Research design</w:t>
      </w:r>
    </w:p>
    <w:p>
      <w:pPr>
        <w:spacing w:after="120" w:line="300"/>
      </w:pPr>
      <w:r>
        <w:rPr>
          <w:sz w:val="22"/>
          <w:szCs w:val="22"/>
        </w:rPr>
        <w:t xml:space="preserve">The research question asks whether a quantitative relationship can be established between measurable properties of a corpus and a defined degree of representational disparity, and whether that relationship can be expressed in a fixed, auditable form. The question is therefore not exploratory or interpretive but predictive, and the appropriate design is quantitative and experimental.</w:t>
      </w:r>
    </w:p>
    <w:p>
      <w:pPr>
        <w:spacing w:after="120" w:line="300"/>
      </w:pPr>
      <w:r>
        <w:rPr>
          <w:sz w:val="22"/>
          <w:szCs w:val="22"/>
        </w:rPr>
        <w:t xml:space="preserve">Three properties of the problem determine the choice. The data are numerical aggregates over text, not narrative accounts, so statistical modelling rather than qualitative analysis applies. The relationship between features and disparity must be estimated from cases whose disparity is known, which requires a controlled experimental manipulation because no naturally labelled corpus of dataset-level bias exists. And the required output is an instrument that others can apply, which rules out any method whose result is a fitted model that cannot be inspected.</w:t>
      </w:r>
    </w:p>
    <w:p>
      <w:pPr>
        <w:spacing w:after="120" w:line="300"/>
      </w:pPr>
      <w:r>
        <w:rPr>
          <w:sz w:val="22"/>
          <w:szCs w:val="22"/>
        </w:rPr>
        <w:t xml:space="preserve">The selected methodology is a quantitative experimental design using controlled feature perturbation to generate ground truth, followed by regularised polynomial regression to derive a closed-form predictive equation. This follows the design validated for the audio modality by EuqAud [5], which is the parent methodology of the project; the contribution here is its transfer to a different modality with a different feature space, not the invention of the design.</w:t>
      </w:r>
    </w:p>
    <w:p>
      <w:pPr>
        <w:spacing w:after="120" w:line="300"/>
      </w:pPr>
      <w:r>
        <w:rPr>
          <w:sz w:val="22"/>
          <w:szCs w:val="22"/>
        </w:rPr>
        <w:t xml:space="preserve">Regularised regression is chosen over an unconstrained model for a specific reason. The dialogue features are correlated by construction — volume, utterance count and mean length are algebraically linked — and L2 regularisation shrinks correlated predictors together rather than selecting arbitrarily among them, which keeps the frozen equation stable across corpora. A sparse alternative such as L1 would drop one of a correlated pair, and which one is dropped could differ between datasets, making the equation unreproducible.</w:t>
      </w:r>
    </w:p>
    <w:p>
      <w:pPr>
        <w:pStyle w:val="Heading2"/>
        <w:spacing w:after="140" w:before="280"/>
      </w:pPr>
      <w:r>
        <w:t xml:space="preserve">3.2 Data and experimental inputs</w:t>
      </w:r>
    </w:p>
    <w:p>
      <w:pPr>
        <w:spacing w:after="120" w:line="300"/>
      </w:pPr>
      <w:r>
        <w:rPr>
          <w:sz w:val="22"/>
          <w:szCs w:val="22"/>
        </w:rPr>
        <w:t xml:space="preserve">The component requires speaker-attributed, time-aligned dialogue with a resolvable mapping from speaker to gender. No video is opened at any stage; all inputs are annotation files.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600"/>
        <w:gridCol w:w="1600"/>
      </w:tblGrid>
      <w:tr>
        <w:trPr>
          <w:cantSplit/>
          <w:tblHeader/>
        </w:trPr>
        <w:tc>
          <w:tcPr>
            <w:tcW w:type="dxa" w:w="1900"/>
            <w:shd w:fill="E8E8E8" w:val="clear"/>
            <w:tcMar>
              <w:top w:type="dxa" w:w="60"/>
              <w:left w:type="dxa" w:w="90"/>
              <w:bottom w:type="dxa" w:w="60"/>
              <w:right w:type="dxa" w:w="90"/>
            </w:tcMar>
          </w:tcPr>
          <w:p>
            <w:pPr>
              <w:spacing w:after="0" w:line="260"/>
            </w:pPr>
            <w:r>
              <w:rPr>
                <w:b/>
                <w:bCs/>
                <w:sz w:val="20"/>
                <w:szCs w:val="20"/>
              </w:rPr>
              <w:t xml:space="preserve">Corpus</w:t>
            </w:r>
          </w:p>
        </w:tc>
        <w:tc>
          <w:tcPr>
            <w:tcW w:type="dxa" w:w="4000"/>
            <w:shd w:fill="E8E8E8" w:val="clear"/>
            <w:tcMar>
              <w:top w:type="dxa" w:w="60"/>
              <w:left w:type="dxa" w:w="90"/>
              <w:bottom w:type="dxa" w:w="60"/>
              <w:right w:type="dxa" w:w="90"/>
            </w:tcMar>
          </w:tcPr>
          <w:p>
            <w:pPr>
              <w:spacing w:after="0" w:line="260"/>
            </w:pPr>
            <w:r>
              <w:rPr>
                <w:b/>
                <w:bCs/>
                <w:sz w:val="20"/>
                <w:szCs w:val="20"/>
              </w:rPr>
              <w:t xml:space="preserve">Text available for this component</w:t>
            </w:r>
          </w:p>
        </w:tc>
        <w:tc>
          <w:tcPr>
            <w:tcW w:type="dxa" w:w="1600"/>
            <w:shd w:fill="E8E8E8" w:val="clear"/>
            <w:tcMar>
              <w:top w:type="dxa" w:w="60"/>
              <w:left w:type="dxa" w:w="90"/>
              <w:bottom w:type="dxa" w:w="60"/>
              <w:right w:type="dxa" w:w="90"/>
            </w:tcMar>
          </w:tcPr>
          <w:p>
            <w:pPr>
              <w:spacing w:after="0" w:line="260"/>
            </w:pPr>
            <w:r>
              <w:rPr>
                <w:b/>
                <w:bCs/>
                <w:sz w:val="20"/>
                <w:szCs w:val="20"/>
              </w:rPr>
              <w:t xml:space="preserve">Access</w:t>
            </w:r>
          </w:p>
        </w:tc>
        <w:tc>
          <w:tcPr>
            <w:tcW w:type="dxa" w:w="1600"/>
            <w:shd w:fill="E8E8E8" w:val="clear"/>
            <w:tcMar>
              <w:top w:type="dxa" w:w="60"/>
              <w:left w:type="dxa" w:w="90"/>
              <w:bottom w:type="dxa" w:w="60"/>
              <w:right w:type="dxa" w:w="90"/>
            </w:tcMar>
          </w:tcPr>
          <w:p>
            <w:pPr>
              <w:spacing w:after="0" w:line="260"/>
            </w:pPr>
            <w:r>
              <w:rPr>
                <w:b/>
                <w:bCs/>
                <w:sz w:val="20"/>
                <w:szCs w:val="20"/>
              </w:rPr>
              <w:t xml:space="preserve">Role</w:t>
            </w:r>
          </w:p>
        </w:tc>
      </w:tr>
      <w:tr>
        <w:trPr>
          <w:cantSplit/>
        </w:trPr>
        <w:tc>
          <w:tcPr>
            <w:tcW w:type="dxa" w:w="1900"/>
            <w:tcMar>
              <w:top w:type="dxa" w:w="60"/>
              <w:left w:type="dxa" w:w="90"/>
              <w:bottom w:type="dxa" w:w="60"/>
              <w:right w:type="dxa" w:w="90"/>
            </w:tcMar>
          </w:tcPr>
          <w:p>
            <w:pPr>
              <w:spacing w:after="0" w:line="260"/>
            </w:pPr>
            <w:r>
              <w:rPr>
                <w:b w:val="false"/>
                <w:bCs w:val="false"/>
                <w:sz w:val="20"/>
                <w:szCs w:val="20"/>
              </w:rPr>
              <w:t xml:space="preserve">MELD [1]</w:t>
            </w:r>
          </w:p>
        </w:tc>
        <w:tc>
          <w:tcPr>
            <w:tcW w:type="dxa" w:w="4000"/>
            <w:tcMar>
              <w:top w:type="dxa" w:w="60"/>
              <w:left w:type="dxa" w:w="90"/>
              <w:bottom w:type="dxa" w:w="60"/>
              <w:right w:type="dxa" w:w="90"/>
            </w:tcMar>
          </w:tcPr>
          <w:p>
            <w:pPr>
              <w:spacing w:after="0" w:line="260"/>
            </w:pPr>
            <w:r>
              <w:rPr>
                <w:b w:val="false"/>
                <w:bCs w:val="false"/>
                <w:sz w:val="20"/>
                <w:szCs w:val="20"/>
              </w:rPr>
              <w:t xml:space="preserve">Utterance CSVs carrying Utterance, Speaker, StartTime, EndTime, Dialogue_ID and Utterance_ID, with shipped emotion and sentiment labels</w:t>
            </w:r>
          </w:p>
        </w:tc>
        <w:tc>
          <w:tcPr>
            <w:tcW w:type="dxa" w:w="1600"/>
            <w:tcMar>
              <w:top w:type="dxa" w:w="60"/>
              <w:left w:type="dxa" w:w="90"/>
              <w:bottom w:type="dxa" w:w="60"/>
              <w:right w:type="dxa" w:w="90"/>
            </w:tcMar>
          </w:tcPr>
          <w:p>
            <w:pPr>
              <w:spacing w:after="0" w:line="260"/>
            </w:pPr>
            <w:r>
              <w:rPr>
                <w:b w:val="false"/>
                <w:bCs w:val="false"/>
                <w:sz w:val="20"/>
                <w:szCs w:val="20"/>
              </w:rPr>
              <w:t xml:space="preserve">Open, no registration</w:t>
            </w:r>
          </w:p>
        </w:tc>
        <w:tc>
          <w:tcPr>
            <w:tcW w:type="dxa" w:w="1600"/>
            <w:tcMar>
              <w:top w:type="dxa" w:w="60"/>
              <w:left w:type="dxa" w:w="90"/>
              <w:bottom w:type="dxa" w:w="60"/>
              <w:right w:type="dxa" w:w="90"/>
            </w:tcMar>
          </w:tcPr>
          <w:p>
            <w:pPr>
              <w:spacing w:after="0" w:line="260"/>
            </w:pPr>
            <w:r>
              <w:rPr>
                <w:b w:val="false"/>
                <w:bCs w:val="false"/>
                <w:sz w:val="20"/>
                <w:szCs w:val="20"/>
              </w:rPr>
              <w:t xml:space="preserve">Primary fitting corpus and negative control</w:t>
            </w:r>
          </w:p>
        </w:tc>
      </w:tr>
      <w:tr>
        <w:trPr>
          <w:cantSplit/>
        </w:trPr>
        <w:tc>
          <w:tcPr>
            <w:tcW w:type="dxa" w:w="1900"/>
            <w:tcMar>
              <w:top w:type="dxa" w:w="60"/>
              <w:left w:type="dxa" w:w="90"/>
              <w:bottom w:type="dxa" w:w="60"/>
              <w:right w:type="dxa" w:w="90"/>
            </w:tcMar>
          </w:tcPr>
          <w:p>
            <w:pPr>
              <w:spacing w:after="0" w:line="260"/>
            </w:pPr>
            <w:r>
              <w:rPr>
                <w:b w:val="false"/>
                <w:bCs w:val="false"/>
                <w:sz w:val="20"/>
                <w:szCs w:val="20"/>
              </w:rPr>
              <w:t xml:space="preserve">AMI</w:t>
            </w:r>
          </w:p>
        </w:tc>
        <w:tc>
          <w:tcPr>
            <w:tcW w:type="dxa" w:w="4000"/>
            <w:tcMar>
              <w:top w:type="dxa" w:w="60"/>
              <w:left w:type="dxa" w:w="90"/>
              <w:bottom w:type="dxa" w:w="60"/>
              <w:right w:type="dxa" w:w="90"/>
            </w:tcMar>
          </w:tcPr>
          <w:p>
            <w:pPr>
              <w:spacing w:after="0" w:line="260"/>
            </w:pPr>
            <w:r>
              <w:rPr>
                <w:b w:val="false"/>
                <w:bCs w:val="false"/>
                <w:sz w:val="20"/>
                <w:szCs w:val="20"/>
              </w:rPr>
              <w:t xml:space="preserve">Manual annotation XML, word level, joined to speaker segments</w:t>
            </w:r>
          </w:p>
        </w:tc>
        <w:tc>
          <w:tcPr>
            <w:tcW w:type="dxa" w:w="1600"/>
            <w:tcMar>
              <w:top w:type="dxa" w:w="60"/>
              <w:left w:type="dxa" w:w="90"/>
              <w:bottom w:type="dxa" w:w="60"/>
              <w:right w:type="dxa" w:w="90"/>
            </w:tcMar>
          </w:tcPr>
          <w:p>
            <w:pPr>
              <w:spacing w:after="0" w:line="260"/>
            </w:pPr>
            <w:r>
              <w:rPr>
                <w:b w:val="false"/>
                <w:bCs w:val="false"/>
                <w:sz w:val="20"/>
                <w:szCs w:val="20"/>
              </w:rPr>
              <w:t xml:space="preserve">Open, CC BY 4.0, Edinburgh download form</w:t>
            </w:r>
          </w:p>
        </w:tc>
        <w:tc>
          <w:tcPr>
            <w:tcW w:type="dxa" w:w="1600"/>
            <w:tcMar>
              <w:top w:type="dxa" w:w="60"/>
              <w:left w:type="dxa" w:w="90"/>
              <w:bottom w:type="dxa" w:w="60"/>
              <w:right w:type="dxa" w:w="90"/>
            </w:tcMar>
          </w:tcPr>
          <w:p>
            <w:pPr>
              <w:spacing w:after="0" w:line="260"/>
            </w:pPr>
            <w:r>
              <w:rPr>
                <w:b w:val="false"/>
                <w:bCs w:val="false"/>
                <w:sz w:val="20"/>
                <w:szCs w:val="20"/>
              </w:rPr>
              <w:t xml:space="preserve">Contrast corpus — multi-party, non-narrative</w:t>
            </w:r>
          </w:p>
        </w:tc>
      </w:tr>
      <w:tr>
        <w:trPr>
          <w:cantSplit/>
        </w:trPr>
        <w:tc>
          <w:tcPr>
            <w:tcW w:type="dxa" w:w="1900"/>
            <w:tcMar>
              <w:top w:type="dxa" w:w="60"/>
              <w:left w:type="dxa" w:w="90"/>
              <w:bottom w:type="dxa" w:w="60"/>
              <w:right w:type="dxa" w:w="90"/>
            </w:tcMar>
          </w:tcPr>
          <w:p>
            <w:pPr>
              <w:spacing w:after="0" w:line="260"/>
            </w:pPr>
            <w:r>
              <w:rPr>
                <w:b w:val="false"/>
                <w:bCs w:val="false"/>
                <w:sz w:val="20"/>
                <w:szCs w:val="20"/>
              </w:rPr>
              <w:t xml:space="preserve">AVA / AVA-ActiveSpeaker</w:t>
            </w:r>
          </w:p>
        </w:tc>
        <w:tc>
          <w:tcPr>
            <w:tcW w:type="dxa" w:w="4000"/>
            <w:tcMar>
              <w:top w:type="dxa" w:w="60"/>
              <w:left w:type="dxa" w:w="90"/>
              <w:bottom w:type="dxa" w:w="60"/>
              <w:right w:type="dxa" w:w="90"/>
            </w:tcMar>
          </w:tcPr>
          <w:p>
            <w:pPr>
              <w:spacing w:after="0" w:line="260"/>
            </w:pPr>
            <w:r>
              <w:rPr>
                <w:b w:val="false"/>
                <w:bCs w:val="false"/>
                <w:sz w:val="20"/>
                <w:szCs w:val="20"/>
              </w:rPr>
              <w:t xml:space="preserve">None. Ships face boxes and per-frame speaking labels, no transcript</w:t>
            </w:r>
          </w:p>
        </w:tc>
        <w:tc>
          <w:tcPr>
            <w:tcW w:type="dxa" w:w="1600"/>
            <w:tcMar>
              <w:top w:type="dxa" w:w="60"/>
              <w:left w:type="dxa" w:w="90"/>
              <w:bottom w:type="dxa" w:w="60"/>
              <w:right w:type="dxa" w:w="90"/>
            </w:tcMar>
          </w:tcPr>
          <w:p>
            <w:pPr>
              <w:spacing w:after="0" w:line="260"/>
            </w:pPr>
            <w:r>
              <w:rPr>
                <w:b w:val="false"/>
                <w:bCs w:val="false"/>
                <w:sz w:val="20"/>
                <w:szCs w:val="20"/>
              </w:rPr>
              <w:t xml:space="preserve">Open</w:t>
            </w:r>
          </w:p>
        </w:tc>
        <w:tc>
          <w:tcPr>
            <w:tcW w:type="dxa" w:w="1600"/>
            <w:tcMar>
              <w:top w:type="dxa" w:w="60"/>
              <w:left w:type="dxa" w:w="90"/>
              <w:bottom w:type="dxa" w:w="60"/>
              <w:right w:type="dxa" w:w="90"/>
            </w:tcMar>
          </w:tcPr>
          <w:p>
            <w:pPr>
              <w:spacing w:after="0" w:line="260"/>
            </w:pPr>
            <w:r>
              <w:rPr>
                <w:b w:val="false"/>
                <w:bCs w:val="false"/>
                <w:sz w:val="20"/>
                <w:szCs w:val="20"/>
              </w:rPr>
              <w:t xml:space="preserve">Not usable by this component at present; see limitation L1</w:t>
            </w:r>
          </w:p>
        </w:tc>
      </w:tr>
    </w:tbl>
    <w:p>
      <w:pPr>
        <w:spacing w:after="120" w:line="300"/>
      </w:pPr>
      <w:r>
        <w:rPr>
          <w:i/>
          <w:iCs/>
          <w:sz w:val="20"/>
          <w:szCs w:val="20"/>
        </w:rPr>
        <w:t xml:space="preserve">Table 3. Corpora and component coverage</w:t>
      </w:r>
    </w:p>
    <w:p>
      <w:pPr>
        <w:pBdr>
          <w:left w:val="single" w:color="888888" w:sz="12" w:space="8"/>
        </w:pBdr>
        <w:spacing w:after="140" w:line="300"/>
        <w:ind w:left="215"/>
      </w:pPr>
      <w:r>
        <w:rPr>
          <w:i/>
          <w:iCs/>
          <w:color w:val="444444"/>
          <w:sz w:val="22"/>
          <w:szCs w:val="22"/>
        </w:rPr>
        <w:t xml:space="preserve">[TO COMPLETE] Before submission, add the third corpus once you have verified it. Candidates identified and their access status are recorded in the project document C3_dialogue_corpus_shortlist.md. State only what you have confirmed yourself.</w:t>
      </w:r>
    </w:p>
    <w:p>
      <w:pPr>
        <w:pStyle w:val="Heading3"/>
        <w:spacing w:after="140" w:before="280"/>
      </w:pPr>
      <w:r>
        <w:t xml:space="preserve">Preparation process</w:t>
      </w:r>
    </w:p>
    <w:p>
      <w:pPr>
        <w:pStyle w:val="ListParagraph"/>
        <w:numPr>
          <w:ilvl w:val="0"/>
          <w:numId w:val="1"/>
        </w:numPr>
        <w:spacing w:after="80" w:line="300"/>
      </w:pPr>
      <w:r>
        <w:rPr>
          <w:sz w:val="22"/>
          <w:szCs w:val="22"/>
        </w:rPr>
        <w:t xml:space="preserve">Acquisition — produce a table of (clip_id, utterance_id, speaker_id, text, start_time, end_time) per corpus. MELD requires no processing beyond reading the CSVs; AMI requires parsing the annotation XML and joining words to speaker segments.</w:t>
      </w:r>
    </w:p>
    <w:p>
      <w:pPr>
        <w:pStyle w:val="ListParagraph"/>
        <w:numPr>
          <w:ilvl w:val="0"/>
          <w:numId w:val="1"/>
        </w:numPr>
        <w:spacing w:after="80" w:line="300"/>
      </w:pPr>
      <w:r>
        <w:rPr>
          <w:sz w:val="22"/>
          <w:szCs w:val="22"/>
        </w:rPr>
        <w:t xml:space="preserve">Gender mapping — map speaker identifiers to male, female or unknown. For MELD this is a manual character-name mapping over the main and recurring cast, published as an appendix. Utterances by unknown or ambiguous speakers are excluded and the excluded share reported, never silently dropped. This mapping is a shared group asset: all four components must aggregate over the same identity-to-gender map, or the sub-scores describe different populations and cannot be fused.</w:t>
      </w:r>
    </w:p>
    <w:p>
      <w:pPr>
        <w:pStyle w:val="ListParagraph"/>
        <w:numPr>
          <w:ilvl w:val="0"/>
          <w:numId w:val="1"/>
        </w:numPr>
        <w:spacing w:after="80" w:line="300"/>
      </w:pPr>
      <w:r>
        <w:rPr>
          <w:sz w:val="22"/>
          <w:szCs w:val="22"/>
        </w:rPr>
        <w:t xml:space="preserve">Sharding — apply the group shard contract, partitioned by identity so that no character spans two shards. This contract is in tension with MELD’s structure, which has six recurring leads appearing across nearly every episode; the fallback is recorded as limitation L2.</w:t>
      </w:r>
    </w:p>
    <w:p>
      <w:pPr>
        <w:pStyle w:val="ListParagraph"/>
        <w:numPr>
          <w:ilvl w:val="0"/>
          <w:numId w:val="1"/>
        </w:numPr>
        <w:spacing w:after="80" w:line="300"/>
      </w:pPr>
      <w:r>
        <w:rPr>
          <w:sz w:val="22"/>
          <w:szCs w:val="22"/>
        </w:rPr>
        <w:t xml:space="preserve">Parsing — tokenise, sentence-split and dependency-parse. Parse trees are retained because the agency and power features require subject–verb relations rather than bag-of-words counts.</w:t>
      </w:r>
    </w:p>
    <w:p>
      <w:pPr>
        <w:pStyle w:val="ListParagraph"/>
        <w:numPr>
          <w:ilvl w:val="0"/>
          <w:numId w:val="1"/>
        </w:numPr>
        <w:spacing w:after="80" w:line="300"/>
      </w:pPr>
      <w:r>
        <w:rPr>
          <w:sz w:val="22"/>
          <w:szCs w:val="22"/>
        </w:rPr>
        <w:t xml:space="preserve">Scale-free conversion — every feature is expressed as a share or a normalised ratio. No raw magnitude enters the model, because a raw count grows with corpus size and an equation fitted on raw counts would score a large balanced dataset as more biased than a small skewed one.</w:t>
      </w:r>
    </w:p>
    <w:p>
      <w:pPr>
        <w:pStyle w:val="Heading3"/>
        <w:spacing w:after="140" w:before="280"/>
      </w:pPr>
      <w:r>
        <w:t xml:space="preserve">Features</w:t>
      </w:r>
    </w:p>
    <w:p>
      <w:pPr>
        <w:spacing w:after="120" w:line="300"/>
      </w:pPr>
      <w:r>
        <w:rPr>
          <w:sz w:val="22"/>
          <w:szCs w:val="22"/>
        </w:rPr>
        <w:t xml:space="preserve">Means are used rather than standard deviations. EuqAud used standard deviations of pitch, energy and amplitude because those quantities are intrinsically gender-linked, so a mean would merely detect that a woman is present. Dialogue volume and agency are not intrinsically gender-linked; the signal lives in the mean, and taking a standard deviation would remove 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00"/>
        <w:gridCol w:w="1400"/>
      </w:tblGrid>
      <w:tr>
        <w:trPr>
          <w:cantSplit/>
          <w:tblHeader/>
        </w:trPr>
        <w:tc>
          <w:tcPr>
            <w:tcW w:type="dxa" w:w="600"/>
            <w:shd w:fill="E8E8E8" w:val="clear"/>
            <w:tcMar>
              <w:top w:type="dxa" w:w="60"/>
              <w:left w:type="dxa" w:w="90"/>
              <w:bottom w:type="dxa" w:w="60"/>
              <w:right w:type="dxa" w:w="90"/>
            </w:tcMar>
          </w:tcPr>
          <w:p>
            <w:pPr>
              <w:spacing w:after="0" w:line="260"/>
            </w:pPr>
            <w:r>
              <w:rPr>
                <w:b/>
                <w:bCs/>
                <w:sz w:val="20"/>
                <w:szCs w:val="20"/>
              </w:rPr>
              <w:t xml:space="preserve">#</w:t>
            </w:r>
          </w:p>
        </w:tc>
        <w:tc>
          <w:tcPr>
            <w:tcW w:type="dxa" w:w="2400"/>
            <w:shd w:fill="E8E8E8" w:val="clear"/>
            <w:tcMar>
              <w:top w:type="dxa" w:w="60"/>
              <w:left w:type="dxa" w:w="90"/>
              <w:bottom w:type="dxa" w:w="60"/>
              <w:right w:type="dxa" w:w="90"/>
            </w:tcMar>
          </w:tcPr>
          <w:p>
            <w:pPr>
              <w:spacing w:after="0" w:line="260"/>
            </w:pPr>
            <w:r>
              <w:rPr>
                <w:b/>
                <w:bCs/>
                <w:sz w:val="20"/>
                <w:szCs w:val="20"/>
              </w:rPr>
              <w:t xml:space="preserve">Feature</w:t>
            </w:r>
          </w:p>
        </w:tc>
        <w:tc>
          <w:tcPr>
            <w:tcW w:type="dxa" w:w="4700"/>
            <w:shd w:fill="E8E8E8" w:val="clear"/>
            <w:tcMar>
              <w:top w:type="dxa" w:w="60"/>
              <w:left w:type="dxa" w:w="90"/>
              <w:bottom w:type="dxa" w:w="60"/>
              <w:right w:type="dxa" w:w="90"/>
            </w:tcMar>
          </w:tcPr>
          <w:p>
            <w:pPr>
              <w:spacing w:after="0" w:line="260"/>
            </w:pPr>
            <w:r>
              <w:rPr>
                <w:b/>
                <w:bCs/>
                <w:sz w:val="20"/>
                <w:szCs w:val="20"/>
              </w:rPr>
              <w:t xml:space="preserve">Definition</w:t>
            </w:r>
          </w:p>
        </w:tc>
        <w:tc>
          <w:tcPr>
            <w:tcW w:type="dxa" w:w="1400"/>
            <w:shd w:fill="E8E8E8" w:val="clear"/>
            <w:tcMar>
              <w:top w:type="dxa" w:w="60"/>
              <w:left w:type="dxa" w:w="90"/>
              <w:bottom w:type="dxa" w:w="60"/>
              <w:right w:type="dxa" w:w="90"/>
            </w:tcMar>
          </w:tcPr>
          <w:p>
            <w:pPr>
              <w:spacing w:after="0" w:line="260"/>
            </w:pPr>
            <w:r>
              <w:rPr>
                <w:b/>
                <w:bCs/>
                <w:sz w:val="20"/>
                <w:szCs w:val="20"/>
              </w:rPr>
              <w:t xml:space="preserve">Level</w:t>
            </w:r>
          </w:p>
        </w:tc>
      </w:tr>
      <w:tr>
        <w:trPr>
          <w:cantSplit/>
        </w:trPr>
        <w:tc>
          <w:tcPr>
            <w:tcW w:type="dxa" w:w="600"/>
            <w:tcMar>
              <w:top w:type="dxa" w:w="60"/>
              <w:left w:type="dxa" w:w="90"/>
              <w:bottom w:type="dxa" w:w="60"/>
              <w:right w:type="dxa" w:w="90"/>
            </w:tcMar>
          </w:tcPr>
          <w:p>
            <w:pPr>
              <w:spacing w:after="0" w:line="260"/>
            </w:pPr>
            <w:r>
              <w:rPr>
                <w:b w:val="false"/>
                <w:bCs w:val="false"/>
                <w:sz w:val="20"/>
                <w:szCs w:val="20"/>
              </w:rPr>
              <w:t xml:space="preserve">F1</w:t>
            </w:r>
          </w:p>
        </w:tc>
        <w:tc>
          <w:tcPr>
            <w:tcW w:type="dxa" w:w="2400"/>
            <w:tcMar>
              <w:top w:type="dxa" w:w="60"/>
              <w:left w:type="dxa" w:w="90"/>
              <w:bottom w:type="dxa" w:w="60"/>
              <w:right w:type="dxa" w:w="90"/>
            </w:tcMar>
          </w:tcPr>
          <w:p>
            <w:pPr>
              <w:spacing w:after="0" w:line="260"/>
            </w:pPr>
            <w:r>
              <w:rPr>
                <w:b w:val="false"/>
                <w:bCs w:val="false"/>
                <w:sz w:val="20"/>
                <w:szCs w:val="20"/>
              </w:rPr>
              <w:t xml:space="preserve">dialogue_volume_share</w:t>
            </w:r>
          </w:p>
        </w:tc>
        <w:tc>
          <w:tcPr>
            <w:tcW w:type="dxa" w:w="4700"/>
            <w:tcMar>
              <w:top w:type="dxa" w:w="60"/>
              <w:left w:type="dxa" w:w="90"/>
              <w:bottom w:type="dxa" w:w="60"/>
              <w:right w:type="dxa" w:w="90"/>
            </w:tcMar>
          </w:tcPr>
          <w:p>
            <w:pPr>
              <w:spacing w:after="0" w:line="260"/>
            </w:pPr>
            <w:r>
              <w:rPr>
                <w:b w:val="false"/>
                <w:bCs w:val="false"/>
                <w:sz w:val="20"/>
                <w:szCs w:val="20"/>
              </w:rPr>
              <w:t xml:space="preserve">Words spoken by gender g divided by total words in the shard</w:t>
            </w:r>
          </w:p>
        </w:tc>
        <w:tc>
          <w:tcPr>
            <w:tcW w:type="dxa" w:w="1400"/>
            <w:tcMar>
              <w:top w:type="dxa" w:w="60"/>
              <w:left w:type="dxa" w:w="90"/>
              <w:bottom w:type="dxa" w:w="60"/>
              <w:right w:type="dxa" w:w="90"/>
            </w:tcMar>
          </w:tcPr>
          <w:p>
            <w:pPr>
              <w:spacing w:after="0" w:line="260"/>
            </w:pPr>
            <w:r>
              <w:rPr>
                <w:b w:val="false"/>
                <w:bCs w:val="false"/>
                <w:sz w:val="20"/>
                <w:szCs w:val="20"/>
              </w:rPr>
              <w:t xml:space="preserve">Volume</w:t>
            </w:r>
          </w:p>
        </w:tc>
      </w:tr>
      <w:tr>
        <w:trPr>
          <w:cantSplit/>
        </w:trPr>
        <w:tc>
          <w:tcPr>
            <w:tcW w:type="dxa" w:w="600"/>
            <w:tcMar>
              <w:top w:type="dxa" w:w="60"/>
              <w:left w:type="dxa" w:w="90"/>
              <w:bottom w:type="dxa" w:w="60"/>
              <w:right w:type="dxa" w:w="90"/>
            </w:tcMar>
          </w:tcPr>
          <w:p>
            <w:pPr>
              <w:spacing w:after="0" w:line="260"/>
            </w:pPr>
            <w:r>
              <w:rPr>
                <w:b w:val="false"/>
                <w:bCs w:val="false"/>
                <w:sz w:val="20"/>
                <w:szCs w:val="20"/>
              </w:rPr>
              <w:t xml:space="preserve">F2</w:t>
            </w:r>
          </w:p>
        </w:tc>
        <w:tc>
          <w:tcPr>
            <w:tcW w:type="dxa" w:w="2400"/>
            <w:tcMar>
              <w:top w:type="dxa" w:w="60"/>
              <w:left w:type="dxa" w:w="90"/>
              <w:bottom w:type="dxa" w:w="60"/>
              <w:right w:type="dxa" w:w="90"/>
            </w:tcMar>
          </w:tcPr>
          <w:p>
            <w:pPr>
              <w:spacing w:after="0" w:line="260"/>
            </w:pPr>
            <w:r>
              <w:rPr>
                <w:b w:val="false"/>
                <w:bCs w:val="false"/>
                <w:sz w:val="20"/>
                <w:szCs w:val="20"/>
              </w:rPr>
              <w:t xml:space="preserve">mean_utterance_length</w:t>
            </w:r>
          </w:p>
        </w:tc>
        <w:tc>
          <w:tcPr>
            <w:tcW w:type="dxa" w:w="4700"/>
            <w:tcMar>
              <w:top w:type="dxa" w:w="60"/>
              <w:left w:type="dxa" w:w="90"/>
              <w:bottom w:type="dxa" w:w="60"/>
              <w:right w:type="dxa" w:w="90"/>
            </w:tcMar>
          </w:tcPr>
          <w:p>
            <w:pPr>
              <w:spacing w:after="0" w:line="260"/>
            </w:pPr>
            <w:r>
              <w:rPr>
                <w:b w:val="false"/>
                <w:bCs w:val="false"/>
                <w:sz w:val="20"/>
                <w:szCs w:val="20"/>
              </w:rPr>
              <w:t xml:space="preserve">Mean words per utterance for gender g, normalised by the shard mean</w:t>
            </w:r>
          </w:p>
        </w:tc>
        <w:tc>
          <w:tcPr>
            <w:tcW w:type="dxa" w:w="1400"/>
            <w:tcMar>
              <w:top w:type="dxa" w:w="60"/>
              <w:left w:type="dxa" w:w="90"/>
              <w:bottom w:type="dxa" w:w="60"/>
              <w:right w:type="dxa" w:w="90"/>
            </w:tcMar>
          </w:tcPr>
          <w:p>
            <w:pPr>
              <w:spacing w:after="0" w:line="260"/>
            </w:pPr>
            <w:r>
              <w:rPr>
                <w:b w:val="false"/>
                <w:bCs w:val="false"/>
                <w:sz w:val="20"/>
                <w:szCs w:val="20"/>
              </w:rPr>
              <w:t xml:space="preserve">Volume</w:t>
            </w:r>
          </w:p>
        </w:tc>
      </w:tr>
      <w:tr>
        <w:trPr>
          <w:cantSplit/>
        </w:trPr>
        <w:tc>
          <w:tcPr>
            <w:tcW w:type="dxa" w:w="600"/>
            <w:tcMar>
              <w:top w:type="dxa" w:w="60"/>
              <w:left w:type="dxa" w:w="90"/>
              <w:bottom w:type="dxa" w:w="60"/>
              <w:right w:type="dxa" w:w="90"/>
            </w:tcMar>
          </w:tcPr>
          <w:p>
            <w:pPr>
              <w:spacing w:after="0" w:line="260"/>
            </w:pPr>
            <w:r>
              <w:rPr>
                <w:b w:val="false"/>
                <w:bCs w:val="false"/>
                <w:sz w:val="20"/>
                <w:szCs w:val="20"/>
              </w:rPr>
              <w:t xml:space="preserve">F3</w:t>
            </w:r>
          </w:p>
        </w:tc>
        <w:tc>
          <w:tcPr>
            <w:tcW w:type="dxa" w:w="2400"/>
            <w:tcMar>
              <w:top w:type="dxa" w:w="60"/>
              <w:left w:type="dxa" w:w="90"/>
              <w:bottom w:type="dxa" w:w="60"/>
              <w:right w:type="dxa" w:w="90"/>
            </w:tcMar>
          </w:tcPr>
          <w:p>
            <w:pPr>
              <w:spacing w:after="0" w:line="260"/>
            </w:pPr>
            <w:r>
              <w:rPr>
                <w:b w:val="false"/>
                <w:bCs w:val="false"/>
                <w:sz w:val="20"/>
                <w:szCs w:val="20"/>
              </w:rPr>
              <w:t xml:space="preserve">agency_score_mean</w:t>
            </w:r>
          </w:p>
        </w:tc>
        <w:tc>
          <w:tcPr>
            <w:tcW w:type="dxa" w:w="4700"/>
            <w:tcMar>
              <w:top w:type="dxa" w:w="60"/>
              <w:left w:type="dxa" w:w="90"/>
              <w:bottom w:type="dxa" w:w="60"/>
              <w:right w:type="dxa" w:w="90"/>
            </w:tcMar>
          </w:tcPr>
          <w:p>
            <w:pPr>
              <w:spacing w:after="0" w:line="260"/>
            </w:pPr>
            <w:r>
              <w:rPr>
                <w:b w:val="false"/>
                <w:bCs w:val="false"/>
                <w:sz w:val="20"/>
                <w:szCs w:val="20"/>
              </w:rPr>
              <w:t xml:space="preserve">Mean agency value of verbs for which a character of gender g is the syntactic subject, from the connotation-frame lexicon [2]</w:t>
            </w:r>
          </w:p>
        </w:tc>
        <w:tc>
          <w:tcPr>
            <w:tcW w:type="dxa" w:w="1400"/>
            <w:tcMar>
              <w:top w:type="dxa" w:w="60"/>
              <w:left w:type="dxa" w:w="90"/>
              <w:bottom w:type="dxa" w:w="60"/>
              <w:right w:type="dxa" w:w="90"/>
            </w:tcMar>
          </w:tcPr>
          <w:p>
            <w:pPr>
              <w:spacing w:after="0" w:line="260"/>
            </w:pPr>
            <w:r>
              <w:rPr>
                <w:b w:val="false"/>
                <w:bCs w:val="false"/>
                <w:sz w:val="20"/>
                <w:szCs w:val="20"/>
              </w:rPr>
              <w:t xml:space="preserve">Agency</w:t>
            </w:r>
          </w:p>
        </w:tc>
      </w:tr>
      <w:tr>
        <w:trPr>
          <w:cantSplit/>
        </w:trPr>
        <w:tc>
          <w:tcPr>
            <w:tcW w:type="dxa" w:w="600"/>
            <w:tcMar>
              <w:top w:type="dxa" w:w="60"/>
              <w:left w:type="dxa" w:w="90"/>
              <w:bottom w:type="dxa" w:w="60"/>
              <w:right w:type="dxa" w:w="90"/>
            </w:tcMar>
          </w:tcPr>
          <w:p>
            <w:pPr>
              <w:spacing w:after="0" w:line="260"/>
            </w:pPr>
            <w:r>
              <w:rPr>
                <w:b w:val="false"/>
                <w:bCs w:val="false"/>
                <w:sz w:val="20"/>
                <w:szCs w:val="20"/>
              </w:rPr>
              <w:t xml:space="preserve">F4</w:t>
            </w:r>
          </w:p>
        </w:tc>
        <w:tc>
          <w:tcPr>
            <w:tcW w:type="dxa" w:w="2400"/>
            <w:tcMar>
              <w:top w:type="dxa" w:w="60"/>
              <w:left w:type="dxa" w:w="90"/>
              <w:bottom w:type="dxa" w:w="60"/>
              <w:right w:type="dxa" w:w="90"/>
            </w:tcMar>
          </w:tcPr>
          <w:p>
            <w:pPr>
              <w:spacing w:after="0" w:line="260"/>
            </w:pPr>
            <w:r>
              <w:rPr>
                <w:b w:val="false"/>
                <w:bCs w:val="false"/>
                <w:sz w:val="20"/>
                <w:szCs w:val="20"/>
              </w:rPr>
              <w:t xml:space="preserve">power_score_mean</w:t>
            </w:r>
          </w:p>
        </w:tc>
        <w:tc>
          <w:tcPr>
            <w:tcW w:type="dxa" w:w="4700"/>
            <w:tcMar>
              <w:top w:type="dxa" w:w="60"/>
              <w:left w:type="dxa" w:w="90"/>
              <w:bottom w:type="dxa" w:w="60"/>
              <w:right w:type="dxa" w:w="90"/>
            </w:tcMar>
          </w:tcPr>
          <w:p>
            <w:pPr>
              <w:spacing w:after="0" w:line="260"/>
            </w:pPr>
            <w:r>
              <w:rPr>
                <w:b w:val="false"/>
                <w:bCs w:val="false"/>
                <w:sz w:val="20"/>
                <w:szCs w:val="20"/>
              </w:rPr>
              <w:t xml:space="preserve">Mean power value over the same subject–verb pairs [2]</w:t>
            </w:r>
          </w:p>
        </w:tc>
        <w:tc>
          <w:tcPr>
            <w:tcW w:type="dxa" w:w="1400"/>
            <w:tcMar>
              <w:top w:type="dxa" w:w="60"/>
              <w:left w:type="dxa" w:w="90"/>
              <w:bottom w:type="dxa" w:w="60"/>
              <w:right w:type="dxa" w:w="90"/>
            </w:tcMar>
          </w:tcPr>
          <w:p>
            <w:pPr>
              <w:spacing w:after="0" w:line="260"/>
            </w:pPr>
            <w:r>
              <w:rPr>
                <w:b w:val="false"/>
                <w:bCs w:val="false"/>
                <w:sz w:val="20"/>
                <w:szCs w:val="20"/>
              </w:rPr>
              <w:t xml:space="preserve">Power</w:t>
            </w:r>
          </w:p>
        </w:tc>
      </w:tr>
      <w:tr>
        <w:trPr>
          <w:cantSplit/>
        </w:trPr>
        <w:tc>
          <w:tcPr>
            <w:tcW w:type="dxa" w:w="600"/>
            <w:tcMar>
              <w:top w:type="dxa" w:w="60"/>
              <w:left w:type="dxa" w:w="90"/>
              <w:bottom w:type="dxa" w:w="60"/>
              <w:right w:type="dxa" w:w="90"/>
            </w:tcMar>
          </w:tcPr>
          <w:p>
            <w:pPr>
              <w:spacing w:after="0" w:line="260"/>
            </w:pPr>
            <w:r>
              <w:rPr>
                <w:b w:val="false"/>
                <w:bCs w:val="false"/>
                <w:sz w:val="20"/>
                <w:szCs w:val="20"/>
              </w:rPr>
              <w:t xml:space="preserve">F5</w:t>
            </w:r>
          </w:p>
        </w:tc>
        <w:tc>
          <w:tcPr>
            <w:tcW w:type="dxa" w:w="2400"/>
            <w:tcMar>
              <w:top w:type="dxa" w:w="60"/>
              <w:left w:type="dxa" w:w="90"/>
              <w:bottom w:type="dxa" w:w="60"/>
              <w:right w:type="dxa" w:w="90"/>
            </w:tcMar>
          </w:tcPr>
          <w:p>
            <w:pPr>
              <w:spacing w:after="0" w:line="260"/>
            </w:pPr>
            <w:r>
              <w:rPr>
                <w:b w:val="false"/>
                <w:bCs w:val="false"/>
                <w:sz w:val="20"/>
                <w:szCs w:val="20"/>
              </w:rPr>
              <w:t xml:space="preserve">same_gender_dialogue_share</w:t>
            </w:r>
          </w:p>
        </w:tc>
        <w:tc>
          <w:tcPr>
            <w:tcW w:type="dxa" w:w="4700"/>
            <w:tcMar>
              <w:top w:type="dxa" w:w="60"/>
              <w:left w:type="dxa" w:w="90"/>
              <w:bottom w:type="dxa" w:w="60"/>
              <w:right w:type="dxa" w:w="90"/>
            </w:tcMar>
          </w:tcPr>
          <w:p>
            <w:pPr>
              <w:spacing w:after="0" w:line="260"/>
            </w:pPr>
            <w:r>
              <w:rPr>
                <w:b w:val="false"/>
                <w:bCs w:val="false"/>
                <w:sz w:val="20"/>
                <w:szCs w:val="20"/>
              </w:rPr>
              <w:t xml:space="preserve">Proportion of gender g’s utterances occurring in an adjacent turn with another character of the same gender</w:t>
            </w:r>
          </w:p>
        </w:tc>
        <w:tc>
          <w:tcPr>
            <w:tcW w:type="dxa" w:w="1400"/>
            <w:tcMar>
              <w:top w:type="dxa" w:w="60"/>
              <w:left w:type="dxa" w:w="90"/>
              <w:bottom w:type="dxa" w:w="60"/>
              <w:right w:type="dxa" w:w="90"/>
            </w:tcMar>
          </w:tcPr>
          <w:p>
            <w:pPr>
              <w:spacing w:after="0" w:line="260"/>
            </w:pPr>
            <w:r>
              <w:rPr>
                <w:b w:val="false"/>
                <w:bCs w:val="false"/>
                <w:sz w:val="20"/>
                <w:szCs w:val="20"/>
              </w:rPr>
              <w:t xml:space="preserve">Interaction</w:t>
            </w:r>
          </w:p>
        </w:tc>
      </w:tr>
      <w:tr>
        <w:trPr>
          <w:cantSplit/>
        </w:trPr>
        <w:tc>
          <w:tcPr>
            <w:tcW w:type="dxa" w:w="600"/>
            <w:tcMar>
              <w:top w:type="dxa" w:w="60"/>
              <w:left w:type="dxa" w:w="90"/>
              <w:bottom w:type="dxa" w:w="60"/>
              <w:right w:type="dxa" w:w="90"/>
            </w:tcMar>
          </w:tcPr>
          <w:p>
            <w:pPr>
              <w:spacing w:after="0" w:line="260"/>
            </w:pPr>
            <w:r>
              <w:rPr>
                <w:b w:val="false"/>
                <w:bCs w:val="false"/>
                <w:sz w:val="20"/>
                <w:szCs w:val="20"/>
              </w:rPr>
              <w:t xml:space="preserve">F6</w:t>
            </w:r>
          </w:p>
        </w:tc>
        <w:tc>
          <w:tcPr>
            <w:tcW w:type="dxa" w:w="2400"/>
            <w:tcMar>
              <w:top w:type="dxa" w:w="60"/>
              <w:left w:type="dxa" w:w="90"/>
              <w:bottom w:type="dxa" w:w="60"/>
              <w:right w:type="dxa" w:w="90"/>
            </w:tcMar>
          </w:tcPr>
          <w:p>
            <w:pPr>
              <w:spacing w:after="0" w:line="260"/>
            </w:pPr>
            <w:r>
              <w:rPr>
                <w:b w:val="false"/>
                <w:bCs w:val="false"/>
                <w:sz w:val="20"/>
                <w:szCs w:val="20"/>
              </w:rPr>
              <w:t xml:space="preserve">mention_ratio</w:t>
            </w:r>
          </w:p>
        </w:tc>
        <w:tc>
          <w:tcPr>
            <w:tcW w:type="dxa" w:w="4700"/>
            <w:tcMar>
              <w:top w:type="dxa" w:w="60"/>
              <w:left w:type="dxa" w:w="90"/>
              <w:bottom w:type="dxa" w:w="60"/>
              <w:right w:type="dxa" w:w="90"/>
            </w:tcMar>
          </w:tcPr>
          <w:p>
            <w:pPr>
              <w:spacing w:after="0" w:line="260"/>
            </w:pPr>
            <w:r>
              <w:rPr>
                <w:b w:val="false"/>
                <w:bCs w:val="false"/>
                <w:sz w:val="20"/>
                <w:szCs w:val="20"/>
              </w:rPr>
              <w:t xml:space="preserve">Times a character of gender g is named by other characters, divided by the number of times they speak</w:t>
            </w:r>
          </w:p>
        </w:tc>
        <w:tc>
          <w:tcPr>
            <w:tcW w:type="dxa" w:w="1400"/>
            <w:tcMar>
              <w:top w:type="dxa" w:w="60"/>
              <w:left w:type="dxa" w:w="90"/>
              <w:bottom w:type="dxa" w:w="60"/>
              <w:right w:type="dxa" w:w="90"/>
            </w:tcMar>
          </w:tcPr>
          <w:p>
            <w:pPr>
              <w:spacing w:after="0" w:line="260"/>
            </w:pPr>
            <w:r>
              <w:rPr>
                <w:b w:val="false"/>
                <w:bCs w:val="false"/>
                <w:sz w:val="20"/>
                <w:szCs w:val="20"/>
              </w:rPr>
              <w:t xml:space="preserve">Interaction</w:t>
            </w:r>
          </w:p>
        </w:tc>
      </w:tr>
      <w:tr>
        <w:trPr>
          <w:cantSplit/>
        </w:trPr>
        <w:tc>
          <w:tcPr>
            <w:tcW w:type="dxa" w:w="600"/>
            <w:tcMar>
              <w:top w:type="dxa" w:w="60"/>
              <w:left w:type="dxa" w:w="90"/>
              <w:bottom w:type="dxa" w:w="60"/>
              <w:right w:type="dxa" w:w="90"/>
            </w:tcMar>
          </w:tcPr>
          <w:p>
            <w:pPr>
              <w:spacing w:after="0" w:line="260"/>
            </w:pPr>
            <w:r>
              <w:rPr>
                <w:b w:val="false"/>
                <w:bCs w:val="false"/>
                <w:sz w:val="20"/>
                <w:szCs w:val="20"/>
              </w:rPr>
              <w:t xml:space="preserve">F7</w:t>
            </w:r>
          </w:p>
        </w:tc>
        <w:tc>
          <w:tcPr>
            <w:tcW w:type="dxa" w:w="2400"/>
            <w:tcMar>
              <w:top w:type="dxa" w:w="60"/>
              <w:left w:type="dxa" w:w="90"/>
              <w:bottom w:type="dxa" w:w="60"/>
              <w:right w:type="dxa" w:w="90"/>
            </w:tcMar>
          </w:tcPr>
          <w:p>
            <w:pPr>
              <w:spacing w:after="0" w:line="260"/>
            </w:pPr>
            <w:r>
              <w:rPr>
                <w:b w:val="false"/>
                <w:bCs w:val="false"/>
                <w:sz w:val="20"/>
                <w:szCs w:val="20"/>
              </w:rPr>
              <w:t xml:space="preserve">sentiment_valence_mean</w:t>
            </w:r>
          </w:p>
        </w:tc>
        <w:tc>
          <w:tcPr>
            <w:tcW w:type="dxa" w:w="4700"/>
            <w:tcMar>
              <w:top w:type="dxa" w:w="60"/>
              <w:left w:type="dxa" w:w="90"/>
              <w:bottom w:type="dxa" w:w="60"/>
              <w:right w:type="dxa" w:w="90"/>
            </w:tcMar>
          </w:tcPr>
          <w:p>
            <w:pPr>
              <w:spacing w:after="0" w:line="260"/>
            </w:pPr>
            <w:r>
              <w:rPr>
                <w:b w:val="false"/>
                <w:bCs w:val="false"/>
                <w:sz w:val="20"/>
                <w:szCs w:val="20"/>
              </w:rPr>
              <w:t xml:space="preserve">Mean sentiment polarity of gender g’s utterances</w:t>
            </w:r>
          </w:p>
        </w:tc>
        <w:tc>
          <w:tcPr>
            <w:tcW w:type="dxa" w:w="1400"/>
            <w:tcMar>
              <w:top w:type="dxa" w:w="60"/>
              <w:left w:type="dxa" w:w="90"/>
              <w:bottom w:type="dxa" w:w="60"/>
              <w:right w:type="dxa" w:w="90"/>
            </w:tcMar>
          </w:tcPr>
          <w:p>
            <w:pPr>
              <w:spacing w:after="0" w:line="260"/>
            </w:pPr>
            <w:r>
              <w:rPr>
                <w:b w:val="false"/>
                <w:bCs w:val="false"/>
                <w:sz w:val="20"/>
                <w:szCs w:val="20"/>
              </w:rPr>
              <w:t xml:space="preserve">Subject matter</w:t>
            </w:r>
          </w:p>
        </w:tc>
      </w:tr>
    </w:tbl>
    <w:p>
      <w:pPr>
        <w:spacing w:after="120" w:line="300"/>
      </w:pPr>
      <w:r>
        <w:rPr>
          <w:i/>
          <w:iCs/>
          <w:sz w:val="20"/>
          <w:szCs w:val="20"/>
        </w:rPr>
        <w:t xml:space="preserve">Table 2. Extracted dialogue disparity features</w:t>
      </w:r>
    </w:p>
    <w:p>
      <w:pPr>
        <w:spacing w:after="120" w:line="300"/>
      </w:pPr>
      <w:r>
        <w:rPr>
          <w:sz w:val="22"/>
          <w:szCs w:val="22"/>
        </w:rPr>
        <w:t xml:space="preserve">An eighth candidate, utterance_count_share, was deliberately excluded. It is the same quantity as the temporal component’s turn-count share, and retaining it in both sub-metrics would weight that signal twice in the fused score. This is a cross-component duplication that within-component collinearity screening would not detect, because screening operates only on the features present in one model.</w:t>
      </w:r>
    </w:p>
    <w:p>
      <w:pPr>
        <w:spacing w:after="120" w:line="300"/>
      </w:pPr>
      <w:r>
        <w:rPr>
          <w:sz w:val="22"/>
          <w:szCs w:val="22"/>
        </w:rPr>
        <w:t xml:space="preserve">Seven raw features reduce to approximately six disparity features after collinearity screening. At polynomial degree two over six features the expansion carries 28 coefficients, which is tractable against a target of 200 or more independent shards.</w:t>
      </w:r>
    </w:p>
    <w:p>
      <w:pPr>
        <w:pStyle w:val="Heading2"/>
        <w:spacing w:after="140" w:before="280"/>
      </w:pPr>
      <w:r>
        <w:t xml:space="preserve">3.3 Baseline and benchmark</w:t>
      </w:r>
    </w:p>
    <w:p>
      <w:pPr>
        <w:spacing w:after="120" w:line="300"/>
      </w:pPr>
      <w:r>
        <w:rPr>
          <w:sz w:val="22"/>
          <w:szCs w:val="22"/>
        </w:rPr>
        <w:t xml:space="preserve">The equation must be shown to provide information that simpler measures do not. Three baselines are used, each computable on the same shards:</w:t>
      </w:r>
    </w:p>
    <w:p>
      <w:pPr>
        <w:pStyle w:val="ListParagraph"/>
        <w:numPr>
          <w:ilvl w:val="0"/>
          <w:numId w:val="1"/>
        </w:numPr>
        <w:spacing w:after="80" w:line="300"/>
      </w:pPr>
      <w:r>
        <w:rPr>
          <w:sz w:val="22"/>
          <w:szCs w:val="22"/>
        </w:rPr>
        <w:t xml:space="preserve">Dialogue-volume ratio — the male-to-female ratio of words spoken. This is the measure an informed practitioner would reach for first, and is the baseline the component must beat to justify its existence.</w:t>
      </w:r>
    </w:p>
    <w:p>
      <w:pPr>
        <w:pStyle w:val="ListParagraph"/>
        <w:numPr>
          <w:ilvl w:val="0"/>
          <w:numId w:val="1"/>
        </w:numPr>
        <w:spacing w:after="80" w:line="300"/>
      </w:pPr>
      <w:r>
        <w:rPr>
          <w:sz w:val="22"/>
          <w:szCs w:val="22"/>
        </w:rPr>
        <w:t xml:space="preserve">Utterance-count ratio — the male-to-female ratio of turns taken, independent of length.</w:t>
      </w:r>
    </w:p>
    <w:p>
      <w:pPr>
        <w:pStyle w:val="ListParagraph"/>
        <w:numPr>
          <w:ilvl w:val="0"/>
          <w:numId w:val="1"/>
        </w:numPr>
        <w:spacing w:after="80" w:line="300"/>
      </w:pPr>
      <w:r>
        <w:rPr>
          <w:sz w:val="22"/>
          <w:szCs w:val="22"/>
        </w:rPr>
        <w:t xml:space="preserve">Character-count ratio — the ratio of distinct speaking characters by gender, which is the textual analogue of a face-count baseline.</w:t>
      </w:r>
    </w:p>
    <w:p>
      <w:pPr>
        <w:spacing w:after="120" w:line="300"/>
      </w:pPr>
      <w:r>
        <w:rPr>
          <w:sz w:val="22"/>
          <w:szCs w:val="22"/>
        </w:rPr>
        <w:t xml:space="preserve">The third baseline supports a specific and informative experiment. MELD’s main cast is three female and three male, so a character-count baseline classifies it as unbiased by construction. If EuqVid-Text registers disparity on MELD, that disparity cannot be coming from counts, and must originate in volume, interaction or agency. This answers the question “why not simply count characters?” with a demonstration rather than an argument.</w:t>
      </w:r>
    </w:p>
    <w:p>
      <w:pPr>
        <w:spacing w:after="120" w:line="300"/>
      </w:pPr>
      <w:r>
        <w:rPr>
          <w:sz w:val="22"/>
          <w:szCs w:val="22"/>
        </w:rPr>
        <w:t xml:space="preserve">The published effect size reported by EuqAud [5] for the audio modality is used as a reference point for comparison. No target is set relative to it: pre-committing to exceed a published figure would invite tuning until the figure is reached, which is not a defensible practice.</w:t>
      </w:r>
    </w:p>
    <w:p>
      <w:pPr>
        <w:pStyle w:val="Heading2"/>
        <w:spacing w:after="140" w:before="280"/>
      </w:pPr>
      <w:r>
        <w:t xml:space="preserve">3.4 Evaluation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00"/>
      </w:tblGrid>
      <w:tr>
        <w:trPr>
          <w:cantSplit/>
          <w:tblHeader/>
        </w:trPr>
        <w:tc>
          <w:tcPr>
            <w:tcW w:type="dxa" w:w="2600"/>
            <w:shd w:fill="E8E8E8" w:val="clear"/>
            <w:tcMar>
              <w:top w:type="dxa" w:w="60"/>
              <w:left w:type="dxa" w:w="90"/>
              <w:bottom w:type="dxa" w:w="60"/>
              <w:right w:type="dxa" w:w="90"/>
            </w:tcMar>
          </w:tcPr>
          <w:p>
            <w:pPr>
              <w:spacing w:after="0" w:line="260"/>
            </w:pPr>
            <w:r>
              <w:rPr>
                <w:b/>
                <w:bCs/>
                <w:sz w:val="20"/>
                <w:szCs w:val="20"/>
              </w:rPr>
              <w:t xml:space="preserve">Metric</w:t>
            </w:r>
          </w:p>
        </w:tc>
        <w:tc>
          <w:tcPr>
            <w:tcW w:type="dxa" w:w="3600"/>
            <w:shd w:fill="E8E8E8" w:val="clear"/>
            <w:tcMar>
              <w:top w:type="dxa" w:w="60"/>
              <w:left w:type="dxa" w:w="90"/>
              <w:bottom w:type="dxa" w:w="60"/>
              <w:right w:type="dxa" w:w="90"/>
            </w:tcMar>
          </w:tcPr>
          <w:p>
            <w:pPr>
              <w:spacing w:after="0" w:line="260"/>
            </w:pPr>
            <w:r>
              <w:rPr>
                <w:b/>
                <w:bCs/>
                <w:sz w:val="20"/>
                <w:szCs w:val="20"/>
              </w:rPr>
              <w:t xml:space="preserve">Why relevant</w:t>
            </w:r>
          </w:p>
        </w:tc>
        <w:tc>
          <w:tcPr>
            <w:tcW w:type="dxa" w:w="3000"/>
            <w:shd w:fill="E8E8E8" w:val="clear"/>
            <w:tcMar>
              <w:top w:type="dxa" w:w="60"/>
              <w:left w:type="dxa" w:w="90"/>
              <w:bottom w:type="dxa" w:w="60"/>
              <w:right w:type="dxa" w:w="90"/>
            </w:tcMar>
          </w:tcPr>
          <w:p>
            <w:pPr>
              <w:spacing w:after="0" w:line="260"/>
            </w:pPr>
            <w:r>
              <w:rPr>
                <w:b/>
                <w:bCs/>
                <w:sz w:val="20"/>
                <w:szCs w:val="20"/>
              </w:rPr>
              <w:t xml:space="preserve">Target or comparison</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R² against the synthetic disparity label</w:t>
            </w:r>
          </w:p>
        </w:tc>
        <w:tc>
          <w:tcPr>
            <w:tcW w:type="dxa" w:w="3600"/>
            <w:tcMar>
              <w:top w:type="dxa" w:w="60"/>
              <w:left w:type="dxa" w:w="90"/>
              <w:bottom w:type="dxa" w:w="60"/>
              <w:right w:type="dxa" w:w="90"/>
            </w:tcMar>
          </w:tcPr>
          <w:p>
            <w:pPr>
              <w:spacing w:after="0" w:line="260"/>
            </w:pPr>
            <w:r>
              <w:rPr>
                <w:b w:val="false"/>
                <w:bCs w:val="false"/>
                <w:sz w:val="20"/>
                <w:szCs w:val="20"/>
              </w:rPr>
              <w:t xml:space="preserve">Measures whether the equation recovers the disparity that was deliberately injected</w:t>
            </w:r>
          </w:p>
        </w:tc>
        <w:tc>
          <w:tcPr>
            <w:tcW w:type="dxa" w:w="3000"/>
            <w:tcMar>
              <w:top w:type="dxa" w:w="60"/>
              <w:left w:type="dxa" w:w="90"/>
              <w:bottom w:type="dxa" w:w="60"/>
              <w:right w:type="dxa" w:w="90"/>
            </w:tcMar>
          </w:tcPr>
          <w:p>
            <w:pPr>
              <w:spacing w:after="0" w:line="260"/>
            </w:pPr>
            <w:r>
              <w:rPr>
                <w:b w:val="false"/>
                <w:bCs w:val="false"/>
                <w:sz w:val="20"/>
                <w:szCs w:val="20"/>
              </w:rPr>
              <w:t xml:space="preserve">Reported; compared against EuqAud’s published fit, with no pre-committed target</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Spearman ρ on held-out perturbation curves</w:t>
            </w:r>
          </w:p>
        </w:tc>
        <w:tc>
          <w:tcPr>
            <w:tcW w:type="dxa" w:w="3600"/>
            <w:tcMar>
              <w:top w:type="dxa" w:w="60"/>
              <w:left w:type="dxa" w:w="90"/>
              <w:bottom w:type="dxa" w:w="60"/>
              <w:right w:type="dxa" w:w="90"/>
            </w:tcMar>
          </w:tcPr>
          <w:p>
            <w:pPr>
              <w:spacing w:after="0" w:line="260"/>
            </w:pPr>
            <w:r>
              <w:rPr>
                <w:b w:val="false"/>
                <w:bCs w:val="false"/>
                <w:sz w:val="20"/>
                <w:szCs w:val="20"/>
              </w:rPr>
              <w:t xml:space="preserve">Tests monotonicity — a bias score that does not increase with injected bias is not measuring bias</w:t>
            </w:r>
          </w:p>
        </w:tc>
        <w:tc>
          <w:tcPr>
            <w:tcW w:type="dxa" w:w="3000"/>
            <w:tcMar>
              <w:top w:type="dxa" w:w="60"/>
              <w:left w:type="dxa" w:w="90"/>
              <w:bottom w:type="dxa" w:w="60"/>
              <w:right w:type="dxa" w:w="90"/>
            </w:tcMar>
          </w:tcPr>
          <w:p>
            <w:pPr>
              <w:spacing w:after="0" w:line="260"/>
            </w:pPr>
            <w:r>
              <w:rPr>
                <w:b w:val="false"/>
                <w:bCs w:val="false"/>
                <w:sz w:val="20"/>
                <w:szCs w:val="20"/>
              </w:rPr>
              <w:t xml:space="preserve">ρ reported per corpus; monotonic ordering expected</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Variance Inflation Factor</w:t>
            </w:r>
          </w:p>
        </w:tc>
        <w:tc>
          <w:tcPr>
            <w:tcW w:type="dxa" w:w="3600"/>
            <w:tcMar>
              <w:top w:type="dxa" w:w="60"/>
              <w:left w:type="dxa" w:w="90"/>
              <w:bottom w:type="dxa" w:w="60"/>
              <w:right w:type="dxa" w:w="90"/>
            </w:tcMar>
          </w:tcPr>
          <w:p>
            <w:pPr>
              <w:spacing w:after="0" w:line="260"/>
            </w:pPr>
            <w:r>
              <w:rPr>
                <w:b w:val="false"/>
                <w:bCs w:val="false"/>
                <w:sz w:val="20"/>
                <w:szCs w:val="20"/>
              </w:rPr>
              <w:t xml:space="preserve">Polynomial expansion multiplies features together and inflates multicollinearity</w:t>
            </w:r>
          </w:p>
        </w:tc>
        <w:tc>
          <w:tcPr>
            <w:tcW w:type="dxa" w:w="3000"/>
            <w:tcMar>
              <w:top w:type="dxa" w:w="60"/>
              <w:left w:type="dxa" w:w="90"/>
              <w:bottom w:type="dxa" w:w="60"/>
              <w:right w:type="dxa" w:w="90"/>
            </w:tcMar>
          </w:tcPr>
          <w:p>
            <w:pPr>
              <w:spacing w:after="0" w:line="260"/>
            </w:pPr>
            <w:r>
              <w:rPr>
                <w:b w:val="false"/>
                <w:bCs w:val="false"/>
                <w:sz w:val="20"/>
                <w:szCs w:val="20"/>
              </w:rPr>
              <w:t xml:space="preserve">All retained terms below the conventional threshold of 10</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Durbin–Watson statistic</w:t>
            </w:r>
          </w:p>
        </w:tc>
        <w:tc>
          <w:tcPr>
            <w:tcW w:type="dxa" w:w="3600"/>
            <w:tcMar>
              <w:top w:type="dxa" w:w="60"/>
              <w:left w:type="dxa" w:w="90"/>
              <w:bottom w:type="dxa" w:w="60"/>
              <w:right w:type="dxa" w:w="90"/>
            </w:tcMar>
          </w:tcPr>
          <w:p>
            <w:pPr>
              <w:spacing w:after="0" w:line="260"/>
            </w:pPr>
            <w:r>
              <w:rPr>
                <w:b w:val="false"/>
                <w:bCs w:val="false"/>
                <w:sz w:val="20"/>
                <w:szCs w:val="20"/>
              </w:rPr>
              <w:t xml:space="preserve">Tests residual independence, an assumption the regression depends on</w:t>
            </w:r>
          </w:p>
        </w:tc>
        <w:tc>
          <w:tcPr>
            <w:tcW w:type="dxa" w:w="3000"/>
            <w:tcMar>
              <w:top w:type="dxa" w:w="60"/>
              <w:left w:type="dxa" w:w="90"/>
              <w:bottom w:type="dxa" w:w="60"/>
              <w:right w:type="dxa" w:w="90"/>
            </w:tcMar>
          </w:tcPr>
          <w:p>
            <w:pPr>
              <w:spacing w:after="0" w:line="260"/>
            </w:pPr>
            <w:r>
              <w:rPr>
                <w:b w:val="false"/>
                <w:bCs w:val="false"/>
                <w:sz w:val="20"/>
                <w:szCs w:val="20"/>
              </w:rPr>
              <w:t xml:space="preserve">Reported per fit; departure from approximately 2 flagged</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Breusch–Pagan test</w:t>
            </w:r>
          </w:p>
        </w:tc>
        <w:tc>
          <w:tcPr>
            <w:tcW w:type="dxa" w:w="3600"/>
            <w:tcMar>
              <w:top w:type="dxa" w:w="60"/>
              <w:left w:type="dxa" w:w="90"/>
              <w:bottom w:type="dxa" w:w="60"/>
              <w:right w:type="dxa" w:w="90"/>
            </w:tcMar>
          </w:tcPr>
          <w:p>
            <w:pPr>
              <w:spacing w:after="0" w:line="260"/>
            </w:pPr>
            <w:r>
              <w:rPr>
                <w:b w:val="false"/>
                <w:bCs w:val="false"/>
                <w:sz w:val="20"/>
                <w:szCs w:val="20"/>
              </w:rPr>
              <w:t xml:space="preserve">Tests homoscedasticity of residuals</w:t>
            </w:r>
          </w:p>
        </w:tc>
        <w:tc>
          <w:tcPr>
            <w:tcW w:type="dxa" w:w="3000"/>
            <w:tcMar>
              <w:top w:type="dxa" w:w="60"/>
              <w:left w:type="dxa" w:w="90"/>
              <w:bottom w:type="dxa" w:w="60"/>
              <w:right w:type="dxa" w:w="90"/>
            </w:tcMar>
          </w:tcPr>
          <w:p>
            <w:pPr>
              <w:spacing w:after="0" w:line="260"/>
            </w:pPr>
            <w:r>
              <w:rPr>
                <w:b w:val="false"/>
                <w:bCs w:val="false"/>
                <w:sz w:val="20"/>
                <w:szCs w:val="20"/>
              </w:rPr>
              <w:t xml:space="preserve">Reported as pass or fail per fit, not suppressed</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Bootstrap 95% confidence interval per coefficient</w:t>
            </w:r>
          </w:p>
        </w:tc>
        <w:tc>
          <w:tcPr>
            <w:tcW w:type="dxa" w:w="3600"/>
            <w:tcMar>
              <w:top w:type="dxa" w:w="60"/>
              <w:left w:type="dxa" w:w="90"/>
              <w:bottom w:type="dxa" w:w="60"/>
              <w:right w:type="dxa" w:w="90"/>
            </w:tcMar>
          </w:tcPr>
          <w:p>
            <w:pPr>
              <w:spacing w:after="0" w:line="260"/>
            </w:pPr>
            <w:r>
              <w:rPr>
                <w:b w:val="false"/>
                <w:bCs w:val="false"/>
                <w:sz w:val="20"/>
                <w:szCs w:val="20"/>
              </w:rPr>
              <w:t xml:space="preserve">Distinguishes real terms from artefacts of the particular shards fitted</w:t>
            </w:r>
          </w:p>
        </w:tc>
        <w:tc>
          <w:tcPr>
            <w:tcW w:type="dxa" w:w="3000"/>
            <w:tcMar>
              <w:top w:type="dxa" w:w="60"/>
              <w:left w:type="dxa" w:w="90"/>
              <w:bottom w:type="dxa" w:w="60"/>
              <w:right w:type="dxa" w:w="90"/>
            </w:tcMar>
          </w:tcPr>
          <w:p>
            <w:pPr>
              <w:spacing w:after="0" w:line="260"/>
            </w:pPr>
            <w:r>
              <w:rPr>
                <w:b w:val="false"/>
                <w:bCs w:val="false"/>
                <w:sz w:val="20"/>
                <w:szCs w:val="20"/>
              </w:rPr>
              <w:t xml:space="preserve">Reported for every term; terms whose interval spans zero are flagged</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Tier reassignment rate across resamples</w:t>
            </w:r>
          </w:p>
        </w:tc>
        <w:tc>
          <w:tcPr>
            <w:tcW w:type="dxa" w:w="3600"/>
            <w:tcMar>
              <w:top w:type="dxa" w:w="60"/>
              <w:left w:type="dxa" w:w="90"/>
              <w:bottom w:type="dxa" w:w="60"/>
              <w:right w:type="dxa" w:w="90"/>
            </w:tcMar>
          </w:tcPr>
          <w:p>
            <w:pPr>
              <w:spacing w:after="0" w:line="260"/>
            </w:pPr>
            <w:r>
              <w:rPr>
                <w:b w:val="false"/>
                <w:bCs w:val="false"/>
                <w:sz w:val="20"/>
                <w:szCs w:val="20"/>
              </w:rPr>
              <w:t xml:space="preserve">Tier stability matters more than score stability, because the tier is what a curator acts on</w:t>
            </w:r>
          </w:p>
        </w:tc>
        <w:tc>
          <w:tcPr>
            <w:tcW w:type="dxa" w:w="3000"/>
            <w:tcMar>
              <w:top w:type="dxa" w:w="60"/>
              <w:left w:type="dxa" w:w="90"/>
              <w:bottom w:type="dxa" w:w="60"/>
              <w:right w:type="dxa" w:w="90"/>
            </w:tcMar>
          </w:tcPr>
          <w:p>
            <w:pPr>
              <w:spacing w:after="0" w:line="260"/>
            </w:pPr>
            <w:r>
              <w:rPr>
                <w:b w:val="false"/>
                <w:bCs w:val="false"/>
                <w:sz w:val="20"/>
                <w:szCs w:val="20"/>
              </w:rPr>
              <w:t xml:space="preserve">Reported; high reassignment at a boundary indicates the boundary is not real</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Lexicon out-of-vocabulary rate on subject–verb pairs</w:t>
            </w:r>
          </w:p>
        </w:tc>
        <w:tc>
          <w:tcPr>
            <w:tcW w:type="dxa" w:w="3600"/>
            <w:tcMar>
              <w:top w:type="dxa" w:w="60"/>
              <w:left w:type="dxa" w:w="90"/>
              <w:bottom w:type="dxa" w:w="60"/>
              <w:right w:type="dxa" w:w="90"/>
            </w:tcMar>
          </w:tcPr>
          <w:p>
            <w:pPr>
              <w:spacing w:after="0" w:line="260"/>
            </w:pPr>
            <w:r>
              <w:rPr>
                <w:b w:val="false"/>
                <w:bCs w:val="false"/>
                <w:sz w:val="20"/>
                <w:szCs w:val="20"/>
              </w:rPr>
              <w:t xml:space="preserve">Determines whether the agency and power features are viable on conversational television dialogue</w:t>
            </w:r>
          </w:p>
        </w:tc>
        <w:tc>
          <w:tcPr>
            <w:tcW w:type="dxa" w:w="3000"/>
            <w:tcMar>
              <w:top w:type="dxa" w:w="60"/>
              <w:left w:type="dxa" w:w="90"/>
              <w:bottom w:type="dxa" w:w="60"/>
              <w:right w:type="dxa" w:w="90"/>
            </w:tcMar>
          </w:tcPr>
          <w:p>
            <w:pPr>
              <w:spacing w:after="0" w:line="260"/>
            </w:pPr>
            <w:r>
              <w:rPr>
                <w:b w:val="false"/>
                <w:bCs w:val="false"/>
                <w:sz w:val="20"/>
                <w:szCs w:val="20"/>
              </w:rPr>
              <w:t xml:space="preserve">Reported per corpus; informs whether F3 and F4 are retained</w:t>
            </w:r>
          </w:p>
        </w:tc>
      </w:tr>
      <w:tr>
        <w:trPr>
          <w:cantSplit/>
        </w:trPr>
        <w:tc>
          <w:tcPr>
            <w:tcW w:type="dxa" w:w="2600"/>
            <w:tcMar>
              <w:top w:type="dxa" w:w="60"/>
              <w:left w:type="dxa" w:w="90"/>
              <w:bottom w:type="dxa" w:w="60"/>
              <w:right w:type="dxa" w:w="90"/>
            </w:tcMar>
          </w:tcPr>
          <w:p>
            <w:pPr>
              <w:spacing w:after="0" w:line="260"/>
            </w:pPr>
            <w:r>
              <w:rPr>
                <w:b w:val="false"/>
                <w:bCs w:val="false"/>
                <w:sz w:val="20"/>
                <w:szCs w:val="20"/>
              </w:rPr>
              <w:t xml:space="preserve">Kruskal–Wallis effect size against baselines</w:t>
            </w:r>
          </w:p>
        </w:tc>
        <w:tc>
          <w:tcPr>
            <w:tcW w:type="dxa" w:w="3600"/>
            <w:tcMar>
              <w:top w:type="dxa" w:w="60"/>
              <w:left w:type="dxa" w:w="90"/>
              <w:bottom w:type="dxa" w:w="60"/>
              <w:right w:type="dxa" w:w="90"/>
            </w:tcMar>
          </w:tcPr>
          <w:p>
            <w:pPr>
              <w:spacing w:after="0" w:line="260"/>
            </w:pPr>
            <w:r>
              <w:rPr>
                <w:b w:val="false"/>
                <w:bCs w:val="false"/>
                <w:sz w:val="20"/>
                <w:szCs w:val="20"/>
              </w:rPr>
              <w:t xml:space="preserve">Non-parametric comparison of how sharply each measure separates disparity levels</w:t>
            </w:r>
          </w:p>
        </w:tc>
        <w:tc>
          <w:tcPr>
            <w:tcW w:type="dxa" w:w="3000"/>
            <w:tcMar>
              <w:top w:type="dxa" w:w="60"/>
              <w:left w:type="dxa" w:w="90"/>
              <w:bottom w:type="dxa" w:w="60"/>
              <w:right w:type="dxa" w:w="90"/>
            </w:tcMar>
          </w:tcPr>
          <w:p>
            <w:pPr>
              <w:spacing w:after="0" w:line="260"/>
            </w:pPr>
            <w:r>
              <w:rPr>
                <w:b w:val="false"/>
                <w:bCs w:val="false"/>
                <w:sz w:val="20"/>
                <w:szCs w:val="20"/>
              </w:rPr>
              <w:t xml:space="preserve">Compared against the three baselines in Section 3.3</w:t>
            </w:r>
          </w:p>
        </w:tc>
      </w:tr>
    </w:tbl>
    <w:p>
      <w:pPr>
        <w:spacing w:after="120" w:line="300"/>
      </w:pPr>
      <w:r>
        <w:rPr>
          <w:i/>
          <w:iCs/>
          <w:sz w:val="20"/>
          <w:szCs w:val="20"/>
        </w:rPr>
        <w:t xml:space="preserve">Table 4. Evaluation metrics</w:t>
      </w:r>
    </w:p>
    <w:p>
      <w:pPr>
        <w:pStyle w:val="Heading2"/>
        <w:spacing w:after="140" w:before="280"/>
      </w:pPr>
      <w:r>
        <w:t xml:space="preserve">3.5 Validation strategy</w:t>
      </w:r>
    </w:p>
    <w:p>
      <w:pPr>
        <w:spacing w:after="120" w:line="300"/>
      </w:pPr>
      <w:r>
        <w:rPr>
          <w:sz w:val="22"/>
          <w:szCs w:val="22"/>
        </w:rPr>
        <w:t xml:space="preserve">Validity is established in four ways, each addressing a distinct threat.</w:t>
      </w:r>
    </w:p>
    <w:p>
      <w:pPr>
        <w:pStyle w:val="ListParagraph"/>
        <w:numPr>
          <w:ilvl w:val="0"/>
          <w:numId w:val="1"/>
        </w:numPr>
        <w:spacing w:after="80" w:line="300"/>
      </w:pPr>
      <w:r>
        <w:rPr>
          <w:sz w:val="22"/>
          <w:szCs w:val="22"/>
        </w:rPr>
        <w:t xml:space="preserve">Sensitivity — the equation is tested against shards whose disparity was set by controlled augmentation, establishing that the score tracks a known quantity rather than an incidental corpus property.</w:t>
      </w:r>
    </w:p>
    <w:p>
      <w:pPr>
        <w:pStyle w:val="ListParagraph"/>
        <w:numPr>
          <w:ilvl w:val="0"/>
          <w:numId w:val="1"/>
        </w:numPr>
        <w:spacing w:after="80" w:line="300"/>
      </w:pPr>
      <w:r>
        <w:rPr>
          <w:sz w:val="22"/>
          <w:szCs w:val="22"/>
        </w:rPr>
        <w:t xml:space="preserve">Stability — 1,000-iteration bootstrap resampling, performed at shard and identity level rather than row level. Row-level resampling on synthetically expanded data produces confidence intervals that are fictitiously narrow, because the same underlying material is counted repeatedly as though it were independent evidence.</w:t>
      </w:r>
    </w:p>
    <w:p>
      <w:pPr>
        <w:pStyle w:val="ListParagraph"/>
        <w:numPr>
          <w:ilvl w:val="0"/>
          <w:numId w:val="1"/>
        </w:numPr>
        <w:spacing w:after="80" w:line="300"/>
      </w:pPr>
      <w:r>
        <w:rPr>
          <w:sz w:val="22"/>
          <w:szCs w:val="22"/>
        </w:rPr>
        <w:t xml:space="preserve">Generalisation — leave-one-corpus-out cross-validation, in which the equation is fitted without one corpus and evaluated on it, testing whether coefficients learned on scripted television transfer elsewhere.</w:t>
      </w:r>
    </w:p>
    <w:p>
      <w:pPr>
        <w:pStyle w:val="ListParagraph"/>
        <w:numPr>
          <w:ilvl w:val="0"/>
          <w:numId w:val="1"/>
        </w:numPr>
        <w:spacing w:after="80" w:line="300"/>
      </w:pPr>
      <w:r>
        <w:rPr>
          <w:sz w:val="22"/>
          <w:szCs w:val="22"/>
        </w:rPr>
        <w:t xml:space="preserve">Specificity — evaluation against MELD as a negative control. A metric that scores a balanced ensemble near zero is evidence against false positives. This is framed in advance as an intended result rather than presented afterwards as a disappointing finding.</w:t>
      </w:r>
    </w:p>
    <w:p>
      <w:pPr>
        <w:spacing w:after="120" w:line="300"/>
      </w:pPr>
      <w:r>
        <w:rPr>
          <w:sz w:val="22"/>
          <w:szCs w:val="22"/>
        </w:rPr>
        <w:t xml:space="preserve">Independent validation of the complete EuqVid score against human perception and downstream model disparity is conducted by the validation stage of the group project and is outside the boundary of this component, which derives the equation but does not validate the metric.</w:t>
      </w:r>
    </w:p>
    <w:p>
      <w:pPr>
        <w:spacing w:after="120" w:line="300"/>
      </w:pPr>
      <w:r>
        <w:rPr>
          <w:b/>
          <w:bCs/>
          <w:sz w:val="22"/>
          <w:szCs w:val="22"/>
        </w:rPr>
        <w:t xml:space="preserve">Declared limitations:</w:t>
      </w:r>
    </w:p>
    <w:p>
      <w:pPr>
        <w:pStyle w:val="ListParagraph"/>
        <w:numPr>
          <w:ilvl w:val="0"/>
          <w:numId w:val="1"/>
        </w:numPr>
        <w:spacing w:after="80" w:line="300"/>
      </w:pPr>
      <w:r>
        <w:rPr>
          <w:sz w:val="22"/>
          <w:szCs w:val="22"/>
        </w:rPr>
        <w:t xml:space="preserve">L1 — AVA ships no transcript, so this component cannot score the group’s film corpus as matters stand. A route to closing this is under investigation and is recorded in the project decision log; it is not assumed in this proposal.</w:t>
      </w:r>
    </w:p>
    <w:p>
      <w:pPr>
        <w:pStyle w:val="ListParagraph"/>
        <w:numPr>
          <w:ilvl w:val="0"/>
          <w:numId w:val="1"/>
        </w:numPr>
        <w:spacing w:after="80" w:line="300"/>
      </w:pPr>
      <w:r>
        <w:rPr>
          <w:sz w:val="22"/>
          <w:szCs w:val="22"/>
        </w:rPr>
        <w:t xml:space="preserve">L2 — Identity-disjoint sharding is in tension with MELD’s six recurring leads. Either sharding is performed at episode or scene level with identity leakage documented, or fewer shards are accepted and the coefficient budget revisited.</w:t>
      </w:r>
    </w:p>
    <w:p>
      <w:pPr>
        <w:pStyle w:val="ListParagraph"/>
        <w:numPr>
          <w:ilvl w:val="0"/>
          <w:numId w:val="1"/>
        </w:numPr>
        <w:spacing w:after="80" w:line="300"/>
      </w:pPr>
      <w:r>
        <w:rPr>
          <w:sz w:val="22"/>
          <w:szCs w:val="22"/>
        </w:rPr>
        <w:t xml:space="preserve">L3 — The connotation-frame lexicon was built on film screenplays, while MELD is informal overlapping television conversation. Coverage is measured and reported rather than assumed.</w:t>
      </w:r>
    </w:p>
    <w:p>
      <w:pPr>
        <w:pStyle w:val="ListParagraph"/>
        <w:numPr>
          <w:ilvl w:val="0"/>
          <w:numId w:val="1"/>
        </w:numPr>
        <w:spacing w:after="80" w:line="300"/>
      </w:pPr>
      <w:r>
        <w:rPr>
          <w:sz w:val="22"/>
          <w:szCs w:val="22"/>
        </w:rPr>
        <w:t xml:space="preserve">L4 — Addressee is approximated from turn adjacency rather than annotated, and degrades in scenes with three or more speakers. Recent work using manually annotated addressees [9] represents the stronger alternative.</w:t>
      </w:r>
    </w:p>
    <w:p>
      <w:pPr>
        <w:pStyle w:val="ListParagraph"/>
        <w:numPr>
          <w:ilvl w:val="0"/>
          <w:numId w:val="1"/>
        </w:numPr>
        <w:spacing w:after="80" w:line="300"/>
      </w:pPr>
      <w:r>
        <w:rPr>
          <w:sz w:val="22"/>
          <w:szCs w:val="22"/>
        </w:rPr>
        <w:t xml:space="preserve">L5 — Gender is derived from a character-name mapping, not given. Non-binary and ambiguous characters are excluded rather than forced into a binary, and the excluded share is reported. The binary framing is a declared limitation of the project as a whole.</w:t>
      </w:r>
    </w:p>
    <w:p>
      <w:pPr>
        <w:pStyle w:val="ListParagraph"/>
        <w:numPr>
          <w:ilvl w:val="0"/>
          <w:numId w:val="1"/>
        </w:numPr>
        <w:spacing w:after="80" w:line="300"/>
      </w:pPr>
      <w:r>
        <w:rPr>
          <w:sz w:val="22"/>
          <w:szCs w:val="22"/>
        </w:rPr>
        <w:t xml:space="preserve">L6 — All corpora are English. Findings do not transfer to other languages without re-validation.</w:t>
      </w:r>
    </w:p>
    <w:p>
      <w:pPr>
        <w:pStyle w:val="Heading2"/>
        <w:spacing w:after="140" w:before="280"/>
      </w:pPr>
      <w:r>
        <w:t xml:space="preserve">3.6 Development approach</w:t>
      </w:r>
    </w:p>
    <w:p>
      <w:pPr>
        <w:spacing w:after="120" w:line="300"/>
      </w:pPr>
      <w:r>
        <w:rPr>
          <w:sz w:val="22"/>
          <w:szCs w:val="22"/>
        </w:rPr>
        <w:t xml:space="preserve">Iterative prototyping is the selected development approach. The determining factor is a dependency structure rather than a preference: this component consumes a feature schema that is agreed collectively and is not yet frozen, and it delivers into a fusion stage that does not yet exist. A sequential approach would idle until those are settled.</w:t>
      </w:r>
    </w:p>
    <w:p>
      <w:pPr>
        <w:spacing w:after="120" w:line="300"/>
      </w:pPr>
      <w:r>
        <w:rPr>
          <w:sz w:val="22"/>
          <w:szCs w:val="22"/>
        </w:rPr>
        <w:t xml:space="preserve">Iterative prototyping resolves this by building the complete pipeline first against a synthetic feature table of the correct shape, then substituting real inputs as they arrive. The pipeline is parameterised over the schema so that column-name changes cost nothing. Every deliverable listed in Section 4 is therefore assessable without the fusion stage existing and without any other component being complete, which protects the individual contribution against slippage elsewhere in the group.</w:t>
      </w:r>
    </w:p>
    <w:p>
      <w:pPr>
        <w:spacing w:after="120" w:line="300"/>
      </w:pPr>
      <w:r>
        <w:rPr>
          <w:sz w:val="22"/>
          <w:szCs w:val="22"/>
        </w:rPr>
        <w:t xml:space="preserve">Development is version-controlled with seed-fixed notebooks and scripts, so that any reported result can be reproduced exactly — a requirement, not a convenience, for a frozen equation that others are expected to apply.</w:t>
      </w:r>
    </w:p>
    <w:p>
      <w:r>
        <w:br w:type="page"/>
      </w:r>
    </w:p>
    <w:p>
      <w:pPr>
        <w:pStyle w:val="Heading1"/>
        <w:spacing w:after="140" w:before="280"/>
      </w:pPr>
      <w:r>
        <w:t xml:space="preserve">4. HIGH-LEVEL SYSTEM ARCHITECTURE</w:t>
      </w:r>
    </w:p>
    <w:p>
      <w:pPr>
        <w:pStyle w:val="Heading2"/>
        <w:spacing w:after="140" w:before="280"/>
      </w:pPr>
      <w:r>
        <w:t xml:space="preserve">4.1 Overview of the proposed solution</w:t>
      </w:r>
    </w:p>
    <w:p>
      <w:pPr>
        <w:spacing w:after="120" w:line="300"/>
      </w:pPr>
      <w:r>
        <w:rPr>
          <w:sz w:val="22"/>
          <w:szCs w:val="22"/>
        </w:rPr>
        <w:t xml:space="preserve">EuqVid computes a single gender-bias score for a video dataset from four modality sub-metrics, each derived independently and then fused. The visual sub-metric measures what the frame gives each gender; the temporal sub-metric measures how the timeline is shared; the textual sub-metric — this component — measures what the script gives each gender; and the acoustic sub-metric measures how each gender’s voice is treated in the sound. The boundary rule agreed by the group is that the frame belongs to Visual, time to Temporal, words to Text and sound to Audio.</w:t>
      </w:r>
    </w:p>
    <w:p>
      <w:pPr>
        <w:spacing w:after="120" w:line="300"/>
      </w:pPr>
      <w:r>
        <w:rPr>
          <w:sz w:val="22"/>
          <w:szCs w:val="22"/>
        </w:rPr>
        <w:t xml:space="preserve">The textual sub-metric is not redundant with the other three. The first three measure how much room a character is given. Text measures what kind of character the script made them. Equalise a character’s screen time, speaking seconds and loudness, and the language written for them is unchanged — no visual, temporal or acoustic feature can detect that difference, because the difference is not in how much they are present but in what they are given to do.</w:t>
      </w:r>
    </w:p>
    <w:p>
      <w:pPr>
        <w:pBdr>
          <w:left w:val="single" w:color="888888" w:sz="12" w:space="8"/>
        </w:pBdr>
        <w:spacing w:after="140" w:line="300"/>
        <w:ind w:left="215"/>
      </w:pPr>
      <w:r>
        <w:rPr>
          <w:i/>
          <w:iCs/>
          <w:color w:val="444444"/>
          <w:sz w:val="22"/>
          <w:szCs w:val="22"/>
        </w:rPr>
        <w:t xml:space="preserve">[TO COMPLETE] Figure 1 — draw the high-level architecture: a corpus at the top feeding four parallel component boxes (Visual, Temporal, Text, Audio), each producing a sub-score, converging into a fusion block that emits the EuqVid score on −10 to +10, which feeds the validation stage. Your component must be visually distinguished — use a heavier outline or hatching, not colour. Black and white only, and drawn by hand or in a diagram tool, not generated by an AI tool. This is a stated requirement of the proposal template.</w:t>
      </w:r>
    </w:p>
    <w:p>
      <w:pPr>
        <w:pBdr>
          <w:left w:val="single" w:color="888888" w:sz="12" w:space="8"/>
        </w:pBdr>
        <w:spacing w:after="140" w:line="300"/>
        <w:ind w:left="215"/>
      </w:pPr>
      <w:r>
        <w:rPr>
          <w:i/>
          <w:iCs/>
          <w:color w:val="444444"/>
          <w:sz w:val="22"/>
          <w:szCs w:val="22"/>
        </w:rPr>
        <w:t xml:space="preserve">[TO COMPLETE] Figure 2 — draw the component pipeline: annotation files → utterance table → gender mapping → shard assignment → parsing → feature computation → shard-level aggregation → scale-free conversion → augmentation and labelling → polynomial Ridge fit → freeze, normalise and tier → handoff. Same constraints: black and white, not AI-generated.</w:t>
      </w:r>
    </w:p>
    <w:p>
      <w:pPr>
        <w:pStyle w:val="Heading2"/>
        <w:spacing w:after="140" w:before="280"/>
      </w:pPr>
      <w:r>
        <w:t xml:space="preserve">4.2 Overall integration</w:t>
      </w:r>
    </w:p>
    <w:p>
      <w:pPr>
        <w:spacing w:after="120" w:line="300"/>
      </w:pPr>
      <w:r>
        <w:rPr>
          <w:sz w:val="22"/>
          <w:szCs w:val="22"/>
        </w:rPr>
        <w:t xml:space="preserve">The four components form a complete solution by producing sub-scores on a common scale over a common unit of analysis. Three dependencies are real and must be managed rather than assumed:</w:t>
      </w:r>
    </w:p>
    <w:p>
      <w:pPr>
        <w:pStyle w:val="ListParagraph"/>
        <w:numPr>
          <w:ilvl w:val="0"/>
          <w:numId w:val="1"/>
        </w:numPr>
        <w:spacing w:after="80" w:line="300"/>
      </w:pPr>
      <w:r>
        <w:rPr>
          <w:sz w:val="22"/>
          <w:szCs w:val="22"/>
        </w:rPr>
        <w:t xml:space="preserve">Shared identity-to-gender map — all four components must aggregate over the same mapping. If they do not, the four sub-scores describe different populations and cannot be combined.</w:t>
      </w:r>
    </w:p>
    <w:p>
      <w:pPr>
        <w:pStyle w:val="ListParagraph"/>
        <w:numPr>
          <w:ilvl w:val="0"/>
          <w:numId w:val="1"/>
        </w:numPr>
        <w:spacing w:after="80" w:line="300"/>
      </w:pPr>
      <w:r>
        <w:rPr>
          <w:sz w:val="22"/>
          <w:szCs w:val="22"/>
        </w:rPr>
        <w:t xml:space="preserve">Shared shard definition — fusion operates per shard, so a shard must mean the same thing to every component, partitioned by identity.</w:t>
      </w:r>
    </w:p>
    <w:p>
      <w:pPr>
        <w:pStyle w:val="ListParagraph"/>
        <w:numPr>
          <w:ilvl w:val="0"/>
          <w:numId w:val="1"/>
        </w:numPr>
        <w:spacing w:after="80" w:line="300"/>
      </w:pPr>
      <w:r>
        <w:rPr>
          <w:sz w:val="22"/>
          <w:szCs w:val="22"/>
        </w:rPr>
        <w:t xml:space="preserve">Shared augmentation and labelling protocol — if each component invents its own definition of a bias level, the four sub-metrics are calibrated against four different meanings and the fused score is incoherent.</w:t>
      </w:r>
    </w:p>
    <w:p>
      <w:pPr>
        <w:spacing w:after="120" w:line="300"/>
      </w:pPr>
      <w:r>
        <w:rPr>
          <w:sz w:val="22"/>
          <w:szCs w:val="22"/>
        </w:rPr>
        <w:t xml:space="preserve">A fourth dependency constrains which corpora the fused score can be computed on at all. A shard must carry all four sub-scores for fusion to apply, and corpora differ in what they supply: a corpus without a transcript yields no textual sub-score. Where a modality is unavailable, the planned approach is to compute the fused score in a documented reduced form and to demonstrate that the reduced form tracks the full form on corpora where both are computable.</w:t>
      </w:r>
    </w:p>
    <w:p>
      <w:pPr>
        <w:spacing w:after="120" w:line="300"/>
      </w:pPr>
      <w:r>
        <w:rPr>
          <w:sz w:val="22"/>
          <w:szCs w:val="22"/>
        </w:rPr>
        <w:t xml:space="preserve">The planned integration method is a versioned per-shard feature and sub-score file with a fixed schema, written by each component and consumed by the fusion stage. This component contributes one column, together with the frozen equation, its normalisation constants and its tier thresholds, so that any third party can recompute the column from the features without rerunning the pipeline.</w:t>
      </w:r>
    </w:p>
    <w:p>
      <w:pPr>
        <w:pStyle w:val="Heading2"/>
        <w:spacing w:after="140" w:before="280"/>
      </w:pPr>
      <w:r>
        <w:t xml:space="preserve">4.3 Individual responsibility boundary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200"/>
        <w:gridCol w:w="2500"/>
      </w:tblGrid>
      <w:tr>
        <w:trPr>
          <w:cantSplit/>
          <w:tblHeader/>
        </w:trPr>
        <w:tc>
          <w:tcPr>
            <w:tcW w:type="dxa" w:w="3600"/>
            <w:shd w:fill="E8E8E8" w:val="clear"/>
            <w:tcMar>
              <w:top w:type="dxa" w:w="60"/>
              <w:left w:type="dxa" w:w="90"/>
              <w:bottom w:type="dxa" w:w="60"/>
              <w:right w:type="dxa" w:w="90"/>
            </w:tcMar>
          </w:tcPr>
          <w:p>
            <w:pPr>
              <w:spacing w:after="0" w:line="260"/>
            </w:pPr>
            <w:r>
              <w:rPr>
                <w:b/>
                <w:bCs/>
                <w:sz w:val="20"/>
                <w:szCs w:val="20"/>
              </w:rPr>
              <w:t xml:space="preserve">Activity / Deliverable</w:t>
            </w:r>
          </w:p>
        </w:tc>
        <w:tc>
          <w:tcPr>
            <w:tcW w:type="dxa" w:w="1900"/>
            <w:shd w:fill="E8E8E8" w:val="clear"/>
            <w:tcMar>
              <w:top w:type="dxa" w:w="60"/>
              <w:left w:type="dxa" w:w="90"/>
              <w:bottom w:type="dxa" w:w="60"/>
              <w:right w:type="dxa" w:w="90"/>
            </w:tcMar>
          </w:tcPr>
          <w:p>
            <w:pPr>
              <w:spacing w:after="0" w:line="260"/>
            </w:pPr>
            <w:r>
              <w:rPr>
                <w:b/>
                <w:bCs/>
                <w:sz w:val="20"/>
                <w:szCs w:val="20"/>
              </w:rPr>
              <w:t xml:space="preserve">My Responsibility</w:t>
            </w:r>
          </w:p>
        </w:tc>
        <w:tc>
          <w:tcPr>
            <w:tcW w:type="dxa" w:w="2200"/>
            <w:shd w:fill="E8E8E8" w:val="clear"/>
            <w:tcMar>
              <w:top w:type="dxa" w:w="60"/>
              <w:left w:type="dxa" w:w="90"/>
              <w:bottom w:type="dxa" w:w="60"/>
              <w:right w:type="dxa" w:w="90"/>
            </w:tcMar>
          </w:tcPr>
          <w:p>
            <w:pPr>
              <w:spacing w:after="0" w:line="260"/>
            </w:pPr>
            <w:r>
              <w:rPr>
                <w:b/>
                <w:bCs/>
                <w:sz w:val="20"/>
                <w:szCs w:val="20"/>
              </w:rPr>
              <w:t xml:space="preserve">Shared Responsibility</w:t>
            </w:r>
          </w:p>
        </w:tc>
        <w:tc>
          <w:tcPr>
            <w:tcW w:type="dxa" w:w="2500"/>
            <w:shd w:fill="E8E8E8" w:val="clear"/>
            <w:tcMar>
              <w:top w:type="dxa" w:w="60"/>
              <w:left w:type="dxa" w:w="90"/>
              <w:bottom w:type="dxa" w:w="60"/>
              <w:right w:type="dxa" w:w="90"/>
            </w:tcMar>
          </w:tcPr>
          <w:p>
            <w:pPr>
              <w:spacing w:after="0" w:line="260"/>
            </w:pPr>
            <w:r>
              <w:rPr>
                <w:b/>
                <w:bCs/>
                <w:sz w:val="20"/>
                <w:szCs w:val="20"/>
              </w:rPr>
              <w:t xml:space="preserve">Other Member</w:t>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Dialogue acquisition and speaker attribution</w:t>
            </w:r>
          </w:p>
        </w:tc>
        <w:tc>
          <w:tcPr>
            <w:tcW w:type="dxa" w:w="1900"/>
            <w:tcMar>
              <w:top w:type="dxa" w:w="60"/>
              <w:left w:type="dxa" w:w="90"/>
              <w:bottom w:type="dxa" w:w="60"/>
              <w:right w:type="dxa" w:w="90"/>
            </w:tcMar>
          </w:tcPr>
          <w:p>
            <w:pPr>
              <w:spacing w:after="0" w:line="260"/>
            </w:pPr>
            <w:r>
              <w:rPr>
                <w:b w:val="false"/>
                <w:bCs w:val="false"/>
                <w:sz w:val="20"/>
                <w:szCs w:val="20"/>
              </w:rPr>
              <w:t xml:space="preserve">✓</w:t>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Dialogue feature extraction (F1–F7)</w:t>
            </w:r>
          </w:p>
        </w:tc>
        <w:tc>
          <w:tcPr>
            <w:tcW w:type="dxa" w:w="1900"/>
            <w:tcMar>
              <w:top w:type="dxa" w:w="60"/>
              <w:left w:type="dxa" w:w="90"/>
              <w:bottom w:type="dxa" w:w="60"/>
              <w:right w:type="dxa" w:w="90"/>
            </w:tcMar>
          </w:tcPr>
          <w:p>
            <w:pPr>
              <w:spacing w:after="0" w:line="260"/>
            </w:pPr>
            <w:r>
              <w:rPr>
                <w:b w:val="false"/>
                <w:bCs w:val="false"/>
                <w:sz w:val="20"/>
                <w:szCs w:val="20"/>
              </w:rPr>
              <w:t xml:space="preserve">✓</w:t>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Text sub-metric equation: fit, freeze, normalise, tier</w:t>
            </w:r>
          </w:p>
        </w:tc>
        <w:tc>
          <w:tcPr>
            <w:tcW w:type="dxa" w:w="1900"/>
            <w:tcMar>
              <w:top w:type="dxa" w:w="60"/>
              <w:left w:type="dxa" w:w="90"/>
              <w:bottom w:type="dxa" w:w="60"/>
              <w:right w:type="dxa" w:w="90"/>
            </w:tcMar>
          </w:tcPr>
          <w:p>
            <w:pPr>
              <w:spacing w:after="0" w:line="260"/>
            </w:pPr>
            <w:r>
              <w:rPr>
                <w:b w:val="false"/>
                <w:bCs w:val="false"/>
                <w:sz w:val="20"/>
                <w:szCs w:val="20"/>
              </w:rPr>
              <w:t xml:space="preserve">✓</w:t>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Bootstrap stability of text-equation coefficients</w:t>
            </w:r>
          </w:p>
        </w:tc>
        <w:tc>
          <w:tcPr>
            <w:tcW w:type="dxa" w:w="1900"/>
            <w:tcMar>
              <w:top w:type="dxa" w:w="60"/>
              <w:left w:type="dxa" w:w="90"/>
              <w:bottom w:type="dxa" w:w="60"/>
              <w:right w:type="dxa" w:w="90"/>
            </w:tcMar>
          </w:tcPr>
          <w:p>
            <w:pPr>
              <w:spacing w:after="0" w:line="260"/>
            </w:pPr>
            <w:r>
              <w:rPr>
                <w:b w:val="false"/>
                <w:bCs w:val="false"/>
                <w:sz w:val="20"/>
                <w:szCs w:val="20"/>
              </w:rPr>
              <w:t xml:space="preserve">✓</w:t>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Identity-to-gender mapping</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(all four components)</w:t>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Shard definition and identity partitioning</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(all four components)</w:t>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Augmentation and labelling protocol</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(all four components)</w:t>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Shared calibration reference set</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(all four components)</w:t>
            </w:r>
          </w:p>
        </w:tc>
        <w:tc>
          <w:tcPr>
            <w:tcW w:type="dxa" w:w="2500"/>
            <w:tcMar>
              <w:top w:type="dxa" w:w="60"/>
              <w:left w:type="dxa" w:w="90"/>
              <w:bottom w:type="dxa" w:w="60"/>
              <w:right w:type="dxa" w:w="90"/>
            </w:tcMar>
          </w:tcPr>
          <w:p>
            <w:pPr>
              <w:spacing w:after="0" w:line="260"/>
            </w:pPr>
            <w:r>
              <w:rPr>
                <w:b w:val="false"/>
                <w:bCs w:val="false"/>
                <w:sz w:val="20"/>
                <w:szCs w:val="20"/>
              </w:rPr>
              <w:t xml:space="preserve"/>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Visual sub-metric</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Component 1 — Hasangani W. R. A.</w:t>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Temporal sub-metric</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Component 2 — Harischandra R. A. S. R.</w:t>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Acoustic sub-metric</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Component 4 — Sathsarani W. T. T. S.</w:t>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Fusion of the four sub-scores</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To be assigned — see note below</w:t>
            </w:r>
          </w:p>
        </w:tc>
      </w:tr>
      <w:tr>
        <w:trPr>
          <w:cantSplit/>
        </w:trPr>
        <w:tc>
          <w:tcPr>
            <w:tcW w:type="dxa" w:w="3600"/>
            <w:tcMar>
              <w:top w:type="dxa" w:w="60"/>
              <w:left w:type="dxa" w:w="90"/>
              <w:bottom w:type="dxa" w:w="60"/>
              <w:right w:type="dxa" w:w="90"/>
            </w:tcMar>
          </w:tcPr>
          <w:p>
            <w:pPr>
              <w:spacing w:after="0" w:line="260"/>
            </w:pPr>
            <w:r>
              <w:rPr>
                <w:b w:val="false"/>
                <w:bCs w:val="false"/>
                <w:sz w:val="20"/>
                <w:szCs w:val="20"/>
              </w:rPr>
              <w:t xml:space="preserve">Validation, benchmarking and perception study</w:t>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2200"/>
            <w:tcMar>
              <w:top w:type="dxa" w:w="60"/>
              <w:left w:type="dxa" w:w="90"/>
              <w:bottom w:type="dxa" w:w="60"/>
              <w:right w:type="dxa" w:w="90"/>
            </w:tcMar>
          </w:tcPr>
          <w:p>
            <w:pPr>
              <w:spacing w:after="0" w:line="260"/>
            </w:pPr>
            <w:r>
              <w:rPr>
                <w:b w:val="false"/>
                <w:bCs w:val="false"/>
                <w:sz w:val="20"/>
                <w:szCs w:val="20"/>
              </w:rPr>
              <w:t xml:space="preserve"/>
            </w:r>
          </w:p>
        </w:tc>
        <w:tc>
          <w:tcPr>
            <w:tcW w:type="dxa" w:w="2500"/>
            <w:tcMar>
              <w:top w:type="dxa" w:w="60"/>
              <w:left w:type="dxa" w:w="90"/>
              <w:bottom w:type="dxa" w:w="60"/>
              <w:right w:type="dxa" w:w="90"/>
            </w:tcMar>
          </w:tcPr>
          <w:p>
            <w:pPr>
              <w:spacing w:after="0" w:line="260"/>
            </w:pPr>
            <w:r>
              <w:rPr>
                <w:b w:val="false"/>
                <w:bCs w:val="false"/>
                <w:sz w:val="20"/>
                <w:szCs w:val="20"/>
              </w:rPr>
              <w:t xml:space="preserve">To be assigned — see note below</w:t>
            </w:r>
          </w:p>
        </w:tc>
      </w:tr>
    </w:tbl>
    <w:p>
      <w:pPr>
        <w:spacing w:after="120" w:line="300"/>
      </w:pPr>
      <w:r>
        <w:rPr>
          <w:i/>
          <w:iCs/>
          <w:sz w:val="20"/>
          <w:szCs w:val="20"/>
        </w:rPr>
        <w:t xml:space="preserve">Table 5. Individual responsibility boundary</w:t>
      </w:r>
    </w:p>
    <w:p>
      <w:pPr>
        <w:pBdr>
          <w:left w:val="single" w:color="888888" w:sz="12" w:space="8"/>
        </w:pBdr>
        <w:spacing w:after="140" w:line="300"/>
        <w:ind w:left="215"/>
      </w:pPr>
      <w:r>
        <w:rPr>
          <w:i/>
          <w:iCs/>
          <w:color w:val="444444"/>
          <w:sz w:val="22"/>
          <w:szCs w:val="22"/>
        </w:rPr>
        <w:t xml:space="preserve">[TO COMPLETE] The fusion stage and cross-modal validation currently have no named owner under the four-modality structure. Agree an owner with the group and your supervisor before submission, and replace the last two rows with a name. Unowned work is typically unassessed work, and an examiner reading this table will notice the gap.</w:t>
      </w:r>
    </w:p>
    <w:p>
      <w:r>
        <w:br w:type="page"/>
      </w:r>
    </w:p>
    <w:p>
      <w:pPr>
        <w:pStyle w:val="Heading1"/>
        <w:spacing w:after="140" w:before="280"/>
      </w:pPr>
      <w:r>
        <w:t xml:space="preserve">5. USER REQUIREMENTS</w:t>
      </w:r>
    </w:p>
    <w:p>
      <w:pPr>
        <w:spacing w:after="120" w:line="300"/>
      </w:pPr>
      <w:r>
        <w:rPr>
          <w:sz w:val="22"/>
          <w:szCs w:val="22"/>
        </w:rPr>
        <w:t xml:space="preserve">The users of this component are dataset curators, machine-learning practitioners assembling training corpora, and fairness researchers comparing datasets. What they require is a number they can compute before committing to a corpus, an indication of severity, and enough transparency to explain the result to someone who challenges it.</w:t>
      </w:r>
    </w:p>
    <w:p>
      <w:pPr>
        <w:pBdr>
          <w:left w:val="single" w:color="888888" w:sz="12" w:space="8"/>
        </w:pBdr>
        <w:spacing w:after="140" w:line="300"/>
        <w:ind w:left="215"/>
      </w:pPr>
      <w:r>
        <w:rPr>
          <w:i/>
          <w:iCs/>
          <w:color w:val="444444"/>
          <w:sz w:val="22"/>
          <w:szCs w:val="22"/>
        </w:rPr>
        <w:t xml:space="preserve">[TO COMPLETE] This section requires evidence you have not yet gathered, and it cannot be written without it. The template asks for findings from interviews, observation, surveys, workshops, stakeholder discussions, design-thinking activities or domain experts. Before submission, carry out at least one of the following and record it in Appendix 1: a structured interview with Dr. Haddela as domain expert; a short questionnaire to postgraduate students or staff who assemble datasets; or a documented discussion with the EuqAud authors. Three to five participants is sufficient for a proposal, provided the protocol and responses are recorded. Then rewrite the paragraph above to report what those participants actually said, and revise the requirements below to follow from it. Do not present the requirements below as elicited until they are.</w:t>
      </w:r>
    </w:p>
    <w:p>
      <w:pPr>
        <w:spacing w:after="120" w:line="300"/>
      </w:pPr>
      <w:r>
        <w:rPr>
          <w:i/>
          <w:iCs/>
          <w:sz w:val="22"/>
          <w:szCs w:val="22"/>
        </w:rPr>
        <w:t xml:space="preserve">The requirements stated below are derived from the component design and the literature, and are recorded here as a provisional specification to be confirmed against the elicitation evidence above.</w:t>
      </w:r>
    </w:p>
    <w:p>
      <w:pPr>
        <w:pStyle w:val="Heading2"/>
        <w:spacing w:after="140" w:before="280"/>
      </w:pPr>
      <w:r>
        <w:t xml:space="preserve">5.1 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8200"/>
      </w:tblGrid>
      <w:tr>
        <w:trPr>
          <w:cantSplit/>
          <w:tblHeader/>
        </w:trPr>
        <w:tc>
          <w:tcPr>
            <w:tcW w:type="dxa" w:w="900"/>
            <w:shd w:fill="E8E8E8" w:val="clear"/>
            <w:tcMar>
              <w:top w:type="dxa" w:w="60"/>
              <w:left w:type="dxa" w:w="90"/>
              <w:bottom w:type="dxa" w:w="60"/>
              <w:right w:type="dxa" w:w="90"/>
            </w:tcMar>
          </w:tcPr>
          <w:p>
            <w:pPr>
              <w:spacing w:after="0" w:line="260"/>
            </w:pPr>
            <w:r>
              <w:rPr>
                <w:b/>
                <w:bCs/>
                <w:sz w:val="20"/>
                <w:szCs w:val="20"/>
              </w:rPr>
              <w:t xml:space="preserve">ID</w:t>
            </w:r>
          </w:p>
        </w:tc>
        <w:tc>
          <w:tcPr>
            <w:tcW w:type="dxa" w:w="8200"/>
            <w:shd w:fill="E8E8E8" w:val="clear"/>
            <w:tcMar>
              <w:top w:type="dxa" w:w="60"/>
              <w:left w:type="dxa" w:w="90"/>
              <w:bottom w:type="dxa" w:w="60"/>
              <w:right w:type="dxa" w:w="90"/>
            </w:tcMar>
          </w:tcPr>
          <w:p>
            <w:pPr>
              <w:spacing w:after="0" w:line="260"/>
            </w:pPr>
            <w:r>
              <w:rPr>
                <w:b/>
                <w:bCs/>
                <w:sz w:val="20"/>
                <w:szCs w:val="20"/>
              </w:rPr>
              <w:t xml:space="preserve">Requirement</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FR1</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read speaker-attributed, time-aligned dialogue from corpus annotation files without requiring access to video.</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FR2</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map each speaker identifier to male, female or unknown using a documented mapping, and shall report the proportion of utterances excluded as unknown.</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FR3</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assign utterances to shards according to the group shard contract, partitioned by identity.</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FR4</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compute the seven dialogue disparity features per shard per gender, expressed as shares or normalised ratios.</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FR5</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report the out-of-vocabulary rate of subject–verb pairs against the connotation-frame lexicon.</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FR6</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apply the shared augmentation protocol to produce shards at known disparity levels.</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FR7</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fit a polynomial Ridge model with degree capped at two, performing feature screening inside cross-validation folds.</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FR8</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emit the fitted model as an explicit closed-form equation in raw feature units, with published coefficients.</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FR9</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normalise the raw output to the interval −10 to +10 using stated bounds and assign a severity tier.</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FR10</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produce a bootstrap stability table reporting mean, standard deviation and 95% confidence interval per coefficient, with the resampling unit stated.</w:t>
            </w:r>
          </w:p>
        </w:tc>
      </w:tr>
      <w:tr>
        <w:trPr>
          <w:cantSplit/>
        </w:trPr>
        <w:tc>
          <w:tcPr>
            <w:tcW w:type="dxa" w:w="900"/>
            <w:tcMar>
              <w:top w:type="dxa" w:w="60"/>
              <w:left w:type="dxa" w:w="90"/>
              <w:bottom w:type="dxa" w:w="60"/>
              <w:right w:type="dxa" w:w="90"/>
            </w:tcMar>
          </w:tcPr>
          <w:p>
            <w:pPr>
              <w:spacing w:after="0" w:line="260"/>
            </w:pPr>
            <w:r>
              <w:rPr>
                <w:b w:val="false"/>
                <w:bCs w:val="false"/>
                <w:sz w:val="20"/>
                <w:szCs w:val="20"/>
              </w:rPr>
              <w:t xml:space="preserve">FR11</w:t>
            </w:r>
          </w:p>
        </w:tc>
        <w:tc>
          <w:tcPr>
            <w:tcW w:type="dxa" w:w="8200"/>
            <w:tcMar>
              <w:top w:type="dxa" w:w="60"/>
              <w:left w:type="dxa" w:w="90"/>
              <w:bottom w:type="dxa" w:w="60"/>
              <w:right w:type="dxa" w:w="90"/>
            </w:tcMar>
          </w:tcPr>
          <w:p>
            <w:pPr>
              <w:spacing w:after="0" w:line="260"/>
            </w:pPr>
            <w:r>
              <w:rPr>
                <w:b w:val="false"/>
                <w:bCs w:val="false"/>
                <w:sz w:val="20"/>
                <w:szCs w:val="20"/>
              </w:rPr>
              <w:t xml:space="preserve">The component shall write per-shard scores to the shared versioned feature file for consumption by the fusion stage.</w:t>
            </w:r>
          </w:p>
        </w:tc>
      </w:tr>
    </w:tbl>
    <w:p>
      <w:pPr>
        <w:spacing w:after="120" w:line="300"/>
      </w:pPr>
      <w:r>
        <w:rPr>
          <w:i/>
          <w:iCs/>
          <w:sz w:val="20"/>
          <w:szCs w:val="20"/>
        </w:rPr>
        <w:t xml:space="preserve">Table 6. Functional requirements</w:t>
      </w:r>
    </w:p>
    <w:p>
      <w:pPr>
        <w:pStyle w:val="Heading2"/>
        <w:spacing w:after="140" w:before="280"/>
      </w:pPr>
      <w:r>
        <w:t xml:space="preserve">5.2 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4400"/>
      </w:tblGrid>
      <w:tr>
        <w:trPr>
          <w:cantSplit/>
          <w:tblHeader/>
        </w:trPr>
        <w:tc>
          <w:tcPr>
            <w:tcW w:type="dxa" w:w="800"/>
            <w:shd w:fill="E8E8E8" w:val="clear"/>
            <w:tcMar>
              <w:top w:type="dxa" w:w="60"/>
              <w:left w:type="dxa" w:w="90"/>
              <w:bottom w:type="dxa" w:w="60"/>
              <w:right w:type="dxa" w:w="90"/>
            </w:tcMar>
          </w:tcPr>
          <w:p>
            <w:pPr>
              <w:spacing w:after="0" w:line="260"/>
            </w:pPr>
            <w:r>
              <w:rPr>
                <w:b/>
                <w:bCs/>
                <w:sz w:val="20"/>
                <w:szCs w:val="20"/>
              </w:rPr>
              <w:t xml:space="preserve">ID</w:t>
            </w:r>
          </w:p>
        </w:tc>
        <w:tc>
          <w:tcPr>
            <w:tcW w:type="dxa" w:w="3900"/>
            <w:shd w:fill="E8E8E8" w:val="clear"/>
            <w:tcMar>
              <w:top w:type="dxa" w:w="60"/>
              <w:left w:type="dxa" w:w="90"/>
              <w:bottom w:type="dxa" w:w="60"/>
              <w:right w:type="dxa" w:w="90"/>
            </w:tcMar>
          </w:tcPr>
          <w:p>
            <w:pPr>
              <w:spacing w:after="0" w:line="260"/>
            </w:pPr>
            <w:r>
              <w:rPr>
                <w:b/>
                <w:bCs/>
                <w:sz w:val="20"/>
                <w:szCs w:val="20"/>
              </w:rPr>
              <w:t xml:space="preserve">Requirement</w:t>
            </w:r>
          </w:p>
        </w:tc>
        <w:tc>
          <w:tcPr>
            <w:tcW w:type="dxa" w:w="4400"/>
            <w:shd w:fill="E8E8E8" w:val="clear"/>
            <w:tcMar>
              <w:top w:type="dxa" w:w="60"/>
              <w:left w:type="dxa" w:w="90"/>
              <w:bottom w:type="dxa" w:w="60"/>
              <w:right w:type="dxa" w:w="90"/>
            </w:tcMar>
          </w:tcPr>
          <w:p>
            <w:pPr>
              <w:spacing w:after="0" w:line="260"/>
            </w:pPr>
            <w:r>
              <w:rPr>
                <w:b/>
                <w:bCs/>
                <w:sz w:val="20"/>
                <w:szCs w:val="20"/>
              </w:rPr>
              <w:t xml:space="preserve">Measurable criterion</w:t>
            </w:r>
          </w:p>
        </w:tc>
      </w:tr>
      <w:tr>
        <w:trPr>
          <w:cantSplit/>
        </w:trPr>
        <w:tc>
          <w:tcPr>
            <w:tcW w:type="dxa" w:w="800"/>
            <w:tcMar>
              <w:top w:type="dxa" w:w="60"/>
              <w:left w:type="dxa" w:w="90"/>
              <w:bottom w:type="dxa" w:w="60"/>
              <w:right w:type="dxa" w:w="90"/>
            </w:tcMar>
          </w:tcPr>
          <w:p>
            <w:pPr>
              <w:spacing w:after="0" w:line="260"/>
            </w:pPr>
            <w:r>
              <w:rPr>
                <w:b w:val="false"/>
                <w:bCs w:val="false"/>
                <w:sz w:val="20"/>
                <w:szCs w:val="20"/>
              </w:rPr>
              <w:t xml:space="preserve">NFR1</w:t>
            </w:r>
          </w:p>
        </w:tc>
        <w:tc>
          <w:tcPr>
            <w:tcW w:type="dxa" w:w="3900"/>
            <w:tcMar>
              <w:top w:type="dxa" w:w="60"/>
              <w:left w:type="dxa" w:w="90"/>
              <w:bottom w:type="dxa" w:w="60"/>
              <w:right w:type="dxa" w:w="90"/>
            </w:tcMar>
          </w:tcPr>
          <w:p>
            <w:pPr>
              <w:spacing w:after="0" w:line="260"/>
            </w:pPr>
            <w:r>
              <w:rPr>
                <w:b w:val="false"/>
                <w:bCs w:val="false"/>
                <w:sz w:val="20"/>
                <w:szCs w:val="20"/>
              </w:rPr>
              <w:t xml:space="preserve">Reproducibility — an identical input must produce an identical score</w:t>
            </w:r>
          </w:p>
        </w:tc>
        <w:tc>
          <w:tcPr>
            <w:tcW w:type="dxa" w:w="4400"/>
            <w:tcMar>
              <w:top w:type="dxa" w:w="60"/>
              <w:left w:type="dxa" w:w="90"/>
              <w:bottom w:type="dxa" w:w="60"/>
              <w:right w:type="dxa" w:w="90"/>
            </w:tcMar>
          </w:tcPr>
          <w:p>
            <w:pPr>
              <w:spacing w:after="0" w:line="260"/>
            </w:pPr>
            <w:r>
              <w:rPr>
                <w:b w:val="false"/>
                <w:bCs w:val="false"/>
                <w:sz w:val="20"/>
                <w:szCs w:val="20"/>
              </w:rPr>
              <w:t xml:space="preserve">Two runs on the same input with a fixed seed produce byte-identical output</w:t>
            </w:r>
          </w:p>
        </w:tc>
      </w:tr>
      <w:tr>
        <w:trPr>
          <w:cantSplit/>
        </w:trPr>
        <w:tc>
          <w:tcPr>
            <w:tcW w:type="dxa" w:w="800"/>
            <w:tcMar>
              <w:top w:type="dxa" w:w="60"/>
              <w:left w:type="dxa" w:w="90"/>
              <w:bottom w:type="dxa" w:w="60"/>
              <w:right w:type="dxa" w:w="90"/>
            </w:tcMar>
          </w:tcPr>
          <w:p>
            <w:pPr>
              <w:spacing w:after="0" w:line="260"/>
            </w:pPr>
            <w:r>
              <w:rPr>
                <w:b w:val="false"/>
                <w:bCs w:val="false"/>
                <w:sz w:val="20"/>
                <w:szCs w:val="20"/>
              </w:rPr>
              <w:t xml:space="preserve">NFR2</w:t>
            </w:r>
          </w:p>
        </w:tc>
        <w:tc>
          <w:tcPr>
            <w:tcW w:type="dxa" w:w="3900"/>
            <w:tcMar>
              <w:top w:type="dxa" w:w="60"/>
              <w:left w:type="dxa" w:w="90"/>
              <w:bottom w:type="dxa" w:w="60"/>
              <w:right w:type="dxa" w:w="90"/>
            </w:tcMar>
          </w:tcPr>
          <w:p>
            <w:pPr>
              <w:spacing w:after="0" w:line="260"/>
            </w:pPr>
            <w:r>
              <w:rPr>
                <w:b w:val="false"/>
                <w:bCs w:val="false"/>
                <w:sz w:val="20"/>
                <w:szCs w:val="20"/>
              </w:rPr>
              <w:t xml:space="preserve">Auditability — the scoring rule must be inspectable without executing code</w:t>
            </w:r>
          </w:p>
        </w:tc>
        <w:tc>
          <w:tcPr>
            <w:tcW w:type="dxa" w:w="4400"/>
            <w:tcMar>
              <w:top w:type="dxa" w:w="60"/>
              <w:left w:type="dxa" w:w="90"/>
              <w:bottom w:type="dxa" w:w="60"/>
              <w:right w:type="dxa" w:w="90"/>
            </w:tcMar>
          </w:tcPr>
          <w:p>
            <w:pPr>
              <w:spacing w:after="0" w:line="260"/>
            </w:pPr>
            <w:r>
              <w:rPr>
                <w:b w:val="false"/>
                <w:bCs w:val="false"/>
                <w:sz w:val="20"/>
                <w:szCs w:val="20"/>
              </w:rPr>
              <w:t xml:space="preserve">The frozen equation fits on one page and can be evaluated by hand from published coefficients</w:t>
            </w:r>
          </w:p>
        </w:tc>
      </w:tr>
      <w:tr>
        <w:trPr>
          <w:cantSplit/>
        </w:trPr>
        <w:tc>
          <w:tcPr>
            <w:tcW w:type="dxa" w:w="800"/>
            <w:tcMar>
              <w:top w:type="dxa" w:w="60"/>
              <w:left w:type="dxa" w:w="90"/>
              <w:bottom w:type="dxa" w:w="60"/>
              <w:right w:type="dxa" w:w="90"/>
            </w:tcMar>
          </w:tcPr>
          <w:p>
            <w:pPr>
              <w:spacing w:after="0" w:line="260"/>
            </w:pPr>
            <w:r>
              <w:rPr>
                <w:b w:val="false"/>
                <w:bCs w:val="false"/>
                <w:sz w:val="20"/>
                <w:szCs w:val="20"/>
              </w:rPr>
              <w:t xml:space="preserve">NFR3</w:t>
            </w:r>
          </w:p>
        </w:tc>
        <w:tc>
          <w:tcPr>
            <w:tcW w:type="dxa" w:w="3900"/>
            <w:tcMar>
              <w:top w:type="dxa" w:w="60"/>
              <w:left w:type="dxa" w:w="90"/>
              <w:bottom w:type="dxa" w:w="60"/>
              <w:right w:type="dxa" w:w="90"/>
            </w:tcMar>
          </w:tcPr>
          <w:p>
            <w:pPr>
              <w:spacing w:after="0" w:line="260"/>
            </w:pPr>
            <w:r>
              <w:rPr>
                <w:b w:val="false"/>
                <w:bCs w:val="false"/>
                <w:sz w:val="20"/>
                <w:szCs w:val="20"/>
              </w:rPr>
              <w:t xml:space="preserve">Scale invariance — the score must not vary with corpus size</w:t>
            </w:r>
          </w:p>
        </w:tc>
        <w:tc>
          <w:tcPr>
            <w:tcW w:type="dxa" w:w="4400"/>
            <w:tcMar>
              <w:top w:type="dxa" w:w="60"/>
              <w:left w:type="dxa" w:w="90"/>
              <w:bottom w:type="dxa" w:w="60"/>
              <w:right w:type="dxa" w:w="90"/>
            </w:tcMar>
          </w:tcPr>
          <w:p>
            <w:pPr>
              <w:spacing w:after="0" w:line="260"/>
            </w:pPr>
            <w:r>
              <w:rPr>
                <w:b w:val="false"/>
                <w:bCs w:val="false"/>
                <w:sz w:val="20"/>
                <w:szCs w:val="20"/>
              </w:rPr>
              <w:t xml:space="preserve">Doubling a shard by duplication changes the score by less than a stated tolerance</w:t>
            </w:r>
          </w:p>
        </w:tc>
      </w:tr>
      <w:tr>
        <w:trPr>
          <w:cantSplit/>
        </w:trPr>
        <w:tc>
          <w:tcPr>
            <w:tcW w:type="dxa" w:w="800"/>
            <w:tcMar>
              <w:top w:type="dxa" w:w="60"/>
              <w:left w:type="dxa" w:w="90"/>
              <w:bottom w:type="dxa" w:w="60"/>
              <w:right w:type="dxa" w:w="90"/>
            </w:tcMar>
          </w:tcPr>
          <w:p>
            <w:pPr>
              <w:spacing w:after="0" w:line="260"/>
            </w:pPr>
            <w:r>
              <w:rPr>
                <w:b w:val="false"/>
                <w:bCs w:val="false"/>
                <w:sz w:val="20"/>
                <w:szCs w:val="20"/>
              </w:rPr>
              <w:t xml:space="preserve">NFR4</w:t>
            </w:r>
          </w:p>
        </w:tc>
        <w:tc>
          <w:tcPr>
            <w:tcW w:type="dxa" w:w="3900"/>
            <w:tcMar>
              <w:top w:type="dxa" w:w="60"/>
              <w:left w:type="dxa" w:w="90"/>
              <w:bottom w:type="dxa" w:w="60"/>
              <w:right w:type="dxa" w:w="90"/>
            </w:tcMar>
          </w:tcPr>
          <w:p>
            <w:pPr>
              <w:spacing w:after="0" w:line="260"/>
            </w:pPr>
            <w:r>
              <w:rPr>
                <w:b w:val="false"/>
                <w:bCs w:val="false"/>
                <w:sz w:val="20"/>
                <w:szCs w:val="20"/>
              </w:rPr>
              <w:t xml:space="preserve">Portability — scoring a new corpus must not require retraining</w:t>
            </w:r>
          </w:p>
        </w:tc>
        <w:tc>
          <w:tcPr>
            <w:tcW w:type="dxa" w:w="4400"/>
            <w:tcMar>
              <w:top w:type="dxa" w:w="60"/>
              <w:left w:type="dxa" w:w="90"/>
              <w:bottom w:type="dxa" w:w="60"/>
              <w:right w:type="dxa" w:w="90"/>
            </w:tcMar>
          </w:tcPr>
          <w:p>
            <w:pPr>
              <w:spacing w:after="0" w:line="260"/>
            </w:pPr>
            <w:r>
              <w:rPr>
                <w:b w:val="false"/>
                <w:bCs w:val="false"/>
                <w:sz w:val="20"/>
                <w:szCs w:val="20"/>
              </w:rPr>
              <w:t xml:space="preserve">A new dataset is scored by applying the published equation to its extracted features alone</w:t>
            </w:r>
          </w:p>
        </w:tc>
      </w:tr>
      <w:tr>
        <w:trPr>
          <w:cantSplit/>
        </w:trPr>
        <w:tc>
          <w:tcPr>
            <w:tcW w:type="dxa" w:w="800"/>
            <w:tcMar>
              <w:top w:type="dxa" w:w="60"/>
              <w:left w:type="dxa" w:w="90"/>
              <w:bottom w:type="dxa" w:w="60"/>
              <w:right w:type="dxa" w:w="90"/>
            </w:tcMar>
          </w:tcPr>
          <w:p>
            <w:pPr>
              <w:spacing w:after="0" w:line="260"/>
            </w:pPr>
            <w:r>
              <w:rPr>
                <w:b w:val="false"/>
                <w:bCs w:val="false"/>
                <w:sz w:val="20"/>
                <w:szCs w:val="20"/>
              </w:rPr>
              <w:t xml:space="preserve">NFR5</w:t>
            </w:r>
          </w:p>
        </w:tc>
        <w:tc>
          <w:tcPr>
            <w:tcW w:type="dxa" w:w="3900"/>
            <w:tcMar>
              <w:top w:type="dxa" w:w="60"/>
              <w:left w:type="dxa" w:w="90"/>
              <w:bottom w:type="dxa" w:w="60"/>
              <w:right w:type="dxa" w:w="90"/>
            </w:tcMar>
          </w:tcPr>
          <w:p>
            <w:pPr>
              <w:spacing w:after="0" w:line="260"/>
            </w:pPr>
            <w:r>
              <w:rPr>
                <w:b w:val="false"/>
                <w:bCs w:val="false"/>
                <w:sz w:val="20"/>
                <w:szCs w:val="20"/>
              </w:rPr>
              <w:t xml:space="preserve">Performance — extraction must be tractable on student hardware</w:t>
            </w:r>
          </w:p>
        </w:tc>
        <w:tc>
          <w:tcPr>
            <w:tcW w:type="dxa" w:w="4400"/>
            <w:tcMar>
              <w:top w:type="dxa" w:w="60"/>
              <w:left w:type="dxa" w:w="90"/>
              <w:bottom w:type="dxa" w:w="60"/>
              <w:right w:type="dxa" w:w="90"/>
            </w:tcMar>
          </w:tcPr>
          <w:p>
            <w:pPr>
              <w:spacing w:after="0" w:line="260"/>
            </w:pPr>
            <w:r>
              <w:rPr>
                <w:b w:val="false"/>
                <w:bCs w:val="false"/>
                <w:sz w:val="20"/>
                <w:szCs w:val="20"/>
              </w:rPr>
              <w:t xml:space="preserve">Feature extraction for one corpus completes within a single working session on a standard laptop</w:t>
            </w:r>
          </w:p>
        </w:tc>
      </w:tr>
      <w:tr>
        <w:trPr>
          <w:cantSplit/>
        </w:trPr>
        <w:tc>
          <w:tcPr>
            <w:tcW w:type="dxa" w:w="800"/>
            <w:tcMar>
              <w:top w:type="dxa" w:w="60"/>
              <w:left w:type="dxa" w:w="90"/>
              <w:bottom w:type="dxa" w:w="60"/>
              <w:right w:type="dxa" w:w="90"/>
            </w:tcMar>
          </w:tcPr>
          <w:p>
            <w:pPr>
              <w:spacing w:after="0" w:line="260"/>
            </w:pPr>
            <w:r>
              <w:rPr>
                <w:b w:val="false"/>
                <w:bCs w:val="false"/>
                <w:sz w:val="20"/>
                <w:szCs w:val="20"/>
              </w:rPr>
              <w:t xml:space="preserve">NFR6</w:t>
            </w:r>
          </w:p>
        </w:tc>
        <w:tc>
          <w:tcPr>
            <w:tcW w:type="dxa" w:w="3900"/>
            <w:tcMar>
              <w:top w:type="dxa" w:w="60"/>
              <w:left w:type="dxa" w:w="90"/>
              <w:bottom w:type="dxa" w:w="60"/>
              <w:right w:type="dxa" w:w="90"/>
            </w:tcMar>
          </w:tcPr>
          <w:p>
            <w:pPr>
              <w:spacing w:after="0" w:line="260"/>
            </w:pPr>
            <w:r>
              <w:rPr>
                <w:b w:val="false"/>
                <w:bCs w:val="false"/>
                <w:sz w:val="20"/>
                <w:szCs w:val="20"/>
              </w:rPr>
              <w:t xml:space="preserve">Transparency of exclusion — data dropped must be visible</w:t>
            </w:r>
          </w:p>
        </w:tc>
        <w:tc>
          <w:tcPr>
            <w:tcW w:type="dxa" w:w="4400"/>
            <w:tcMar>
              <w:top w:type="dxa" w:w="60"/>
              <w:left w:type="dxa" w:w="90"/>
              <w:bottom w:type="dxa" w:w="60"/>
              <w:right w:type="dxa" w:w="90"/>
            </w:tcMar>
          </w:tcPr>
          <w:p>
            <w:pPr>
              <w:spacing w:after="0" w:line="260"/>
            </w:pPr>
            <w:r>
              <w:rPr>
                <w:b w:val="false"/>
                <w:bCs w:val="false"/>
                <w:sz w:val="20"/>
                <w:szCs w:val="20"/>
              </w:rPr>
              <w:t xml:space="preserve">Every reported score is accompanied by the excluded-speaker share and the lexicon OOV rate</w:t>
            </w:r>
          </w:p>
        </w:tc>
      </w:tr>
    </w:tbl>
    <w:p>
      <w:pPr>
        <w:spacing w:after="120" w:line="300"/>
      </w:pPr>
      <w:r>
        <w:rPr>
          <w:i/>
          <w:iCs/>
          <w:sz w:val="20"/>
          <w:szCs w:val="20"/>
        </w:rPr>
        <w:t xml:space="preserve">Table 7. Non-functional requirements</w:t>
      </w:r>
    </w:p>
    <w:p>
      <w:r>
        <w:br w:type="page"/>
      </w:r>
    </w:p>
    <w:p>
      <w:pPr>
        <w:pStyle w:val="Heading1"/>
        <w:spacing w:after="140" w:before="280"/>
      </w:pPr>
      <w:r>
        <w:t xml:space="preserve">6. COMMERCIALIZATION PLAN</w:t>
      </w:r>
    </w:p>
    <w:p>
      <w:pPr>
        <w:pStyle w:val="Heading2"/>
        <w:spacing w:after="140" w:before="280"/>
      </w:pPr>
      <w:r>
        <w:t xml:space="preserve">6.1 Target market and customer persona</w:t>
      </w:r>
    </w:p>
    <w:p>
      <w:pPr>
        <w:spacing w:after="120" w:line="300"/>
      </w:pPr>
      <w:r>
        <w:rPr>
          <w:sz w:val="22"/>
          <w:szCs w:val="22"/>
        </w:rPr>
        <w:t xml:space="preserve">The primary market is organisations that assemble or licence video training data and are subject to internal or regulatory fairness obligations. The representative persona is a dataset lead at a mid-sized AI company who must certify that a corpus has been assessed for representational disparity before a training run is authorised, and who currently has no instrument for doing so and no defensible way to document the decision. A secondary market is academic research groups publishing video datasets, for whom a reported score becomes part of the dataset card.</w:t>
      </w:r>
    </w:p>
    <w:p>
      <w:pPr>
        <w:pStyle w:val="Heading2"/>
        <w:spacing w:after="140" w:before="280"/>
      </w:pPr>
      <w:r>
        <w:t xml:space="preserve">6.2 Value proposition</w:t>
      </w:r>
    </w:p>
    <w:p>
      <w:pPr>
        <w:spacing w:after="120" w:line="300"/>
      </w:pPr>
      <w:r>
        <w:rPr>
          <w:sz w:val="22"/>
          <w:szCs w:val="22"/>
        </w:rPr>
        <w:t xml:space="preserve">The component detects representational bias at the point where correction is cheapest. Because it is applied before training, it requires no retraining, no model access and no labelled outcomes; because the scoring rule is a frozen equation rather than a model, results are comparable across datasets and across time, and can be defended line by line to an auditor. Because it is one of four modality sub-metrics, a user can see not merely that a dataset is skewed but through which channel.</w:t>
      </w:r>
    </w:p>
    <w:p>
      <w:pPr>
        <w:pStyle w:val="Heading2"/>
        <w:spacing w:after="140" w:before="280"/>
      </w:pPr>
      <w:r>
        <w:t xml:space="preserve">6.3 Revenue model and pricing</w:t>
      </w:r>
    </w:p>
    <w:p>
      <w:pPr>
        <w:spacing w:after="120" w:line="300"/>
      </w:pPr>
      <w:r>
        <w:rPr>
          <w:sz w:val="22"/>
          <w:szCs w:val="22"/>
        </w:rPr>
        <w:t xml:space="preserve">The intended release is open-source for the equation and the reference implementation, on the reasoning that an audit instrument gains value from being independently verifiable and loses it from being proprietary. Sustainable revenue, if pursued, sits above the metric rather than in it: a hosted audit service producing certified reports, integration and consulting for organisations embedding the metric into a data pipeline, and training. Pricing under such a model would be per-audit or subscription, benchmarked against existing data-quality and model-governance tooling.</w:t>
      </w:r>
    </w:p>
    <w:p>
      <w:pPr>
        <w:pBdr>
          <w:left w:val="single" w:color="888888" w:sz="12" w:space="8"/>
        </w:pBdr>
        <w:spacing w:after="140" w:line="300"/>
        <w:ind w:left="215"/>
      </w:pPr>
      <w:r>
        <w:rPr>
          <w:i/>
          <w:iCs/>
          <w:color w:val="444444"/>
          <w:sz w:val="22"/>
          <w:szCs w:val="22"/>
        </w:rPr>
        <w:t xml:space="preserve">[TO COMPLETE] If your supervisor expects specific figures here, benchmark two or three comparable data-governance or model-auditing products and give a price range with a source. Do not invent numbers.</w:t>
      </w:r>
    </w:p>
    <w:p>
      <w:pPr>
        <w:pStyle w:val="Heading2"/>
        <w:spacing w:after="140" w:before="280"/>
      </w:pPr>
      <w:r>
        <w:t xml:space="preserve">6.4 Competitive advantage</w:t>
      </w:r>
    </w:p>
    <w:p>
      <w:pPr>
        <w:spacing w:after="120" w:line="300"/>
      </w:pPr>
      <w:r>
        <w:rPr>
          <w:sz w:val="22"/>
          <w:szCs w:val="22"/>
        </w:rPr>
        <w:t xml:space="preserve">Three properties are difficult for a competitor to replicate quickly. The metric operates before training, where descriptive tools such as GD-IQ operate on finished content and model-auditing tools operate after training. It is modality-decomposed, so it localises the source of disparity rather than only reporting its presence. And it is expressed as a frozen closed-form equation, which is a stronger position for regulatory or procurement use than a model whose behaviour cannot be inspected.</w:t>
      </w:r>
    </w:p>
    <w:p>
      <w:pPr>
        <w:pStyle w:val="Heading2"/>
        <w:spacing w:after="140" w:before="280"/>
      </w:pPr>
      <w:r>
        <w:t xml:space="preserve">6.5 Intellectual property considerations</w:t>
      </w:r>
    </w:p>
    <w:p>
      <w:pPr>
        <w:spacing w:after="120" w:line="300"/>
      </w:pPr>
      <w:r>
        <w:rPr>
          <w:sz w:val="22"/>
          <w:szCs w:val="22"/>
        </w:rPr>
        <w:t xml:space="preserve">The equation itself is a mathematical expression and is published rather than protected; its value in this application depends on being citable and checkable. The corpora used are third-party and governed by their own licences, which permit academic use and do not permit redistribution, so no corpus content is embedded in any deliverable. The connotation-frame lexicons are publicly released by their authors [2] and are attributed rather than incorporated as original work. Ownership of student research output follows SLIIT policy.</w:t>
      </w:r>
    </w:p>
    <w:p>
      <w:pPr>
        <w:pBdr>
          <w:left w:val="single" w:color="888888" w:sz="12" w:space="8"/>
        </w:pBdr>
        <w:spacing w:after="140" w:line="300"/>
        <w:ind w:left="215"/>
      </w:pPr>
      <w:r>
        <w:rPr>
          <w:i/>
          <w:iCs/>
          <w:color w:val="444444"/>
          <w:sz w:val="22"/>
          <w:szCs w:val="22"/>
        </w:rPr>
        <w:t xml:space="preserve">[TO COMPLETE] Confirm the SLIIT position on ownership of undergraduate research output and cite the policy document rather than paraphrasing it.</w:t>
      </w:r>
    </w:p>
    <w:p>
      <w:r>
        <w:br w:type="page"/>
      </w:r>
    </w:p>
    <w:p>
      <w:pPr>
        <w:pStyle w:val="Heading1"/>
        <w:spacing w:after="140" w:before="280"/>
      </w:pPr>
      <w:r>
        <w:t xml:space="preserve">7. BUDGET AND JUSTIFICATION</w:t>
      </w:r>
    </w:p>
    <w:p>
      <w:pPr>
        <w:spacing w:after="120" w:line="300"/>
      </w:pPr>
      <w:r>
        <w:rPr>
          <w:sz w:val="22"/>
          <w:szCs w:val="22"/>
        </w:rPr>
        <w:t xml:space="preserve">This component opens no video at any stage and trains no deep model, so its computational requirements are modest. The dominant cost is human effort. Figures below are structural; the amounts must be completed with your own verified costs before submission.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300"/>
      </w:tblGrid>
      <w:tr>
        <w:trPr>
          <w:cantSplit/>
          <w:tblHeader/>
        </w:trPr>
        <w:tc>
          <w:tcPr>
            <w:tcW w:type="dxa" w:w="2200"/>
            <w:shd w:fill="E8E8E8" w:val="clear"/>
            <w:tcMar>
              <w:top w:type="dxa" w:w="60"/>
              <w:left w:type="dxa" w:w="90"/>
              <w:bottom w:type="dxa" w:w="60"/>
              <w:right w:type="dxa" w:w="90"/>
            </w:tcMar>
          </w:tcPr>
          <w:p>
            <w:pPr>
              <w:spacing w:after="0" w:line="260"/>
            </w:pPr>
            <w:r>
              <w:rPr>
                <w:b/>
                <w:bCs/>
                <w:sz w:val="20"/>
                <w:szCs w:val="20"/>
              </w:rPr>
              <w:t xml:space="preserve">Item</w:t>
            </w:r>
          </w:p>
        </w:tc>
        <w:tc>
          <w:tcPr>
            <w:tcW w:type="dxa" w:w="4600"/>
            <w:shd w:fill="E8E8E8" w:val="clear"/>
            <w:tcMar>
              <w:top w:type="dxa" w:w="60"/>
              <w:left w:type="dxa" w:w="90"/>
              <w:bottom w:type="dxa" w:w="60"/>
              <w:right w:type="dxa" w:w="90"/>
            </w:tcMar>
          </w:tcPr>
          <w:p>
            <w:pPr>
              <w:spacing w:after="0" w:line="260"/>
            </w:pPr>
            <w:r>
              <w:rPr>
                <w:b/>
                <w:bCs/>
                <w:sz w:val="20"/>
                <w:szCs w:val="20"/>
              </w:rPr>
              <w:t xml:space="preserve">Justification</w:t>
            </w:r>
          </w:p>
        </w:tc>
        <w:tc>
          <w:tcPr>
            <w:tcW w:type="dxa" w:w="2300"/>
            <w:shd w:fill="E8E8E8" w:val="clear"/>
            <w:tcMar>
              <w:top w:type="dxa" w:w="60"/>
              <w:left w:type="dxa" w:w="90"/>
              <w:bottom w:type="dxa" w:w="60"/>
              <w:right w:type="dxa" w:w="90"/>
            </w:tcMar>
          </w:tcPr>
          <w:p>
            <w:pPr>
              <w:spacing w:after="0" w:line="260"/>
            </w:pPr>
            <w:r>
              <w:rPr>
                <w:b/>
                <w:bCs/>
                <w:sz w:val="20"/>
                <w:szCs w:val="20"/>
              </w:rPr>
              <w:t xml:space="preserve">Estimated cost (LKR)</w:t>
            </w:r>
          </w:p>
        </w:tc>
      </w:tr>
      <w:tr>
        <w:trPr>
          <w:cantSplit/>
        </w:trPr>
        <w:tc>
          <w:tcPr>
            <w:tcW w:type="dxa" w:w="2200"/>
            <w:tcMar>
              <w:top w:type="dxa" w:w="60"/>
              <w:left w:type="dxa" w:w="90"/>
              <w:bottom w:type="dxa" w:w="60"/>
              <w:right w:type="dxa" w:w="90"/>
            </w:tcMar>
          </w:tcPr>
          <w:p>
            <w:pPr>
              <w:spacing w:after="0" w:line="260"/>
            </w:pPr>
            <w:r>
              <w:rPr>
                <w:b w:val="false"/>
                <w:bCs w:val="false"/>
                <w:sz w:val="20"/>
                <w:szCs w:val="20"/>
              </w:rPr>
              <w:t xml:space="preserve">Hardware — personal workstation</w:t>
            </w:r>
          </w:p>
        </w:tc>
        <w:tc>
          <w:tcPr>
            <w:tcW w:type="dxa" w:w="4600"/>
            <w:tcMar>
              <w:top w:type="dxa" w:w="60"/>
              <w:left w:type="dxa" w:w="90"/>
              <w:bottom w:type="dxa" w:w="60"/>
              <w:right w:type="dxa" w:w="90"/>
            </w:tcMar>
          </w:tcPr>
          <w:p>
            <w:pPr>
              <w:spacing w:after="0" w:line="260"/>
            </w:pPr>
            <w:r>
              <w:rPr>
                <w:b w:val="false"/>
                <w:bCs w:val="false"/>
                <w:sz w:val="20"/>
                <w:szCs w:val="20"/>
              </w:rPr>
              <w:t xml:space="preserve">Dependency parsing and regression fitting run on existing student hardware. No GPU is required by this component, since no model is trained.</w:t>
            </w:r>
          </w:p>
        </w:tc>
        <w:tc>
          <w:tcPr>
            <w:tcW w:type="dxa" w:w="2300"/>
            <w:tcMar>
              <w:top w:type="dxa" w:w="60"/>
              <w:left w:type="dxa" w:w="90"/>
              <w:bottom w:type="dxa" w:w="60"/>
              <w:right w:type="dxa" w:w="90"/>
            </w:tcMar>
          </w:tcPr>
          <w:p>
            <w:pPr>
              <w:spacing w:after="0" w:line="260"/>
            </w:pPr>
            <w:r>
              <w:rPr>
                <w:b w:val="false"/>
                <w:bCs w:val="false"/>
                <w:sz w:val="20"/>
                <w:szCs w:val="20"/>
              </w:rPr>
              <w:t xml:space="preserve">[TO COMPLETE] — state nil if using existing equipment</w:t>
            </w:r>
          </w:p>
        </w:tc>
      </w:tr>
      <w:tr>
        <w:trPr>
          <w:cantSplit/>
        </w:trPr>
        <w:tc>
          <w:tcPr>
            <w:tcW w:type="dxa" w:w="2200"/>
            <w:tcMar>
              <w:top w:type="dxa" w:w="60"/>
              <w:left w:type="dxa" w:w="90"/>
              <w:bottom w:type="dxa" w:w="60"/>
              <w:right w:type="dxa" w:w="90"/>
            </w:tcMar>
          </w:tcPr>
          <w:p>
            <w:pPr>
              <w:spacing w:after="0" w:line="260"/>
            </w:pPr>
            <w:r>
              <w:rPr>
                <w:b w:val="false"/>
                <w:bCs w:val="false"/>
                <w:sz w:val="20"/>
                <w:szCs w:val="20"/>
              </w:rPr>
              <w:t xml:space="preserve">Storage</w:t>
            </w:r>
          </w:p>
        </w:tc>
        <w:tc>
          <w:tcPr>
            <w:tcW w:type="dxa" w:w="4600"/>
            <w:tcMar>
              <w:top w:type="dxa" w:w="60"/>
              <w:left w:type="dxa" w:w="90"/>
              <w:bottom w:type="dxa" w:w="60"/>
              <w:right w:type="dxa" w:w="90"/>
            </w:tcMar>
          </w:tcPr>
          <w:p>
            <w:pPr>
              <w:spacing w:after="0" w:line="260"/>
            </w:pPr>
            <w:r>
              <w:rPr>
                <w:b w:val="false"/>
                <w:bCs w:val="false"/>
                <w:sz w:val="20"/>
                <w:szCs w:val="20"/>
              </w:rPr>
              <w:t xml:space="preserve">Annotation files only; corpora video is not required by this component. Requirement is in the order of a few gigabytes.</w:t>
            </w:r>
          </w:p>
        </w:tc>
        <w:tc>
          <w:tcPr>
            <w:tcW w:type="dxa" w:w="2300"/>
            <w:tcMar>
              <w:top w:type="dxa" w:w="60"/>
              <w:left w:type="dxa" w:w="90"/>
              <w:bottom w:type="dxa" w:w="60"/>
              <w:right w:type="dxa" w:w="90"/>
            </w:tcMar>
          </w:tcPr>
          <w:p>
            <w:pPr>
              <w:spacing w:after="0" w:line="260"/>
            </w:pPr>
            <w:r>
              <w:rPr>
                <w:b w:val="false"/>
                <w:bCs w:val="false"/>
                <w:sz w:val="20"/>
                <w:szCs w:val="20"/>
              </w:rPr>
              <w:t xml:space="preserve">[TO COMPLETE]</w:t>
            </w:r>
          </w:p>
        </w:tc>
      </w:tr>
      <w:tr>
        <w:trPr>
          <w:cantSplit/>
        </w:trPr>
        <w:tc>
          <w:tcPr>
            <w:tcW w:type="dxa" w:w="2200"/>
            <w:tcMar>
              <w:top w:type="dxa" w:w="60"/>
              <w:left w:type="dxa" w:w="90"/>
              <w:bottom w:type="dxa" w:w="60"/>
              <w:right w:type="dxa" w:w="90"/>
            </w:tcMar>
          </w:tcPr>
          <w:p>
            <w:pPr>
              <w:spacing w:after="0" w:line="260"/>
            </w:pPr>
            <w:r>
              <w:rPr>
                <w:b w:val="false"/>
                <w:bCs w:val="false"/>
                <w:sz w:val="20"/>
                <w:szCs w:val="20"/>
              </w:rPr>
              <w:t xml:space="preserve">Software licences</w:t>
            </w:r>
          </w:p>
        </w:tc>
        <w:tc>
          <w:tcPr>
            <w:tcW w:type="dxa" w:w="4600"/>
            <w:tcMar>
              <w:top w:type="dxa" w:w="60"/>
              <w:left w:type="dxa" w:w="90"/>
              <w:bottom w:type="dxa" w:w="60"/>
              <w:right w:type="dxa" w:w="90"/>
            </w:tcMar>
          </w:tcPr>
          <w:p>
            <w:pPr>
              <w:spacing w:after="0" w:line="260"/>
            </w:pPr>
            <w:r>
              <w:rPr>
                <w:b w:val="false"/>
                <w:bCs w:val="false"/>
                <w:sz w:val="20"/>
                <w:szCs w:val="20"/>
              </w:rPr>
              <w:t xml:space="preserve">The full toolchain — Python, spaCy, scikit-learn, statsmodels, SciPy, NumPy — is open-source. The connotation-frame lexicons are publicly released.</w:t>
            </w:r>
          </w:p>
        </w:tc>
        <w:tc>
          <w:tcPr>
            <w:tcW w:type="dxa" w:w="2300"/>
            <w:tcMar>
              <w:top w:type="dxa" w:w="60"/>
              <w:left w:type="dxa" w:w="90"/>
              <w:bottom w:type="dxa" w:w="60"/>
              <w:right w:type="dxa" w:w="90"/>
            </w:tcMar>
          </w:tcPr>
          <w:p>
            <w:pPr>
              <w:spacing w:after="0" w:line="260"/>
            </w:pPr>
            <w:r>
              <w:rPr>
                <w:b w:val="false"/>
                <w:bCs w:val="false"/>
                <w:sz w:val="20"/>
                <w:szCs w:val="20"/>
              </w:rPr>
              <w:t xml:space="preserve">Nil</w:t>
            </w:r>
          </w:p>
        </w:tc>
      </w:tr>
      <w:tr>
        <w:trPr>
          <w:cantSplit/>
        </w:trPr>
        <w:tc>
          <w:tcPr>
            <w:tcW w:type="dxa" w:w="2200"/>
            <w:tcMar>
              <w:top w:type="dxa" w:w="60"/>
              <w:left w:type="dxa" w:w="90"/>
              <w:bottom w:type="dxa" w:w="60"/>
              <w:right w:type="dxa" w:w="90"/>
            </w:tcMar>
          </w:tcPr>
          <w:p>
            <w:pPr>
              <w:spacing w:after="0" w:line="260"/>
            </w:pPr>
            <w:r>
              <w:rPr>
                <w:b w:val="false"/>
                <w:bCs w:val="false"/>
                <w:sz w:val="20"/>
                <w:szCs w:val="20"/>
              </w:rPr>
              <w:t xml:space="preserve">Cloud services</w:t>
            </w:r>
          </w:p>
        </w:tc>
        <w:tc>
          <w:tcPr>
            <w:tcW w:type="dxa" w:w="4600"/>
            <w:tcMar>
              <w:top w:type="dxa" w:w="60"/>
              <w:left w:type="dxa" w:w="90"/>
              <w:bottom w:type="dxa" w:w="60"/>
              <w:right w:type="dxa" w:w="90"/>
            </w:tcMar>
          </w:tcPr>
          <w:p>
            <w:pPr>
              <w:spacing w:after="0" w:line="260"/>
            </w:pPr>
            <w:r>
              <w:rPr>
                <w:b w:val="false"/>
                <w:bCs w:val="false"/>
                <w:sz w:val="20"/>
                <w:szCs w:val="20"/>
              </w:rPr>
              <w:t xml:space="preserve">Not required for this component. Included for completeness in case group-level fusion or the validation stage requires shared compute.</w:t>
            </w:r>
          </w:p>
        </w:tc>
        <w:tc>
          <w:tcPr>
            <w:tcW w:type="dxa" w:w="2300"/>
            <w:tcMar>
              <w:top w:type="dxa" w:w="60"/>
              <w:left w:type="dxa" w:w="90"/>
              <w:bottom w:type="dxa" w:w="60"/>
              <w:right w:type="dxa" w:w="90"/>
            </w:tcMar>
          </w:tcPr>
          <w:p>
            <w:pPr>
              <w:spacing w:after="0" w:line="260"/>
            </w:pPr>
            <w:r>
              <w:rPr>
                <w:b w:val="false"/>
                <w:bCs w:val="false"/>
                <w:sz w:val="20"/>
                <w:szCs w:val="20"/>
              </w:rPr>
              <w:t xml:space="preserve">[TO COMPLETE] — nil if not used</w:t>
            </w:r>
          </w:p>
        </w:tc>
      </w:tr>
      <w:tr>
        <w:trPr>
          <w:cantSplit/>
        </w:trPr>
        <w:tc>
          <w:tcPr>
            <w:tcW w:type="dxa" w:w="2200"/>
            <w:tcMar>
              <w:top w:type="dxa" w:w="60"/>
              <w:left w:type="dxa" w:w="90"/>
              <w:bottom w:type="dxa" w:w="60"/>
              <w:right w:type="dxa" w:w="90"/>
            </w:tcMar>
          </w:tcPr>
          <w:p>
            <w:pPr>
              <w:spacing w:after="0" w:line="260"/>
            </w:pPr>
            <w:r>
              <w:rPr>
                <w:b w:val="false"/>
                <w:bCs w:val="false"/>
                <w:sz w:val="20"/>
                <w:szCs w:val="20"/>
              </w:rPr>
              <w:t xml:space="preserve">Corpus access</w:t>
            </w:r>
          </w:p>
        </w:tc>
        <w:tc>
          <w:tcPr>
            <w:tcW w:type="dxa" w:w="4600"/>
            <w:tcMar>
              <w:top w:type="dxa" w:w="60"/>
              <w:left w:type="dxa" w:w="90"/>
              <w:bottom w:type="dxa" w:w="60"/>
              <w:right w:type="dxa" w:w="90"/>
            </w:tcMar>
          </w:tcPr>
          <w:p>
            <w:pPr>
              <w:spacing w:after="0" w:line="260"/>
            </w:pPr>
            <w:r>
              <w:rPr>
                <w:b w:val="false"/>
                <w:bCs w:val="false"/>
                <w:sz w:val="20"/>
                <w:szCs w:val="20"/>
              </w:rPr>
              <w:t xml:space="preserve">MELD and AMI are freely downloadable. Any corpus requiring registration is free for academic use.</w:t>
            </w:r>
          </w:p>
        </w:tc>
        <w:tc>
          <w:tcPr>
            <w:tcW w:type="dxa" w:w="2300"/>
            <w:tcMar>
              <w:top w:type="dxa" w:w="60"/>
              <w:left w:type="dxa" w:w="90"/>
              <w:bottom w:type="dxa" w:w="60"/>
              <w:right w:type="dxa" w:w="90"/>
            </w:tcMar>
          </w:tcPr>
          <w:p>
            <w:pPr>
              <w:spacing w:after="0" w:line="260"/>
            </w:pPr>
            <w:r>
              <w:rPr>
                <w:b w:val="false"/>
                <w:bCs w:val="false"/>
                <w:sz w:val="20"/>
                <w:szCs w:val="20"/>
              </w:rPr>
              <w:t xml:space="preserve">Nil</w:t>
            </w:r>
          </w:p>
        </w:tc>
      </w:tr>
      <w:tr>
        <w:trPr>
          <w:cantSplit/>
        </w:trPr>
        <w:tc>
          <w:tcPr>
            <w:tcW w:type="dxa" w:w="2200"/>
            <w:tcMar>
              <w:top w:type="dxa" w:w="60"/>
              <w:left w:type="dxa" w:w="90"/>
              <w:bottom w:type="dxa" w:w="60"/>
              <w:right w:type="dxa" w:w="90"/>
            </w:tcMar>
          </w:tcPr>
          <w:p>
            <w:pPr>
              <w:spacing w:after="0" w:line="260"/>
            </w:pPr>
            <w:r>
              <w:rPr>
                <w:b w:val="false"/>
                <w:bCs w:val="false"/>
                <w:sz w:val="20"/>
                <w:szCs w:val="20"/>
              </w:rPr>
              <w:t xml:space="preserve">Human effort</w:t>
            </w:r>
          </w:p>
        </w:tc>
        <w:tc>
          <w:tcPr>
            <w:tcW w:type="dxa" w:w="4600"/>
            <w:tcMar>
              <w:top w:type="dxa" w:w="60"/>
              <w:left w:type="dxa" w:w="90"/>
              <w:bottom w:type="dxa" w:w="60"/>
              <w:right w:type="dxa" w:w="90"/>
            </w:tcMar>
          </w:tcPr>
          <w:p>
            <w:pPr>
              <w:spacing w:after="0" w:line="260"/>
            </w:pPr>
            <w:r>
              <w:rPr>
                <w:b w:val="false"/>
                <w:bCs w:val="false"/>
                <w:sz w:val="20"/>
                <w:szCs w:val="20"/>
              </w:rPr>
              <w:t xml:space="preserve">Estimated at [TO COMPLETE] hours over the project period, covering literature work, extraction, modelling, evaluation and reporting.</w:t>
            </w:r>
          </w:p>
        </w:tc>
        <w:tc>
          <w:tcPr>
            <w:tcW w:type="dxa" w:w="2300"/>
            <w:tcMar>
              <w:top w:type="dxa" w:w="60"/>
              <w:left w:type="dxa" w:w="90"/>
              <w:bottom w:type="dxa" w:w="60"/>
              <w:right w:type="dxa" w:w="90"/>
            </w:tcMar>
          </w:tcPr>
          <w:p>
            <w:pPr>
              <w:spacing w:after="0" w:line="260"/>
            </w:pPr>
            <w:r>
              <w:rPr>
                <w:b w:val="false"/>
                <w:bCs w:val="false"/>
                <w:sz w:val="20"/>
                <w:szCs w:val="20"/>
              </w:rPr>
              <w:t xml:space="preserve">[TO COMPLETE] — use the departmental notional rate if one is specified</w:t>
            </w:r>
          </w:p>
        </w:tc>
      </w:tr>
      <w:tr>
        <w:trPr>
          <w:cantSplit/>
        </w:trPr>
        <w:tc>
          <w:tcPr>
            <w:tcW w:type="dxa" w:w="2200"/>
            <w:tcMar>
              <w:top w:type="dxa" w:w="60"/>
              <w:left w:type="dxa" w:w="90"/>
              <w:bottom w:type="dxa" w:w="60"/>
              <w:right w:type="dxa" w:w="90"/>
            </w:tcMar>
          </w:tcPr>
          <w:p>
            <w:pPr>
              <w:spacing w:after="0" w:line="260"/>
            </w:pPr>
            <w:r>
              <w:rPr>
                <w:b w:val="false"/>
                <w:bCs w:val="false"/>
                <w:sz w:val="20"/>
                <w:szCs w:val="20"/>
              </w:rPr>
              <w:t xml:space="preserve">Printing, binding and submission</w:t>
            </w:r>
          </w:p>
        </w:tc>
        <w:tc>
          <w:tcPr>
            <w:tcW w:type="dxa" w:w="4600"/>
            <w:tcMar>
              <w:top w:type="dxa" w:w="60"/>
              <w:left w:type="dxa" w:w="90"/>
              <w:bottom w:type="dxa" w:w="60"/>
              <w:right w:type="dxa" w:w="90"/>
            </w:tcMar>
          </w:tcPr>
          <w:p>
            <w:pPr>
              <w:spacing w:after="0" w:line="260"/>
            </w:pPr>
            <w:r>
              <w:rPr>
                <w:b w:val="false"/>
                <w:bCs w:val="false"/>
                <w:sz w:val="20"/>
                <w:szCs w:val="20"/>
              </w:rPr>
              <w:t xml:space="preserve">Proposal, progress documents and final dissertation.</w:t>
            </w:r>
          </w:p>
        </w:tc>
        <w:tc>
          <w:tcPr>
            <w:tcW w:type="dxa" w:w="2300"/>
            <w:tcMar>
              <w:top w:type="dxa" w:w="60"/>
              <w:left w:type="dxa" w:w="90"/>
              <w:bottom w:type="dxa" w:w="60"/>
              <w:right w:type="dxa" w:w="90"/>
            </w:tcMar>
          </w:tcPr>
          <w:p>
            <w:pPr>
              <w:spacing w:after="0" w:line="260"/>
            </w:pPr>
            <w:r>
              <w:rPr>
                <w:b w:val="false"/>
                <w:bCs w:val="false"/>
                <w:sz w:val="20"/>
                <w:szCs w:val="20"/>
              </w:rPr>
              <w:t xml:space="preserve">[TO COMPLETE]</w:t>
            </w:r>
          </w:p>
        </w:tc>
      </w:tr>
    </w:tbl>
    <w:p>
      <w:pPr>
        <w:spacing w:after="120" w:line="300"/>
      </w:pPr>
      <w:r>
        <w:rPr>
          <w:i/>
          <w:iCs/>
          <w:sz w:val="20"/>
          <w:szCs w:val="20"/>
        </w:rPr>
        <w:t xml:space="preserve">Table 8. Budget and justification</w:t>
      </w:r>
    </w:p>
    <w:p>
      <w:pPr>
        <w:pBdr>
          <w:left w:val="single" w:color="888888" w:sz="12" w:space="8"/>
        </w:pBdr>
        <w:spacing w:after="140" w:line="300"/>
        <w:ind w:left="215"/>
      </w:pPr>
      <w:r>
        <w:rPr>
          <w:i/>
          <w:iCs/>
          <w:color w:val="444444"/>
          <w:sz w:val="22"/>
          <w:szCs w:val="22"/>
        </w:rPr>
        <w:t xml:space="preserve">[TO COMPLETE] Replace every bracketed amount with a figure you can justify. Ask your supervisor whether the department expects a notional hourly rate for human effort and, if so, which one.</w:t>
      </w:r>
    </w:p>
    <w:p>
      <w:r>
        <w:br w:type="page"/>
      </w:r>
    </w:p>
    <w:p>
      <w:pPr>
        <w:pStyle w:val="Heading1"/>
        <w:spacing w:after="140" w:before="280"/>
      </w:pPr>
      <w:r>
        <w:t xml:space="preserve">8. WORK BREAKDOWN STRUCTURE</w:t>
      </w:r>
    </w:p>
    <w:p>
      <w:pPr>
        <w:spacing w:after="120" w:line="300"/>
      </w:pPr>
      <w:r>
        <w:rPr>
          <w:sz w:val="22"/>
          <w:szCs w:val="22"/>
        </w:rPr>
        <w:t xml:space="preserve">Group-level tasks are shared by all four members and must complete before component extraction begins. Component-level tasks below are this component’s alone.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1900"/>
      </w:tblGrid>
      <w:tr>
        <w:trPr>
          <w:cantSplit/>
          <w:tblHeader/>
        </w:trPr>
        <w:tc>
          <w:tcPr>
            <w:tcW w:type="dxa" w:w="1700"/>
            <w:shd w:fill="E8E8E8" w:val="clear"/>
            <w:tcMar>
              <w:top w:type="dxa" w:w="60"/>
              <w:left w:type="dxa" w:w="90"/>
              <w:bottom w:type="dxa" w:w="60"/>
              <w:right w:type="dxa" w:w="90"/>
            </w:tcMar>
          </w:tcPr>
          <w:p>
            <w:pPr>
              <w:spacing w:after="0" w:line="260"/>
            </w:pPr>
            <w:r>
              <w:rPr>
                <w:b/>
                <w:bCs/>
                <w:sz w:val="20"/>
                <w:szCs w:val="20"/>
              </w:rPr>
              <w:t xml:space="preserve">Phase</w:t>
            </w:r>
          </w:p>
        </w:tc>
        <w:tc>
          <w:tcPr>
            <w:tcW w:type="dxa" w:w="5500"/>
            <w:shd w:fill="E8E8E8" w:val="clear"/>
            <w:tcMar>
              <w:top w:type="dxa" w:w="60"/>
              <w:left w:type="dxa" w:w="90"/>
              <w:bottom w:type="dxa" w:w="60"/>
              <w:right w:type="dxa" w:w="90"/>
            </w:tcMar>
          </w:tcPr>
          <w:p>
            <w:pPr>
              <w:spacing w:after="0" w:line="260"/>
            </w:pPr>
            <w:r>
              <w:rPr>
                <w:b/>
                <w:bCs/>
                <w:sz w:val="20"/>
                <w:szCs w:val="20"/>
              </w:rPr>
              <w:t xml:space="preserve">Task</w:t>
            </w:r>
          </w:p>
        </w:tc>
        <w:tc>
          <w:tcPr>
            <w:tcW w:type="dxa" w:w="1900"/>
            <w:shd w:fill="E8E8E8" w:val="clear"/>
            <w:tcMar>
              <w:top w:type="dxa" w:w="60"/>
              <w:left w:type="dxa" w:w="90"/>
              <w:bottom w:type="dxa" w:w="60"/>
              <w:right w:type="dxa" w:w="90"/>
            </w:tcMar>
          </w:tcPr>
          <w:p>
            <w:pPr>
              <w:spacing w:after="0" w:line="260"/>
            </w:pPr>
            <w:r>
              <w:rPr>
                <w:b/>
                <w:bCs/>
                <w:sz w:val="20"/>
                <w:szCs w:val="20"/>
              </w:rPr>
              <w:t xml:space="preserve">Owner</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0 — Group setup</w:t>
            </w:r>
          </w:p>
        </w:tc>
        <w:tc>
          <w:tcPr>
            <w:tcW w:type="dxa" w:w="5500"/>
            <w:tcMar>
              <w:top w:type="dxa" w:w="60"/>
              <w:left w:type="dxa" w:w="90"/>
              <w:bottom w:type="dxa" w:w="60"/>
              <w:right w:type="dxa" w:w="90"/>
            </w:tcMar>
          </w:tcPr>
          <w:p>
            <w:pPr>
              <w:spacing w:after="0" w:line="260"/>
            </w:pPr>
            <w:r>
              <w:rPr>
                <w:b w:val="false"/>
                <w:bCs w:val="false"/>
                <w:sz w:val="20"/>
                <w:szCs w:val="20"/>
              </w:rPr>
              <w:t xml:space="preserve">Settle the open decisions: text source, shard definition, labelling protocol, calibration set</w:t>
            </w:r>
          </w:p>
        </w:tc>
        <w:tc>
          <w:tcPr>
            <w:tcW w:type="dxa" w:w="1900"/>
            <w:tcMar>
              <w:top w:type="dxa" w:w="60"/>
              <w:left w:type="dxa" w:w="90"/>
              <w:bottom w:type="dxa" w:w="60"/>
              <w:right w:type="dxa" w:w="90"/>
            </w:tcMar>
          </w:tcPr>
          <w:p>
            <w:pPr>
              <w:spacing w:after="0" w:line="260"/>
            </w:pPr>
            <w:r>
              <w:rPr>
                <w:b w:val="false"/>
                <w:bCs w:val="false"/>
                <w:sz w:val="20"/>
                <w:szCs w:val="20"/>
              </w:rPr>
              <w:t xml:space="preserve">All four members</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0 — Group setup</w:t>
            </w:r>
          </w:p>
        </w:tc>
        <w:tc>
          <w:tcPr>
            <w:tcW w:type="dxa" w:w="5500"/>
            <w:tcMar>
              <w:top w:type="dxa" w:w="60"/>
              <w:left w:type="dxa" w:w="90"/>
              <w:bottom w:type="dxa" w:w="60"/>
              <w:right w:type="dxa" w:w="90"/>
            </w:tcMar>
          </w:tcPr>
          <w:p>
            <w:pPr>
              <w:spacing w:after="0" w:line="260"/>
            </w:pPr>
            <w:r>
              <w:rPr>
                <w:b w:val="false"/>
                <w:bCs w:val="false"/>
                <w:sz w:val="20"/>
                <w:szCs w:val="20"/>
              </w:rPr>
              <w:t xml:space="preserve">Freeze the feature schema in writing</w:t>
            </w:r>
          </w:p>
        </w:tc>
        <w:tc>
          <w:tcPr>
            <w:tcW w:type="dxa" w:w="1900"/>
            <w:tcMar>
              <w:top w:type="dxa" w:w="60"/>
              <w:left w:type="dxa" w:w="90"/>
              <w:bottom w:type="dxa" w:w="60"/>
              <w:right w:type="dxa" w:w="90"/>
            </w:tcMar>
          </w:tcPr>
          <w:p>
            <w:pPr>
              <w:spacing w:after="0" w:line="260"/>
            </w:pPr>
            <w:r>
              <w:rPr>
                <w:b w:val="false"/>
                <w:bCs w:val="false"/>
                <w:sz w:val="20"/>
                <w:szCs w:val="20"/>
              </w:rPr>
              <w:t xml:space="preserve">All four members</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0 — Group setup</w:t>
            </w:r>
          </w:p>
        </w:tc>
        <w:tc>
          <w:tcPr>
            <w:tcW w:type="dxa" w:w="5500"/>
            <w:tcMar>
              <w:top w:type="dxa" w:w="60"/>
              <w:left w:type="dxa" w:w="90"/>
              <w:bottom w:type="dxa" w:w="60"/>
              <w:right w:type="dxa" w:w="90"/>
            </w:tcMar>
          </w:tcPr>
          <w:p>
            <w:pPr>
              <w:spacing w:after="0" w:line="260"/>
            </w:pPr>
            <w:r>
              <w:rPr>
                <w:b w:val="false"/>
                <w:bCs w:val="false"/>
                <w:sz w:val="20"/>
                <w:szCs w:val="20"/>
              </w:rPr>
              <w:t xml:space="preserve">Build one shared identity-to-gender map</w:t>
            </w:r>
          </w:p>
        </w:tc>
        <w:tc>
          <w:tcPr>
            <w:tcW w:type="dxa" w:w="1900"/>
            <w:tcMar>
              <w:top w:type="dxa" w:w="60"/>
              <w:left w:type="dxa" w:w="90"/>
              <w:bottom w:type="dxa" w:w="60"/>
              <w:right w:type="dxa" w:w="90"/>
            </w:tcMar>
          </w:tcPr>
          <w:p>
            <w:pPr>
              <w:spacing w:after="0" w:line="260"/>
            </w:pPr>
            <w:r>
              <w:rPr>
                <w:b w:val="false"/>
                <w:bCs w:val="false"/>
                <w:sz w:val="20"/>
                <w:szCs w:val="20"/>
              </w:rPr>
              <w:t xml:space="preserve">All four members</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0 — Group setup</w:t>
            </w:r>
          </w:p>
        </w:tc>
        <w:tc>
          <w:tcPr>
            <w:tcW w:type="dxa" w:w="5500"/>
            <w:tcMar>
              <w:top w:type="dxa" w:w="60"/>
              <w:left w:type="dxa" w:w="90"/>
              <w:bottom w:type="dxa" w:w="60"/>
              <w:right w:type="dxa" w:w="90"/>
            </w:tcMar>
          </w:tcPr>
          <w:p>
            <w:pPr>
              <w:spacing w:after="0" w:line="260"/>
            </w:pPr>
            <w:r>
              <w:rPr>
                <w:b w:val="false"/>
                <w:bCs w:val="false"/>
                <w:sz w:val="20"/>
                <w:szCs w:val="20"/>
              </w:rPr>
              <w:t xml:space="preserve">Agree the augmentation protocol</w:t>
            </w:r>
          </w:p>
        </w:tc>
        <w:tc>
          <w:tcPr>
            <w:tcW w:type="dxa" w:w="1900"/>
            <w:tcMar>
              <w:top w:type="dxa" w:w="60"/>
              <w:left w:type="dxa" w:w="90"/>
              <w:bottom w:type="dxa" w:w="60"/>
              <w:right w:type="dxa" w:w="90"/>
            </w:tcMar>
          </w:tcPr>
          <w:p>
            <w:pPr>
              <w:spacing w:after="0" w:line="260"/>
            </w:pPr>
            <w:r>
              <w:rPr>
                <w:b w:val="false"/>
                <w:bCs w:val="false"/>
                <w:sz w:val="20"/>
                <w:szCs w:val="20"/>
              </w:rPr>
              <w:t xml:space="preserve">All four members</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0 — Group setup</w:t>
            </w:r>
          </w:p>
        </w:tc>
        <w:tc>
          <w:tcPr>
            <w:tcW w:type="dxa" w:w="5500"/>
            <w:tcMar>
              <w:top w:type="dxa" w:w="60"/>
              <w:left w:type="dxa" w:w="90"/>
              <w:bottom w:type="dxa" w:w="60"/>
              <w:right w:type="dxa" w:w="90"/>
            </w:tcMar>
          </w:tcPr>
          <w:p>
            <w:pPr>
              <w:spacing w:after="0" w:line="260"/>
            </w:pPr>
            <w:r>
              <w:rPr>
                <w:b w:val="false"/>
                <w:bCs w:val="false"/>
                <w:sz w:val="20"/>
                <w:szCs w:val="20"/>
              </w:rPr>
              <w:t xml:space="preserve">Coverage pilot: can each feature be computed, does it mean the same thing on every corpus, does it vary</w:t>
            </w:r>
          </w:p>
        </w:tc>
        <w:tc>
          <w:tcPr>
            <w:tcW w:type="dxa" w:w="1900"/>
            <w:tcMar>
              <w:top w:type="dxa" w:w="60"/>
              <w:left w:type="dxa" w:w="90"/>
              <w:bottom w:type="dxa" w:w="60"/>
              <w:right w:type="dxa" w:w="90"/>
            </w:tcMar>
          </w:tcPr>
          <w:p>
            <w:pPr>
              <w:spacing w:after="0" w:line="260"/>
            </w:pPr>
            <w:r>
              <w:rPr>
                <w:b w:val="false"/>
                <w:bCs w:val="false"/>
                <w:sz w:val="20"/>
                <w:szCs w:val="20"/>
              </w:rPr>
              <w:t xml:space="preserve">All four members</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1 — Acquisition</w:t>
            </w:r>
          </w:p>
        </w:tc>
        <w:tc>
          <w:tcPr>
            <w:tcW w:type="dxa" w:w="5500"/>
            <w:tcMar>
              <w:top w:type="dxa" w:w="60"/>
              <w:left w:type="dxa" w:w="90"/>
              <w:bottom w:type="dxa" w:w="60"/>
              <w:right w:type="dxa" w:w="90"/>
            </w:tcMar>
          </w:tcPr>
          <w:p>
            <w:pPr>
              <w:spacing w:after="0" w:line="260"/>
            </w:pPr>
            <w:r>
              <w:rPr>
                <w:b w:val="false"/>
                <w:bCs w:val="false"/>
                <w:sz w:val="20"/>
                <w:szCs w:val="20"/>
              </w:rPr>
              <w:t xml:space="preserve">Parse MELD CSVs into the utterance table</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1 — Acquisition</w:t>
            </w:r>
          </w:p>
        </w:tc>
        <w:tc>
          <w:tcPr>
            <w:tcW w:type="dxa" w:w="5500"/>
            <w:tcMar>
              <w:top w:type="dxa" w:w="60"/>
              <w:left w:type="dxa" w:w="90"/>
              <w:bottom w:type="dxa" w:w="60"/>
              <w:right w:type="dxa" w:w="90"/>
            </w:tcMar>
          </w:tcPr>
          <w:p>
            <w:pPr>
              <w:spacing w:after="0" w:line="260"/>
            </w:pPr>
            <w:r>
              <w:rPr>
                <w:b w:val="false"/>
                <w:bCs w:val="false"/>
                <w:sz w:val="20"/>
                <w:szCs w:val="20"/>
              </w:rPr>
              <w:t xml:space="preserve">Parse AMI annotation XML and join to speaker segments</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1 — Acquisition</w:t>
            </w:r>
          </w:p>
        </w:tc>
        <w:tc>
          <w:tcPr>
            <w:tcW w:type="dxa" w:w="5500"/>
            <w:tcMar>
              <w:top w:type="dxa" w:w="60"/>
              <w:left w:type="dxa" w:w="90"/>
              <w:bottom w:type="dxa" w:w="60"/>
              <w:right w:type="dxa" w:w="90"/>
            </w:tcMar>
          </w:tcPr>
          <w:p>
            <w:pPr>
              <w:spacing w:after="0" w:line="260"/>
            </w:pPr>
            <w:r>
              <w:rPr>
                <w:b w:val="false"/>
                <w:bCs w:val="false"/>
                <w:sz w:val="20"/>
                <w:szCs w:val="20"/>
              </w:rPr>
              <w:t xml:space="preserve">Apply the gender map; report excluded-speaker share</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1 — Acquisition</w:t>
            </w:r>
          </w:p>
        </w:tc>
        <w:tc>
          <w:tcPr>
            <w:tcW w:type="dxa" w:w="5500"/>
            <w:tcMar>
              <w:top w:type="dxa" w:w="60"/>
              <w:left w:type="dxa" w:w="90"/>
              <w:bottom w:type="dxa" w:w="60"/>
              <w:right w:type="dxa" w:w="90"/>
            </w:tcMar>
          </w:tcPr>
          <w:p>
            <w:pPr>
              <w:spacing w:after="0" w:line="260"/>
            </w:pPr>
            <w:r>
              <w:rPr>
                <w:b w:val="false"/>
                <w:bCs w:val="false"/>
                <w:sz w:val="20"/>
                <w:szCs w:val="20"/>
              </w:rPr>
              <w:t xml:space="preserve">Assign utterances to shards per the group contract</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2 — Features</w:t>
            </w:r>
          </w:p>
        </w:tc>
        <w:tc>
          <w:tcPr>
            <w:tcW w:type="dxa" w:w="5500"/>
            <w:tcMar>
              <w:top w:type="dxa" w:w="60"/>
              <w:left w:type="dxa" w:w="90"/>
              <w:bottom w:type="dxa" w:w="60"/>
              <w:right w:type="dxa" w:w="90"/>
            </w:tcMar>
          </w:tcPr>
          <w:p>
            <w:pPr>
              <w:spacing w:after="0" w:line="260"/>
            </w:pPr>
            <w:r>
              <w:rPr>
                <w:b w:val="false"/>
                <w:bCs w:val="false"/>
                <w:sz w:val="20"/>
                <w:szCs w:val="20"/>
              </w:rPr>
              <w:t xml:space="preserve">Dependency parsing pipeline; retain parse trees</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2 — Features</w:t>
            </w:r>
          </w:p>
        </w:tc>
        <w:tc>
          <w:tcPr>
            <w:tcW w:type="dxa" w:w="5500"/>
            <w:tcMar>
              <w:top w:type="dxa" w:w="60"/>
              <w:left w:type="dxa" w:w="90"/>
              <w:bottom w:type="dxa" w:w="60"/>
              <w:right w:type="dxa" w:w="90"/>
            </w:tcMar>
          </w:tcPr>
          <w:p>
            <w:pPr>
              <w:spacing w:after="0" w:line="260"/>
            </w:pPr>
            <w:r>
              <w:rPr>
                <w:b w:val="false"/>
                <w:bCs w:val="false"/>
                <w:sz w:val="20"/>
                <w:szCs w:val="20"/>
              </w:rPr>
              <w:t xml:space="preserve">Volume features F1–F2</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2 — Features</w:t>
            </w:r>
          </w:p>
        </w:tc>
        <w:tc>
          <w:tcPr>
            <w:tcW w:type="dxa" w:w="5500"/>
            <w:tcMar>
              <w:top w:type="dxa" w:w="60"/>
              <w:left w:type="dxa" w:w="90"/>
              <w:bottom w:type="dxa" w:w="60"/>
              <w:right w:type="dxa" w:w="90"/>
            </w:tcMar>
          </w:tcPr>
          <w:p>
            <w:pPr>
              <w:spacing w:after="0" w:line="260"/>
            </w:pPr>
            <w:r>
              <w:rPr>
                <w:b w:val="false"/>
                <w:bCs w:val="false"/>
                <w:sz w:val="20"/>
                <w:szCs w:val="20"/>
              </w:rPr>
              <w:t xml:space="preserve">Agency and power features F3–F4; measure and report lexicon OOV rate</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2 — Features</w:t>
            </w:r>
          </w:p>
        </w:tc>
        <w:tc>
          <w:tcPr>
            <w:tcW w:type="dxa" w:w="5500"/>
            <w:tcMar>
              <w:top w:type="dxa" w:w="60"/>
              <w:left w:type="dxa" w:w="90"/>
              <w:bottom w:type="dxa" w:w="60"/>
              <w:right w:type="dxa" w:w="90"/>
            </w:tcMar>
          </w:tcPr>
          <w:p>
            <w:pPr>
              <w:spacing w:after="0" w:line="260"/>
            </w:pPr>
            <w:r>
              <w:rPr>
                <w:b w:val="false"/>
                <w:bCs w:val="false"/>
                <w:sz w:val="20"/>
                <w:szCs w:val="20"/>
              </w:rPr>
              <w:t xml:space="preserve">Interaction features F5–F6 and sentiment feature F7</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2 — Features</w:t>
            </w:r>
          </w:p>
        </w:tc>
        <w:tc>
          <w:tcPr>
            <w:tcW w:type="dxa" w:w="5500"/>
            <w:tcMar>
              <w:top w:type="dxa" w:w="60"/>
              <w:left w:type="dxa" w:w="90"/>
              <w:bottom w:type="dxa" w:w="60"/>
              <w:right w:type="dxa" w:w="90"/>
            </w:tcMar>
          </w:tcPr>
          <w:p>
            <w:pPr>
              <w:spacing w:after="0" w:line="260"/>
            </w:pPr>
            <w:r>
              <w:rPr>
                <w:b w:val="false"/>
                <w:bCs w:val="false"/>
                <w:sz w:val="20"/>
                <w:szCs w:val="20"/>
              </w:rPr>
              <w:t xml:space="preserve">Aggregate to shard level and convert to scale-free form</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3 — Modelling</w:t>
            </w:r>
          </w:p>
        </w:tc>
        <w:tc>
          <w:tcPr>
            <w:tcW w:type="dxa" w:w="5500"/>
            <w:tcMar>
              <w:top w:type="dxa" w:w="60"/>
              <w:left w:type="dxa" w:w="90"/>
              <w:bottom w:type="dxa" w:w="60"/>
              <w:right w:type="dxa" w:w="90"/>
            </w:tcMar>
          </w:tcPr>
          <w:p>
            <w:pPr>
              <w:spacing w:after="0" w:line="260"/>
            </w:pPr>
            <w:r>
              <w:rPr>
                <w:b w:val="false"/>
                <w:bCs w:val="false"/>
                <w:sz w:val="20"/>
                <w:szCs w:val="20"/>
              </w:rPr>
              <w:t xml:space="preserve">Apply shared augmentation to produce labelled shards</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3 — Modelling</w:t>
            </w:r>
          </w:p>
        </w:tc>
        <w:tc>
          <w:tcPr>
            <w:tcW w:type="dxa" w:w="5500"/>
            <w:tcMar>
              <w:top w:type="dxa" w:w="60"/>
              <w:left w:type="dxa" w:w="90"/>
              <w:bottom w:type="dxa" w:w="60"/>
              <w:right w:type="dxa" w:w="90"/>
            </w:tcMar>
          </w:tcPr>
          <w:p>
            <w:pPr>
              <w:spacing w:after="0" w:line="260"/>
            </w:pPr>
            <w:r>
              <w:rPr>
                <w:b w:val="false"/>
                <w:bCs w:val="false"/>
                <w:sz w:val="20"/>
                <w:szCs w:val="20"/>
              </w:rPr>
              <w:t xml:space="preserve">Regression assumption checks: Durbin–Watson, Breusch–Pagan, VIF</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3 — Modelling</w:t>
            </w:r>
          </w:p>
        </w:tc>
        <w:tc>
          <w:tcPr>
            <w:tcW w:type="dxa" w:w="5500"/>
            <w:tcMar>
              <w:top w:type="dxa" w:w="60"/>
              <w:left w:type="dxa" w:w="90"/>
              <w:bottom w:type="dxa" w:w="60"/>
              <w:right w:type="dxa" w:w="90"/>
            </w:tcMar>
          </w:tcPr>
          <w:p>
            <w:pPr>
              <w:spacing w:after="0" w:line="260"/>
            </w:pPr>
            <w:r>
              <w:rPr>
                <w:b w:val="false"/>
                <w:bCs w:val="false"/>
                <w:sz w:val="20"/>
                <w:szCs w:val="20"/>
              </w:rPr>
              <w:t xml:space="preserve">Correlation ranking of predictors against the label</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3 — Modelling</w:t>
            </w:r>
          </w:p>
        </w:tc>
        <w:tc>
          <w:tcPr>
            <w:tcW w:type="dxa" w:w="5500"/>
            <w:tcMar>
              <w:top w:type="dxa" w:w="60"/>
              <w:left w:type="dxa" w:w="90"/>
              <w:bottom w:type="dxa" w:w="60"/>
              <w:right w:type="dxa" w:w="90"/>
            </w:tcMar>
          </w:tcPr>
          <w:p>
            <w:pPr>
              <w:spacing w:after="0" w:line="260"/>
            </w:pPr>
            <w:r>
              <w:rPr>
                <w:b w:val="false"/>
                <w:bCs w:val="false"/>
                <w:sz w:val="20"/>
                <w:szCs w:val="20"/>
              </w:rPr>
              <w:t xml:space="preserve">Grid search over degree and Ridge alpha with in-fold screening</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3 — Modelling</w:t>
            </w:r>
          </w:p>
        </w:tc>
        <w:tc>
          <w:tcPr>
            <w:tcW w:type="dxa" w:w="5500"/>
            <w:tcMar>
              <w:top w:type="dxa" w:w="60"/>
              <w:left w:type="dxa" w:w="90"/>
              <w:bottom w:type="dxa" w:w="60"/>
              <w:right w:type="dxa" w:w="90"/>
            </w:tcMar>
          </w:tcPr>
          <w:p>
            <w:pPr>
              <w:spacing w:after="0" w:line="260"/>
            </w:pPr>
            <w:r>
              <w:rPr>
                <w:b w:val="false"/>
                <w:bCs w:val="false"/>
                <w:sz w:val="20"/>
                <w:szCs w:val="20"/>
              </w:rPr>
              <w:t xml:space="preserve">Derive and freeze the closed-form equation</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3 — Modelling</w:t>
            </w:r>
          </w:p>
        </w:tc>
        <w:tc>
          <w:tcPr>
            <w:tcW w:type="dxa" w:w="5500"/>
            <w:tcMar>
              <w:top w:type="dxa" w:w="60"/>
              <w:left w:type="dxa" w:w="90"/>
              <w:bottom w:type="dxa" w:w="60"/>
              <w:right w:type="dxa" w:w="90"/>
            </w:tcMar>
          </w:tcPr>
          <w:p>
            <w:pPr>
              <w:spacing w:after="0" w:line="260"/>
            </w:pPr>
            <w:r>
              <w:rPr>
                <w:b w:val="false"/>
                <w:bCs w:val="false"/>
                <w:sz w:val="20"/>
                <w:szCs w:val="20"/>
              </w:rPr>
              <w:t xml:space="preserve">Normalise to −10 to +10 and derive tier thresholds</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4 — Stability</w:t>
            </w:r>
          </w:p>
        </w:tc>
        <w:tc>
          <w:tcPr>
            <w:tcW w:type="dxa" w:w="5500"/>
            <w:tcMar>
              <w:top w:type="dxa" w:w="60"/>
              <w:left w:type="dxa" w:w="90"/>
              <w:bottom w:type="dxa" w:w="60"/>
              <w:right w:type="dxa" w:w="90"/>
            </w:tcMar>
          </w:tcPr>
          <w:p>
            <w:pPr>
              <w:spacing w:after="0" w:line="260"/>
            </w:pPr>
            <w:r>
              <w:rPr>
                <w:b w:val="false"/>
                <w:bCs w:val="false"/>
                <w:sz w:val="20"/>
                <w:szCs w:val="20"/>
              </w:rPr>
              <w:t xml:space="preserve">1,000-iteration bootstrap at shard and identity level</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4 — Stability</w:t>
            </w:r>
          </w:p>
        </w:tc>
        <w:tc>
          <w:tcPr>
            <w:tcW w:type="dxa" w:w="5500"/>
            <w:tcMar>
              <w:top w:type="dxa" w:w="60"/>
              <w:left w:type="dxa" w:w="90"/>
              <w:bottom w:type="dxa" w:w="60"/>
              <w:right w:type="dxa" w:w="90"/>
            </w:tcMar>
          </w:tcPr>
          <w:p>
            <w:pPr>
              <w:spacing w:after="0" w:line="260"/>
            </w:pPr>
            <w:r>
              <w:rPr>
                <w:b w:val="false"/>
                <w:bCs w:val="false"/>
                <w:sz w:val="20"/>
                <w:szCs w:val="20"/>
              </w:rPr>
              <w:t xml:space="preserve">Leave-one-corpus-out cross-validation</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4 — Stability</w:t>
            </w:r>
          </w:p>
        </w:tc>
        <w:tc>
          <w:tcPr>
            <w:tcW w:type="dxa" w:w="5500"/>
            <w:tcMar>
              <w:top w:type="dxa" w:w="60"/>
              <w:left w:type="dxa" w:w="90"/>
              <w:bottom w:type="dxa" w:w="60"/>
              <w:right w:type="dxa" w:w="90"/>
            </w:tcMar>
          </w:tcPr>
          <w:p>
            <w:pPr>
              <w:spacing w:after="0" w:line="260"/>
            </w:pPr>
            <w:r>
              <w:rPr>
                <w:b w:val="false"/>
                <w:bCs w:val="false"/>
                <w:sz w:val="20"/>
                <w:szCs w:val="20"/>
              </w:rPr>
              <w:t xml:space="preserve">Monotonicity check on held-out perturbation curves</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4 — Stability</w:t>
            </w:r>
          </w:p>
        </w:tc>
        <w:tc>
          <w:tcPr>
            <w:tcW w:type="dxa" w:w="5500"/>
            <w:tcMar>
              <w:top w:type="dxa" w:w="60"/>
              <w:left w:type="dxa" w:w="90"/>
              <w:bottom w:type="dxa" w:w="60"/>
              <w:right w:type="dxa" w:w="90"/>
            </w:tcMar>
          </w:tcPr>
          <w:p>
            <w:pPr>
              <w:spacing w:after="0" w:line="260"/>
            </w:pPr>
            <w:r>
              <w:rPr>
                <w:b w:val="false"/>
                <w:bCs w:val="false"/>
                <w:sz w:val="20"/>
                <w:szCs w:val="20"/>
              </w:rPr>
              <w:t xml:space="preserve">Baseline comparison against the three ratios in Section 3.3</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5 — Handoff</w:t>
            </w:r>
          </w:p>
        </w:tc>
        <w:tc>
          <w:tcPr>
            <w:tcW w:type="dxa" w:w="5500"/>
            <w:tcMar>
              <w:top w:type="dxa" w:w="60"/>
              <w:left w:type="dxa" w:w="90"/>
              <w:bottom w:type="dxa" w:w="60"/>
              <w:right w:type="dxa" w:w="90"/>
            </w:tcMar>
          </w:tcPr>
          <w:p>
            <w:pPr>
              <w:spacing w:after="0" w:line="260"/>
            </w:pPr>
            <w:r>
              <w:rPr>
                <w:b w:val="false"/>
                <w:bCs w:val="false"/>
                <w:sz w:val="20"/>
                <w:szCs w:val="20"/>
              </w:rPr>
              <w:t xml:space="preserve">Deliver equation, constants, thresholds and per-shard scores to fusion</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5 — Handoff</w:t>
            </w:r>
          </w:p>
        </w:tc>
        <w:tc>
          <w:tcPr>
            <w:tcW w:type="dxa" w:w="5500"/>
            <w:tcMar>
              <w:top w:type="dxa" w:w="60"/>
              <w:left w:type="dxa" w:w="90"/>
              <w:bottom w:type="dxa" w:w="60"/>
              <w:right w:type="dxa" w:w="90"/>
            </w:tcMar>
          </w:tcPr>
          <w:p>
            <w:pPr>
              <w:spacing w:after="0" w:line="260"/>
            </w:pPr>
            <w:r>
              <w:rPr>
                <w:b w:val="false"/>
                <w:bCs w:val="false"/>
                <w:sz w:val="20"/>
                <w:szCs w:val="20"/>
              </w:rPr>
              <w:t xml:space="preserve">Publish the gender mapping, excluded share and OOV rate as an appendix</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6 — Reporting</w:t>
            </w:r>
          </w:p>
        </w:tc>
        <w:tc>
          <w:tcPr>
            <w:tcW w:type="dxa" w:w="5500"/>
            <w:tcMar>
              <w:top w:type="dxa" w:w="60"/>
              <w:left w:type="dxa" w:w="90"/>
              <w:bottom w:type="dxa" w:w="60"/>
              <w:right w:type="dxa" w:w="90"/>
            </w:tcMar>
          </w:tcPr>
          <w:p>
            <w:pPr>
              <w:spacing w:after="0" w:line="260"/>
            </w:pPr>
            <w:r>
              <w:rPr>
                <w:b w:val="false"/>
                <w:bCs w:val="false"/>
                <w:sz w:val="20"/>
                <w:szCs w:val="20"/>
              </w:rPr>
              <w:t xml:space="preserve">Individual dissertation chapters</w:t>
            </w:r>
          </w:p>
        </w:tc>
        <w:tc>
          <w:tcPr>
            <w:tcW w:type="dxa" w:w="1900"/>
            <w:tcMar>
              <w:top w:type="dxa" w:w="60"/>
              <w:left w:type="dxa" w:w="90"/>
              <w:bottom w:type="dxa" w:w="60"/>
              <w:right w:type="dxa" w:w="90"/>
            </w:tcMar>
          </w:tcPr>
          <w:p>
            <w:pPr>
              <w:spacing w:after="0" w:line="260"/>
            </w:pPr>
            <w:r>
              <w:rPr>
                <w:b w:val="false"/>
                <w:bCs w:val="false"/>
                <w:sz w:val="20"/>
                <w:szCs w:val="20"/>
              </w:rPr>
              <w:t xml:space="preserve">This component</w:t>
            </w:r>
          </w:p>
        </w:tc>
      </w:tr>
      <w:tr>
        <w:trPr>
          <w:cantSplit/>
        </w:trPr>
        <w:tc>
          <w:tcPr>
            <w:tcW w:type="dxa" w:w="1700"/>
            <w:tcMar>
              <w:top w:type="dxa" w:w="60"/>
              <w:left w:type="dxa" w:w="90"/>
              <w:bottom w:type="dxa" w:w="60"/>
              <w:right w:type="dxa" w:w="90"/>
            </w:tcMar>
          </w:tcPr>
          <w:p>
            <w:pPr>
              <w:spacing w:after="0" w:line="260"/>
            </w:pPr>
            <w:r>
              <w:rPr>
                <w:b w:val="false"/>
                <w:bCs w:val="false"/>
                <w:sz w:val="20"/>
                <w:szCs w:val="20"/>
              </w:rPr>
              <w:t xml:space="preserve">6 — Reporting</w:t>
            </w:r>
          </w:p>
        </w:tc>
        <w:tc>
          <w:tcPr>
            <w:tcW w:type="dxa" w:w="5500"/>
            <w:tcMar>
              <w:top w:type="dxa" w:w="60"/>
              <w:left w:type="dxa" w:w="90"/>
              <w:bottom w:type="dxa" w:w="60"/>
              <w:right w:type="dxa" w:w="90"/>
            </w:tcMar>
          </w:tcPr>
          <w:p>
            <w:pPr>
              <w:spacing w:after="0" w:line="260"/>
            </w:pPr>
            <w:r>
              <w:rPr>
                <w:b w:val="false"/>
                <w:bCs w:val="false"/>
                <w:sz w:val="20"/>
                <w:szCs w:val="20"/>
              </w:rPr>
              <w:t xml:space="preserve">Group thesis contribution</w:t>
            </w:r>
          </w:p>
        </w:tc>
        <w:tc>
          <w:tcPr>
            <w:tcW w:type="dxa" w:w="1900"/>
            <w:tcMar>
              <w:top w:type="dxa" w:w="60"/>
              <w:left w:type="dxa" w:w="90"/>
              <w:bottom w:type="dxa" w:w="60"/>
              <w:right w:type="dxa" w:w="90"/>
            </w:tcMar>
          </w:tcPr>
          <w:p>
            <w:pPr>
              <w:spacing w:after="0" w:line="260"/>
            </w:pPr>
            <w:r>
              <w:rPr>
                <w:b w:val="false"/>
                <w:bCs w:val="false"/>
                <w:sz w:val="20"/>
                <w:szCs w:val="20"/>
              </w:rPr>
              <w:t xml:space="preserve">All four members</w:t>
            </w:r>
          </w:p>
        </w:tc>
      </w:tr>
    </w:tbl>
    <w:p>
      <w:pPr>
        <w:spacing w:after="120" w:line="300"/>
      </w:pPr>
      <w:r>
        <w:rPr>
          <w:i/>
          <w:iCs/>
          <w:sz w:val="20"/>
          <w:szCs w:val="20"/>
        </w:rPr>
        <w:t xml:space="preserve">Table 9. Work breakdown structure</w:t>
      </w:r>
    </w:p>
    <w:p>
      <w:pPr>
        <w:spacing w:after="120" w:line="300"/>
      </w:pPr>
      <w:r>
        <w:rPr>
          <w:sz w:val="22"/>
          <w:szCs w:val="22"/>
        </w:rPr>
        <w:t xml:space="preserve">Workload balance: each of the four members owns one modality with an equivalent structure — acquisition, feature extraction, sub-metric derivation, stability characterisation and handoff. Phase 0 and the fusion and validation stages are shared or, in the case of fusion, presently unassigned; see the note in Section 4.3.</w:t>
      </w:r>
    </w:p>
    <w:p>
      <w:r>
        <w:br w:type="page"/>
      </w:r>
    </w:p>
    <w:p>
      <w:pPr>
        <w:pStyle w:val="Heading1"/>
        <w:spacing w:after="140" w:before="280"/>
      </w:pPr>
      <w:r>
        <w:t xml:space="preserve">9. GANTT CHART</w:t>
      </w:r>
    </w:p>
    <w:p>
      <w:pPr>
        <w:pBdr>
          <w:left w:val="single" w:color="888888" w:sz="12" w:space="8"/>
        </w:pBdr>
        <w:spacing w:after="140" w:line="300"/>
        <w:ind w:left="215"/>
      </w:pPr>
      <w:r>
        <w:rPr>
          <w:i/>
          <w:iCs/>
          <w:color w:val="444444"/>
          <w:sz w:val="22"/>
          <w:szCs w:val="22"/>
        </w:rPr>
        <w:t xml:space="preserve">[TO COMPLETE] Insert your Gantt chart as Figure 3, in black and white, not AI-generated. It must show: literature work, research design, data preparation, experiments, development, prototype work, testing, integration, evaluation, analysis and report preparation. Build it from the Work Breakdown Structure in Section 8, and align the phase boundaries to the IT4010 milestone dates your supervisor has issued rather than to dates you choose. Two constraints are worth drawing explicitly because they are real: Phase 0 group decisions gate the start of Phase 1 extraction, and the handoff in Phase 5 gates the fusion stage owned by the group.</w:t>
      </w:r>
    </w:p>
    <w:p>
      <w:r>
        <w:br w:type="page"/>
      </w:r>
    </w:p>
    <w:p>
      <w:pPr>
        <w:pStyle w:val="Heading1"/>
        <w:spacing w:after="140" w:before="280"/>
      </w:pPr>
      <w:r>
        <w:t xml:space="preserve">10. REFERENCES</w:t>
      </w:r>
    </w:p>
    <w:p>
      <w:pPr>
        <w:spacing w:after="120" w:line="300"/>
        <w:ind w:left="480" w:hanging="480"/>
      </w:pPr>
      <w:r>
        <w:rPr>
          <w:sz w:val="22"/>
          <w:szCs w:val="22"/>
        </w:rPr>
        <w:t xml:space="preserve">[1] </w:t>
      </w:r>
      <w:r>
        <w:rPr>
          <w:sz w:val="22"/>
          <w:szCs w:val="22"/>
        </w:rPr>
        <w:t xml:space="preserve">S. Poria, D. Hazarika, N. Majumder, G. Naik, E. Cambria, and R. Mihalcea, “MELD: A multimodal multi-party dataset for emotion recognition in conversations,” in Proc. 57th Annu. Meeting Assoc. Comput. Linguistics, Florence, Italy, 2019, pp. 527–536.</w:t>
      </w:r>
    </w:p>
    <w:p>
      <w:pPr>
        <w:spacing w:after="120" w:line="300"/>
        <w:ind w:left="480" w:hanging="480"/>
      </w:pPr>
      <w:r>
        <w:rPr>
          <w:sz w:val="22"/>
          <w:szCs w:val="22"/>
        </w:rPr>
        <w:t xml:space="preserve">[2] </w:t>
      </w:r>
      <w:r>
        <w:rPr>
          <w:sz w:val="22"/>
          <w:szCs w:val="22"/>
        </w:rPr>
        <w:t xml:space="preserve">M. Sap, M. C. Prasettio, A. Holtzman, H. Rashkin, and Y. Choi, “Connotation frames of power and agency in modern films,” in Proc. 2017 Conf. Empirical Methods Natural Language Processing, Copenhagen, Denmark, 2017, pp. 2329–2334.</w:t>
      </w:r>
    </w:p>
    <w:p>
      <w:pPr>
        <w:spacing w:after="120" w:line="300"/>
        <w:ind w:left="480" w:hanging="480"/>
      </w:pPr>
      <w:r>
        <w:rPr>
          <w:sz w:val="22"/>
          <w:szCs w:val="22"/>
        </w:rPr>
        <w:t xml:space="preserve">[3] </w:t>
      </w:r>
      <w:r>
        <w:rPr>
          <w:sz w:val="22"/>
          <w:szCs w:val="22"/>
        </w:rPr>
        <w:t xml:space="preserve">A. Agarwal, J. Zheng, S. Kamath, S. Balasubramanian, and S. A. Dey, “Key female characters in film have more to talk about besides men: Automating the Bechdel test,” in Proc. 2015 Conf. North Amer. Chapter Assoc. Comput. Linguistics: Human Language Technologies, Denver, CO, USA, 2015, pp. 830–840.</w:t>
      </w:r>
    </w:p>
    <w:p>
      <w:pPr>
        <w:spacing w:after="120" w:line="300"/>
        <w:ind w:left="480" w:hanging="480"/>
      </w:pPr>
      <w:r>
        <w:rPr>
          <w:sz w:val="22"/>
          <w:szCs w:val="22"/>
        </w:rPr>
        <w:t xml:space="preserve">[4] </w:t>
      </w:r>
      <w:r>
        <w:rPr>
          <w:sz w:val="22"/>
          <w:szCs w:val="22"/>
        </w:rPr>
        <w:t xml:space="preserve">J. Zhao, T. Wang, M. Yatskar, V. Ordonez, and K.-W. Chang, “Men also like shopping: Reducing gender bias amplification using corpus-level constraints,” in Proc. 2017 Conf. Empirical Methods Natural Language Processing, Copenhagen, Denmark, 2017, pp. 2979–2989.</w:t>
      </w:r>
    </w:p>
    <w:p>
      <w:pPr>
        <w:spacing w:after="120" w:line="300"/>
        <w:ind w:left="480" w:hanging="480"/>
      </w:pPr>
      <w:r>
        <w:rPr>
          <w:sz w:val="22"/>
          <w:szCs w:val="22"/>
        </w:rPr>
        <w:t xml:space="preserve">[5] </w:t>
      </w:r>
      <w:r>
        <w:rPr>
          <w:sz w:val="22"/>
          <w:szCs w:val="22"/>
        </w:rPr>
        <w:t xml:space="preserve">S. Jayawardena, P. S. Haddela, T. Shyamalee, A. Ekanayake, T. Mudalige, and I. Dhanawardhana, “EuqAud: Detecting gender bias in audio datasets using polynomial regression-based metric,” IEEE Access, vol. 14, 2026.</w:t>
      </w:r>
    </w:p>
    <w:p>
      <w:pPr>
        <w:spacing w:after="120" w:line="300"/>
        <w:ind w:left="480" w:hanging="480"/>
      </w:pPr>
      <w:r>
        <w:rPr>
          <w:sz w:val="22"/>
          <w:szCs w:val="22"/>
        </w:rPr>
        <w:t xml:space="preserve">[6] </w:t>
      </w:r>
      <w:r>
        <w:rPr>
          <w:sz w:val="22"/>
          <w:szCs w:val="22"/>
        </w:rPr>
        <w:t xml:space="preserve">D. Bamman, B. O’Connor, and N. A. Smith, “Learning latent personas of film characters,” in Proc. 51st Annu. Meeting Assoc. Comput. Linguistics, Sofia, Bulgaria, 2013.</w:t>
      </w:r>
    </w:p>
    <w:p>
      <w:pPr>
        <w:spacing w:after="120" w:line="300"/>
        <w:ind w:left="480" w:hanging="480"/>
      </w:pPr>
      <w:r>
        <w:rPr>
          <w:sz w:val="22"/>
          <w:szCs w:val="22"/>
        </w:rPr>
        <w:t xml:space="preserve">[7] </w:t>
      </w:r>
      <w:r>
        <w:rPr>
          <w:sz w:val="22"/>
          <w:szCs w:val="22"/>
        </w:rPr>
        <w:t xml:space="preserve">L. A. Hendricks, K. Burns, K. Saenko, T. Darrell, and A. Rohrbach, “Women also snowboard: Overcoming bias in captioning models,” in Proc. Eur. Conf. Comput. Vision (ECCV), Munich, Germany, 2018.</w:t>
      </w:r>
    </w:p>
    <w:p>
      <w:pPr>
        <w:spacing w:after="120" w:line="300"/>
        <w:ind w:left="480" w:hanging="480"/>
      </w:pPr>
      <w:r>
        <w:rPr>
          <w:sz w:val="22"/>
          <w:szCs w:val="22"/>
        </w:rPr>
        <w:t xml:space="preserve">[8] </w:t>
      </w:r>
      <w:r>
        <w:rPr>
          <w:sz w:val="22"/>
          <w:szCs w:val="22"/>
        </w:rPr>
        <w:t xml:space="preserve">A. Caliskan, J. J. Bryson, and A. Narayanan, “Semantics derived automatically from language corpora contain human-like biases,” Science, vol. 356, no. 6334, pp. 183–186, 2017.</w:t>
      </w:r>
    </w:p>
    <w:p>
      <w:pPr>
        <w:spacing w:after="120" w:line="300"/>
        <w:ind w:left="480" w:hanging="480"/>
      </w:pPr>
      <w:r>
        <w:rPr>
          <w:sz w:val="22"/>
          <w:szCs w:val="22"/>
        </w:rPr>
        <w:t xml:space="preserve">[9] </w:t>
      </w:r>
      <w:r>
        <w:rPr>
          <w:sz w:val="22"/>
          <w:szCs w:val="22"/>
        </w:rPr>
        <w:t xml:space="preserve">“You talkin’ to me?: A network analysis of gendered speaker-addressee patterns in film screenplays,” arXiv:2607.22656, 2026.</w:t>
      </w:r>
    </w:p>
    <w:p>
      <w:pPr>
        <w:spacing w:after="120" w:line="300"/>
        <w:ind w:left="480" w:hanging="480"/>
      </w:pPr>
      <w:r>
        <w:rPr>
          <w:sz w:val="22"/>
          <w:szCs w:val="22"/>
        </w:rPr>
        <w:t xml:space="preserve">[10] </w:t>
      </w:r>
      <w:r>
        <w:rPr>
          <w:sz w:val="22"/>
          <w:szCs w:val="22"/>
        </w:rPr>
        <w:t xml:space="preserve">C. Gu et al., “AVA: A video dataset of spatio-temporally localized atomic visual actions,” in Proc. IEEE Conf. Comput. Vision and Pattern Recognition (CVPR), Salt Lake City, UT, USA, 2018.</w:t>
      </w:r>
    </w:p>
    <w:p>
      <w:pPr>
        <w:spacing w:after="120" w:line="300"/>
        <w:ind w:left="480" w:hanging="480"/>
      </w:pPr>
      <w:r>
        <w:rPr>
          <w:sz w:val="22"/>
          <w:szCs w:val="22"/>
        </w:rPr>
        <w:t xml:space="preserve">[11] </w:t>
      </w:r>
      <w:r>
        <w:rPr>
          <w:sz w:val="22"/>
          <w:szCs w:val="22"/>
        </w:rPr>
        <w:t xml:space="preserve">J. Roth et al., “AVA-ActiveSpeaker: An audio-visual dataset for active speaker detection,” arXiv:1901.01342, 2019.</w:t>
      </w:r>
    </w:p>
    <w:p>
      <w:pPr>
        <w:spacing w:after="120" w:line="300"/>
        <w:ind w:left="480" w:hanging="480"/>
      </w:pPr>
      <w:r>
        <w:rPr>
          <w:sz w:val="22"/>
          <w:szCs w:val="22"/>
        </w:rPr>
        <w:t xml:space="preserve">[12] </w:t>
      </w:r>
      <w:r>
        <w:rPr>
          <w:sz w:val="22"/>
          <w:szCs w:val="22"/>
        </w:rPr>
        <w:t xml:space="preserve">J. Carletta et al., “The AMI meeting corpus: A pre-announcement,” in Machine Learning for Multimodal Interaction, Berlin, Germany: Springer, 2006.</w:t>
      </w:r>
    </w:p>
    <w:p>
      <w:pPr>
        <w:spacing w:after="120" w:line="300"/>
        <w:ind w:left="480" w:hanging="480"/>
      </w:pPr>
      <w:r>
        <w:rPr>
          <w:sz w:val="22"/>
          <w:szCs w:val="22"/>
        </w:rPr>
        <w:t xml:space="preserve">[13] </w:t>
      </w:r>
      <w:r>
        <w:rPr>
          <w:sz w:val="22"/>
          <w:szCs w:val="22"/>
        </w:rPr>
        <w:t xml:space="preserve">C. Danescu-Niculescu-Mizil and L. Lee, “Chameleons in imagined conversations: A new approach to understanding coordination of linguistic style in dialogs,” in Proc. Workshop Cognitive Modeling and Comput. Linguistics, ACL, 2011.</w:t>
      </w:r>
    </w:p>
    <w:p>
      <w:pPr>
        <w:spacing w:after="120" w:before="200"/>
      </w:pPr>
      <w:r>
        <w:rPr>
          <w:i/>
          <w:iCs/>
          <w:sz w:val="20"/>
          <w:szCs w:val="20"/>
        </w:rPr>
        <w:t xml:space="preserve">Reference verification status is recorded in Appendix 3. Every reference must be confirmed against the source before final submission.</w:t>
      </w:r>
    </w:p>
    <w:p>
      <w:r>
        <w:br w:type="page"/>
      </w:r>
    </w:p>
    <w:p>
      <w:pPr>
        <w:pStyle w:val="Heading1"/>
        <w:spacing w:after="140" w:before="280"/>
      </w:pPr>
      <w:r>
        <w:t xml:space="preserve">11. APPENDICES</w:t>
      </w:r>
    </w:p>
    <w:p>
      <w:pPr>
        <w:pStyle w:val="Heading2"/>
        <w:spacing w:after="140" w:before="280"/>
      </w:pPr>
      <w:r>
        <w:t xml:space="preserve">Appendix 1 — Speaker-to-gender mapping protocol and elicitation evidence</w:t>
      </w:r>
    </w:p>
    <w:p>
      <w:pPr>
        <w:spacing w:after="120" w:line="300"/>
      </w:pPr>
      <w:r>
        <w:rPr>
          <w:sz w:val="22"/>
          <w:szCs w:val="22"/>
        </w:rPr>
        <w:t xml:space="preserve">The mapping from speaker identifier to gender is the single shared asset on which all four components depend. The protocol is: enumerate every distinct speaker identifier in each corpus; assign male, female or unknown from the character name and, where available, published cast metadata; record the basis for each assignment; exclude unknown and ambiguous speakers from all aggregates; and report the excluded share alongside every score. Non-binary and ambiguous characters are excluded rather than forced into a binary category, which is a declared limitation.</w:t>
      </w:r>
    </w:p>
    <w:p>
      <w:pPr>
        <w:pBdr>
          <w:left w:val="single" w:color="888888" w:sz="12" w:space="8"/>
        </w:pBdr>
        <w:spacing w:after="140" w:line="300"/>
        <w:ind w:left="215"/>
      </w:pPr>
      <w:r>
        <w:rPr>
          <w:i/>
          <w:iCs/>
          <w:color w:val="444444"/>
          <w:sz w:val="22"/>
          <w:szCs w:val="22"/>
        </w:rPr>
        <w:t xml:space="preserve">[TO COMPLETE] Attach the completed mapping table once built, and the requirements-elicitation evidence referenced in Section 5 — interview protocol, participant roles, dates, and responses.</w:t>
      </w:r>
    </w:p>
    <w:p>
      <w:pPr>
        <w:pStyle w:val="Heading2"/>
        <w:spacing w:after="140" w:before="280"/>
      </w:pPr>
      <w:r>
        <w:t xml:space="preserve">Appendix 2 — Mandatory proposal evidence and decision log</w:t>
      </w:r>
    </w:p>
    <w:p>
      <w:pPr>
        <w:spacing w:after="120" w:line="300"/>
      </w:pPr>
      <w:r>
        <w:rPr>
          <w:sz w:val="22"/>
          <w:szCs w:val="22"/>
        </w:rPr>
        <w:t xml:space="preserve">The entries below record decisions already taken during proposal preparation. Continue the log through the project.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100"/>
        <w:gridCol w:w="1900"/>
        <w:gridCol w:w="1900"/>
      </w:tblGrid>
      <w:tr>
        <w:trPr>
          <w:cantSplit/>
          <w:tblHeader/>
        </w:trPr>
        <w:tc>
          <w:tcPr>
            <w:tcW w:type="dxa" w:w="1100"/>
            <w:shd w:fill="E8E8E8" w:val="clear"/>
            <w:tcMar>
              <w:top w:type="dxa" w:w="60"/>
              <w:left w:type="dxa" w:w="90"/>
              <w:bottom w:type="dxa" w:w="60"/>
              <w:right w:type="dxa" w:w="90"/>
            </w:tcMar>
          </w:tcPr>
          <w:p>
            <w:pPr>
              <w:spacing w:after="0" w:line="260"/>
            </w:pPr>
            <w:r>
              <w:rPr>
                <w:b/>
                <w:bCs/>
                <w:sz w:val="20"/>
                <w:szCs w:val="20"/>
              </w:rPr>
              <w:t xml:space="preserve">Date</w:t>
            </w:r>
          </w:p>
        </w:tc>
        <w:tc>
          <w:tcPr>
            <w:tcW w:type="dxa" w:w="2100"/>
            <w:shd w:fill="E8E8E8" w:val="clear"/>
            <w:tcMar>
              <w:top w:type="dxa" w:w="60"/>
              <w:left w:type="dxa" w:w="90"/>
              <w:bottom w:type="dxa" w:w="60"/>
              <w:right w:type="dxa" w:w="90"/>
            </w:tcMar>
          </w:tcPr>
          <w:p>
            <w:pPr>
              <w:spacing w:after="0" w:line="260"/>
            </w:pPr>
            <w:r>
              <w:rPr>
                <w:b/>
                <w:bCs/>
                <w:sz w:val="20"/>
                <w:szCs w:val="20"/>
              </w:rPr>
              <w:t xml:space="preserve">Claim / Problem</w:t>
            </w:r>
          </w:p>
        </w:tc>
        <w:tc>
          <w:tcPr>
            <w:tcW w:type="dxa" w:w="2100"/>
            <w:shd w:fill="E8E8E8" w:val="clear"/>
            <w:tcMar>
              <w:top w:type="dxa" w:w="60"/>
              <w:left w:type="dxa" w:w="90"/>
              <w:bottom w:type="dxa" w:w="60"/>
              <w:right w:type="dxa" w:w="90"/>
            </w:tcMar>
          </w:tcPr>
          <w:p>
            <w:pPr>
              <w:spacing w:after="0" w:line="260"/>
            </w:pPr>
            <w:r>
              <w:rPr>
                <w:b/>
                <w:bCs/>
                <w:sz w:val="20"/>
                <w:szCs w:val="20"/>
              </w:rPr>
              <w:t xml:space="preserve">Evidence Collected</w:t>
            </w:r>
          </w:p>
        </w:tc>
        <w:tc>
          <w:tcPr>
            <w:tcW w:type="dxa" w:w="1900"/>
            <w:shd w:fill="E8E8E8" w:val="clear"/>
            <w:tcMar>
              <w:top w:type="dxa" w:w="60"/>
              <w:left w:type="dxa" w:w="90"/>
              <w:bottom w:type="dxa" w:w="60"/>
              <w:right w:type="dxa" w:w="90"/>
            </w:tcMar>
          </w:tcPr>
          <w:p>
            <w:pPr>
              <w:spacing w:after="0" w:line="260"/>
            </w:pPr>
            <w:r>
              <w:rPr>
                <w:b/>
                <w:bCs/>
                <w:sz w:val="20"/>
                <w:szCs w:val="20"/>
              </w:rPr>
              <w:t xml:space="preserve">Alternatives Considered</w:t>
            </w:r>
          </w:p>
        </w:tc>
        <w:tc>
          <w:tcPr>
            <w:tcW w:type="dxa" w:w="1900"/>
            <w:shd w:fill="E8E8E8" w:val="clear"/>
            <w:tcMar>
              <w:top w:type="dxa" w:w="60"/>
              <w:left w:type="dxa" w:w="90"/>
              <w:bottom w:type="dxa" w:w="60"/>
              <w:right w:type="dxa" w:w="90"/>
            </w:tcMar>
          </w:tcPr>
          <w:p>
            <w:pPr>
              <w:spacing w:after="0" w:line="260"/>
            </w:pPr>
            <w:r>
              <w:rPr>
                <w:b/>
                <w:bCs/>
                <w:sz w:val="20"/>
                <w:szCs w:val="20"/>
              </w:rPr>
              <w:t xml:space="preserve">Decision Made</w:t>
            </w:r>
          </w:p>
        </w:tc>
      </w:tr>
      <w:tr>
        <w:trPr>
          <w:cantSplit/>
        </w:trPr>
        <w:tc>
          <w:tcPr>
            <w:tcW w:type="dxa" w:w="1100"/>
            <w:tcMar>
              <w:top w:type="dxa" w:w="60"/>
              <w:left w:type="dxa" w:w="90"/>
              <w:bottom w:type="dxa" w:w="60"/>
              <w:right w:type="dxa" w:w="90"/>
            </w:tcMar>
          </w:tcPr>
          <w:p>
            <w:pPr>
              <w:spacing w:after="0" w:line="260"/>
            </w:pPr>
            <w:r>
              <w:rPr>
                <w:b w:val="false"/>
                <w:bCs w:val="false"/>
                <w:sz w:val="20"/>
                <w:szCs w:val="20"/>
              </w:rPr>
              <w:t xml:space="preserve">2026-09</w:t>
            </w:r>
          </w:p>
        </w:tc>
        <w:tc>
          <w:tcPr>
            <w:tcW w:type="dxa" w:w="2100"/>
            <w:tcMar>
              <w:top w:type="dxa" w:w="60"/>
              <w:left w:type="dxa" w:w="90"/>
              <w:bottom w:type="dxa" w:w="60"/>
              <w:right w:type="dxa" w:w="90"/>
            </w:tcMar>
          </w:tcPr>
          <w:p>
            <w:pPr>
              <w:spacing w:after="0" w:line="260"/>
            </w:pPr>
            <w:r>
              <w:rPr>
                <w:b w:val="false"/>
                <w:bCs w:val="false"/>
                <w:sz w:val="20"/>
                <w:szCs w:val="20"/>
              </w:rPr>
              <w:t xml:space="preserve">The component must choose between dialogue and descriptions as its text source; the two measure different constructs and cannot be averaged.</w:t>
            </w:r>
          </w:p>
        </w:tc>
        <w:tc>
          <w:tcPr>
            <w:tcW w:type="dxa" w:w="2100"/>
            <w:tcMar>
              <w:top w:type="dxa" w:w="60"/>
              <w:left w:type="dxa" w:w="90"/>
              <w:bottom w:type="dxa" w:w="60"/>
              <w:right w:type="dxa" w:w="90"/>
            </w:tcMar>
          </w:tcPr>
          <w:p>
            <w:pPr>
              <w:spacing w:after="0" w:line="260"/>
            </w:pPr>
            <w:r>
              <w:rPr>
                <w:b w:val="false"/>
                <w:bCs w:val="false"/>
                <w:sz w:val="20"/>
                <w:szCs w:val="20"/>
              </w:rPr>
              <w:t xml:space="preserve">AVA ships no transcript. LSMDC supplies descriptions but access is pending. MELD and AMI supply dialogue and are already held.</w:t>
            </w:r>
          </w:p>
        </w:tc>
        <w:tc>
          <w:tcPr>
            <w:tcW w:type="dxa" w:w="1900"/>
            <w:tcMar>
              <w:top w:type="dxa" w:w="60"/>
              <w:left w:type="dxa" w:w="90"/>
              <w:bottom w:type="dxa" w:w="60"/>
              <w:right w:type="dxa" w:w="90"/>
            </w:tcMar>
          </w:tcPr>
          <w:p>
            <w:pPr>
              <w:spacing w:after="0" w:line="260"/>
            </w:pPr>
            <w:r>
              <w:rPr>
                <w:b w:val="false"/>
                <w:bCs w:val="false"/>
                <w:sz w:val="20"/>
                <w:szCs w:val="20"/>
              </w:rPr>
              <w:t xml:space="preserve">(a) Align subtitles onto AVA-ActiveSpeaker; (b) use LSMDC descriptions; (c) compute the fused score in reduced form where text is absent.</w:t>
            </w:r>
          </w:p>
        </w:tc>
        <w:tc>
          <w:tcPr>
            <w:tcW w:type="dxa" w:w="1900"/>
            <w:tcMar>
              <w:top w:type="dxa" w:w="60"/>
              <w:left w:type="dxa" w:w="90"/>
              <w:bottom w:type="dxa" w:w="60"/>
              <w:right w:type="dxa" w:w="90"/>
            </w:tcMar>
          </w:tcPr>
          <w:p>
            <w:pPr>
              <w:spacing w:after="0" w:line="260"/>
            </w:pPr>
            <w:r>
              <w:rPr>
                <w:b w:val="false"/>
                <w:bCs w:val="false"/>
                <w:sz w:val="20"/>
                <w:szCs w:val="20"/>
              </w:rPr>
              <w:t xml:space="preserve">Dialogue selected. It preserves independence from the visual component, requires no pending access approval, and is reversible if LSMDC later arrives.</w:t>
            </w:r>
          </w:p>
        </w:tc>
      </w:tr>
      <w:tr>
        <w:trPr>
          <w:cantSplit/>
        </w:trPr>
        <w:tc>
          <w:tcPr>
            <w:tcW w:type="dxa" w:w="1100"/>
            <w:tcMar>
              <w:top w:type="dxa" w:w="60"/>
              <w:left w:type="dxa" w:w="90"/>
              <w:bottom w:type="dxa" w:w="60"/>
              <w:right w:type="dxa" w:w="90"/>
            </w:tcMar>
          </w:tcPr>
          <w:p>
            <w:pPr>
              <w:spacing w:after="0" w:line="260"/>
            </w:pPr>
            <w:r>
              <w:rPr>
                <w:b w:val="false"/>
                <w:bCs w:val="false"/>
                <w:sz w:val="20"/>
                <w:szCs w:val="20"/>
              </w:rPr>
              <w:t xml:space="preserve">2026-09</w:t>
            </w:r>
          </w:p>
        </w:tc>
        <w:tc>
          <w:tcPr>
            <w:tcW w:type="dxa" w:w="2100"/>
            <w:tcMar>
              <w:top w:type="dxa" w:w="60"/>
              <w:left w:type="dxa" w:w="90"/>
              <w:bottom w:type="dxa" w:w="60"/>
              <w:right w:type="dxa" w:w="90"/>
            </w:tcMar>
          </w:tcPr>
          <w:p>
            <w:pPr>
              <w:spacing w:after="0" w:line="260"/>
            </w:pPr>
            <w:r>
              <w:rPr>
                <w:b w:val="false"/>
                <w:bCs w:val="false"/>
                <w:sz w:val="20"/>
                <w:szCs w:val="20"/>
              </w:rPr>
              <w:t xml:space="preserve">Corpora had been screened on whether a face detector could run over their frames, which is not this component’s constraint.</w:t>
            </w:r>
          </w:p>
        </w:tc>
        <w:tc>
          <w:tcPr>
            <w:tcW w:type="dxa" w:w="2100"/>
            <w:tcMar>
              <w:top w:type="dxa" w:w="60"/>
              <w:left w:type="dxa" w:w="90"/>
              <w:bottom w:type="dxa" w:w="60"/>
              <w:right w:type="dxa" w:w="90"/>
            </w:tcMar>
          </w:tcPr>
          <w:p>
            <w:pPr>
              <w:spacing w:after="0" w:line="260"/>
            </w:pPr>
            <w:r>
              <w:rPr>
                <w:b w:val="false"/>
                <w:bCs w:val="false"/>
                <w:sz w:val="20"/>
                <w:szCs w:val="20"/>
              </w:rPr>
              <w:t xml:space="preserve">This component opens no video. Several corpora excluded for visual reasons ship speaker-attributed text.</w:t>
            </w:r>
          </w:p>
        </w:tc>
        <w:tc>
          <w:tcPr>
            <w:tcW w:type="dxa" w:w="1900"/>
            <w:tcMar>
              <w:top w:type="dxa" w:w="60"/>
              <w:left w:type="dxa" w:w="90"/>
              <w:bottom w:type="dxa" w:w="60"/>
              <w:right w:type="dxa" w:w="90"/>
            </w:tcMar>
          </w:tcPr>
          <w:p>
            <w:pPr>
              <w:spacing w:after="0" w:line="260"/>
            </w:pPr>
            <w:r>
              <w:rPr>
                <w:b w:val="false"/>
                <w:bCs w:val="false"/>
                <w:sz w:val="20"/>
                <w:szCs w:val="20"/>
              </w:rPr>
              <w:t xml:space="preserve">Accept the existing shortlist; re-screen for text availability.</w:t>
            </w:r>
          </w:p>
        </w:tc>
        <w:tc>
          <w:tcPr>
            <w:tcW w:type="dxa" w:w="1900"/>
            <w:tcMar>
              <w:top w:type="dxa" w:w="60"/>
              <w:left w:type="dxa" w:w="90"/>
              <w:bottom w:type="dxa" w:w="60"/>
              <w:right w:type="dxa" w:w="90"/>
            </w:tcMar>
          </w:tcPr>
          <w:p>
            <w:pPr>
              <w:spacing w:after="0" w:line="260"/>
            </w:pPr>
            <w:r>
              <w:rPr>
                <w:b w:val="false"/>
                <w:bCs w:val="false"/>
                <w:sz w:val="20"/>
                <w:szCs w:val="20"/>
              </w:rPr>
              <w:t xml:space="preserve">Re-screened for text. Recorded in the project corpus shortlist document.</w:t>
            </w:r>
          </w:p>
        </w:tc>
      </w:tr>
      <w:tr>
        <w:trPr>
          <w:cantSplit/>
        </w:trPr>
        <w:tc>
          <w:tcPr>
            <w:tcW w:type="dxa" w:w="1100"/>
            <w:tcMar>
              <w:top w:type="dxa" w:w="60"/>
              <w:left w:type="dxa" w:w="90"/>
              <w:bottom w:type="dxa" w:w="60"/>
              <w:right w:type="dxa" w:w="90"/>
            </w:tcMar>
          </w:tcPr>
          <w:p>
            <w:pPr>
              <w:spacing w:after="0" w:line="260"/>
            </w:pPr>
            <w:r>
              <w:rPr>
                <w:b w:val="false"/>
                <w:bCs w:val="false"/>
                <w:sz w:val="20"/>
                <w:szCs w:val="20"/>
              </w:rPr>
              <w:t xml:space="preserve">2026-09</w:t>
            </w:r>
          </w:p>
        </w:tc>
        <w:tc>
          <w:tcPr>
            <w:tcW w:type="dxa" w:w="2100"/>
            <w:tcMar>
              <w:top w:type="dxa" w:w="60"/>
              <w:left w:type="dxa" w:w="90"/>
              <w:bottom w:type="dxa" w:w="60"/>
              <w:right w:type="dxa" w:w="90"/>
            </w:tcMar>
          </w:tcPr>
          <w:p>
            <w:pPr>
              <w:spacing w:after="0" w:line="260"/>
            </w:pPr>
            <w:r>
              <w:rPr>
                <w:b w:val="false"/>
                <w:bCs w:val="false"/>
                <w:sz w:val="20"/>
                <w:szCs w:val="20"/>
              </w:rPr>
              <w:t xml:space="preserve">utterance_count_share duplicates the temporal component’s turn-count share.</w:t>
            </w:r>
          </w:p>
        </w:tc>
        <w:tc>
          <w:tcPr>
            <w:tcW w:type="dxa" w:w="2100"/>
            <w:tcMar>
              <w:top w:type="dxa" w:w="60"/>
              <w:left w:type="dxa" w:w="90"/>
              <w:bottom w:type="dxa" w:w="60"/>
              <w:right w:type="dxa" w:w="90"/>
            </w:tcMar>
          </w:tcPr>
          <w:p>
            <w:pPr>
              <w:spacing w:after="0" w:line="260"/>
            </w:pPr>
            <w:r>
              <w:rPr>
                <w:b w:val="false"/>
                <w:bCs w:val="false"/>
                <w:sz w:val="20"/>
                <w:szCs w:val="20"/>
              </w:rPr>
              <w:t xml:space="preserve">Both quantities count turns. Within-component collinearity screening would not detect a cross-component duplication.</w:t>
            </w:r>
          </w:p>
        </w:tc>
        <w:tc>
          <w:tcPr>
            <w:tcW w:type="dxa" w:w="1900"/>
            <w:tcMar>
              <w:top w:type="dxa" w:w="60"/>
              <w:left w:type="dxa" w:w="90"/>
              <w:bottom w:type="dxa" w:w="60"/>
              <w:right w:type="dxa" w:w="90"/>
            </w:tcMar>
          </w:tcPr>
          <w:p>
            <w:pPr>
              <w:spacing w:after="0" w:line="260"/>
            </w:pPr>
            <w:r>
              <w:rPr>
                <w:b w:val="false"/>
                <w:bCs w:val="false"/>
                <w:sz w:val="20"/>
                <w:szCs w:val="20"/>
              </w:rPr>
              <w:t xml:space="preserve">Retain and rely on screening; delete from this component.</w:t>
            </w:r>
          </w:p>
        </w:tc>
        <w:tc>
          <w:tcPr>
            <w:tcW w:type="dxa" w:w="1900"/>
            <w:tcMar>
              <w:top w:type="dxa" w:w="60"/>
              <w:left w:type="dxa" w:w="90"/>
              <w:bottom w:type="dxa" w:w="60"/>
              <w:right w:type="dxa" w:w="90"/>
            </w:tcMar>
          </w:tcPr>
          <w:p>
            <w:pPr>
              <w:spacing w:after="0" w:line="260"/>
            </w:pPr>
            <w:r>
              <w:rPr>
                <w:b w:val="false"/>
                <w:bCs w:val="false"/>
                <w:sz w:val="20"/>
                <w:szCs w:val="20"/>
              </w:rPr>
              <w:t xml:space="preserve">Deleted from this component, on the fusion-duplication ground rather than the collinearity ground.</w:t>
            </w:r>
          </w:p>
        </w:tc>
      </w:tr>
      <w:tr>
        <w:trPr>
          <w:cantSplit/>
        </w:trPr>
        <w:tc>
          <w:tcPr>
            <w:tcW w:type="dxa" w:w="1100"/>
            <w:tcMar>
              <w:top w:type="dxa" w:w="60"/>
              <w:left w:type="dxa" w:w="90"/>
              <w:bottom w:type="dxa" w:w="60"/>
              <w:right w:type="dxa" w:w="90"/>
            </w:tcMar>
          </w:tcPr>
          <w:p>
            <w:pPr>
              <w:spacing w:after="0" w:line="260"/>
            </w:pPr>
            <w:r>
              <w:rPr>
                <w:b w:val="false"/>
                <w:bCs w:val="false"/>
                <w:sz w:val="20"/>
                <w:szCs w:val="20"/>
              </w:rPr>
              <w:t xml:space="preserve">2026-09</w:t>
            </w:r>
          </w:p>
        </w:tc>
        <w:tc>
          <w:tcPr>
            <w:tcW w:type="dxa" w:w="2100"/>
            <w:tcMar>
              <w:top w:type="dxa" w:w="60"/>
              <w:left w:type="dxa" w:w="90"/>
              <w:bottom w:type="dxa" w:w="60"/>
              <w:right w:type="dxa" w:w="90"/>
            </w:tcMar>
          </w:tcPr>
          <w:p>
            <w:pPr>
              <w:spacing w:after="0" w:line="260"/>
            </w:pPr>
            <w:r>
              <w:rPr>
                <w:b w:val="false"/>
                <w:bCs w:val="false"/>
                <w:sz w:val="20"/>
                <w:szCs w:val="20"/>
              </w:rPr>
              <w:t xml:space="preserve">Severity tiers were stated as derived while quoting EuqAud’s published boundaries.</w:t>
            </w:r>
          </w:p>
        </w:tc>
        <w:tc>
          <w:tcPr>
            <w:tcW w:type="dxa" w:w="2100"/>
            <w:tcMar>
              <w:top w:type="dxa" w:w="60"/>
              <w:left w:type="dxa" w:w="90"/>
              <w:bottom w:type="dxa" w:w="60"/>
              <w:right w:type="dxa" w:w="90"/>
            </w:tcMar>
          </w:tcPr>
          <w:p>
            <w:pPr>
              <w:spacing w:after="0" w:line="260"/>
            </w:pPr>
            <w:r>
              <w:rPr>
                <w:b w:val="false"/>
                <w:bCs w:val="false"/>
                <w:sz w:val="20"/>
                <w:szCs w:val="20"/>
              </w:rPr>
              <w:t xml:space="preserve">EuqAud states Neutral below 2, Moderate 2 to 6, Strong above 6. Repeating those values while claiming derivation is contradictory.</w:t>
            </w:r>
          </w:p>
        </w:tc>
        <w:tc>
          <w:tcPr>
            <w:tcW w:type="dxa" w:w="1900"/>
            <w:tcMar>
              <w:top w:type="dxa" w:w="60"/>
              <w:left w:type="dxa" w:w="90"/>
              <w:bottom w:type="dxa" w:w="60"/>
              <w:right w:type="dxa" w:w="90"/>
            </w:tcMar>
          </w:tcPr>
          <w:p>
            <w:pPr>
              <w:spacing w:after="0" w:line="260"/>
            </w:pPr>
            <w:r>
              <w:rPr>
                <w:b w:val="false"/>
                <w:bCs w:val="false"/>
                <w:sz w:val="20"/>
                <w:szCs w:val="20"/>
              </w:rPr>
              <w:t xml:space="preserve">Adopt EuqAud’s convention explicitly for comparability; derive boundaries from the observed distribution.</w:t>
            </w:r>
          </w:p>
        </w:tc>
        <w:tc>
          <w:tcPr>
            <w:tcW w:type="dxa" w:w="1900"/>
            <w:tcMar>
              <w:top w:type="dxa" w:w="60"/>
              <w:left w:type="dxa" w:w="90"/>
              <w:bottom w:type="dxa" w:w="60"/>
              <w:right w:type="dxa" w:w="90"/>
            </w:tcMar>
          </w:tcPr>
          <w:p>
            <w:pPr>
              <w:spacing w:after="0" w:line="260"/>
            </w:pPr>
            <w:r>
              <w:rPr>
                <w:b w:val="false"/>
                <w:bCs w:val="false"/>
                <w:sz w:val="20"/>
                <w:szCs w:val="20"/>
              </w:rPr>
              <w:t xml:space="preserve">Derive from stated disparity levels; report EuqAud’s convention as the comparison rather than the inheritance.</w:t>
            </w:r>
          </w:p>
        </w:tc>
      </w:tr>
      <w:tr>
        <w:trPr>
          <w:cantSplit/>
        </w:trPr>
        <w:tc>
          <w:tcPr>
            <w:tcW w:type="dxa" w:w="1100"/>
            <w:tcMar>
              <w:top w:type="dxa" w:w="60"/>
              <w:left w:type="dxa" w:w="90"/>
              <w:bottom w:type="dxa" w:w="60"/>
              <w:right w:type="dxa" w:w="90"/>
            </w:tcMar>
          </w:tcPr>
          <w:p>
            <w:pPr>
              <w:spacing w:after="0" w:line="260"/>
            </w:pPr>
            <w:r>
              <w:rPr>
                <w:b w:val="false"/>
                <w:bCs w:val="false"/>
                <w:sz w:val="20"/>
                <w:szCs w:val="20"/>
              </w:rPr>
              <w:t xml:space="preserve"/>
            </w:r>
          </w:p>
        </w:tc>
        <w:tc>
          <w:tcPr>
            <w:tcW w:type="dxa" w:w="2100"/>
            <w:tcMar>
              <w:top w:type="dxa" w:w="60"/>
              <w:left w:type="dxa" w:w="90"/>
              <w:bottom w:type="dxa" w:w="60"/>
              <w:right w:type="dxa" w:w="90"/>
            </w:tcMar>
          </w:tcPr>
          <w:p>
            <w:pPr>
              <w:spacing w:after="0" w:line="260"/>
            </w:pPr>
            <w:r>
              <w:rPr>
                <w:b w:val="false"/>
                <w:bCs w:val="false"/>
                <w:sz w:val="20"/>
                <w:szCs w:val="20"/>
              </w:rPr>
              <w:t xml:space="preserve"/>
            </w:r>
          </w:p>
        </w:tc>
        <w:tc>
          <w:tcPr>
            <w:tcW w:type="dxa" w:w="2100"/>
            <w:tcMar>
              <w:top w:type="dxa" w:w="60"/>
              <w:left w:type="dxa" w:w="90"/>
              <w:bottom w:type="dxa" w:w="60"/>
              <w:right w:type="dxa" w:w="90"/>
            </w:tcMar>
          </w:tcPr>
          <w:p>
            <w:pPr>
              <w:spacing w:after="0" w:line="260"/>
            </w:pPr>
            <w:r>
              <w:rPr>
                <w:b w:val="false"/>
                <w:bCs w:val="false"/>
                <w:sz w:val="20"/>
                <w:szCs w:val="20"/>
              </w:rPr>
              <w:t xml:space="preserve"/>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r>
    </w:tbl>
    <w:p>
      <w:pPr>
        <w:pStyle w:val="Heading2"/>
        <w:spacing w:after="140" w:before="280"/>
      </w:pPr>
      <w:r>
        <w:t xml:space="preserve">Appendix 3 — AI use disclosure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00"/>
        <w:gridCol w:w="2400"/>
        <w:gridCol w:w="1900"/>
      </w:tblGrid>
      <w:tr>
        <w:trPr>
          <w:cantSplit/>
          <w:tblHeader/>
        </w:trPr>
        <w:tc>
          <w:tcPr>
            <w:tcW w:type="dxa" w:w="1200"/>
            <w:shd w:fill="E8E8E8" w:val="clear"/>
            <w:tcMar>
              <w:top w:type="dxa" w:w="60"/>
              <w:left w:type="dxa" w:w="90"/>
              <w:bottom w:type="dxa" w:w="60"/>
              <w:right w:type="dxa" w:w="90"/>
            </w:tcMar>
          </w:tcPr>
          <w:p>
            <w:pPr>
              <w:spacing w:after="0" w:line="260"/>
            </w:pPr>
            <w:r>
              <w:rPr>
                <w:b/>
                <w:bCs/>
                <w:sz w:val="20"/>
                <w:szCs w:val="20"/>
              </w:rPr>
              <w:t xml:space="preserve">AI Tool</w:t>
            </w:r>
          </w:p>
        </w:tc>
        <w:tc>
          <w:tcPr>
            <w:tcW w:type="dxa" w:w="1500"/>
            <w:shd w:fill="E8E8E8" w:val="clear"/>
            <w:tcMar>
              <w:top w:type="dxa" w:w="60"/>
              <w:left w:type="dxa" w:w="90"/>
              <w:bottom w:type="dxa" w:w="60"/>
              <w:right w:type="dxa" w:w="90"/>
            </w:tcMar>
          </w:tcPr>
          <w:p>
            <w:pPr>
              <w:spacing w:after="0" w:line="260"/>
            </w:pPr>
            <w:r>
              <w:rPr>
                <w:b/>
                <w:bCs/>
                <w:sz w:val="20"/>
                <w:szCs w:val="20"/>
              </w:rPr>
              <w:t xml:space="preserve">Purpose of Use</w:t>
            </w:r>
          </w:p>
        </w:tc>
        <w:tc>
          <w:tcPr>
            <w:tcW w:type="dxa" w:w="2100"/>
            <w:shd w:fill="E8E8E8" w:val="clear"/>
            <w:tcMar>
              <w:top w:type="dxa" w:w="60"/>
              <w:left w:type="dxa" w:w="90"/>
              <w:bottom w:type="dxa" w:w="60"/>
              <w:right w:type="dxa" w:w="90"/>
            </w:tcMar>
          </w:tcPr>
          <w:p>
            <w:pPr>
              <w:spacing w:after="0" w:line="260"/>
            </w:pPr>
            <w:r>
              <w:rPr>
                <w:b/>
                <w:bCs/>
                <w:sz w:val="20"/>
                <w:szCs w:val="20"/>
              </w:rPr>
              <w:t xml:space="preserve">What Was Generated / Assisted</w:t>
            </w:r>
          </w:p>
        </w:tc>
        <w:tc>
          <w:tcPr>
            <w:tcW w:type="dxa" w:w="2400"/>
            <w:shd w:fill="E8E8E8" w:val="clear"/>
            <w:tcMar>
              <w:top w:type="dxa" w:w="60"/>
              <w:left w:type="dxa" w:w="90"/>
              <w:bottom w:type="dxa" w:w="60"/>
              <w:right w:type="dxa" w:w="90"/>
            </w:tcMar>
          </w:tcPr>
          <w:p>
            <w:pPr>
              <w:spacing w:after="0" w:line="260"/>
            </w:pPr>
            <w:r>
              <w:rPr>
                <w:b/>
                <w:bCs/>
                <w:sz w:val="20"/>
                <w:szCs w:val="20"/>
              </w:rPr>
              <w:t xml:space="preserve">How Output Was Verified</w:t>
            </w:r>
          </w:p>
        </w:tc>
        <w:tc>
          <w:tcPr>
            <w:tcW w:type="dxa" w:w="1900"/>
            <w:shd w:fill="E8E8E8" w:val="clear"/>
            <w:tcMar>
              <w:top w:type="dxa" w:w="60"/>
              <w:left w:type="dxa" w:w="90"/>
              <w:bottom w:type="dxa" w:w="60"/>
              <w:right w:type="dxa" w:w="90"/>
            </w:tcMar>
          </w:tcPr>
          <w:p>
            <w:pPr>
              <w:spacing w:after="0" w:line="260"/>
            </w:pPr>
            <w:r>
              <w:rPr>
                <w:b/>
                <w:bCs/>
                <w:sz w:val="20"/>
                <w:szCs w:val="20"/>
              </w:rPr>
              <w:t xml:space="preserve">Final Student Contribution</w:t>
            </w:r>
          </w:p>
        </w:tc>
      </w:tr>
      <w:tr>
        <w:trPr>
          <w:cantSplit/>
        </w:trPr>
        <w:tc>
          <w:tcPr>
            <w:tcW w:type="dxa" w:w="1200"/>
            <w:tcMar>
              <w:top w:type="dxa" w:w="60"/>
              <w:left w:type="dxa" w:w="90"/>
              <w:bottom w:type="dxa" w:w="60"/>
              <w:right w:type="dxa" w:w="90"/>
            </w:tcMar>
          </w:tcPr>
          <w:p>
            <w:pPr>
              <w:spacing w:after="0" w:line="260"/>
            </w:pPr>
            <w:r>
              <w:rPr>
                <w:b w:val="false"/>
                <w:bCs w:val="false"/>
                <w:sz w:val="20"/>
                <w:szCs w:val="20"/>
              </w:rPr>
              <w:t xml:space="preserve">Claude (Anthropic)</w:t>
            </w:r>
          </w:p>
        </w:tc>
        <w:tc>
          <w:tcPr>
            <w:tcW w:type="dxa" w:w="1500"/>
            <w:tcMar>
              <w:top w:type="dxa" w:w="60"/>
              <w:left w:type="dxa" w:w="90"/>
              <w:bottom w:type="dxa" w:w="60"/>
              <w:right w:type="dxa" w:w="90"/>
            </w:tcMar>
          </w:tcPr>
          <w:p>
            <w:pPr>
              <w:spacing w:after="0" w:line="260"/>
            </w:pPr>
            <w:r>
              <w:rPr>
                <w:b w:val="false"/>
                <w:bCs w:val="false"/>
                <w:sz w:val="20"/>
                <w:szCs w:val="20"/>
              </w:rPr>
              <w:t xml:space="preserve">Drafting assistance and critical review of the component design</w:t>
            </w:r>
          </w:p>
        </w:tc>
        <w:tc>
          <w:tcPr>
            <w:tcW w:type="dxa" w:w="2100"/>
            <w:tcMar>
              <w:top w:type="dxa" w:w="60"/>
              <w:left w:type="dxa" w:w="90"/>
              <w:bottom w:type="dxa" w:w="60"/>
              <w:right w:type="dxa" w:w="90"/>
            </w:tcMar>
          </w:tcPr>
          <w:p>
            <w:pPr>
              <w:spacing w:after="0" w:line="260"/>
            </w:pPr>
            <w:r>
              <w:rPr>
                <w:b w:val="false"/>
                <w:bCs w:val="false"/>
                <w:sz w:val="20"/>
                <w:szCs w:val="20"/>
              </w:rPr>
              <w:t xml:space="preserve">Structural draft of this proposal; review of the component specification; identification of candidate corpora; identification of contradictions between project documents</w:t>
            </w:r>
          </w:p>
        </w:tc>
        <w:tc>
          <w:tcPr>
            <w:tcW w:type="dxa" w:w="2400"/>
            <w:tcMar>
              <w:top w:type="dxa" w:w="60"/>
              <w:left w:type="dxa" w:w="90"/>
              <w:bottom w:type="dxa" w:w="60"/>
              <w:right w:type="dxa" w:w="90"/>
            </w:tcMar>
          </w:tcPr>
          <w:p>
            <w:pPr>
              <w:spacing w:after="0" w:line="260"/>
            </w:pPr>
            <w:r>
              <w:rPr>
                <w:b w:val="false"/>
                <w:bCs w:val="false"/>
                <w:sz w:val="20"/>
                <w:szCs w:val="20"/>
              </w:rPr>
              <w:t xml:space="preserve">References [1]–[4] were confirmed against the ACL Anthology entries, with authors, venue and page numbers checked. References [5]–[13] are [TO COMPLETE] — confirm each against the source before submission. Corpus claims were checked against each corpus’s own documentation page. No numerical result in this proposal is AI-generated; the only measured figure reported is the MELD speaking-time ratio of 1.094, computed by the group.</w:t>
            </w:r>
          </w:p>
        </w:tc>
        <w:tc>
          <w:tcPr>
            <w:tcW w:type="dxa" w:w="1900"/>
            <w:tcMar>
              <w:top w:type="dxa" w:w="60"/>
              <w:left w:type="dxa" w:w="90"/>
              <w:bottom w:type="dxa" w:w="60"/>
              <w:right w:type="dxa" w:w="90"/>
            </w:tcMar>
          </w:tcPr>
          <w:p>
            <w:pPr>
              <w:spacing w:after="0" w:line="260"/>
            </w:pPr>
            <w:r>
              <w:rPr>
                <w:b w:val="false"/>
                <w:bCs w:val="false"/>
                <w:sz w:val="20"/>
                <w:szCs w:val="20"/>
              </w:rPr>
              <w:t xml:space="preserve">[TO COMPLETE] — state what you wrote, decided and verified yourself. At minimum: the choice of dialogue over descriptions, the feature set, the requirements elicitation, the budget, the Gantt chart, both architecture figures, and the verification of every reference.</w:t>
            </w:r>
          </w:p>
        </w:tc>
      </w:tr>
      <w:tr>
        <w:trPr>
          <w:cantSplit/>
        </w:trPr>
        <w:tc>
          <w:tcPr>
            <w:tcW w:type="dxa" w:w="1200"/>
            <w:tcMar>
              <w:top w:type="dxa" w:w="60"/>
              <w:left w:type="dxa" w:w="90"/>
              <w:bottom w:type="dxa" w:w="60"/>
              <w:right w:type="dxa" w:w="90"/>
            </w:tcMar>
          </w:tcPr>
          <w:p>
            <w:pPr>
              <w:spacing w:after="0" w:line="260"/>
            </w:pPr>
            <w:r>
              <w:rPr>
                <w:b w:val="false"/>
                <w:bCs w:val="false"/>
                <w:sz w:val="20"/>
                <w:szCs w:val="20"/>
              </w:rPr>
              <w:t xml:space="preserve"/>
            </w:r>
          </w:p>
        </w:tc>
        <w:tc>
          <w:tcPr>
            <w:tcW w:type="dxa" w:w="1500"/>
            <w:tcMar>
              <w:top w:type="dxa" w:w="60"/>
              <w:left w:type="dxa" w:w="90"/>
              <w:bottom w:type="dxa" w:w="60"/>
              <w:right w:type="dxa" w:w="90"/>
            </w:tcMar>
          </w:tcPr>
          <w:p>
            <w:pPr>
              <w:spacing w:after="0" w:line="260"/>
            </w:pPr>
            <w:r>
              <w:rPr>
                <w:b w:val="false"/>
                <w:bCs w:val="false"/>
                <w:sz w:val="20"/>
                <w:szCs w:val="20"/>
              </w:rPr>
              <w:t xml:space="preserve"/>
            </w:r>
          </w:p>
        </w:tc>
        <w:tc>
          <w:tcPr>
            <w:tcW w:type="dxa" w:w="2100"/>
            <w:tcMar>
              <w:top w:type="dxa" w:w="60"/>
              <w:left w:type="dxa" w:w="90"/>
              <w:bottom w:type="dxa" w:w="60"/>
              <w:right w:type="dxa" w:w="90"/>
            </w:tcMar>
          </w:tcPr>
          <w:p>
            <w:pPr>
              <w:spacing w:after="0" w:line="260"/>
            </w:pPr>
            <w:r>
              <w:rPr>
                <w:b w:val="false"/>
                <w:bCs w:val="false"/>
                <w:sz w:val="20"/>
                <w:szCs w:val="20"/>
              </w:rPr>
              <w:t xml:space="preserve"/>
            </w:r>
          </w:p>
        </w:tc>
        <w:tc>
          <w:tcPr>
            <w:tcW w:type="dxa" w:w="2400"/>
            <w:tcMar>
              <w:top w:type="dxa" w:w="60"/>
              <w:left w:type="dxa" w:w="90"/>
              <w:bottom w:type="dxa" w:w="60"/>
              <w:right w:type="dxa" w:w="90"/>
            </w:tcMar>
          </w:tcPr>
          <w:p>
            <w:pPr>
              <w:spacing w:after="0" w:line="260"/>
            </w:pPr>
            <w:r>
              <w:rPr>
                <w:b w:val="false"/>
                <w:bCs w:val="false"/>
                <w:sz w:val="20"/>
                <w:szCs w:val="20"/>
              </w:rPr>
              <w:t xml:space="preserve"/>
            </w:r>
          </w:p>
        </w:tc>
        <w:tc>
          <w:tcPr>
            <w:tcW w:type="dxa" w:w="1900"/>
            <w:tcMar>
              <w:top w:type="dxa" w:w="60"/>
              <w:left w:type="dxa" w:w="90"/>
              <w:bottom w:type="dxa" w:w="60"/>
              <w:right w:type="dxa" w:w="90"/>
            </w:tcMar>
          </w:tcPr>
          <w:p>
            <w:pPr>
              <w:spacing w:after="0" w:line="260"/>
            </w:pPr>
            <w:r>
              <w:rPr>
                <w:b w:val="false"/>
                <w:bCs w:val="false"/>
                <w:sz w:val="20"/>
                <w:szCs w:val="20"/>
              </w:rPr>
              <w:t xml:space="preserve"/>
            </w:r>
          </w:p>
        </w:tc>
      </w:tr>
    </w:tbl>
    <w:p>
      <w:pPr>
        <w:spacing w:after="120" w:line="300"/>
      </w:pPr>
      <w:r>
        <w:rPr>
          <w:i/>
          <w:iCs/>
          <w:sz w:val="22"/>
          <w:szCs w:val="22"/>
        </w:rPr>
        <w:t xml:space="preserve">The use of AI does not transfer responsibility for the submitted work. The student remains responsible for accuracy, originality, validity of references, research decisions, methodology, technical choices, interpretation of evidence, and the ability to defend every part of the proposal.</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2026-09-12T12:15:11.656Z</dcterms:created>
  <dcterms:modified xsi:type="dcterms:W3CDTF">2026-09-12T12:15:11.657Z</dcterms:modified>
</cp:coreProperties>
</file>

<file path=docProps/custom.xml><?xml version="1.0" encoding="utf-8"?>
<Properties xmlns="http://schemas.openxmlformats.org/officeDocument/2006/custom-properties" xmlns:vt="http://schemas.openxmlformats.org/officeDocument/2006/docPropsVTypes"/>
</file>