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436"/>
          <w:sz w:val="40"/>
          <w:szCs w:val="40"/>
        </w:rPr>
        <w:t xml:space="preserve">IndiaKart E-Commerce Analytics</w:t>
      </w:r>
    </w:p>
    <w:p>
      <w:pPr>
        <w:spacing w:after="20"/>
      </w:pPr>
      <w:r>
        <w:rPr>
          <w:color w:val="5B6478"/>
          <w:sz w:val="26"/>
          <w:szCs w:val="26"/>
        </w:rPr>
        <w:t xml:space="preserve">Management Summary Report</w:t>
      </w:r>
    </w:p>
    <w:p>
      <w:pPr>
        <w:spacing w:after="300"/>
      </w:pPr>
      <w:r>
        <w:rPr>
          <w:i/>
          <w:iCs/>
          <w:color w:val="5B6478"/>
          <w:sz w:val="19"/>
          <w:szCs w:val="19"/>
        </w:rPr>
        <w:t xml:space="preserve">Prepared for the CEO  ·  Covers June 2023 – June 2025</w:t>
      </w:r>
    </w:p>
    <w:p>
      <w:pPr>
        <w:pStyle w:val="Heading1"/>
        <w:pBdr>
          <w:bottom w:val="single" w:color="1B2436" w:sz="8" w:space="4"/>
        </w:pBdr>
        <w:spacing w:after="140" w:before="320"/>
      </w:pPr>
      <w:r>
        <w:rPr>
          <w:b/>
          <w:bCs/>
          <w:color w:val="1B2436"/>
          <w:sz w:val="27"/>
          <w:szCs w:val="27"/>
        </w:rPr>
        <w:t xml:space="preserve">Executive Summary</w:t>
      </w:r>
    </w:p>
    <w:p>
      <w:pPr>
        <w:spacing w:after="160" w:line="300"/>
      </w:pPr>
      <w:r>
        <w:rPr>
          <w:color w:val="24283A"/>
          <w:sz w:val="21"/>
          <w:szCs w:val="21"/>
        </w:rPr>
        <w:t xml:space="preserve">Over the past two years IndiaKart processed 50,000 orders worth ₹314.7 crore in total order value, of which ₹205.4 crore actually converted into delivered revenue. The underlying business is stable: month-to-month revenue holds steady in the ₹120–140 crore range with no real growth or decline trend, and no seasonal spike or drop at any point, including around Diwali.</w:t>
      </w:r>
    </w:p>
    <w:p>
      <w:pPr>
        <w:spacing w:after="160" w:line="300"/>
      </w:pPr>
      <w:r>
        <w:rPr>
          <w:color w:val="24283A"/>
          <w:sz w:val="21"/>
          <w:szCs w:val="21"/>
        </w:rPr>
        <w:t xml:space="preserve">The bigger story isn't how much demand we're generating — it's how much of that demand we're failing to convert cleanly. Roughly one in three rupees of order value never becomes real revenue, driven mainly by a cancellation rate of 11.99% and a return rate of 22.67%, both meaningfully above healthy benchmarks. On top of that, more than half our revenue rests on a single category, Electronics, which is efficient today but leaves little room for error.</w:t>
      </w:r>
    </w:p>
    <w:p>
      <w:pPr>
        <w:spacing w:after="160" w:line="300"/>
      </w:pPr>
      <w:r>
        <w:rPr>
          <w:color w:val="24283A"/>
          <w:sz w:val="21"/>
          <w:szCs w:val="21"/>
        </w:rPr>
        <w:t xml:space="preserve">In short: IndiaKart doesn't have a demand problem. It has an execution and reliability problem. Fixing cancellations, returns, and payment failures would likely do more for the bottom line over the next two quarters than acquiring new customers would.</w:t>
      </w:r>
    </w:p>
    <w:p>
      <w:pPr>
        <w:pStyle w:val="Heading1"/>
        <w:pBdr>
          <w:bottom w:val="single" w:color="1B2436" w:sz="8" w:space="4"/>
        </w:pBdr>
        <w:spacing w:after="140" w:before="320"/>
      </w:pPr>
      <w:r>
        <w:rPr>
          <w:b/>
          <w:bCs/>
          <w:color w:val="1B2436"/>
          <w:sz w:val="27"/>
          <w:szCs w:val="27"/>
        </w:rPr>
        <w:t xml:space="preserve">Top 3 Findings</w:t>
      </w:r>
    </w:p>
    <w:p>
      <w:pPr>
        <w:pStyle w:val="Heading2"/>
        <w:spacing w:after="90" w:before="220"/>
      </w:pPr>
      <w:r>
        <w:rPr>
          <w:b/>
          <w:bCs/>
          <w:color w:val="1B2436"/>
          <w:sz w:val="22"/>
          <w:szCs w:val="22"/>
        </w:rPr>
        <w:t xml:space="preserve">1. A third of our order value never becomes revenue</w:t>
      </w:r>
    </w:p>
    <w:p>
      <w:pPr>
        <w:spacing w:after="160" w:line="300"/>
      </w:pPr>
      <w:r>
        <w:rPr>
          <w:color w:val="24283A"/>
          <w:sz w:val="21"/>
          <w:szCs w:val="21"/>
        </w:rPr>
        <w:t xml:space="preserve">Gross order value (GMV) was ₹314.7 crore, but only 65.26% of that — ₹205.4 crore — was actually earned as Net Revenue from delivered orders. The single biggest driver is the cancellation rate, sitting at 11.99% against a 10% target. This is the most direct, most fixable lever on the table: every cancellation avoided converts close to straight to the bottom line.</w:t>
      </w:r>
    </w:p>
    <w:p>
      <w:pPr>
        <w:pStyle w:val="Heading2"/>
        <w:spacing w:after="90" w:before="220"/>
      </w:pPr>
      <w:r>
        <w:rPr>
          <w:b/>
          <w:bCs/>
          <w:color w:val="1B2436"/>
          <w:sz w:val="22"/>
          <w:szCs w:val="22"/>
        </w:rPr>
        <w:t xml:space="preserve">2. Returns are a systemic issue, not a one-category problem</w:t>
      </w:r>
    </w:p>
    <w:p>
      <w:pPr>
        <w:spacing w:after="160" w:line="300"/>
      </w:pPr>
      <w:r>
        <w:rPr>
          <w:color w:val="24283A"/>
          <w:sz w:val="21"/>
          <w:szCs w:val="21"/>
        </w:rPr>
        <w:t xml:space="preserve">22.67% of delivered orders come back as returns — nearly three times the 8% target. What makes this concerning is the shape of the problem: returns are spread almost evenly across every product category (roughly 9–10% each), and the top eight return reasons are all clustered within a narrow band of each other. There is no single fix here — it points to a mix of sizing/listing accuracy, quality control, and fulfilment precision, all needing attention at once.</w:t>
      </w:r>
    </w:p>
    <w:p>
      <w:pPr>
        <w:pStyle w:val="Heading2"/>
        <w:spacing w:after="90" w:before="220"/>
      </w:pPr>
      <w:r>
        <w:rPr>
          <w:b/>
          <w:bCs/>
          <w:color w:val="1B2436"/>
          <w:sz w:val="22"/>
          <w:szCs w:val="22"/>
        </w:rPr>
        <w:t xml:space="preserve">3. The business runs on one category</w:t>
      </w:r>
    </w:p>
    <w:p>
      <w:pPr>
        <w:spacing w:after="160" w:line="300"/>
      </w:pPr>
      <w:r>
        <w:rPr>
          <w:color w:val="24283A"/>
          <w:sz w:val="21"/>
          <w:szCs w:val="21"/>
        </w:rPr>
        <w:t xml:space="preserve">Electronics accounts for 57.4% of all revenue — more than three times the next largest category (Sports &amp; Fitness, 17.4%). This isn't a problem today, but it is a concentration risk: if Electronics demand softens for any reason (supply, pricing, competition), there is no second category currently large enough to absorb the impact.</w:t>
      </w:r>
    </w:p>
    <w:p>
      <w:pPr>
        <w:pStyle w:val="Heading1"/>
        <w:pBdr>
          <w:bottom w:val="single" w:color="1B2436" w:sz="8" w:space="4"/>
        </w:pBdr>
        <w:spacing w:after="140" w:before="320"/>
      </w:pPr>
      <w:r>
        <w:rPr>
          <w:b/>
          <w:bCs/>
          <w:color w:val="1B2436"/>
          <w:sz w:val="27"/>
          <w:szCs w:val="27"/>
        </w:rPr>
        <w:t xml:space="preserve">Risks Identified</w:t>
      </w:r>
    </w:p>
    <w:p>
      <w:pPr>
        <w:spacing w:after="160" w:line="300"/>
      </w:pPr>
      <w:r>
        <w:rPr>
          <w:color w:val="24283A"/>
          <w:sz w:val="21"/>
          <w:szCs w:val="21"/>
        </w:rPr>
        <w:t xml:space="preserve">Six of the ten core KPIs tracked for this review currently miss their target. The table below summarises the ones that carry the most business risk.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750"/>
        <w:gridCol w:w="3000"/>
      </w:tblGrid>
      <w:tr>
        <w:trPr>
          <w:tblHeader/>
        </w:trPr>
        <w:tc>
          <w:tcPr>
            <w:tcW w:type="dxa" w:w="2600"/>
            <w:shd w:fill="1B2436" w:val="clear"/>
            <w:tcMar>
              <w:top w:type="dxa" w:w="90"/>
              <w:left w:type="dxa" w:w="110"/>
              <w:bottom w:type="dxa" w:w="90"/>
              <w:right w:type="dxa" w:w="110"/>
            </w:tcMar>
          </w:tcPr>
          <w:p>
            <w:r>
              <w:rPr>
                <w:b/>
                <w:bCs/>
                <w:color w:val="FFFFFF"/>
                <w:sz w:val="19"/>
                <w:szCs w:val="19"/>
              </w:rPr>
              <w:t xml:space="preserve">Metric</w:t>
            </w:r>
          </w:p>
        </w:tc>
        <w:tc>
          <w:tcPr>
            <w:tcW w:type="dxa" w:w="2000"/>
            <w:shd w:fill="1B2436" w:val="clear"/>
            <w:tcMar>
              <w:top w:type="dxa" w:w="90"/>
              <w:left w:type="dxa" w:w="110"/>
              <w:bottom w:type="dxa" w:w="90"/>
              <w:right w:type="dxa" w:w="110"/>
            </w:tcMar>
          </w:tcPr>
          <w:p>
            <w:r>
              <w:rPr>
                <w:b/>
                <w:bCs/>
                <w:color w:val="FFFFFF"/>
                <w:sz w:val="19"/>
                <w:szCs w:val="19"/>
              </w:rPr>
              <w:t xml:space="preserve">Actual</w:t>
            </w:r>
          </w:p>
        </w:tc>
        <w:tc>
          <w:tcPr>
            <w:tcW w:type="dxa" w:w="1750"/>
            <w:shd w:fill="1B2436" w:val="clear"/>
            <w:tcMar>
              <w:top w:type="dxa" w:w="90"/>
              <w:left w:type="dxa" w:w="110"/>
              <w:bottom w:type="dxa" w:w="90"/>
              <w:right w:type="dxa" w:w="110"/>
            </w:tcMar>
          </w:tcPr>
          <w:p>
            <w:r>
              <w:rPr>
                <w:b/>
                <w:bCs/>
                <w:color w:val="FFFFFF"/>
                <w:sz w:val="19"/>
                <w:szCs w:val="19"/>
              </w:rPr>
              <w:t xml:space="preserve">Target</w:t>
            </w:r>
          </w:p>
        </w:tc>
        <w:tc>
          <w:tcPr>
            <w:tcW w:type="dxa" w:w="3000"/>
            <w:shd w:fill="1B2436" w:val="clear"/>
            <w:tcMar>
              <w:top w:type="dxa" w:w="90"/>
              <w:left w:type="dxa" w:w="110"/>
              <w:bottom w:type="dxa" w:w="90"/>
              <w:right w:type="dxa" w:w="110"/>
            </w:tcMar>
          </w:tcPr>
          <w:p>
            <w:r>
              <w:rPr>
                <w:b/>
                <w:bCs/>
                <w:color w:val="FFFFFF"/>
                <w:sz w:val="19"/>
                <w:szCs w:val="19"/>
              </w:rPr>
              <w:t xml:space="preserve">Why it matters</w:t>
            </w:r>
          </w:p>
        </w:tc>
      </w:tr>
      <w:tr>
        <w:tc>
          <w:tcPr>
            <w:tcW w:type="dxa" w:w="2600"/>
            <w:shd w:fill="F2F4F8" w:val="clear"/>
            <w:tcMar>
              <w:top w:type="dxa" w:w="80"/>
              <w:left w:type="dxa" w:w="110"/>
              <w:bottom w:type="dxa" w:w="80"/>
              <w:right w:type="dxa" w:w="110"/>
            </w:tcMar>
          </w:tcPr>
          <w:p>
            <w:r>
              <w:rPr>
                <w:b/>
                <w:bCs/>
                <w:color w:val="24283A"/>
                <w:sz w:val="19"/>
                <w:szCs w:val="19"/>
              </w:rPr>
              <w:t xml:space="preserve">Cancellation Rate</w:t>
            </w:r>
          </w:p>
        </w:tc>
        <w:tc>
          <w:tcPr>
            <w:tcW w:type="dxa" w:w="2000"/>
            <w:shd w:fill="FFFFFF" w:val="clear"/>
            <w:tcMar>
              <w:top w:type="dxa" w:w="80"/>
              <w:left w:type="dxa" w:w="110"/>
              <w:bottom w:type="dxa" w:w="80"/>
              <w:right w:type="dxa" w:w="110"/>
            </w:tcMar>
          </w:tcPr>
          <w:p>
            <w:r>
              <w:rPr>
                <w:b w:val="false"/>
                <w:bCs w:val="false"/>
                <w:color w:val="24283A"/>
                <w:sz w:val="19"/>
                <w:szCs w:val="19"/>
              </w:rPr>
              <w:t xml:space="preserve">11.99%</w:t>
            </w:r>
          </w:p>
        </w:tc>
        <w:tc>
          <w:tcPr>
            <w:tcW w:type="dxa" w:w="1750"/>
            <w:shd w:fill="FFFFFF" w:val="clear"/>
            <w:tcMar>
              <w:top w:type="dxa" w:w="80"/>
              <w:left w:type="dxa" w:w="110"/>
              <w:bottom w:type="dxa" w:w="80"/>
              <w:right w:type="dxa" w:w="110"/>
            </w:tcMar>
          </w:tcPr>
          <w:p>
            <w:r>
              <w:rPr>
                <w:b w:val="false"/>
                <w:bCs w:val="false"/>
                <w:color w:val="24283A"/>
                <w:sz w:val="19"/>
                <w:szCs w:val="19"/>
              </w:rPr>
              <w:t xml:space="preserve">&lt; 10%</w:t>
            </w:r>
          </w:p>
        </w:tc>
        <w:tc>
          <w:tcPr>
            <w:tcW w:type="dxa" w:w="3000"/>
            <w:shd w:fill="FFFFFF" w:val="clear"/>
            <w:tcMar>
              <w:top w:type="dxa" w:w="80"/>
              <w:left w:type="dxa" w:w="110"/>
              <w:bottom w:type="dxa" w:w="80"/>
              <w:right w:type="dxa" w:w="110"/>
            </w:tcMar>
          </w:tcPr>
          <w:p>
            <w:r>
              <w:rPr>
                <w:b w:val="false"/>
                <w:bCs w:val="false"/>
                <w:color w:val="24283A"/>
                <w:sz w:val="19"/>
                <w:szCs w:val="19"/>
              </w:rPr>
              <w:t xml:space="preserve">Direct, avoidable revenue loss on orders already placed.</w:t>
            </w:r>
          </w:p>
        </w:tc>
      </w:tr>
      <w:tr>
        <w:tc>
          <w:tcPr>
            <w:tcW w:type="dxa" w:w="2600"/>
            <w:shd w:fill="F2F4F8" w:val="clear"/>
            <w:tcMar>
              <w:top w:type="dxa" w:w="80"/>
              <w:left w:type="dxa" w:w="110"/>
              <w:bottom w:type="dxa" w:w="80"/>
              <w:right w:type="dxa" w:w="110"/>
            </w:tcMar>
          </w:tcPr>
          <w:p>
            <w:r>
              <w:rPr>
                <w:b/>
                <w:bCs/>
                <w:color w:val="24283A"/>
                <w:sz w:val="19"/>
                <w:szCs w:val="19"/>
              </w:rPr>
              <w:t xml:space="preserve">Return Rate (corrected)</w:t>
            </w:r>
          </w:p>
        </w:tc>
        <w:tc>
          <w:tcPr>
            <w:tcW w:type="dxa" w:w="2000"/>
            <w:shd w:fill="FFFFFF" w:val="clear"/>
            <w:tcMar>
              <w:top w:type="dxa" w:w="80"/>
              <w:left w:type="dxa" w:w="110"/>
              <w:bottom w:type="dxa" w:w="80"/>
              <w:right w:type="dxa" w:w="110"/>
            </w:tcMar>
          </w:tcPr>
          <w:p>
            <w:r>
              <w:rPr>
                <w:b w:val="false"/>
                <w:bCs w:val="false"/>
                <w:color w:val="24283A"/>
                <w:sz w:val="19"/>
                <w:szCs w:val="19"/>
              </w:rPr>
              <w:t xml:space="preserve">22.67%</w:t>
            </w:r>
          </w:p>
        </w:tc>
        <w:tc>
          <w:tcPr>
            <w:tcW w:type="dxa" w:w="1750"/>
            <w:shd w:fill="FFFFFF" w:val="clear"/>
            <w:tcMar>
              <w:top w:type="dxa" w:w="80"/>
              <w:left w:type="dxa" w:w="110"/>
              <w:bottom w:type="dxa" w:w="80"/>
              <w:right w:type="dxa" w:w="110"/>
            </w:tcMar>
          </w:tcPr>
          <w:p>
            <w:r>
              <w:rPr>
                <w:b w:val="false"/>
                <w:bCs w:val="false"/>
                <w:color w:val="24283A"/>
                <w:sz w:val="19"/>
                <w:szCs w:val="19"/>
              </w:rPr>
              <w:t xml:space="preserve">&lt; 8%</w:t>
            </w:r>
          </w:p>
        </w:tc>
        <w:tc>
          <w:tcPr>
            <w:tcW w:type="dxa" w:w="3000"/>
            <w:shd w:fill="FFFFFF" w:val="clear"/>
            <w:tcMar>
              <w:top w:type="dxa" w:w="80"/>
              <w:left w:type="dxa" w:w="110"/>
              <w:bottom w:type="dxa" w:w="80"/>
              <w:right w:type="dxa" w:w="110"/>
            </w:tcMar>
          </w:tcPr>
          <w:p>
            <w:r>
              <w:rPr>
                <w:b w:val="false"/>
                <w:bCs w:val="false"/>
                <w:color w:val="24283A"/>
                <w:sz w:val="19"/>
                <w:szCs w:val="19"/>
              </w:rPr>
              <w:t xml:space="preserve">Ties up inventory, refund costs, and erodes margin on delivered sales.</w:t>
            </w:r>
          </w:p>
        </w:tc>
      </w:tr>
      <w:tr>
        <w:tc>
          <w:tcPr>
            <w:tcW w:type="dxa" w:w="2600"/>
            <w:shd w:fill="F2F4F8" w:val="clear"/>
            <w:tcMar>
              <w:top w:type="dxa" w:w="80"/>
              <w:left w:type="dxa" w:w="110"/>
              <w:bottom w:type="dxa" w:w="80"/>
              <w:right w:type="dxa" w:w="110"/>
            </w:tcMar>
          </w:tcPr>
          <w:p>
            <w:r>
              <w:rPr>
                <w:b/>
                <w:bCs/>
                <w:color w:val="24283A"/>
                <w:sz w:val="19"/>
                <w:szCs w:val="19"/>
              </w:rPr>
              <w:t xml:space="preserve">Payment Failure Rate</w:t>
            </w:r>
          </w:p>
        </w:tc>
        <w:tc>
          <w:tcPr>
            <w:tcW w:type="dxa" w:w="2000"/>
            <w:shd w:fill="FFFFFF" w:val="clear"/>
            <w:tcMar>
              <w:top w:type="dxa" w:w="80"/>
              <w:left w:type="dxa" w:w="110"/>
              <w:bottom w:type="dxa" w:w="80"/>
              <w:right w:type="dxa" w:w="110"/>
            </w:tcMar>
          </w:tcPr>
          <w:p>
            <w:r>
              <w:rPr>
                <w:b w:val="false"/>
                <w:bCs w:val="false"/>
                <w:color w:val="24283A"/>
                <w:sz w:val="19"/>
                <w:szCs w:val="19"/>
              </w:rPr>
              <w:t xml:space="preserve">3.50%</w:t>
            </w:r>
          </w:p>
        </w:tc>
        <w:tc>
          <w:tcPr>
            <w:tcW w:type="dxa" w:w="1750"/>
            <w:shd w:fill="FFFFFF" w:val="clear"/>
            <w:tcMar>
              <w:top w:type="dxa" w:w="80"/>
              <w:left w:type="dxa" w:w="110"/>
              <w:bottom w:type="dxa" w:w="80"/>
              <w:right w:type="dxa" w:w="110"/>
            </w:tcMar>
          </w:tcPr>
          <w:p>
            <w:r>
              <w:rPr>
                <w:b w:val="false"/>
                <w:bCs w:val="false"/>
                <w:color w:val="24283A"/>
                <w:sz w:val="19"/>
                <w:szCs w:val="19"/>
              </w:rPr>
              <w:t xml:space="preserve">&lt; 2%</w:t>
            </w:r>
          </w:p>
        </w:tc>
        <w:tc>
          <w:tcPr>
            <w:tcW w:type="dxa" w:w="3000"/>
            <w:shd w:fill="FFFFFF" w:val="clear"/>
            <w:tcMar>
              <w:top w:type="dxa" w:w="80"/>
              <w:left w:type="dxa" w:w="110"/>
              <w:bottom w:type="dxa" w:w="80"/>
              <w:right w:type="dxa" w:w="110"/>
            </w:tcMar>
          </w:tcPr>
          <w:p>
            <w:r>
              <w:rPr>
                <w:b w:val="false"/>
                <w:bCs w:val="false"/>
                <w:color w:val="24283A"/>
                <w:sz w:val="19"/>
                <w:szCs w:val="19"/>
              </w:rPr>
              <w:t xml:space="preserve">Customers ready to pay are being turned away at checkout.</w:t>
            </w:r>
          </w:p>
        </w:tc>
      </w:tr>
      <w:tr>
        <w:tc>
          <w:tcPr>
            <w:tcW w:type="dxa" w:w="2600"/>
            <w:shd w:fill="F2F4F8" w:val="clear"/>
            <w:tcMar>
              <w:top w:type="dxa" w:w="80"/>
              <w:left w:type="dxa" w:w="110"/>
              <w:bottom w:type="dxa" w:w="80"/>
              <w:right w:type="dxa" w:w="110"/>
            </w:tcMar>
          </w:tcPr>
          <w:p>
            <w:r>
              <w:rPr>
                <w:b/>
                <w:bCs/>
                <w:color w:val="24283A"/>
                <w:sz w:val="19"/>
                <w:szCs w:val="19"/>
              </w:rPr>
              <w:t xml:space="preserve">Inventory Fill Rate</w:t>
            </w:r>
          </w:p>
        </w:tc>
        <w:tc>
          <w:tcPr>
            <w:tcW w:type="dxa" w:w="2000"/>
            <w:shd w:fill="FFFFFF" w:val="clear"/>
            <w:tcMar>
              <w:top w:type="dxa" w:w="80"/>
              <w:left w:type="dxa" w:w="110"/>
              <w:bottom w:type="dxa" w:w="80"/>
              <w:right w:type="dxa" w:w="110"/>
            </w:tcMar>
          </w:tcPr>
          <w:p>
            <w:r>
              <w:rPr>
                <w:b w:val="false"/>
                <w:bCs w:val="false"/>
                <w:color w:val="24283A"/>
                <w:sz w:val="19"/>
                <w:szCs w:val="19"/>
              </w:rPr>
              <w:t xml:space="preserve">92.2%</w:t>
            </w:r>
          </w:p>
        </w:tc>
        <w:tc>
          <w:tcPr>
            <w:tcW w:type="dxa" w:w="1750"/>
            <w:shd w:fill="FFFFFF" w:val="clear"/>
            <w:tcMar>
              <w:top w:type="dxa" w:w="80"/>
              <w:left w:type="dxa" w:w="110"/>
              <w:bottom w:type="dxa" w:w="80"/>
              <w:right w:type="dxa" w:w="110"/>
            </w:tcMar>
          </w:tcPr>
          <w:p>
            <w:r>
              <w:rPr>
                <w:b w:val="false"/>
                <w:bCs w:val="false"/>
                <w:color w:val="24283A"/>
                <w:sz w:val="19"/>
                <w:szCs w:val="19"/>
              </w:rPr>
              <w:t xml:space="preserve">&gt; 95%</w:t>
            </w:r>
          </w:p>
        </w:tc>
        <w:tc>
          <w:tcPr>
            <w:tcW w:type="dxa" w:w="3000"/>
            <w:shd w:fill="FFFFFF" w:val="clear"/>
            <w:tcMar>
              <w:top w:type="dxa" w:w="80"/>
              <w:left w:type="dxa" w:w="110"/>
              <w:bottom w:type="dxa" w:w="80"/>
              <w:right w:type="dxa" w:w="110"/>
            </w:tcMar>
          </w:tcPr>
          <w:p>
            <w:r>
              <w:rPr>
                <w:b w:val="false"/>
                <w:bCs w:val="false"/>
                <w:color w:val="24283A"/>
                <w:sz w:val="19"/>
                <w:szCs w:val="19"/>
              </w:rPr>
              <w:t xml:space="preserve">76 products in Low Stock risk becoming lost sales if not reordered in time.</w:t>
            </w:r>
          </w:p>
        </w:tc>
      </w:tr>
      <w:tr>
        <w:tc>
          <w:tcPr>
            <w:tcW w:type="dxa" w:w="2600"/>
            <w:shd w:fill="F2F4F8" w:val="clear"/>
            <w:tcMar>
              <w:top w:type="dxa" w:w="80"/>
              <w:left w:type="dxa" w:w="110"/>
              <w:bottom w:type="dxa" w:w="80"/>
              <w:right w:type="dxa" w:w="110"/>
            </w:tcMar>
          </w:tcPr>
          <w:p>
            <w:r>
              <w:rPr>
                <w:b/>
                <w:bCs/>
                <w:color w:val="24283A"/>
                <w:sz w:val="19"/>
                <w:szCs w:val="19"/>
              </w:rPr>
              <w:t xml:space="preserve">Top Category Share</w:t>
            </w:r>
          </w:p>
        </w:tc>
        <w:tc>
          <w:tcPr>
            <w:tcW w:type="dxa" w:w="2000"/>
            <w:shd w:fill="FFFFFF" w:val="clear"/>
            <w:tcMar>
              <w:top w:type="dxa" w:w="80"/>
              <w:left w:type="dxa" w:w="110"/>
              <w:bottom w:type="dxa" w:w="80"/>
              <w:right w:type="dxa" w:w="110"/>
            </w:tcMar>
          </w:tcPr>
          <w:p>
            <w:r>
              <w:rPr>
                <w:b w:val="false"/>
                <w:bCs w:val="false"/>
                <w:color w:val="24283A"/>
                <w:sz w:val="19"/>
                <w:szCs w:val="19"/>
              </w:rPr>
              <w:t xml:space="preserve">57.4% (Electronics)</w:t>
            </w:r>
          </w:p>
        </w:tc>
        <w:tc>
          <w:tcPr>
            <w:tcW w:type="dxa" w:w="1750"/>
            <w:shd w:fill="FFFFFF" w:val="clear"/>
            <w:tcMar>
              <w:top w:type="dxa" w:w="80"/>
              <w:left w:type="dxa" w:w="110"/>
              <w:bottom w:type="dxa" w:w="80"/>
              <w:right w:type="dxa" w:w="110"/>
            </w:tcMar>
          </w:tcPr>
          <w:p>
            <w:r>
              <w:rPr>
                <w:b w:val="false"/>
                <w:bCs w:val="false"/>
                <w:color w:val="24283A"/>
                <w:sz w:val="19"/>
                <w:szCs w:val="19"/>
              </w:rPr>
              <w:t xml:space="preserve">&lt; 60% (risk line)</w:t>
            </w:r>
          </w:p>
        </w:tc>
        <w:tc>
          <w:tcPr>
            <w:tcW w:type="dxa" w:w="3000"/>
            <w:shd w:fill="FFFFFF" w:val="clear"/>
            <w:tcMar>
              <w:top w:type="dxa" w:w="80"/>
              <w:left w:type="dxa" w:w="110"/>
              <w:bottom w:type="dxa" w:w="80"/>
              <w:right w:type="dxa" w:w="110"/>
            </w:tcMar>
          </w:tcPr>
          <w:p>
            <w:r>
              <w:rPr>
                <w:b w:val="false"/>
                <w:bCs w:val="false"/>
                <w:color w:val="24283A"/>
                <w:sz w:val="19"/>
                <w:szCs w:val="19"/>
              </w:rPr>
              <w:t xml:space="preserve">Revenue is concentrated in one category with no strong second option.</w:t>
            </w:r>
          </w:p>
        </w:tc>
      </w:tr>
    </w:tbl>
    <w:p>
      <w:pPr>
        <w:pStyle w:val="Heading1"/>
        <w:pBdr>
          <w:bottom w:val="single" w:color="1B2436" w:sz="8" w:space="4"/>
        </w:pBdr>
        <w:spacing w:after="140" w:before="320"/>
      </w:pPr>
      <w:r>
        <w:rPr>
          <w:b/>
          <w:bCs/>
          <w:color w:val="1B2436"/>
          <w:sz w:val="27"/>
          <w:szCs w:val="27"/>
        </w:rPr>
        <w:t xml:space="preserve">Opportunities</w:t>
      </w:r>
    </w:p>
    <w:p>
      <w:pPr>
        <w:pStyle w:val="ListParagraph"/>
        <w:numPr>
          <w:ilvl w:val="0"/>
          <w:numId w:val="1"/>
        </w:numPr>
        <w:spacing w:after="90" w:line="290"/>
      </w:pPr>
      <w:r>
        <w:rPr>
          <w:color w:val="24283A"/>
          <w:sz w:val="21"/>
          <w:szCs w:val="21"/>
        </w:rPr>
        <w:t xml:space="preserve">Grow the Premium segment. Premium customers are the most valuable per person — 1.47x Regular in lifetime spend — but they're also the smallest customer segment by headcount (15%) and fall well short of the 3x benchmark expected for this tier. There is real room to both grow this segment and increase what each Premium customer spends.</w:t>
      </w:r>
    </w:p>
    <w:p>
      <w:pPr>
        <w:pStyle w:val="ListParagraph"/>
        <w:numPr>
          <w:ilvl w:val="0"/>
          <w:numId w:val="1"/>
        </w:numPr>
        <w:spacing w:after="90" w:line="290"/>
      </w:pPr>
      <w:r>
        <w:rPr>
          <w:color w:val="24283A"/>
          <w:sz w:val="21"/>
          <w:szCs w:val="21"/>
        </w:rPr>
        <w:t xml:space="preserve">Lean further into UPI. UPI already accounts for 35% of transactions — more than 1.6x Credit Card, the next closest method. It's typically the lowest-cost payment rail to process, so continuing to nudge customers toward it (over cards or COD) is a low-effort margin improvement.</w:t>
      </w:r>
    </w:p>
    <w:p>
      <w:pPr>
        <w:pStyle w:val="ListParagraph"/>
        <w:numPr>
          <w:ilvl w:val="0"/>
          <w:numId w:val="1"/>
        </w:numPr>
        <w:spacing w:after="90" w:line="290"/>
      </w:pPr>
      <w:r>
        <w:rPr>
          <w:color w:val="24283A"/>
          <w:sz w:val="21"/>
          <w:szCs w:val="21"/>
        </w:rPr>
        <w:t xml:space="preserve">Diversify beyond Electronics. Sports &amp; Fitness (17.4% of revenue) is the clearest candidate for a second growth category — closing even part of the gap with Electronics would materially reduce the concentration risk flagged above.</w:t>
      </w:r>
    </w:p>
    <w:p>
      <w:pPr>
        <w:pStyle w:val="Heading1"/>
        <w:pBdr>
          <w:bottom w:val="single" w:color="1B2436" w:sz="8" w:space="4"/>
        </w:pBdr>
        <w:spacing w:after="140" w:before="320"/>
      </w:pPr>
      <w:r>
        <w:rPr>
          <w:b/>
          <w:bCs/>
          <w:color w:val="1B2436"/>
          <w:sz w:val="27"/>
          <w:szCs w:val="27"/>
        </w:rPr>
        <w:t xml:space="preserve">Recommendations</w:t>
      </w:r>
    </w:p>
    <w:p>
      <w:pPr>
        <w:spacing w:after="160" w:line="300"/>
      </w:pPr>
      <w:r>
        <w:rPr>
          <w:color w:val="24283A"/>
          <w:sz w:val="21"/>
          <w:szCs w:val="21"/>
        </w:rPr>
        <w:t xml:space="preserve">Three concrete, actionable next steps, in priority order:</w:t>
      </w:r>
    </w:p>
    <w:p>
      <w:pPr>
        <w:pStyle w:val="Heading2"/>
        <w:spacing w:after="90" w:before="220"/>
      </w:pPr>
      <w:r>
        <w:rPr>
          <w:b/>
          <w:bCs/>
          <w:color w:val="C1660A"/>
          <w:sz w:val="22"/>
          <w:szCs w:val="22"/>
        </w:rPr>
        <w:t xml:space="preserve">1. Investigate and reduce cancellations</w:t>
      </w:r>
    </w:p>
    <w:p>
      <w:pPr>
        <w:spacing w:after="160" w:line="300"/>
      </w:pPr>
      <w:r>
        <w:rPr>
          <w:color w:val="24283A"/>
          <w:sz w:val="21"/>
          <w:szCs w:val="21"/>
        </w:rPr>
        <w:t xml:space="preserve">Pull a sample of recently cancelled orders and identify at what stage and for what stated reason they're being cancelled — before payment, after payment but before shipping, or customer-initiated. This single fix has the clearest, most direct path to recovering revenue, since the demand already exists; it's being lost after the fact.</w:t>
      </w:r>
    </w:p>
    <w:p>
      <w:pPr>
        <w:pStyle w:val="Heading2"/>
        <w:spacing w:after="90" w:before="220"/>
      </w:pPr>
      <w:r>
        <w:rPr>
          <w:b/>
          <w:bCs/>
          <w:color w:val="C1660A"/>
          <w:sz w:val="22"/>
          <w:szCs w:val="22"/>
        </w:rPr>
        <w:t xml:space="preserve">2. Launch a targeted returns-reduction program</w:t>
      </w:r>
    </w:p>
    <w:p>
      <w:pPr>
        <w:spacing w:after="160" w:line="300"/>
      </w:pPr>
      <w:r>
        <w:rPr>
          <w:color w:val="24283A"/>
          <w:sz w:val="21"/>
          <w:szCs w:val="21"/>
        </w:rPr>
        <w:t xml:space="preserve">Because returns are spread evenly across categories and reasons, a category-specific fix won't move the needle much on its own. Instead, prioritise the two areas with the clearest lever: (a) tighten product listing accuracy — sizing charts, photos, and descriptions, since "Size Issue," "Not as Described," and "Changed Mind" together account for a large share of returns; and (b) audit fulfilment accuracy to reduce "Wrong Product Delivered" and "Duplicate Order" returns, which point to warehouse/packing errors rather than product quality.</w:t>
      </w:r>
    </w:p>
    <w:p>
      <w:pPr>
        <w:pStyle w:val="Heading2"/>
        <w:spacing w:after="90" w:before="220"/>
      </w:pPr>
      <w:r>
        <w:rPr>
          <w:b/>
          <w:bCs/>
          <w:color w:val="1E7A4C"/>
          <w:sz w:val="22"/>
          <w:szCs w:val="22"/>
        </w:rPr>
        <w:t xml:space="preserve">3. Grow the Premium segment deliberately</w:t>
      </w:r>
    </w:p>
    <w:p>
      <w:pPr>
        <w:spacing w:after="160" w:line="300"/>
      </w:pPr>
      <w:r>
        <w:rPr>
          <w:color w:val="24283A"/>
          <w:sz w:val="21"/>
          <w:szCs w:val="21"/>
        </w:rPr>
        <w:t xml:space="preserve">Design a clear, visible path for high-frequency Regular customers to move into Premium — since Premium customers already order roughly 3x as often as Regular customers, the segment's value is coming from frequency, not just basket size. A modest loyalty or upgrade incentive aimed at your most active Regular customers is likely to convert some of them into a segment worth nearly 3x as much over their lifetime.</w:t>
      </w:r>
    </w:p>
    <w:p>
      <w:pPr>
        <w:spacing w:before="260"/>
      </w:pPr>
    </w:p>
    <w:p>
      <w:pPr>
        <w:pBdr>
          <w:top w:val="single" w:color="C7CDDB" w:sz="4" w:space="8"/>
        </w:pBdr>
        <w:spacing w:before="120"/>
      </w:pPr>
      <w:r>
        <w:rPr>
          <w:i/>
          <w:iCs/>
          <w:color w:val="5B6478"/>
          <w:sz w:val="18"/>
          <w:szCs w:val="18"/>
        </w:rPr>
        <w:t xml:space="preserve">All figures in this report are drawn directly from the Phase 1–3 data cleaning, exploratory analysis, and KPI calculations, and reflected on the accompanying five-page Power BI dashboard.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Page </w:t>
    </w:r>
    <w:r>
      <w:rPr>
        <w:color w:val="5B6478"/>
        <w:sz w:val="16"/>
        <w:szCs w:val="16"/>
      </w:rPr>
      <w:fldChar w:fldCharType="begin"/>
      <w:instrText xml:space="preserve">PAGE</w:instrText>
      <w:fldChar w:fldCharType="separate"/>
      <w:fldChar w:fldCharType="end"/>
    </w:r>
    <w:r>
      <w:rPr>
        <w:color w:val="5B6478"/>
        <w:sz w:val="16"/>
        <w:szCs w:val="16"/>
      </w:rPr>
      <w:t xml:space="preserve"> of </w:t>
    </w:r>
    <w:r>
      <w:rPr>
        <w:color w:val="5B64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8"/>
        <w:sz w:val="16"/>
        <w:szCs w:val="16"/>
      </w:rPr>
      <w:t xml:space="preserve">IndiaKart — Management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2026-09-24T12:02:09.470Z</dcterms:created>
  <dcterms:modified xsi:type="dcterms:W3CDTF">2026-09-24T12:02:09.479Z</dcterms:modified>
</cp:coreProperties>
</file>

<file path=docProps/custom.xml><?xml version="1.0" encoding="utf-8"?>
<Properties xmlns="http://schemas.openxmlformats.org/officeDocument/2006/custom-properties" xmlns:vt="http://schemas.openxmlformats.org/officeDocument/2006/docPropsVTypes"/>
</file>