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MASTER SERVICES AGREEMENT</w:t>
      </w:r>
    </w:p>
    <w:p>
      <w:pPr>
        <w:jc w:val="center"/>
      </w:pPr>
      <w:r>
        <w:t xml:space="preserve">Version 2 — between Acme Holdings LLC (the “Customer”) and Northwind Services FZ-LLC (the “Supplier”)</w:t>
      </w:r>
    </w:p>
    <w:p/>
    <w:p>
      <w:pPr>
        <w:pStyle w:val="Heading1"/>
        <w:numPr>
          <w:ilvl w:val="0"/>
          <w:numId w:val="2"/>
        </w:numPr>
      </w:pPr>
      <w:r>
        <w:rPr>
          <w:b/>
          <w:bCs/>
        </w:rPr>
        <w:t xml:space="preserve">Definitions</w:t>
      </w:r>
    </w:p>
    <w:p>
      <w:pPr>
        <w:pStyle w:val="ListParagraph"/>
        <w:numPr>
          <w:ilvl w:val="1"/>
          <w:numId w:val="2"/>
        </w:numPr>
      </w:pPr>
      <w:r>
        <w:t xml:space="preserve">“Agreement” means this master services agreement, including its schedules.</w:t>
      </w:r>
    </w:p>
    <w:p>
      <w:pPr>
        <w:pStyle w:val="ListParagraph"/>
        <w:numPr>
          <w:ilvl w:val="1"/>
          <w:numId w:val="2"/>
        </w:numPr>
      </w:pPr>
      <w:r>
        <w:t xml:space="preserve">“Services” means the managed IT services described in Schedule 1.</w:t>
      </w:r>
    </w:p>
    <w:p>
      <w:pPr>
        <w:pStyle w:val="ListParagraph"/>
        <w:numPr>
          <w:ilvl w:val="1"/>
          <w:numId w:val="2"/>
        </w:numPr>
      </w:pPr>
      <w:r>
        <w:t xml:space="preserve">“Business Day” means a day other than a Friday, Saturday, or public holiday in the United Arab Emirates.</w:t>
      </w:r>
    </w:p>
    <w:p>
      <w:pPr>
        <w:pStyle w:val="Heading1"/>
        <w:numPr>
          <w:ilvl w:val="0"/>
          <w:numId w:val="2"/>
        </w:numPr>
      </w:pPr>
      <w:r>
        <w:rPr>
          <w:b/>
          <w:bCs/>
        </w:rPr>
        <w:t xml:space="preserve">Term</w:t>
      </w:r>
    </w:p>
    <w:p>
      <w:pPr>
        <w:pStyle w:val="ListParagraph"/>
        <w:numPr>
          <w:ilvl w:val="1"/>
          <w:numId w:val="2"/>
        </w:numPr>
      </w:pPr>
      <w:r>
        <w:t xml:space="preserve">This Agreement commences on the Effective Date and continues for an initial term of three (3) years.</w:t>
      </w:r>
    </w:p>
    <w:p>
      <w:pPr>
        <w:pStyle w:val="ListParagraph"/>
        <w:numPr>
          <w:ilvl w:val="1"/>
          <w:numId w:val="2"/>
        </w:numPr>
      </w:pPr>
      <w:r>
        <w:t xml:space="preserve">This Agreement renews automatically for successive periods of one (1) year unless either party gives notice of non-renewal.</w:t>
      </w:r>
    </w:p>
    <w:p>
      <w:pPr>
        <w:pStyle w:val="Heading1"/>
        <w:numPr>
          <w:ilvl w:val="0"/>
          <w:numId w:val="2"/>
        </w:numPr>
      </w:pPr>
      <w:r>
        <w:rPr>
          <w:b/>
          <w:bCs/>
        </w:rPr>
        <w:t xml:space="preserve">Services</w:t>
      </w:r>
    </w:p>
    <w:p>
      <w:pPr>
        <w:pStyle w:val="ListParagraph"/>
        <w:numPr>
          <w:ilvl w:val="1"/>
          <w:numId w:val="2"/>
        </w:numPr>
      </w:pPr>
      <w:r>
        <w:t xml:space="preserve">The Supplier shall provide the Services:</w:t>
      </w:r>
    </w:p>
    <w:p>
      <w:pPr>
        <w:pStyle w:val="ListParagraph"/>
        <w:numPr>
          <w:ilvl w:val="2"/>
          <w:numId w:val="2"/>
        </w:numPr>
      </w:pPr>
      <w:r>
        <w:t xml:space="preserve">with reasonable skill and care;</w:t>
      </w:r>
    </w:p>
    <w:p>
      <w:pPr>
        <w:pStyle w:val="ListParagraph"/>
        <w:numPr>
          <w:ilvl w:val="2"/>
          <w:numId w:val="2"/>
        </w:numPr>
      </w:pPr>
      <w:r>
        <w:t xml:space="preserve">in accordance with the Service Levels; and</w:t>
      </w:r>
    </w:p>
    <w:p>
      <w:pPr>
        <w:pStyle w:val="ListParagraph"/>
        <w:numPr>
          <w:ilvl w:val="2"/>
          <w:numId w:val="2"/>
        </w:numPr>
      </w:pPr>
      <w:r>
        <w:t xml:space="preserve">in compliance with all applicable laws.</w:t>
      </w:r>
    </w:p>
    <w:p>
      <w:pPr>
        <w:pStyle w:val="ListParagraph"/>
        <w:numPr>
          <w:ilvl w:val="1"/>
          <w:numId w:val="2"/>
        </w:numPr>
      </w:pPr>
      <w:r>
        <w:t xml:space="preserve">The Supplier may deliver a written performance report to the Customer each month.</w:t>
      </w:r>
    </w:p>
    <w:p>
      <w:pPr>
        <w:pStyle w:val="ListParagraph"/>
        <w:numPr>
          <w:ilvl w:val="1"/>
          <w:numId w:val="2"/>
        </w:numPr>
      </w:pPr>
      <w:r>
        <w:t xml:space="preserve">The Supplier will make sure that all staff assigned to the Services are appropriately qualified.</w:t>
      </w:r>
    </w:p>
    <w:p>
      <w:pPr>
        <w:pStyle w:val="Heading1"/>
        <w:numPr>
          <w:ilvl w:val="0"/>
          <w:numId w:val="2"/>
        </w:numPr>
      </w:pPr>
      <w:r>
        <w:rPr>
          <w:b/>
          <w:bCs/>
        </w:rPr>
        <w:t xml:space="preserve">Fees and Payment</w:t>
      </w:r>
    </w:p>
    <w:p>
      <w:pPr>
        <w:pStyle w:val="ListParagraph"/>
        <w:numPr>
          <w:ilvl w:val="1"/>
          <w:numId w:val="2"/>
        </w:numPr>
      </w:pPr>
      <w:r>
        <w:t xml:space="preserve">The Customer shall pay the Fees set out in the table below.</w:t>
      </w:r>
    </w:p>
    <w:p>
      <w:pPr>
        <w:pStyle w:val="ListParagraph"/>
        <w:numPr>
          <w:ilvl w:val="1"/>
          <w:numId w:val="2"/>
        </w:numPr>
      </w:pPr>
      <w:r>
        <w:t xml:space="preserve">The Customer shall pay each undisputed invoice within thirty (30) days of receipt.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Service</w:t>
            </w:r>
          </w:p>
        </w:tc>
        <w:tc>
          <w:p>
            <w:r>
              <w:rPr>
                <w:b/>
                <w:bCs/>
              </w:rPr>
              <w:t xml:space="preserve">Monthly Fee</w:t>
            </w:r>
          </w:p>
        </w:tc>
      </w:tr>
      <w:tr>
        <w:tc>
          <w:p>
            <w:r>
              <w:rPr>
                <w:b w:val="false"/>
                <w:bCs w:val="false"/>
              </w:rPr>
              <w:t xml:space="preserve">Service desk</w:t>
            </w:r>
          </w:p>
        </w:tc>
        <w:tc>
          <w:p>
            <w:r>
              <w:rPr>
                <w:b w:val="false"/>
                <w:bCs w:val="false"/>
              </w:rPr>
              <w:t xml:space="preserve">AED 25,000</w:t>
            </w:r>
          </w:p>
        </w:tc>
      </w:tr>
      <w:tr>
        <w:tc>
          <w:p>
            <w:r>
              <w:rPr>
                <w:b w:val="false"/>
                <w:bCs w:val="false"/>
              </w:rPr>
              <w:t xml:space="preserve">Infrastructure management</w:t>
            </w:r>
          </w:p>
        </w:tc>
        <w:tc>
          <w:p>
            <w:r>
              <w:rPr>
                <w:b w:val="false"/>
                <w:bCs w:val="false"/>
              </w:rPr>
              <w:t xml:space="preserve">AED 40,000</w:t>
            </w:r>
          </w:p>
        </w:tc>
      </w:tr>
    </w:tbl>
    <w:p>
      <w:pPr>
        <w:pStyle w:val="Heading1"/>
        <w:numPr>
          <w:ilvl w:val="0"/>
          <w:numId w:val="2"/>
        </w:numPr>
      </w:pPr>
      <w:r>
        <w:rPr>
          <w:b/>
          <w:bCs/>
        </w:rPr>
        <w:t xml:space="preserve">Limitation of Liability</w:t>
      </w:r>
    </w:p>
    <w:p>
      <w:pPr>
        <w:pStyle w:val="ListParagraph"/>
        <w:numPr>
          <w:ilvl w:val="1"/>
          <w:numId w:val="2"/>
        </w:numPr>
      </w:pPr>
      <w:r>
        <w:t xml:space="preserve">The total aggregate liability of the Supplier under or in connection with this Agreement shall not exceed AED 1,000,000.</w:t>
      </w:r>
    </w:p>
    <w:p>
      <w:pPr>
        <w:pStyle w:val="ListParagraph"/>
        <w:numPr>
          <w:ilvl w:val="1"/>
          <w:numId w:val="2"/>
        </w:numPr>
      </w:pPr>
      <w:r>
        <w:t xml:space="preserve">Neither party shall be liable for any indirect or consequential loss.</w:t>
      </w:r>
    </w:p>
    <w:p>
      <w:pPr>
        <w:pStyle w:val="Heading1"/>
        <w:numPr>
          <w:ilvl w:val="0"/>
          <w:numId w:val="2"/>
        </w:numPr>
      </w:pPr>
      <w:r>
        <w:rPr>
          <w:b/>
          <w:bCs/>
        </w:rPr>
        <w:t xml:space="preserve">Termination</w:t>
      </w:r>
    </w:p>
    <w:p>
      <w:pPr>
        <w:pStyle w:val="ListParagraph"/>
        <w:numPr>
          <w:ilvl w:val="1"/>
          <w:numId w:val="2"/>
        </w:numPr>
      </w:pPr>
      <w:r>
        <w:t xml:space="preserve">Either party may terminate this Agreement for convenience by giving not less than sixty (60) days’ written notice to the other party.</w:t>
      </w:r>
    </w:p>
    <w:p>
      <w:pPr>
        <w:pStyle w:val="ListParagraph"/>
        <w:numPr>
          <w:ilvl w:val="1"/>
          <w:numId w:val="2"/>
        </w:numPr>
      </w:pPr>
      <w:r>
        <w:t xml:space="preserve">Either party may terminate this Agreement immediately if the other party commits a material breach that is not remedied within fourteen (14) days of notice.</w:t>
      </w:r>
    </w:p>
    <w:p>
      <w:pPr>
        <w:pStyle w:val="Heading1"/>
        <w:numPr>
          <w:ilvl w:val="0"/>
          <w:numId w:val="2"/>
        </w:numPr>
      </w:pPr>
      <w:r>
        <w:rPr>
          <w:b/>
          <w:bCs/>
        </w:rPr>
        <w:t xml:space="preserve">Data Protection</w:t>
      </w:r>
    </w:p>
    <w:p>
      <w:pPr>
        <w:pStyle w:val="ListParagraph"/>
        <w:numPr>
          <w:ilvl w:val="1"/>
          <w:numId w:val="2"/>
        </w:numPr>
      </w:pPr>
      <w:r>
        <w:t xml:space="preserve">The Supplier shall process Customer Personal Data only on the documented instructions of the Customer.</w:t>
      </w:r>
    </w:p>
    <w:p>
      <w:pPr>
        <w:pStyle w:val="Heading1"/>
        <w:numPr>
          <w:ilvl w:val="0"/>
          <w:numId w:val="2"/>
        </w:numPr>
      </w:pPr>
      <w:r>
        <w:rPr>
          <w:b/>
          <w:bCs/>
        </w:rPr>
        <w:t xml:space="preserve">Confidentiality</w:t>
      </w:r>
    </w:p>
    <w:p>
      <w:pPr>
        <w:pStyle w:val="ListParagraph"/>
        <w:numPr>
          <w:ilvl w:val="1"/>
          <w:numId w:val="2"/>
        </w:numPr>
      </w:pPr>
      <w:r>
        <w:t xml:space="preserve">Each party shall keep the other party’s Confidential Information confidential and shall not disclose it except as permitted by this Agreement.</w:t>
      </w:r>
    </w:p>
    <w:p>
      <w:pPr>
        <w:pStyle w:val="ListParagraph"/>
        <w:numPr>
          <w:ilvl w:val="1"/>
          <w:numId w:val="2"/>
        </w:numPr>
      </w:pPr>
      <w:r>
        <w:t xml:space="preserve">This clause 5 does not apply to information that is or becomes public other than through a breach of this Agreement.</w:t>
      </w:r>
    </w:p>
    <w:p>
      <w:pPr>
        <w:pStyle w:val="Heading1"/>
        <w:numPr>
          <w:ilvl w:val="0"/>
          <w:numId w:val="2"/>
        </w:numPr>
      </w:pPr>
      <w:r>
        <w:rPr>
          <w:b/>
          <w:bCs/>
        </w:rPr>
        <w:t xml:space="preserve">Non-Compete</w:t>
      </w:r>
    </w:p>
    <w:p>
      <w:pPr>
        <w:pStyle w:val="ListParagraph"/>
        <w:numPr>
          <w:ilvl w:val="1"/>
          <w:numId w:val="2"/>
        </w:numPr>
      </w:pPr>
      <w:r>
        <w:t xml:space="preserve">During the term and for twelve (12) months after it ends, the Supplier shall not provide services that compete with the Services to any competitor of the Customer in the United Arab Emirates.</w:t>
      </w:r>
    </w:p>
    <w:p>
      <w:pPr>
        <w:pStyle w:val="Heading1"/>
        <w:numPr>
          <w:ilvl w:val="0"/>
          <w:numId w:val="2"/>
        </w:numPr>
      </w:pPr>
      <w:r>
        <w:rPr>
          <w:b/>
          <w:bCs/>
        </w:rPr>
        <w:t xml:space="preserve">Governing Law</w:t>
      </w:r>
    </w:p>
    <w:p>
      <w:pPr>
        <w:pStyle w:val="ListParagraph"/>
        <w:numPr>
          <w:ilvl w:val="1"/>
          <w:numId w:val="2"/>
        </w:numPr>
      </w:pPr>
      <w:r>
        <w:t xml:space="preserve">This Agreement is governed by the laws of England and Wales, and the courts of London have exclusive jurisdiction.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lvl w:ilvl="1" w15:tentative="1">
      <w:start w:val="1"/>
      <w:numFmt w:val="decimal"/>
      <w:lvlText w:val="%1.%2"/>
      <w:lvlJc w:val="start"/>
      <w:pPr>
        <w:ind w:left="720" w:hanging="540"/>
      </w:pPr>
    </w:lvl>
    <w:lvl w:ilvl="2" w15:tentative="1">
      <w:start w:val="1"/>
      <w:numFmt w:val="lowerLetter"/>
      <w:lvlText w:val="(%3)"/>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MSA v2</dc:title>
  <dc:creator>Contract Analyzer fixtures</dc:creator>
  <cp:lastModifiedBy>Un-named</cp:lastModifiedBy>
  <cp:revision>1</cp:revision>
  <dcterms:created xsi:type="dcterms:W3CDTF">2026-09-26T14:21:48.891Z</dcterms:created>
  <dcterms:modified xsi:type="dcterms:W3CDTF">2026-09-26T14:21:48.891Z</dcterms:modified>
</cp:coreProperties>
</file>

<file path=docProps/custom.xml><?xml version="1.0" encoding="utf-8"?>
<Properties xmlns="http://schemas.openxmlformats.org/officeDocument/2006/custom-properties" xmlns:vt="http://schemas.openxmlformats.org/officeDocument/2006/docPropsVTypes"/>
</file>