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762773ebca545cd" /><Relationship Type="http://schemas.openxmlformats.org/package/2006/relationships/metadata/core-properties" Target="/docProps/core.xml" Id="R587d0c48700f49e4" /><Relationship Type="http://schemas.openxmlformats.org/officeDocument/2006/relationships/extended-properties" Target="/docProps/app.xml" Id="R7039e6507c99442e" /><Relationship Type="http://schemas.openxmlformats.org/officeDocument/2006/relationships/custom-properties" Target="/docProps/custom.xml" Id="R10887382c8c84e4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jc w:val="left"/>
      </w:pPr>
      <w:r>
        <w:t xml:space="preserve">Rivermark Holdings Annual Report 2025</w:t>
      </w:r>
    </w:p>
    <w:p w14:paraId="00100002" w14:textId="00100003">
      <w:pPr>
        <w:pStyle w:val="Normal"/>
        <w:jc w:val="left"/>
      </w:pPr>
      <w:r>
        <w:drawing>
          <wp:inline distT="0" distB="0" distL="0" distR="0">
            <wp:extent cx="792000" cy="792000"/>
            <wp:effectExtent l="0" t="0" r="0" b="0"/>
            <wp:docPr id="1" name="F1.png" descr=""/>
            <wp:cNvGraphicFramePr>
              <a:graphicFrameLocks noChangeAspect="1"/>
            </wp:cNvGraphicFramePr>
            <a:graphic>
              <a:graphicData uri="http://schemas.openxmlformats.org/drawingml/2006/picture">
                <pic:pic>
                  <pic:nvPicPr>
                    <pic:cNvPr id="1" name="F1.png"/>
                    <pic:cNvPicPr/>
                  </pic:nvPicPr>
                  <pic:blipFill>
                    <a:blip r:embed="Rc109f191c6e64a1c" cstate="print"/>
                    <a:stretch>
                      <a:fillRect/>
                    </a:stretch>
                  </pic:blipFill>
                  <pic:spPr>
                    <a:xfrm>
                      <a:off x="0" y="0"/>
                      <a:ext cx="1152000" cy="1152000"/>
                    </a:xfrm>
                    <a:prstGeom prst="rect">
                      <a:avLst/>
                    </a:prstGeom>
                  </pic:spPr>
                </pic:pic>
              </a:graphicData>
            </a:graphic>
          </wp:inline>
        </w:drawing>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8306" w:type="dxa"/>
        <w:jc w:val="center"/>
        <w:tblLayout w:type="autofit"/>
      </w:tblPr>
      <w:tblGrid>
        <w:gridCol w:w="4153"/>
        <w:gridCol w:w="4153"/>
      </w:tblGrid>
      <w:tr>
        <w:trPr/>
        <w:tc>
          <w:tcPr>
            <w:vAlign w:val="center"/>
            <w:tcBorders>
              <w:top w:val="single" w:sz="4" w:space="0" w:color="auto"/>
              <w:left w:val="single" w:sz="4" w:space="0" w:color="auto"/>
              <w:bottom w:val="single" w:sz="4" w:space="0" w:color="auto"/>
              <w:right w:val="single" w:sz="4" w:space="0" w:color="auto"/>
            </w:tcBorders>
          </w:tcPr>
          <w:p w14:paraId="00100004" w14:textId="0010001C">
            <w:pPr>
              <w:pStyle w:val="Normal"/>
              <w:jc w:val="left"/>
            </w:pPr>
            <w:r>
              <w:t xml:space="preserve">Report year</w:t>
            </w:r>
          </w:p>
        </w:tc>
        <w:tc>
          <w:tcPr>
            <w:vAlign w:val="center"/>
            <w:tcBorders>
              <w:top w:val="single" w:sz="4" w:space="0" w:color="auto"/>
              <w:left w:val="single" w:sz="4" w:space="0" w:color="auto"/>
              <w:bottom w:val="single" w:sz="4" w:space="0" w:color="auto"/>
              <w:right w:val="single" w:sz="4" w:space="0" w:color="auto"/>
            </w:tcBorders>
          </w:tcPr>
          <w:p w14:paraId="00100006" w14:textId="0010001D">
            <w:pPr>
              <w:pStyle w:val="Normal"/>
              <w:jc w:val="left"/>
            </w:pPr>
            <w:r>
              <w:t xml:space="preserve">2025</w:t>
            </w:r>
          </w:p>
        </w:tc>
      </w:tr>
      <w:tr>
        <w:tc>
          <w:tcPr>
            <w:vAlign w:val="center"/>
            <w:tcBorders>
              <w:top w:val="single" w:sz="4" w:space="0" w:color="auto"/>
              <w:left w:val="single" w:sz="4" w:space="0" w:color="auto"/>
              <w:bottom w:val="single" w:sz="4" w:space="0" w:color="auto"/>
              <w:right w:val="single" w:sz="4" w:space="0" w:color="auto"/>
            </w:tcBorders>
          </w:tcPr>
          <w:p w14:paraId="00100008" w14:textId="0010001E">
            <w:pPr>
              <w:pStyle w:val="Normal"/>
              <w:jc w:val="left"/>
            </w:pPr>
            <w:r>
              <w:t xml:space="preserve">Reporting period</w:t>
            </w:r>
          </w:p>
        </w:tc>
        <w:tc>
          <w:tcPr>
            <w:vAlign w:val="center"/>
            <w:tcBorders>
              <w:top w:val="single" w:sz="4" w:space="0" w:color="auto"/>
              <w:left w:val="single" w:sz="4" w:space="0" w:color="auto"/>
              <w:bottom w:val="single" w:sz="4" w:space="0" w:color="auto"/>
              <w:right w:val="single" w:sz="4" w:space="0" w:color="auto"/>
            </w:tcBorders>
          </w:tcPr>
          <w:p w14:paraId="0010000A" w14:textId="0010001F">
            <w:pPr>
              <w:pStyle w:val="Normal"/>
              <w:jc w:val="left"/>
            </w:pPr>
            <w:r>
              <w:t xml:space="preserve">1 January 2025 to 31 December 2025</w:t>
            </w:r>
          </w:p>
        </w:tc>
      </w:tr>
      <w:tr>
        <w:tc>
          <w:tcPr>
            <w:vAlign w:val="center"/>
            <w:tcBorders>
              <w:top w:val="single" w:sz="4" w:space="0" w:color="auto"/>
              <w:left w:val="single" w:sz="4" w:space="0" w:color="auto"/>
              <w:bottom w:val="single" w:sz="4" w:space="0" w:color="auto"/>
              <w:right w:val="single" w:sz="4" w:space="0" w:color="auto"/>
            </w:tcBorders>
          </w:tcPr>
          <w:p w14:paraId="0010000C" w14:textId="00100020">
            <w:pPr>
              <w:pStyle w:val="Normal"/>
              <w:jc w:val="left"/>
            </w:pPr>
            <w:r>
              <w:t xml:space="preserve">Report scope</w:t>
            </w:r>
          </w:p>
        </w:tc>
        <w:tc>
          <w:tcPr>
            <w:vAlign w:val="center"/>
            <w:tcBorders>
              <w:top w:val="single" w:sz="4" w:space="0" w:color="auto"/>
              <w:left w:val="single" w:sz="4" w:space="0" w:color="auto"/>
              <w:bottom w:val="single" w:sz="4" w:space="0" w:color="auto"/>
              <w:right w:val="single" w:sz="4" w:space="0" w:color="auto"/>
            </w:tcBorders>
          </w:tcPr>
          <w:p w14:paraId="0010000E" w14:textId="00100021">
            <w:pPr>
              <w:pStyle w:val="Normal"/>
              <w:jc w:val="left"/>
            </w:pPr>
            <w:r>
              <w:t xml:space="preserve">Integrated Group Annual Report covering segment, governance, sustainability, and financial note disclosures</w:t>
            </w:r>
          </w:p>
        </w:tc>
      </w:tr>
      <w:tr>
        <w:tc>
          <w:tcPr>
            <w:vAlign w:val="center"/>
            <w:tcBorders>
              <w:top w:val="single" w:sz="4" w:space="0" w:color="auto"/>
              <w:left w:val="single" w:sz="4" w:space="0" w:color="auto"/>
              <w:bottom w:val="single" w:sz="4" w:space="0" w:color="auto"/>
              <w:right w:val="single" w:sz="4" w:space="0" w:color="auto"/>
            </w:tcBorders>
          </w:tcPr>
          <w:p w14:paraId="00100010" w14:textId="00100022">
            <w:pPr>
              <w:pStyle w:val="Normal"/>
              <w:jc w:val="left"/>
            </w:pPr>
            <w:r>
              <w:t xml:space="preserve">Reporting entity</w:t>
            </w:r>
          </w:p>
        </w:tc>
        <w:tc>
          <w:tcPr>
            <w:vAlign w:val="center"/>
            <w:tcBorders>
              <w:top w:val="single" w:sz="4" w:space="0" w:color="auto"/>
              <w:left w:val="single" w:sz="4" w:space="0" w:color="auto"/>
              <w:bottom w:val="single" w:sz="4" w:space="0" w:color="auto"/>
              <w:right w:val="single" w:sz="4" w:space="0" w:color="auto"/>
            </w:tcBorders>
          </w:tcPr>
          <w:p w14:paraId="00100012" w14:textId="00100023">
            <w:pPr>
              <w:pStyle w:val="Normal"/>
              <w:jc w:val="left"/>
            </w:pPr>
            <w:r>
              <w:t xml:space="preserve">Rivermark Holdings</w:t>
            </w:r>
          </w:p>
        </w:tc>
      </w:tr>
      <w:tr>
        <w:tc>
          <w:tcPr>
            <w:vAlign w:val="center"/>
            <w:tcBorders>
              <w:top w:val="single" w:sz="4" w:space="0" w:color="auto"/>
              <w:left w:val="single" w:sz="4" w:space="0" w:color="auto"/>
              <w:bottom w:val="single" w:sz="4" w:space="0" w:color="auto"/>
              <w:right w:val="single" w:sz="4" w:space="0" w:color="auto"/>
            </w:tcBorders>
          </w:tcPr>
          <w:p w14:paraId="00100014" w14:textId="00100024">
            <w:pPr>
              <w:pStyle w:val="Normal"/>
              <w:jc w:val="left"/>
            </w:pPr>
            <w:r>
              <w:t xml:space="preserve">Issue date</w:t>
            </w:r>
          </w:p>
        </w:tc>
        <w:tc>
          <w:tcPr>
            <w:vAlign w:val="center"/>
            <w:tcBorders>
              <w:top w:val="single" w:sz="4" w:space="0" w:color="auto"/>
              <w:left w:val="single" w:sz="4" w:space="0" w:color="auto"/>
              <w:bottom w:val="single" w:sz="4" w:space="0" w:color="auto"/>
              <w:right w:val="single" w:sz="4" w:space="0" w:color="auto"/>
            </w:tcBorders>
          </w:tcPr>
          <w:p w14:paraId="00100016" w14:textId="00100025">
            <w:pPr>
              <w:pStyle w:val="Normal"/>
              <w:jc w:val="left"/>
            </w:pPr>
            <w:r>
              <w:t xml:space="preserve">27 August 2026</w:t>
            </w:r>
          </w:p>
        </w:tc>
      </w:tr>
      <w:tr>
        <w:tc>
          <w:tcPr>
            <w:vAlign w:val="center"/>
            <w:tcBorders>
              <w:top w:val="single" w:sz="4" w:space="0" w:color="auto"/>
              <w:left w:val="single" w:sz="4" w:space="0" w:color="auto"/>
              <w:bottom w:val="single" w:sz="4" w:space="0" w:color="auto"/>
              <w:right w:val="single" w:sz="4" w:space="0" w:color="auto"/>
            </w:tcBorders>
          </w:tcPr>
          <w:p w14:paraId="00100018" w14:textId="00100026">
            <w:pPr>
              <w:pStyle w:val="Normal"/>
              <w:jc w:val="left"/>
            </w:pPr>
            <w:r>
              <w:t xml:space="preserve">Currency</w:t>
            </w:r>
          </w:p>
        </w:tc>
        <w:tc>
          <w:tcPr>
            <w:vAlign w:val="center"/>
            <w:tcBorders>
              <w:top w:val="single" w:sz="4" w:space="0" w:color="auto"/>
              <w:left w:val="single" w:sz="4" w:space="0" w:color="auto"/>
              <w:bottom w:val="single" w:sz="4" w:space="0" w:color="auto"/>
              <w:right w:val="single" w:sz="4" w:space="0" w:color="auto"/>
            </w:tcBorders>
          </w:tcPr>
          <w:p w14:paraId="0010001A" w14:textId="00100027">
            <w:pPr>
              <w:pStyle w:val="Normal"/>
              <w:jc w:val="left"/>
            </w:pPr>
            <w:r>
              <w:t xml:space="preserve">USD millions unless otherwise stated</w:t>
            </w:r>
          </w:p>
        </w:tc>
      </w:tr>
    </w:tbl>
    <w:p w14:paraId="00101CE6" w14:textId="00101CE7">
      <w:pPr>
        <w:pStyle w:val="Normal"/>
        <w:jc w:val="left"/>
        <w:sectPr>
          <w:type w:val="nextPage"/>
          <w:pgSz w:w="11906" w:h="16838"/>
          <w:pgMar w:top="1440" w:right="1440" w:bottom="1440" w:left="1440" w:header="1440" w:footer="1440" w:gutter="0"/>
          <w:cols w:space="720" w:num="1"/>
        </w:sectPr>
      </w:pPr>
    </w:p>
    <w:p w14:paraId="0010002E" w14:textId="0010002F">
      <w:pPr>
        <w:pStyle w:val="Normal"/>
        <w:jc w:val="left"/>
      </w:pPr>
      <w:r>
        <w:t xml:space="preserve">Contents</w:t>
      </w:r>
    </w:p>
    <w:p w14:paraId="00100030" w14:textId="00100031">
      <w:pPr>
        <w:pStyle w:val="Normal"/>
        <w:jc w:val="left"/>
      </w:pPr>
      <w:r>
        <w:t xml:space="preserve">Chairman and CEO Letter …… 3</w:t>
      </w:r>
    </w:p>
    <w:p w14:paraId="00100032" w14:textId="00100033">
      <w:pPr>
        <w:pStyle w:val="Normal"/>
        <w:jc w:val="left"/>
      </w:pPr>
      <w:r>
        <w:t xml:space="preserve">Year in Review …… 6</w:t>
      </w:r>
    </w:p>
    <w:p w14:paraId="00100034" w14:textId="00100035">
      <w:pPr>
        <w:pStyle w:val="Normal"/>
        <w:jc w:val="left"/>
      </w:pPr>
      <w:r>
        <w:t xml:space="preserve">Group Overview …… 10</w:t>
      </w:r>
    </w:p>
    <w:p w14:paraId="00100036" w14:textId="00100037">
      <w:pPr>
        <w:pStyle w:val="Normal"/>
        <w:jc w:val="left"/>
      </w:pPr>
      <w:r>
        <w:t xml:space="preserve">Segment Performance …… 18</w:t>
      </w:r>
    </w:p>
    <w:p w14:paraId="00100038" w14:textId="00100039">
      <w:pPr>
        <w:pStyle w:val="Normal"/>
        <w:jc w:val="left"/>
      </w:pPr>
      <w:r>
        <w:t xml:space="preserve">Group Financial Review …… 32</w:t>
      </w:r>
    </w:p>
    <w:p w14:paraId="0010003A" w14:textId="0010003B">
      <w:pPr>
        <w:pStyle w:val="Normal"/>
        <w:jc w:val="left"/>
      </w:pPr>
      <w:r>
        <w:t xml:space="preserve">Corporate Governance …… 42</w:t>
      </w:r>
    </w:p>
    <w:p w14:paraId="0010003C" w14:textId="0010003D">
      <w:pPr>
        <w:pStyle w:val="Normal"/>
        <w:jc w:val="left"/>
      </w:pPr>
      <w:r>
        <w:t xml:space="preserve">Risk Management …… 52</w:t>
      </w:r>
    </w:p>
    <w:p w14:paraId="0010003E" w14:textId="0010003F">
      <w:pPr>
        <w:pStyle w:val="Normal"/>
        <w:jc w:val="left"/>
      </w:pPr>
      <w:r>
        <w:t xml:space="preserve">Sustainability and Impact …… 60</w:t>
      </w:r>
    </w:p>
    <w:p w14:paraId="00100040" w14:textId="00100041">
      <w:pPr>
        <w:pStyle w:val="Normal"/>
        <w:jc w:val="left"/>
      </w:pPr>
      <w:r>
        <w:t xml:space="preserve">Consolidated Statements …… 74</w:t>
      </w:r>
    </w:p>
    <w:p w14:paraId="00100042" w14:textId="00100043">
      <w:pPr>
        <w:pStyle w:val="Normal"/>
        <w:jc w:val="left"/>
      </w:pPr>
      <w:r>
        <w:t xml:space="preserve">Financial Note Disclosures …… 82</w:t>
      </w:r>
    </w:p>
    <w:p w14:paraId="00100044" w14:textId="00100045">
      <w:pPr>
        <w:pStyle w:val="Normal"/>
        <w:jc w:val="left"/>
      </w:pPr>
      <w:r>
        <w:t xml:space="preserve">Additional Financial Information …… 118</w:t>
      </w:r>
    </w:p>
    <w:p w14:paraId="00100046" w14:textId="00100047">
      <w:pPr>
        <w:pStyle w:val="Normal"/>
        <w:jc w:val="left"/>
      </w:pPr>
      <w:r>
        <w:t xml:space="preserve">Basis and Assurance …… 126</w:t>
      </w:r>
    </w:p>
    <w:p w14:paraId="00100048" w14:textId="00100049">
      <w:pPr>
        <w:pStyle w:val="Normal"/>
        <w:jc w:val="left"/>
      </w:pPr>
      <w:r>
        <w:t xml:space="preserve">Shareholder Information …… 132</w:t>
      </w:r>
    </w:p>
    <w:p w14:paraId="0010004A" w14:textId="0010004B">
      <w:pPr>
        <w:pStyle w:val="Normal"/>
        <w:jc w:val="left"/>
      </w:pPr>
      <w:r>
        <w:t xml:space="preserve">Report References …… 138</w:t>
      </w:r>
    </w:p>
    <w:p w14:paraId="0010004C" w14:textId="0010004D">
      <w:pPr>
        <w:pStyle w:val="Normal"/>
        <w:jc w:val="left"/>
      </w:pPr>
      <w:r>
        <w:t xml:space="preserve">Supplementary Tables …… 144</w:t>
      </w:r>
    </w:p>
    <w:p w14:paraId="0010004E" w14:textId="0010004F">
      <w:pPr>
        <w:pStyle w:val="Normal"/>
        <w:jc w:val="left"/>
      </w:pPr>
      <w:r>
        <w:t xml:space="preserve">Glossary and Contacts …… 150</w:t>
      </w:r>
    </w:p>
    <w:p w14:paraId="00100050" w14:textId="00100051">
      <w:pPr>
        <w:pStyle w:val="Normal"/>
        <w:jc w:val="left"/>
      </w:pPr>
      <w:r>
        <w:t xml:space="preserve">Legal Notice …… 154</w:t>
      </w:r>
    </w:p>
    <w:p w14:paraId="00100052" w14:textId="00100053">
      <w:pPr>
        <w:pStyle w:val="Normal"/>
        <w:jc w:val="left"/>
      </w:pPr>
      <w:r>
        <w:t xml:space="preserve">Who We Are …… 11</w:t>
      </w:r>
    </w:p>
    <w:p w14:paraId="00100054" w14:textId="00100055">
      <w:pPr>
        <w:pStyle w:val="Normal"/>
        <w:jc w:val="left"/>
      </w:pPr>
      <w:r>
        <w:t xml:space="preserve">Strategy and Outlook …… 14</w:t>
      </w:r>
    </w:p>
    <w:p w14:paraId="00100056" w14:textId="00100057">
      <w:pPr>
        <w:pStyle w:val="Normal"/>
        <w:jc w:val="left"/>
      </w:pPr>
      <w:r>
        <w:t xml:space="preserve">Segment Portfolio …… 19</w:t>
      </w:r>
    </w:p>
    <w:p w14:paraId="00100058" w14:textId="00100059">
      <w:pPr>
        <w:pStyle w:val="Normal"/>
        <w:jc w:val="left"/>
      </w:pPr>
      <w:r>
        <w:t xml:space="preserve">Industrial Solutions …… 22</w:t>
      </w:r>
    </w:p>
    <w:p w14:paraId="0010005A" w14:textId="0010005B">
      <w:pPr>
        <w:pStyle w:val="Normal"/>
        <w:jc w:val="left"/>
      </w:pPr>
      <w:r>
        <w:t xml:space="preserve">Consumer Platforms …… 25</w:t>
      </w:r>
    </w:p>
    <w:p w14:paraId="0010005C" w14:textId="0010005D">
      <w:pPr>
        <w:pStyle w:val="Normal"/>
        <w:jc w:val="left"/>
      </w:pPr>
      <w:r>
        <w:t xml:space="preserve">Infrastructure Services …… 28</w:t>
      </w:r>
    </w:p>
    <w:p w14:paraId="0010005E" w14:textId="0010005F">
      <w:pPr>
        <w:pStyle w:val="Normal"/>
        <w:jc w:val="left"/>
      </w:pPr>
      <w:r>
        <w:t xml:space="preserve">Financial Performance …… 33</w:t>
      </w:r>
    </w:p>
    <w:p w14:paraId="00100060" w14:textId="00100061">
      <w:pPr>
        <w:pStyle w:val="Normal"/>
        <w:jc w:val="left"/>
      </w:pPr>
      <w:r>
        <w:t xml:space="preserve">Capital and Liquidity …… 37</w:t>
      </w:r>
    </w:p>
    <w:p w14:paraId="00100062" w14:textId="00100063">
      <w:pPr>
        <w:pStyle w:val="Normal"/>
        <w:jc w:val="left"/>
      </w:pPr>
      <w:r>
        <w:t xml:space="preserve">Governance Framework …… 43</w:t>
      </w:r>
    </w:p>
    <w:p w14:paraId="00100064" w14:textId="00100065">
      <w:pPr>
        <w:pStyle w:val="Normal"/>
        <w:jc w:val="left"/>
      </w:pPr>
      <w:r>
        <w:t xml:space="preserve">Leadership and Conduct …… 47</w:t>
      </w:r>
    </w:p>
    <w:p w14:paraId="00100066" w14:textId="00100067">
      <w:pPr>
        <w:pStyle w:val="Normal"/>
        <w:jc w:val="left"/>
      </w:pPr>
      <w:r>
        <w:t xml:space="preserve">Risk Framework …… 53</w:t>
      </w:r>
    </w:p>
    <w:p w14:paraId="00100068" w14:textId="00100069">
      <w:pPr>
        <w:pStyle w:val="Normal"/>
        <w:jc w:val="left"/>
      </w:pPr>
      <w:r>
        <w:t xml:space="preserve">Principal Risks …… 56</w:t>
      </w:r>
    </w:p>
    <w:p w14:paraId="0010006A" w14:textId="0010006B">
      <w:pPr>
        <w:pStyle w:val="Normal"/>
        <w:jc w:val="left"/>
      </w:pPr>
      <w:r>
        <w:t xml:space="preserve">Sustainability Strategy …… 61</w:t>
      </w:r>
    </w:p>
    <w:p w14:paraId="0010006C" w14:textId="0010006D">
      <w:pPr>
        <w:pStyle w:val="Normal"/>
        <w:jc w:val="left"/>
      </w:pPr>
      <w:r>
        <w:t xml:space="preserve">Environment …… 65</w:t>
      </w:r>
    </w:p>
    <w:p w14:paraId="0010006E" w14:textId="0010006F">
      <w:pPr>
        <w:pStyle w:val="Normal"/>
        <w:jc w:val="left"/>
      </w:pPr>
      <w:r>
        <w:t xml:space="preserve">People and Communities …… 69</w:t>
      </w:r>
    </w:p>
    <w:p w14:paraId="00100070" w14:textId="00100071">
      <w:pPr>
        <w:pStyle w:val="Normal"/>
        <w:jc w:val="left"/>
      </w:pPr>
      <w:r>
        <w:t xml:space="preserve">Statement of Financial Position …… 75</w:t>
      </w:r>
    </w:p>
    <w:p w14:paraId="00100072" w14:textId="00100073">
      <w:pPr>
        <w:pStyle w:val="Normal"/>
        <w:jc w:val="left"/>
      </w:pPr>
      <w:r>
        <w:t xml:space="preserve">Statement of Profit or Loss …… 77</w:t>
      </w:r>
    </w:p>
    <w:p w14:paraId="00100074" w14:textId="00100075">
      <w:pPr>
        <w:pStyle w:val="Normal"/>
        <w:jc w:val="left"/>
      </w:pPr>
      <w:r>
        <w:t xml:space="preserve">Cash Flow and Equity …… 79</w:t>
      </w:r>
    </w:p>
    <w:p w14:paraId="00100076" w14:textId="00100077">
      <w:pPr>
        <w:pStyle w:val="Normal"/>
        <w:jc w:val="left"/>
      </w:pPr>
      <w:r>
        <w:t xml:space="preserve">Accounting Basis …… 81</w:t>
      </w:r>
    </w:p>
    <w:p w14:paraId="00100078" w14:textId="00100079">
      <w:pPr>
        <w:pStyle w:val="Normal"/>
        <w:jc w:val="left"/>
      </w:pPr>
      <w:r>
        <w:t xml:space="preserve">Group and Revenue Notes …… 83</w:t>
      </w:r>
    </w:p>
    <w:p w14:paraId="0010007A" w14:textId="0010007B">
      <w:pPr>
        <w:pStyle w:val="Normal"/>
        <w:jc w:val="left"/>
      </w:pPr>
      <w:r>
        <w:t xml:space="preserve">Assets and Liabilities …… 95</w:t>
      </w:r>
    </w:p>
    <w:p w14:paraId="0010007C" w14:textId="0010007D">
      <w:pPr>
        <w:pStyle w:val="Normal"/>
        <w:jc w:val="left"/>
      </w:pPr>
      <w:r>
        <w:t xml:space="preserve">Equity and People Notes …… 108</w:t>
      </w:r>
    </w:p>
    <w:p w14:paraId="0010007E" w14:textId="0010007F">
      <w:pPr>
        <w:pStyle w:val="Normal"/>
        <w:jc w:val="left"/>
      </w:pPr>
      <w:r>
        <w:t xml:space="preserve">Performance Measures …… 119</w:t>
      </w:r>
    </w:p>
    <w:p w14:paraId="00100080" w14:textId="00100081">
      <w:pPr>
        <w:pStyle w:val="Normal"/>
        <w:jc w:val="left"/>
      </w:pPr>
      <w:r>
        <w:t xml:space="preserve">Five-Year Review …… 122</w:t>
      </w:r>
    </w:p>
    <w:p w14:paraId="00100082" w14:textId="00100083">
      <w:pPr>
        <w:pStyle w:val="Normal"/>
        <w:jc w:val="left"/>
      </w:pPr>
      <w:r>
        <w:t xml:space="preserve">Reporting Basis …… 127</w:t>
      </w:r>
    </w:p>
    <w:p w14:paraId="00100084" w14:textId="00100085">
      <w:pPr>
        <w:pStyle w:val="Normal"/>
        <w:jc w:val="left"/>
      </w:pPr>
      <w:r>
        <w:t xml:space="preserve">Assurance and Controls …… 129</w:t>
      </w:r>
    </w:p>
    <w:p w14:paraId="00100086" w14:textId="00100087">
      <w:pPr>
        <w:pStyle w:val="Normal"/>
        <w:jc w:val="left"/>
      </w:pPr>
      <w:r>
        <w:t xml:space="preserve">Shareholder Profile …… 133</w:t>
      </w:r>
    </w:p>
    <w:p w14:paraId="00100088" w14:textId="00100089">
      <w:pPr>
        <w:pStyle w:val="Normal"/>
        <w:jc w:val="left"/>
      </w:pPr>
      <w:r>
        <w:t xml:space="preserve">Investor Calendar …… 136</w:t>
      </w:r>
    </w:p>
    <w:p w14:paraId="0010008A" w14:textId="0010008B">
      <w:pPr>
        <w:pStyle w:val="Normal"/>
        <w:jc w:val="left"/>
      </w:pPr>
      <w:r>
        <w:t xml:space="preserve">Disclosure Index …… 139</w:t>
      </w:r>
    </w:p>
    <w:p w14:paraId="0010008C" w14:textId="0010008D">
      <w:pPr>
        <w:pStyle w:val="Normal"/>
        <w:jc w:val="left"/>
      </w:pPr>
      <w:r>
        <w:t xml:space="preserve">Reader Guidance …… 141</w:t>
      </w:r>
    </w:p>
    <w:p w14:paraId="0010008E" w14:textId="0010008F">
      <w:pPr>
        <w:pStyle w:val="Normal"/>
        <w:jc w:val="left"/>
      </w:pPr>
      <w:r>
        <w:t xml:space="preserve">Financial Schedules …… 145</w:t>
      </w:r>
    </w:p>
    <w:p w14:paraId="00100090" w14:textId="00100091">
      <w:pPr>
        <w:pStyle w:val="Normal"/>
        <w:jc w:val="left"/>
      </w:pPr>
      <w:r>
        <w:t xml:space="preserve">Segment Schedules …… 147</w:t>
      </w:r>
    </w:p>
    <w:p w14:paraId="00100092" w14:textId="00100093">
      <w:pPr>
        <w:pStyle w:val="Normal"/>
        <w:jc w:val="left"/>
      </w:pPr>
      <w:r>
        <w:t xml:space="preserve">Indicator Charts …… 148</w:t>
      </w:r>
    </w:p>
    <w:p w14:paraId="00100094" w14:textId="00100095">
      <w:pPr>
        <w:pStyle w:val="Normal"/>
        <w:jc w:val="left"/>
      </w:pPr>
      <w:r>
        <w:t xml:space="preserve">Structure and Footprint …… 149</w:t>
      </w:r>
    </w:p>
    <w:p w14:paraId="00101CE8" w14:textId="00101CE9">
      <w:pPr>
        <w:pStyle w:val="Normal"/>
        <w:jc w:val="left"/>
        <w:sectPr>
          <w:type w:val="nextPage"/>
          <w:pgSz w:w="11906" w:h="16838"/>
          <w:pgMar w:top="1440" w:right="1440" w:bottom="1440" w:left="1440" w:header="1440" w:footer="1440" w:gutter="0"/>
          <w:cols w:space="720" w:num="1"/>
        </w:sectPr>
      </w:pPr>
    </w:p>
    <w:p w14:paraId="0010009A" w14:textId="0010009B">
      <w:pPr>
        <w:pStyle w:val="Normal"/>
        <w:jc w:val="left"/>
      </w:pPr>
      <w:r>
        <w:t xml:space="preserve">Dear Shareholders, Colleagues, Customers, and Partners,</w:t>
      </w:r>
    </w:p>
    <w:p w14:paraId="0010009C" w14:textId="0010009D">
      <w:pPr>
        <w:pStyle w:val="Normal"/>
        <w:jc w:val="left"/>
      </w:pPr>
      <w:r>
        <w:t xml:space="preserve">The past year was one of disciplined execution and steady advancement for Rivermark Holdings. In a market environment shaped by uneven demand, persistent cost pressure, and tighter capital expectations, the Group delivered resilient results while continuing to invest in the capabilities that will define our next phase of growth. We strengthened the quality of earnings, improved cash generation, and maintained a prudent balance sheet, while our operating teams responded with speed to changing customer requirements across Industrial Solutions, Consumer Platforms, and Infrastructure Services. Just as important, we preserved focus on safety, ethics, sustainability, and talent development, because long-term performance depends on trust as much as it depends on scale.</w:t>
      </w:r>
    </w:p>
    <w:p w14:paraId="0010009E" w14:textId="0010009F">
      <w:pPr>
        <w:pStyle w:val="Normal"/>
        <w:jc w:val="left"/>
      </w:pPr>
      <w:r>
        <w:t xml:space="preserve">Our year in review reflects a business that is becoming more integrated, more selective, and more productive. Revenue growth was supported by a healthier mix of recurring and solution-led activity, while margin performance benefited from pricing discipline, procurement actions, automation, and tighter portfolio management. Industrial Solutions expanded its contribution through improved plant utilization and a stronger service offering. Consumer Platforms improved customer retention and channel effectiveness, with targeted innovation helping defend share in competitive categories. Infrastructure Services advanced project discipline and backlog quality, prioritizing contracts that align with our risk standards and return thresholds. Across the Group, management attention remained fixed on conversion of profit into cash, working-capital control, and return-focused investment.</w:t>
      </w:r>
    </w:p>
    <w:p w14:paraId="001000A0" w14:textId="001000A1">
      <w:pPr>
        <w:pStyle w:val="Normal"/>
        <w:jc w:val="left"/>
      </w:pPr>
      <w:r>
        <w:t xml:space="preserve">We also made meaningful progress on the strategic agenda we set out at the beginning of the year. Rivermark Holdings continued to simplify operating structures, modernize core systems, and deepen cross-segment collaboration in data, procurement, and customer development. These actions are not short-term measures; they are structural improvements intended to make the Group more resilient through cycles and more responsive to attractive market opportunities. We invested in digital planning, service capability, and frontline productivity initiatives that reduce friction in operations and improve the customer experience. At the same time, we remained disciplined in capital allocation, directing expenditure toward projects with clear strategic fit, manageable execution profiles, and credible pathways to return.</w:t>
      </w:r>
    </w:p>
    <w:p w14:paraId="001000A2" w14:textId="001000A3">
      <w:pPr>
        <w:pStyle w:val="Normal"/>
        <w:jc w:val="left"/>
      </w:pPr>
      <w:r>
        <w:t xml:space="preserve">Our sustainability and governance priorities advanced in parallel with financial performance. We broadened accountability for environmental and social targets, strengthened internal controls over nonfinancial data, and embedded more consistent review of safety, compliance, and culture indicators at leadership and board level. We continued work on energy efficiency, resource productivity, and workforce development, recognizing that these are practical drivers of competitiveness, not peripheral commitments. The Group's culture agenda also remained central. We expect every part of Rivermark Holdings to act with integrity, speak up early when issues arise, and treat customers, communities, and one another with respect.</w:t>
      </w:r>
    </w:p>
    <w:p w14:paraId="001000A4" w14:textId="001000A5">
      <w:pPr>
        <w:pStyle w:val="Normal"/>
        <w:jc w:val="left"/>
      </w:pPr>
      <w:r>
        <w:t xml:space="preserve">Looking ahead, we remain confident but realistic. Demand conditions in several end markets are likely to stay mixed, and external volatility may continue to affect input costs, customer ordering patterns, and project timing. Our response is clear: stay close to customers, protect balance-sheet strength, execute productivity programs, and preserve flexibility to invest behind the most promising growth platforms. We enter the new year with a stronger operating base, a clearer strategic focus, and a leadership team aligned around disciplined delivery. On behalf of the Board and executive team, thank you for your continued confidence, partnership, and commitment.</w:t>
      </w:r>
    </w:p>
    <w:p w14:paraId="001000A6" w14:textId="001000A7">
      <w:pPr>
        <w:pStyle w:val="Normal"/>
        <w:jc w:val="left"/>
      </w:pPr>
      <w:r>
        <w:t xml:space="preserve">________________</w:t>
      </w:r>
    </w:p>
    <w:p w14:paraId="001000A8" w14:textId="001000A9">
      <w:pPr>
        <w:pStyle w:val="Normal"/>
        <w:jc w:val="left"/>
      </w:pPr>
      <w:r>
        <w:t xml:space="preserve">Elena Shore, Chair of the Board</w:t>
      </w:r>
    </w:p>
    <w:p w14:paraId="001000AA" w14:textId="001000AB">
      <w:pPr>
        <w:pStyle w:val="Normal"/>
        <w:jc w:val="left"/>
      </w:pPr>
      <w:r>
        <w:t xml:space="preserve">Marcus Vale, Group Chief Executive Officer</w:t>
      </w:r>
    </w:p>
    <w:p w14:paraId="001000AC" w14:textId="001000AD">
      <w:pPr>
        <w:pStyle w:val="Normal"/>
        <w:jc w:val="left"/>
      </w:pPr>
      <w:r>
        <w:t xml:space="preserve">Rivermark Holdings</w:t>
      </w:r>
    </w:p>
    <w:p w14:paraId="00101CEA" w14:textId="00101CEB">
      <w:pPr>
        <w:pStyle w:val="Normal"/>
        <w:jc w:val="left"/>
        <w:sectPr>
          <w:type w:val="nextPage"/>
          <w:pgSz w:w="11906" w:h="16838"/>
          <w:pgMar w:top="1440" w:right="1440" w:bottom="1440" w:left="1440" w:header="1440" w:footer="1440" w:gutter="0"/>
          <w:cols w:space="720" w:num="1"/>
        </w:sectPr>
      </w:pPr>
    </w:p>
    <w:p w14:paraId="001000B2" w14:textId="001000B3">
      <w:pPr>
        <w:pStyle w:val="Normal"/>
        <w:jc w:val="left"/>
      </w:pPr>
      <w:r>
        <w:t xml:space="preserve">Rivermark Holdings closed the year with resilient operating delivery, disciplined capital allocation, and measurable progress on strategic priorities despite uneven demand across several end markets. Revenue increased through a combination of selective pricing, mix improvement, and project execution in Infrastructure Services, while margin quality improved as productivity programs and procurement actions offset inflation and logistics pressure. Cash generation strengthened, supporting continued investment in capacity, digital capability, and decarbonization initiatives without weakening liquidity.</w:t>
      </w:r>
    </w:p>
    <w:p w14:paraId="001000B4" w14:textId="001000B7">
      <w:pPr>
        <w:pStyle w:val="Normal"/>
        <w:jc w:val="left"/>
      </w:pPr>
      <w:r>
        <w:t xml:space="preserve"/>
      </w:r>
      <w:r>
        <w:t xml:space="preserve">Overall performance:</w:t>
      </w:r>
      <w:r>
        <w:t xml:space="preserve"> the Group delivered revenue of 12.84 billion, operating profit of 1.46 billion, and operating cash flow of 1.71 billion, with return on invested capital rising to 13.8%. Segment contributions were balanced, with Industrial Solutions recovering in the second half, Consumer Platforms sustaining customer retention and channel expansion, and Infrastructure Services increasing backlog conversion. Nonfinancial indicators also advanced, including a lower recordable incident rate, reduced Scope 1 and 2 emissions intensity, and higher employee learning participation. These results reflect a business model capable of generating earnings, cash, and stakeholder value while preserving flexibility for the year ahead.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0B8" w14:textId="00100100">
            <w:pPr>
              <w:pStyle w:val="Normal"/>
              <w:jc w:val="left"/>
            </w:pPr>
            <w:r>
              <w:t xml:space="preserve">Indicator</w:t>
            </w:r>
          </w:p>
        </w:tc>
        <w:tc>
          <w:tcPr>
            <w:vAlign w:val="center"/>
            <w:tcBorders>
              <w:top w:val="single" w:sz="4" w:space="0" w:color="auto"/>
              <w:left w:val="single" w:sz="4" w:space="0" w:color="auto"/>
              <w:bottom w:val="single" w:sz="4" w:space="0" w:color="auto"/>
              <w:right w:val="single" w:sz="4" w:space="0" w:color="auto"/>
            </w:tcBorders>
          </w:tcPr>
          <w:p w14:paraId="001000BA" w14:textId="00100101">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0BC" w14:textId="00100102">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0BE" w14:textId="00100103">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0C0" w14:textId="00100104">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0C2" w14:textId="00100105">
            <w:pPr>
              <w:pStyle w:val="Normal"/>
              <w:jc w:val="left"/>
            </w:pPr>
            <w:r>
              <w:t xml:space="preserve">12.84 bn</w:t>
            </w:r>
          </w:p>
        </w:tc>
        <w:tc>
          <w:tcPr>
            <w:vAlign w:val="center"/>
            <w:tcBorders>
              <w:top w:val="single" w:sz="4" w:space="0" w:color="auto"/>
              <w:left w:val="single" w:sz="4" w:space="0" w:color="auto"/>
              <w:bottom w:val="single" w:sz="4" w:space="0" w:color="auto"/>
              <w:right w:val="single" w:sz="4" w:space="0" w:color="auto"/>
            </w:tcBorders>
          </w:tcPr>
          <w:p w14:paraId="001000C4" w14:textId="00100106">
            <w:pPr>
              <w:pStyle w:val="Normal"/>
              <w:jc w:val="left"/>
            </w:pPr>
            <w:r>
              <w:t xml:space="preserve">12.11 bn</w:t>
            </w:r>
          </w:p>
        </w:tc>
        <w:tc>
          <w:tcPr>
            <w:vAlign w:val="center"/>
            <w:tcBorders>
              <w:top w:val="single" w:sz="4" w:space="0" w:color="auto"/>
              <w:left w:val="single" w:sz="4" w:space="0" w:color="auto"/>
              <w:bottom w:val="single" w:sz="4" w:space="0" w:color="auto"/>
              <w:right w:val="single" w:sz="4" w:space="0" w:color="auto"/>
            </w:tcBorders>
          </w:tcPr>
          <w:p w14:paraId="001000C6" w14:textId="00100107">
            <w:pPr>
              <w:pStyle w:val="Normal"/>
              <w:jc w:val="left"/>
            </w:pPr>
            <w:r>
              <w:t xml:space="preserve">+6.0%</w:t>
            </w:r>
          </w:p>
        </w:tc>
      </w:tr>
      <w:tr>
        <w:tc>
          <w:tcPr>
            <w:vAlign w:val="center"/>
            <w:tcBorders>
              <w:top w:val="single" w:sz="4" w:space="0" w:color="auto"/>
              <w:left w:val="single" w:sz="4" w:space="0" w:color="auto"/>
              <w:bottom w:val="single" w:sz="4" w:space="0" w:color="auto"/>
              <w:right w:val="single" w:sz="4" w:space="0" w:color="auto"/>
            </w:tcBorders>
          </w:tcPr>
          <w:p w14:paraId="001000C8" w14:textId="00100108">
            <w:pPr>
              <w:pStyle w:val="Normal"/>
              <w:jc w:val="left"/>
            </w:pPr>
            <w:r>
              <w:t xml:space="preserve">Operating profit</w:t>
            </w:r>
          </w:p>
        </w:tc>
        <w:tc>
          <w:tcPr>
            <w:vAlign w:val="center"/>
            <w:tcBorders>
              <w:top w:val="single" w:sz="4" w:space="0" w:color="auto"/>
              <w:left w:val="single" w:sz="4" w:space="0" w:color="auto"/>
              <w:bottom w:val="single" w:sz="4" w:space="0" w:color="auto"/>
              <w:right w:val="single" w:sz="4" w:space="0" w:color="auto"/>
            </w:tcBorders>
          </w:tcPr>
          <w:p w14:paraId="001000CA" w14:textId="00100109">
            <w:pPr>
              <w:pStyle w:val="Normal"/>
              <w:jc w:val="left"/>
            </w:pPr>
            <w:r>
              <w:t xml:space="preserve">1.46 bn</w:t>
            </w:r>
          </w:p>
        </w:tc>
        <w:tc>
          <w:tcPr>
            <w:vAlign w:val="center"/>
            <w:tcBorders>
              <w:top w:val="single" w:sz="4" w:space="0" w:color="auto"/>
              <w:left w:val="single" w:sz="4" w:space="0" w:color="auto"/>
              <w:bottom w:val="single" w:sz="4" w:space="0" w:color="auto"/>
              <w:right w:val="single" w:sz="4" w:space="0" w:color="auto"/>
            </w:tcBorders>
          </w:tcPr>
          <w:p w14:paraId="001000CC" w14:textId="0010010A">
            <w:pPr>
              <w:pStyle w:val="Normal"/>
              <w:jc w:val="left"/>
            </w:pPr>
            <w:r>
              <w:t xml:space="preserve">1.29 bn</w:t>
            </w:r>
          </w:p>
        </w:tc>
        <w:tc>
          <w:tcPr>
            <w:vAlign w:val="center"/>
            <w:tcBorders>
              <w:top w:val="single" w:sz="4" w:space="0" w:color="auto"/>
              <w:left w:val="single" w:sz="4" w:space="0" w:color="auto"/>
              <w:bottom w:val="single" w:sz="4" w:space="0" w:color="auto"/>
              <w:right w:val="single" w:sz="4" w:space="0" w:color="auto"/>
            </w:tcBorders>
          </w:tcPr>
          <w:p w14:paraId="001000CE" w14:textId="0010010B">
            <w:pPr>
              <w:pStyle w:val="Normal"/>
              <w:jc w:val="left"/>
            </w:pPr>
            <w:r>
              <w:t xml:space="preserve">+13.2%</w:t>
            </w:r>
          </w:p>
        </w:tc>
      </w:tr>
      <w:tr>
        <w:tc>
          <w:tcPr>
            <w:vAlign w:val="center"/>
            <w:tcBorders>
              <w:top w:val="single" w:sz="4" w:space="0" w:color="auto"/>
              <w:left w:val="single" w:sz="4" w:space="0" w:color="auto"/>
              <w:bottom w:val="single" w:sz="4" w:space="0" w:color="auto"/>
              <w:right w:val="single" w:sz="4" w:space="0" w:color="auto"/>
            </w:tcBorders>
          </w:tcPr>
          <w:p w14:paraId="001000D0" w14:textId="0010010C">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0D2" w14:textId="0010010D">
            <w:pPr>
              <w:pStyle w:val="Normal"/>
              <w:jc w:val="left"/>
            </w:pPr>
            <w:r>
              <w:t xml:space="preserve">11.4%</w:t>
            </w:r>
          </w:p>
        </w:tc>
        <w:tc>
          <w:tcPr>
            <w:vAlign w:val="center"/>
            <w:tcBorders>
              <w:top w:val="single" w:sz="4" w:space="0" w:color="auto"/>
              <w:left w:val="single" w:sz="4" w:space="0" w:color="auto"/>
              <w:bottom w:val="single" w:sz="4" w:space="0" w:color="auto"/>
              <w:right w:val="single" w:sz="4" w:space="0" w:color="auto"/>
            </w:tcBorders>
          </w:tcPr>
          <w:p w14:paraId="001000D4" w14:textId="0010010E">
            <w:pPr>
              <w:pStyle w:val="Normal"/>
              <w:jc w:val="left"/>
            </w:pPr>
            <w:r>
              <w:t xml:space="preserve">10.7%</w:t>
            </w:r>
          </w:p>
        </w:tc>
        <w:tc>
          <w:tcPr>
            <w:vAlign w:val="center"/>
            <w:tcBorders>
              <w:top w:val="single" w:sz="4" w:space="0" w:color="auto"/>
              <w:left w:val="single" w:sz="4" w:space="0" w:color="auto"/>
              <w:bottom w:val="single" w:sz="4" w:space="0" w:color="auto"/>
              <w:right w:val="single" w:sz="4" w:space="0" w:color="auto"/>
            </w:tcBorders>
          </w:tcPr>
          <w:p w14:paraId="001000D6" w14:textId="0010010F">
            <w:pPr>
              <w:pStyle w:val="Normal"/>
              <w:jc w:val="left"/>
            </w:pPr>
            <w:r>
              <w:t xml:space="preserve">+0.7 ppt</w:t>
            </w:r>
          </w:p>
        </w:tc>
      </w:tr>
      <w:tr>
        <w:tc>
          <w:tcPr>
            <w:vAlign w:val="center"/>
            <w:tcBorders>
              <w:top w:val="single" w:sz="4" w:space="0" w:color="auto"/>
              <w:left w:val="single" w:sz="4" w:space="0" w:color="auto"/>
              <w:bottom w:val="single" w:sz="4" w:space="0" w:color="auto"/>
              <w:right w:val="single" w:sz="4" w:space="0" w:color="auto"/>
            </w:tcBorders>
          </w:tcPr>
          <w:p w14:paraId="001000D8" w14:textId="00100110">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0DA" w14:textId="00100111">
            <w:pPr>
              <w:pStyle w:val="Normal"/>
              <w:jc w:val="left"/>
            </w:pPr>
            <w:r>
              <w:t xml:space="preserve">1.71 bn</w:t>
            </w:r>
          </w:p>
        </w:tc>
        <w:tc>
          <w:tcPr>
            <w:vAlign w:val="center"/>
            <w:tcBorders>
              <w:top w:val="single" w:sz="4" w:space="0" w:color="auto"/>
              <w:left w:val="single" w:sz="4" w:space="0" w:color="auto"/>
              <w:bottom w:val="single" w:sz="4" w:space="0" w:color="auto"/>
              <w:right w:val="single" w:sz="4" w:space="0" w:color="auto"/>
            </w:tcBorders>
          </w:tcPr>
          <w:p w14:paraId="001000DC" w14:textId="00100112">
            <w:pPr>
              <w:pStyle w:val="Normal"/>
              <w:jc w:val="left"/>
            </w:pPr>
            <w:r>
              <w:t xml:space="preserve">1.48 bn</w:t>
            </w:r>
          </w:p>
        </w:tc>
        <w:tc>
          <w:tcPr>
            <w:vAlign w:val="center"/>
            <w:tcBorders>
              <w:top w:val="single" w:sz="4" w:space="0" w:color="auto"/>
              <w:left w:val="single" w:sz="4" w:space="0" w:color="auto"/>
              <w:bottom w:val="single" w:sz="4" w:space="0" w:color="auto"/>
              <w:right w:val="single" w:sz="4" w:space="0" w:color="auto"/>
            </w:tcBorders>
          </w:tcPr>
          <w:p w14:paraId="001000DE" w14:textId="00100113">
            <w:pPr>
              <w:pStyle w:val="Normal"/>
              <w:jc w:val="left"/>
            </w:pPr>
            <w:r>
              <w:t xml:space="preserve">+15.5%</w:t>
            </w:r>
          </w:p>
        </w:tc>
      </w:tr>
      <w:tr>
        <w:tc>
          <w:tcPr>
            <w:vAlign w:val="center"/>
            <w:tcBorders>
              <w:top w:val="single" w:sz="4" w:space="0" w:color="auto"/>
              <w:left w:val="single" w:sz="4" w:space="0" w:color="auto"/>
              <w:bottom w:val="single" w:sz="4" w:space="0" w:color="auto"/>
              <w:right w:val="single" w:sz="4" w:space="0" w:color="auto"/>
            </w:tcBorders>
          </w:tcPr>
          <w:p w14:paraId="001000E0" w14:textId="00100114">
            <w:pPr>
              <w:pStyle w:val="Normal"/>
              <w:jc w:val="left"/>
            </w:pPr>
            <w:r>
              <w:t xml:space="preserve">Return on invested capital</w:t>
            </w:r>
          </w:p>
        </w:tc>
        <w:tc>
          <w:tcPr>
            <w:vAlign w:val="center"/>
            <w:tcBorders>
              <w:top w:val="single" w:sz="4" w:space="0" w:color="auto"/>
              <w:left w:val="single" w:sz="4" w:space="0" w:color="auto"/>
              <w:bottom w:val="single" w:sz="4" w:space="0" w:color="auto"/>
              <w:right w:val="single" w:sz="4" w:space="0" w:color="auto"/>
            </w:tcBorders>
          </w:tcPr>
          <w:p w14:paraId="001000E2" w14:textId="00100115">
            <w:pPr>
              <w:pStyle w:val="Normal"/>
              <w:jc w:val="left"/>
            </w:pPr>
            <w:r>
              <w:t xml:space="preserve">13.8%</w:t>
            </w:r>
          </w:p>
        </w:tc>
        <w:tc>
          <w:tcPr>
            <w:vAlign w:val="center"/>
            <w:tcBorders>
              <w:top w:val="single" w:sz="4" w:space="0" w:color="auto"/>
              <w:left w:val="single" w:sz="4" w:space="0" w:color="auto"/>
              <w:bottom w:val="single" w:sz="4" w:space="0" w:color="auto"/>
              <w:right w:val="single" w:sz="4" w:space="0" w:color="auto"/>
            </w:tcBorders>
          </w:tcPr>
          <w:p w14:paraId="001000E4" w14:textId="00100116">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00E6" w14:textId="00100117">
            <w:pPr>
              <w:pStyle w:val="Normal"/>
              <w:jc w:val="left"/>
            </w:pPr>
            <w:r>
              <w:t xml:space="preserve">+1.2 ppt</w:t>
            </w:r>
          </w:p>
        </w:tc>
      </w:tr>
      <w:tr>
        <w:tc>
          <w:tcPr>
            <w:vAlign w:val="center"/>
            <w:tcBorders>
              <w:top w:val="single" w:sz="4" w:space="0" w:color="auto"/>
              <w:left w:val="single" w:sz="4" w:space="0" w:color="auto"/>
              <w:bottom w:val="single" w:sz="4" w:space="0" w:color="auto"/>
              <w:right w:val="single" w:sz="4" w:space="0" w:color="auto"/>
            </w:tcBorders>
          </w:tcPr>
          <w:p w14:paraId="001000E8" w14:textId="00100118">
            <w:pPr>
              <w:pStyle w:val="Normal"/>
              <w:jc w:val="left"/>
            </w:pPr>
            <w:r>
              <w:t xml:space="preserve">Net debt / EBITDA</w:t>
            </w:r>
          </w:p>
        </w:tc>
        <w:tc>
          <w:tcPr>
            <w:vAlign w:val="center"/>
            <w:tcBorders>
              <w:top w:val="single" w:sz="4" w:space="0" w:color="auto"/>
              <w:left w:val="single" w:sz="4" w:space="0" w:color="auto"/>
              <w:bottom w:val="single" w:sz="4" w:space="0" w:color="auto"/>
              <w:right w:val="single" w:sz="4" w:space="0" w:color="auto"/>
            </w:tcBorders>
          </w:tcPr>
          <w:p w14:paraId="001000EA" w14:textId="00100119">
            <w:pPr>
              <w:pStyle w:val="Normal"/>
              <w:jc w:val="left"/>
            </w:pPr>
            <w:r>
              <w:t xml:space="preserve">1.7x</w:t>
            </w:r>
          </w:p>
        </w:tc>
        <w:tc>
          <w:tcPr>
            <w:vAlign w:val="center"/>
            <w:tcBorders>
              <w:top w:val="single" w:sz="4" w:space="0" w:color="auto"/>
              <w:left w:val="single" w:sz="4" w:space="0" w:color="auto"/>
              <w:bottom w:val="single" w:sz="4" w:space="0" w:color="auto"/>
              <w:right w:val="single" w:sz="4" w:space="0" w:color="auto"/>
            </w:tcBorders>
          </w:tcPr>
          <w:p w14:paraId="001000EC" w14:textId="0010011A">
            <w:pPr>
              <w:pStyle w:val="Normal"/>
              <w:jc w:val="left"/>
            </w:pPr>
            <w:r>
              <w:t xml:space="preserve">1.9x</w:t>
            </w:r>
          </w:p>
        </w:tc>
        <w:tc>
          <w:tcPr>
            <w:vAlign w:val="center"/>
            <w:tcBorders>
              <w:top w:val="single" w:sz="4" w:space="0" w:color="auto"/>
              <w:left w:val="single" w:sz="4" w:space="0" w:color="auto"/>
              <w:bottom w:val="single" w:sz="4" w:space="0" w:color="auto"/>
              <w:right w:val="single" w:sz="4" w:space="0" w:color="auto"/>
            </w:tcBorders>
          </w:tcPr>
          <w:p w14:paraId="001000EE" w14:textId="0010011B">
            <w:pPr>
              <w:pStyle w:val="Normal"/>
              <w:jc w:val="left"/>
            </w:pPr>
            <w:r>
              <w:t xml:space="preserve">-0.2x</w:t>
            </w:r>
          </w:p>
        </w:tc>
      </w:tr>
      <w:tr>
        <w:tc>
          <w:tcPr>
            <w:vAlign w:val="center"/>
            <w:tcBorders>
              <w:top w:val="single" w:sz="4" w:space="0" w:color="auto"/>
              <w:left w:val="single" w:sz="4" w:space="0" w:color="auto"/>
              <w:bottom w:val="single" w:sz="4" w:space="0" w:color="auto"/>
              <w:right w:val="single" w:sz="4" w:space="0" w:color="auto"/>
            </w:tcBorders>
          </w:tcPr>
          <w:p w14:paraId="001000F0" w14:textId="0010011C">
            <w:pPr>
              <w:pStyle w:val="Normal"/>
              <w:jc w:val="left"/>
            </w:pPr>
            <w:r>
              <w:t xml:space="preserve">Recordable incident rate</w:t>
            </w:r>
          </w:p>
        </w:tc>
        <w:tc>
          <w:tcPr>
            <w:vAlign w:val="center"/>
            <w:tcBorders>
              <w:top w:val="single" w:sz="4" w:space="0" w:color="auto"/>
              <w:left w:val="single" w:sz="4" w:space="0" w:color="auto"/>
              <w:bottom w:val="single" w:sz="4" w:space="0" w:color="auto"/>
              <w:right w:val="single" w:sz="4" w:space="0" w:color="auto"/>
            </w:tcBorders>
          </w:tcPr>
          <w:p w14:paraId="001000F2" w14:textId="0010011D">
            <w:pPr>
              <w:pStyle w:val="Normal"/>
              <w:jc w:val="left"/>
            </w:pPr>
            <w:r>
              <w:t xml:space="preserve">0.64</w:t>
            </w:r>
          </w:p>
        </w:tc>
        <w:tc>
          <w:tcPr>
            <w:vAlign w:val="center"/>
            <w:tcBorders>
              <w:top w:val="single" w:sz="4" w:space="0" w:color="auto"/>
              <w:left w:val="single" w:sz="4" w:space="0" w:color="auto"/>
              <w:bottom w:val="single" w:sz="4" w:space="0" w:color="auto"/>
              <w:right w:val="single" w:sz="4" w:space="0" w:color="auto"/>
            </w:tcBorders>
          </w:tcPr>
          <w:p w14:paraId="001000F4" w14:textId="0010011E">
            <w:pPr>
              <w:pStyle w:val="Normal"/>
              <w:jc w:val="left"/>
            </w:pPr>
            <w:r>
              <w:t xml:space="preserve">0.72</w:t>
            </w:r>
          </w:p>
        </w:tc>
        <w:tc>
          <w:tcPr>
            <w:vAlign w:val="center"/>
            <w:tcBorders>
              <w:top w:val="single" w:sz="4" w:space="0" w:color="auto"/>
              <w:left w:val="single" w:sz="4" w:space="0" w:color="auto"/>
              <w:bottom w:val="single" w:sz="4" w:space="0" w:color="auto"/>
              <w:right w:val="single" w:sz="4" w:space="0" w:color="auto"/>
            </w:tcBorders>
          </w:tcPr>
          <w:p w14:paraId="001000F6" w14:textId="0010011F">
            <w:pPr>
              <w:pStyle w:val="Normal"/>
              <w:jc w:val="left"/>
            </w:pPr>
            <w:r>
              <w:t xml:space="preserve">-11.1%</w:t>
            </w:r>
          </w:p>
        </w:tc>
      </w:tr>
      <w:tr>
        <w:tc>
          <w:tcPr>
            <w:vAlign w:val="center"/>
            <w:tcBorders>
              <w:top w:val="single" w:sz="4" w:space="0" w:color="auto"/>
              <w:left w:val="single" w:sz="4" w:space="0" w:color="auto"/>
              <w:bottom w:val="single" w:sz="4" w:space="0" w:color="auto"/>
              <w:right w:val="single" w:sz="4" w:space="0" w:color="auto"/>
            </w:tcBorders>
          </w:tcPr>
          <w:p w14:paraId="001000F8" w14:textId="00100120">
            <w:pPr>
              <w:pStyle w:val="Normal"/>
              <w:jc w:val="left"/>
            </w:pPr>
            <w:r>
              <w:t xml:space="preserve">Scope 1 and 2 emissions intensity</w:t>
            </w:r>
          </w:p>
        </w:tc>
        <w:tc>
          <w:tcPr>
            <w:vAlign w:val="center"/>
            <w:tcBorders>
              <w:top w:val="single" w:sz="4" w:space="0" w:color="auto"/>
              <w:left w:val="single" w:sz="4" w:space="0" w:color="auto"/>
              <w:bottom w:val="single" w:sz="4" w:space="0" w:color="auto"/>
              <w:right w:val="single" w:sz="4" w:space="0" w:color="auto"/>
            </w:tcBorders>
          </w:tcPr>
          <w:p w14:paraId="001000FA" w14:textId="00100121">
            <w:pPr>
              <w:pStyle w:val="Normal"/>
              <w:jc w:val="left"/>
            </w:pPr>
            <w:r>
              <w:t xml:space="preserve">18.9 tCO2e / revenue unit</w:t>
            </w:r>
          </w:p>
        </w:tc>
        <w:tc>
          <w:tcPr>
            <w:vAlign w:val="center"/>
            <w:tcBorders>
              <w:top w:val="single" w:sz="4" w:space="0" w:color="auto"/>
              <w:left w:val="single" w:sz="4" w:space="0" w:color="auto"/>
              <w:bottom w:val="single" w:sz="4" w:space="0" w:color="auto"/>
              <w:right w:val="single" w:sz="4" w:space="0" w:color="auto"/>
            </w:tcBorders>
          </w:tcPr>
          <w:p w14:paraId="001000FC" w14:textId="00100122">
            <w:pPr>
              <w:pStyle w:val="Normal"/>
              <w:jc w:val="left"/>
            </w:pPr>
            <w:r>
              <w:t xml:space="preserve">20.1 tCO2e / revenue unit</w:t>
            </w:r>
          </w:p>
        </w:tc>
        <w:tc>
          <w:tcPr>
            <w:vAlign w:val="center"/>
            <w:tcBorders>
              <w:top w:val="single" w:sz="4" w:space="0" w:color="auto"/>
              <w:left w:val="single" w:sz="4" w:space="0" w:color="auto"/>
              <w:bottom w:val="single" w:sz="4" w:space="0" w:color="auto"/>
              <w:right w:val="single" w:sz="4" w:space="0" w:color="auto"/>
            </w:tcBorders>
          </w:tcPr>
          <w:p w14:paraId="001000FE" w14:textId="00100123">
            <w:pPr>
              <w:pStyle w:val="Normal"/>
              <w:jc w:val="left"/>
            </w:pPr>
            <w:r>
              <w:t xml:space="preserve">-6.0%</w:t>
            </w:r>
          </w:p>
        </w:tc>
      </w:tr>
    </w:tbl>
    <w:p w14:paraId="00100124" w14:textId="00100125">
      <w:pPr>
        <w:pStyle w:val="Normal"/>
        <w:jc w:val="left"/>
      </w:pPr>
      <w:r>
        <w:t xml:space="preserve">Table 1. Year in review performance indicators</w:t>
      </w:r>
    </w:p>
    <w:p w14:paraId="00100126" w14:textId="00100127">
      <w:pPr>
        <w:pStyle w:val="Normal"/>
        <w:jc w:val="left"/>
      </w:pPr>
      <w:r>
        <w:drawing>
          <wp:inline distT="0" distB="0" distL="0" distR="0">
            <wp:extent cx="4320000" cy="3600000"/>
            <wp:effectExtent l="0" t="0" r="0" b="0"/>
            <wp:docPr id="2" name="F04.png" descr=""/>
            <wp:cNvGraphicFramePr>
              <a:graphicFrameLocks noChangeAspect="1"/>
            </wp:cNvGraphicFramePr>
            <a:graphic>
              <a:graphicData uri="http://schemas.openxmlformats.org/drawingml/2006/picture">
                <pic:pic>
                  <pic:nvPicPr>
                    <pic:cNvPr id="2" name="F04.png"/>
                    <pic:cNvPicPr/>
                  </pic:nvPicPr>
                  <pic:blipFill>
                    <a:blip r:embed="R05800261e22643b6" cstate="print"/>
                    <a:stretch>
                      <a:fillRect/>
                    </a:stretch>
                  </pic:blipFill>
                  <pic:spPr>
                    <a:xfrm>
                      <a:off x="0" y="0"/>
                      <a:ext cx="3960000" cy="3960000"/>
                    </a:xfrm>
                    <a:prstGeom prst="rect">
                      <a:avLst/>
                    </a:prstGeom>
                  </pic:spPr>
                </pic:pic>
              </a:graphicData>
            </a:graphic>
          </wp:inline>
        </w:drawing>
      </w:r>
    </w:p>
    <w:p w14:paraId="00100128" w14:textId="00100129">
      <w:pPr>
        <w:pStyle w:val="Normal"/>
        <w:jc w:val="left"/>
      </w:pPr>
      <w:r>
        <w:t xml:space="preserve">Figure 1. Annual performance chart by revenue, operating profit, and operating cash flow</w:t>
      </w:r>
    </w:p>
    <w:p w14:paraId="00101CEC" w14:textId="00101CED">
      <w:pPr>
        <w:pStyle w:val="Normal"/>
        <w:jc w:val="left"/>
        <w:sectPr>
          <w:type w:val="nextPage"/>
          <w:pgSz w:w="11906" w:h="16838"/>
          <w:pgMar w:top="1440" w:right="1440" w:bottom="1440" w:left="1440" w:header="1440" w:footer="1440" w:gutter="0"/>
          <w:cols w:space="720" w:num="1"/>
        </w:sectPr>
      </w:pPr>
    </w:p>
    <w:p w14:paraId="0010012E" w14:textId="0010012F">
      <w:pPr>
        <w:pStyle w:val="Normal"/>
        <w:jc w:val="left"/>
      </w:pPr>
      <w:r>
        <w:t xml:space="preserve">Chapter 1 Group Overview</w:t>
      </w:r>
    </w:p>
    <w:p w14:paraId="00100130" w14:textId="00100131">
      <w:pPr>
        <w:pStyle w:val="Normal"/>
        <w:jc w:val="left"/>
      </w:pPr>
      <w:r>
        <w:t xml:space="preserve">Rivermark Holdings is an integrated operating group serving industrial, consumer, and infrastructure markets through a portfolio designed to balance growth, resilience, and cash generation. This chapter explains how the group is organized, what it does, and how its strategy is translated into measurable value for shareholders, customers, employees, suppliers, communities, and regulators. It also sets out the structural features of the business that support execution, including ownership discipline, segment coordination, regional reach, and the operating model used to allocate capital and capabilities across the portfolio.</w:t>
      </w:r>
    </w:p>
    <w:p w14:paraId="00100132" w14:textId="00100133">
      <w:pPr>
        <w:pStyle w:val="Normal"/>
        <w:jc w:val="left"/>
      </w:pPr>
      <w:r>
        <w:t xml:space="preserve">During the reporting year, the group continued to strengthen its platform by improving commercial selectivity, expanding higher-value offerings, and tightening operational control across core businesses. Management focused on profitable growth rather than volume alone, with particular attention to recurring revenue, service intensity, cash conversion, safety performance, and digital enablement. The overview therefore combines financial and nonfinancial dimensions: it describes not only where Rivermark Holdings earns returns, but also how those returns depend on customer trust, workforce capability, disciplined governance, and responsible resource use. The discussion that follows provides the foundation for the more detailed segment, financial, governance, risk, and sustainability disclosures presented in later chapters.</w:t>
      </w:r>
    </w:p>
    <w:p w14:paraId="00100134" w14:textId="00100135">
      <w:pPr>
        <w:pStyle w:val="Normal"/>
        <w:jc w:val="left"/>
      </w:pPr>
      <w:r>
        <w:t xml:space="preserve">1. Who We Are</w:t>
      </w:r>
    </w:p>
    <w:p w14:paraId="00100136" w14:textId="00100137">
      <w:pPr>
        <w:pStyle w:val="Normal"/>
        <w:jc w:val="left"/>
      </w:pPr>
      <w:r>
        <w:t xml:space="preserve">Rivermark Holdings is a diversified group operating through three reportable segments: Industrial Solutions, Consumer Platforms, and Infrastructure Services. Across these businesses, the group supplies products, services, and project capabilities that support customers in manufacturing, distribution, essential infrastructure, and end-consumer channels. The portfolio is intentionally mixed. Industrial Solutions provides technical products and service capabilities with a focus on reliability and operating efficiency; Consumer Platforms combines brand, channel, and customer-data capabilities to drive repeat demand; Infrastructure Services delivers project execution, asset support, and contract-based service activity that contributes longer-duration revenue visibility.</w:t>
      </w:r>
    </w:p>
    <w:p w14:paraId="00100138" w14:textId="00100139">
      <w:pPr>
        <w:pStyle w:val="Normal"/>
        <w:jc w:val="left"/>
      </w:pPr>
      <w:r>
        <w:t xml:space="preserve">The group’s identity is grounded in disciplined capital allocation and active portfolio management rather than passive ownership. Rivermark Holdings sets strategic direction, performance expectations, risk parameters, and governance standards at group level, while operating management teams retain responsibility for execution in their markets. This model allows local responsiveness without diluting control over safety, conduct, financial discipline, and reporting integrity. The group’s purpose is to create durable value by connecting capital, operational know-how, and market insight in businesses where scale, service quality, and execution reliability can produce defensible returns over time.</w:t>
      </w:r>
    </w:p>
    <w:p w14:paraId="0010013A" w14:textId="0010013B">
      <w:pPr>
        <w:pStyle w:val="Normal"/>
        <w:jc w:val="left"/>
      </w:pPr>
      <w:r>
        <w:t xml:space="preserve">At year end, Rivermark Holdings maintained operations across multiple regional markets, serving a broad customer base that ranges from institutional buyers and distributors to public-sector clients and households. Its principal activities include product development, sourcing, manufacturing coordination, logistics, customer servicing, project delivery, and lifecycle support. This breadth gives the group multiple earnings channels while also requiring consistent management systems to align performance across varied operating environments.</w:t>
      </w:r>
    </w:p>
    <w:p w14:paraId="0010013C" w14:textId="0010013D">
      <w:pPr>
        <w:pStyle w:val="Normal"/>
        <w:jc w:val="left"/>
      </w:pPr>
      <w:r>
        <w:t xml:space="preserve">1.1 Purpose and Value Creation</w:t>
      </w:r>
    </w:p>
    <w:p w14:paraId="0010013E" w14:textId="0010013F">
      <w:pPr>
        <w:pStyle w:val="Normal"/>
        <w:jc w:val="left"/>
      </w:pPr>
      <w:r>
        <w:t xml:space="preserve">Capital inputs and strategic resources are deployed into businesses where Rivermark Holdings can combine market access, operating capability, and disciplined oversight to generate sustainable returns. These inputs include financial capital, specialist talent, supplier relationships, data assets, infrastructure access, and established customer positions.</w:t>
      </w:r>
    </w:p>
    <w:p w14:paraId="00100140" w14:textId="00100141">
      <w:pPr>
        <w:pStyle w:val="Normal"/>
        <w:jc w:val="left"/>
      </w:pPr>
      <w:r>
        <w:t xml:space="preserve">Management converts these inputs into capability through portfolio design, investment selection, operating standards, digital tools, and governance processes. The group’s role is not limited to funding; it also sets risk appetite, performance thresholds, and leadership expectations so that each segment can scale efficiently while preserving control over quality, safety, compliance, and cash.</w:t>
      </w:r>
    </w:p>
    <w:p w14:paraId="00100142" w14:textId="00100143">
      <w:pPr>
        <w:pStyle w:val="Normal"/>
        <w:jc w:val="left"/>
      </w:pPr>
      <w:r>
        <w:t xml:space="preserve">Operating activities then transform capability into products, services, and solutions. Industrial Solutions emphasizes technical performance and service responsiveness; Consumer Platforms focuses on product relevance, channel effectiveness, and retention; Infrastructure Services relies on contract discipline, resource planning, and delivery execution. Across all segments, pricing discipline, service levels, innovation, and productivity are treated as core value levers.</w:t>
      </w:r>
    </w:p>
    <w:p w14:paraId="00100144" w14:textId="00100145">
      <w:pPr>
        <w:pStyle w:val="Normal"/>
        <w:jc w:val="left"/>
      </w:pPr>
      <w:r>
        <w:t xml:space="preserve">These activities produce outputs in the form of revenue, earnings, operating cash flow, customer relationships, intellectual property, trained workforces, and long-term market positions. Value is strengthened when outputs are repeatable and less dependent on one-time activity.</w:t>
      </w:r>
    </w:p>
    <w:p w14:paraId="00100146" w14:textId="00100147">
      <w:pPr>
        <w:pStyle w:val="Normal"/>
        <w:jc w:val="left"/>
      </w:pPr>
      <w:r>
        <w:t xml:space="preserve">Over time, those outputs lead to stakeholder outcomes: shareholders receive returns and resilience, customers gain dependable supply and service, employees access safer work and development opportunities, suppliers benefit from stable partnerships, and communities benefit from employment, compliance, and investment. The durability of value creation therefore depends on balancing short-term performance with long-term capability and responsible conduct.</w:t>
      </w:r>
    </w:p>
    <w:p w14:paraId="00100148" w14:textId="00100149">
      <w:pPr>
        <w:pStyle w:val="Normal"/>
        <w:jc w:val="left"/>
      </w:pPr>
      <w:r>
        <w:t xml:space="preserve">1.1.1 Stakeholder Outcomes</w:t>
      </w:r>
    </w:p>
    <w:p w14:paraId="0010014A" w14:textId="0010014B">
      <w:pPr>
        <w:pStyle w:val="Normal"/>
        <w:jc w:val="left"/>
      </w:pPr>
      <w:r>
        <w:t xml:space="preserve">Rivermark Holdings evaluates stakeholder outcomes through a framework that links operational delivery to wider business consequences. For shareholders, the primary outcomes are earnings quality, cash generation, balance-sheet resilience, and disciplined deployment of capital. For customers, outcomes are measured through continuity of supply, service reliability, product relevance, and contract performance. For employees, the group considers safety, engagement, development, retention, and fair reward as leading indicators of long-term operating strength. Regulators, communities, and business partners are considered through compliance, environmental stewardship, ethical conduct, local economic contribution, and transparency of reporting.</w:t>
      </w:r>
    </w:p>
    <w:p w14:paraId="0010014C" w14:textId="0010014D">
      <w:pPr>
        <w:pStyle w:val="Normal"/>
        <w:jc w:val="left"/>
      </w:pPr>
      <w:r>
        <w:t xml:space="preserve">These outcomes do not move independently. A stronger safety culture tends to support more consistent delivery; improved data quality strengthens both customer responsiveness and control effectiveness; investment in capability can raise productivity while also improving employee retention. For that reason, management reviews financial and nonfinancial indicators together rather than treating sustainability, governance, and operating performance as separate agendas. The group’s reporting boundaries therefore capture both direct business outputs and the conditions that sustain those outputs over time.</w:t>
      </w:r>
    </w:p>
    <w:p w14:paraId="0010014E" w14:textId="0010014F">
      <w:pPr>
        <w:pStyle w:val="Normal"/>
        <w:jc w:val="left"/>
      </w:pPr>
      <w:r>
        <w:t xml:space="preserve">In the reporting year, the most significant outcome themes were margin resilience under mixed demand conditions, retention of priority customers, continued improvement in operating discipline, and a stronger link between capital allocation decisions and measurable return thresholds. While external conditions remained uneven across markets, management’s view is that stakeholder confidence is best preserved when performance is communicated with transparency and supported by clear operational evidence.</w:t>
      </w:r>
    </w:p>
    <w:p w14:paraId="00100150" w14:textId="00100151">
      <w:pPr>
        <w:pStyle w:val="Normal"/>
        <w:jc w:val="left"/>
      </w:pPr>
      <w:r>
        <w:t xml:space="preserve">1.1.1.1 Value Creation Indicators</w:t>
      </w:r>
    </w:p>
    <w:p w14:paraId="00100152" w14:textId="00100153">
      <w:pPr>
        <w:pStyle w:val="Normal"/>
        <w:jc w:val="left"/>
      </w:pPr>
      <w:r>
        <w:t xml:space="preserve">Table 3 Value creation indicators and three-year trend summary</w:t>
      </w:r>
    </w:p>
    <w:p w14:paraId="00100154" w14:textId="00100155">
      <w:pPr>
        <w:pStyle w:val="Normal"/>
        <w:jc w:val="left"/>
      </w:pPr>
      <w:r>
        <w:t xml:space="preserve">Figure 4 Value creation indicator trend, 2022–2024</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156" w14:textId="001001B0">
            <w:pPr>
              <w:pStyle w:val="Normal"/>
              <w:jc w:val="left"/>
            </w:pPr>
            <w:r>
              <w:t xml:space="preserve">Indicator</w:t>
            </w:r>
          </w:p>
        </w:tc>
        <w:tc>
          <w:tcPr>
            <w:vAlign w:val="center"/>
            <w:tcBorders>
              <w:top w:val="single" w:sz="4" w:space="0" w:color="auto"/>
              <w:left w:val="single" w:sz="4" w:space="0" w:color="auto"/>
              <w:bottom w:val="single" w:sz="4" w:space="0" w:color="auto"/>
              <w:right w:val="single" w:sz="4" w:space="0" w:color="auto"/>
            </w:tcBorders>
          </w:tcPr>
          <w:p w14:paraId="00100158" w14:textId="001001B1">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15A" w14:textId="001001B2">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15C" w14:textId="001001B3">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15E" w14:textId="001001B4">
            <w:pPr>
              <w:pStyle w:val="Normal"/>
              <w:jc w:val="left"/>
            </w:pPr>
            <w:r>
              <w:t xml:space="preserve">Note</w:t>
            </w:r>
          </w:p>
        </w:tc>
      </w:tr>
      <w:tr>
        <w:tc>
          <w:tcPr>
            <w:vAlign w:val="center"/>
            <w:tcBorders>
              <w:top w:val="single" w:sz="4" w:space="0" w:color="auto"/>
              <w:left w:val="single" w:sz="4" w:space="0" w:color="auto"/>
              <w:bottom w:val="single" w:sz="4" w:space="0" w:color="auto"/>
              <w:right w:val="single" w:sz="4" w:space="0" w:color="auto"/>
            </w:tcBorders>
          </w:tcPr>
          <w:p w14:paraId="00100160" w14:textId="001001B5">
            <w:pPr>
              <w:pStyle w:val="Normal"/>
              <w:jc w:val="left"/>
            </w:pPr>
            <w:r>
              <w:t xml:space="preserve">Revenue (RVM million)</w:t>
            </w:r>
          </w:p>
        </w:tc>
        <w:tc>
          <w:tcPr>
            <w:vAlign w:val="center"/>
            <w:tcBorders>
              <w:top w:val="single" w:sz="4" w:space="0" w:color="auto"/>
              <w:left w:val="single" w:sz="4" w:space="0" w:color="auto"/>
              <w:bottom w:val="single" w:sz="4" w:space="0" w:color="auto"/>
              <w:right w:val="single" w:sz="4" w:space="0" w:color="auto"/>
            </w:tcBorders>
          </w:tcPr>
          <w:p w14:paraId="00100162" w14:textId="001001B6">
            <w:pPr>
              <w:pStyle w:val="Normal"/>
              <w:jc w:val="left"/>
            </w:pPr>
            <w:r>
              <w:t xml:space="preserve">8,940</w:t>
            </w:r>
          </w:p>
        </w:tc>
        <w:tc>
          <w:tcPr>
            <w:vAlign w:val="center"/>
            <w:tcBorders>
              <w:top w:val="single" w:sz="4" w:space="0" w:color="auto"/>
              <w:left w:val="single" w:sz="4" w:space="0" w:color="auto"/>
              <w:bottom w:val="single" w:sz="4" w:space="0" w:color="auto"/>
              <w:right w:val="single" w:sz="4" w:space="0" w:color="auto"/>
            </w:tcBorders>
          </w:tcPr>
          <w:p w14:paraId="00100164" w14:textId="001001B7">
            <w:pPr>
              <w:pStyle w:val="Normal"/>
              <w:jc w:val="left"/>
            </w:pPr>
            <w:r>
              <w:t xml:space="preserve">9,780</w:t>
            </w:r>
          </w:p>
        </w:tc>
        <w:tc>
          <w:tcPr>
            <w:vAlign w:val="center"/>
            <w:tcBorders>
              <w:top w:val="single" w:sz="4" w:space="0" w:color="auto"/>
              <w:left w:val="single" w:sz="4" w:space="0" w:color="auto"/>
              <w:bottom w:val="single" w:sz="4" w:space="0" w:color="auto"/>
              <w:right w:val="single" w:sz="4" w:space="0" w:color="auto"/>
            </w:tcBorders>
          </w:tcPr>
          <w:p w14:paraId="00100166" w14:textId="001001B8">
            <w:pPr>
              <w:pStyle w:val="Normal"/>
              <w:jc w:val="left"/>
            </w:pPr>
            <w:r>
              <w:t xml:space="preserve">10,460</w:t>
            </w:r>
          </w:p>
        </w:tc>
        <w:tc>
          <w:tcPr>
            <w:vAlign w:val="center"/>
            <w:tcBorders>
              <w:top w:val="single" w:sz="4" w:space="0" w:color="auto"/>
              <w:left w:val="single" w:sz="4" w:space="0" w:color="auto"/>
              <w:bottom w:val="single" w:sz="4" w:space="0" w:color="auto"/>
              <w:right w:val="single" w:sz="4" w:space="0" w:color="auto"/>
            </w:tcBorders>
          </w:tcPr>
          <w:p w14:paraId="00100168" w14:textId="001001B9">
            <w:pPr>
              <w:pStyle w:val="Normal"/>
              <w:jc w:val="left"/>
            </w:pPr>
            <w:r>
              <w:t xml:space="preserve">Reflects consolidated external revenue growth across all operating segments</w:t>
            </w:r>
          </w:p>
        </w:tc>
      </w:tr>
      <w:tr>
        <w:tc>
          <w:tcPr>
            <w:vAlign w:val="center"/>
            <w:tcBorders>
              <w:top w:val="single" w:sz="4" w:space="0" w:color="auto"/>
              <w:left w:val="single" w:sz="4" w:space="0" w:color="auto"/>
              <w:bottom w:val="single" w:sz="4" w:space="0" w:color="auto"/>
              <w:right w:val="single" w:sz="4" w:space="0" w:color="auto"/>
            </w:tcBorders>
          </w:tcPr>
          <w:p w14:paraId="0010016A" w14:textId="001001BA">
            <w:pPr>
              <w:pStyle w:val="Normal"/>
              <w:jc w:val="left"/>
            </w:pPr>
            <w:r>
              <w:t xml:space="preserve">Underlying operating margin</w:t>
            </w:r>
          </w:p>
        </w:tc>
        <w:tc>
          <w:tcPr>
            <w:vAlign w:val="center"/>
            <w:tcBorders>
              <w:top w:val="single" w:sz="4" w:space="0" w:color="auto"/>
              <w:left w:val="single" w:sz="4" w:space="0" w:color="auto"/>
              <w:bottom w:val="single" w:sz="4" w:space="0" w:color="auto"/>
              <w:right w:val="single" w:sz="4" w:space="0" w:color="auto"/>
            </w:tcBorders>
          </w:tcPr>
          <w:p w14:paraId="0010016C" w14:textId="001001BB">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16E" w14:textId="001001BC">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0170" w14:textId="001001BD">
            <w:pPr>
              <w:pStyle w:val="Normal"/>
              <w:jc w:val="left"/>
            </w:pPr>
            <w:r>
              <w:t xml:space="preserve">13.4%</w:t>
            </w:r>
          </w:p>
        </w:tc>
        <w:tc>
          <w:tcPr>
            <w:vAlign w:val="center"/>
            <w:tcBorders>
              <w:top w:val="single" w:sz="4" w:space="0" w:color="auto"/>
              <w:left w:val="single" w:sz="4" w:space="0" w:color="auto"/>
              <w:bottom w:val="single" w:sz="4" w:space="0" w:color="auto"/>
              <w:right w:val="single" w:sz="4" w:space="0" w:color="auto"/>
            </w:tcBorders>
          </w:tcPr>
          <w:p w14:paraId="00100172" w14:textId="001001BE">
            <w:pPr>
              <w:pStyle w:val="Normal"/>
              <w:jc w:val="left"/>
            </w:pPr>
            <w:r>
              <w:t xml:space="preserve">Improved through pricing discipline, mix enhancement, and efficiency actions</w:t>
            </w:r>
          </w:p>
        </w:tc>
      </w:tr>
      <w:tr>
        <w:tc>
          <w:tcPr>
            <w:vAlign w:val="center"/>
            <w:tcBorders>
              <w:top w:val="single" w:sz="4" w:space="0" w:color="auto"/>
              <w:left w:val="single" w:sz="4" w:space="0" w:color="auto"/>
              <w:bottom w:val="single" w:sz="4" w:space="0" w:color="auto"/>
              <w:right w:val="single" w:sz="4" w:space="0" w:color="auto"/>
            </w:tcBorders>
          </w:tcPr>
          <w:p w14:paraId="00100174" w14:textId="001001BF">
            <w:pPr>
              <w:pStyle w:val="Normal"/>
              <w:jc w:val="left"/>
            </w:pPr>
            <w:r>
              <w:t xml:space="preserve">Operating cash conversion</w:t>
            </w:r>
          </w:p>
        </w:tc>
        <w:tc>
          <w:tcPr>
            <w:vAlign w:val="center"/>
            <w:tcBorders>
              <w:top w:val="single" w:sz="4" w:space="0" w:color="auto"/>
              <w:left w:val="single" w:sz="4" w:space="0" w:color="auto"/>
              <w:bottom w:val="single" w:sz="4" w:space="0" w:color="auto"/>
              <w:right w:val="single" w:sz="4" w:space="0" w:color="auto"/>
            </w:tcBorders>
          </w:tcPr>
          <w:p w14:paraId="00100176" w14:textId="001001C0">
            <w:pPr>
              <w:pStyle w:val="Normal"/>
              <w:jc w:val="left"/>
            </w:pPr>
            <w:r>
              <w:t xml:space="preserve">86%</w:t>
            </w:r>
          </w:p>
        </w:tc>
        <w:tc>
          <w:tcPr>
            <w:vAlign w:val="center"/>
            <w:tcBorders>
              <w:top w:val="single" w:sz="4" w:space="0" w:color="auto"/>
              <w:left w:val="single" w:sz="4" w:space="0" w:color="auto"/>
              <w:bottom w:val="single" w:sz="4" w:space="0" w:color="auto"/>
              <w:right w:val="single" w:sz="4" w:space="0" w:color="auto"/>
            </w:tcBorders>
          </w:tcPr>
          <w:p w14:paraId="00100178" w14:textId="001001C1">
            <w:pPr>
              <w:pStyle w:val="Normal"/>
              <w:jc w:val="left"/>
            </w:pPr>
            <w:r>
              <w:t xml:space="preserve">92%</w:t>
            </w:r>
          </w:p>
        </w:tc>
        <w:tc>
          <w:tcPr>
            <w:vAlign w:val="center"/>
            <w:tcBorders>
              <w:top w:val="single" w:sz="4" w:space="0" w:color="auto"/>
              <w:left w:val="single" w:sz="4" w:space="0" w:color="auto"/>
              <w:bottom w:val="single" w:sz="4" w:space="0" w:color="auto"/>
              <w:right w:val="single" w:sz="4" w:space="0" w:color="auto"/>
            </w:tcBorders>
          </w:tcPr>
          <w:p w14:paraId="0010017A" w14:textId="001001C2">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17C" w14:textId="001001C3">
            <w:pPr>
              <w:pStyle w:val="Normal"/>
              <w:jc w:val="left"/>
            </w:pPr>
            <w:r>
              <w:t xml:space="preserve">Cash generated from operations as a percentage of underlying operating profit</w:t>
            </w:r>
          </w:p>
        </w:tc>
      </w:tr>
      <w:tr>
        <w:tc>
          <w:tcPr>
            <w:vAlign w:val="center"/>
            <w:tcBorders>
              <w:top w:val="single" w:sz="4" w:space="0" w:color="auto"/>
              <w:left w:val="single" w:sz="4" w:space="0" w:color="auto"/>
              <w:bottom w:val="single" w:sz="4" w:space="0" w:color="auto"/>
              <w:right w:val="single" w:sz="4" w:space="0" w:color="auto"/>
            </w:tcBorders>
          </w:tcPr>
          <w:p w14:paraId="0010017E" w14:textId="001001C4">
            <w:pPr>
              <w:pStyle w:val="Normal"/>
              <w:jc w:val="left"/>
            </w:pPr>
            <w:r>
              <w:t xml:space="preserve">Capital expenditure (RVM million)</w:t>
            </w:r>
          </w:p>
        </w:tc>
        <w:tc>
          <w:tcPr>
            <w:vAlign w:val="center"/>
            <w:tcBorders>
              <w:top w:val="single" w:sz="4" w:space="0" w:color="auto"/>
              <w:left w:val="single" w:sz="4" w:space="0" w:color="auto"/>
              <w:bottom w:val="single" w:sz="4" w:space="0" w:color="auto"/>
              <w:right w:val="single" w:sz="4" w:space="0" w:color="auto"/>
            </w:tcBorders>
          </w:tcPr>
          <w:p w14:paraId="00100180" w14:textId="001001C5">
            <w:pPr>
              <w:pStyle w:val="Normal"/>
              <w:jc w:val="left"/>
            </w:pPr>
            <w:r>
              <w:t xml:space="preserve">420</w:t>
            </w:r>
          </w:p>
        </w:tc>
        <w:tc>
          <w:tcPr>
            <w:vAlign w:val="center"/>
            <w:tcBorders>
              <w:top w:val="single" w:sz="4" w:space="0" w:color="auto"/>
              <w:left w:val="single" w:sz="4" w:space="0" w:color="auto"/>
              <w:bottom w:val="single" w:sz="4" w:space="0" w:color="auto"/>
              <w:right w:val="single" w:sz="4" w:space="0" w:color="auto"/>
            </w:tcBorders>
          </w:tcPr>
          <w:p w14:paraId="00100182" w14:textId="001001C6">
            <w:pPr>
              <w:pStyle w:val="Normal"/>
              <w:jc w:val="left"/>
            </w:pPr>
            <w:r>
              <w:t xml:space="preserve">468</w:t>
            </w:r>
          </w:p>
        </w:tc>
        <w:tc>
          <w:tcPr>
            <w:vAlign w:val="center"/>
            <w:tcBorders>
              <w:top w:val="single" w:sz="4" w:space="0" w:color="auto"/>
              <w:left w:val="single" w:sz="4" w:space="0" w:color="auto"/>
              <w:bottom w:val="single" w:sz="4" w:space="0" w:color="auto"/>
              <w:right w:val="single" w:sz="4" w:space="0" w:color="auto"/>
            </w:tcBorders>
          </w:tcPr>
          <w:p w14:paraId="00100184" w14:textId="001001C7">
            <w:pPr>
              <w:pStyle w:val="Normal"/>
              <w:jc w:val="left"/>
            </w:pPr>
            <w:r>
              <w:t xml:space="preserve">512</w:t>
            </w:r>
          </w:p>
        </w:tc>
        <w:tc>
          <w:tcPr>
            <w:vAlign w:val="center"/>
            <w:tcBorders>
              <w:top w:val="single" w:sz="4" w:space="0" w:color="auto"/>
              <w:left w:val="single" w:sz="4" w:space="0" w:color="auto"/>
              <w:bottom w:val="single" w:sz="4" w:space="0" w:color="auto"/>
              <w:right w:val="single" w:sz="4" w:space="0" w:color="auto"/>
            </w:tcBorders>
          </w:tcPr>
          <w:p w14:paraId="00100186" w14:textId="001001C8">
            <w:pPr>
              <w:pStyle w:val="Normal"/>
              <w:jc w:val="left"/>
            </w:pPr>
            <w:r>
              <w:t xml:space="preserve">Investment focused on automation, digital platforms, and service capacity</w:t>
            </w:r>
          </w:p>
        </w:tc>
      </w:tr>
      <w:tr>
        <w:tc>
          <w:tcPr>
            <w:vAlign w:val="center"/>
            <w:tcBorders>
              <w:top w:val="single" w:sz="4" w:space="0" w:color="auto"/>
              <w:left w:val="single" w:sz="4" w:space="0" w:color="auto"/>
              <w:bottom w:val="single" w:sz="4" w:space="0" w:color="auto"/>
              <w:right w:val="single" w:sz="4" w:space="0" w:color="auto"/>
            </w:tcBorders>
          </w:tcPr>
          <w:p w14:paraId="00100188" w14:textId="001001C9">
            <w:pPr>
              <w:pStyle w:val="Normal"/>
              <w:jc w:val="left"/>
            </w:pPr>
            <w:r>
              <w:t xml:space="preserve">Lost-time injury frequency rate</w:t>
            </w:r>
          </w:p>
        </w:tc>
        <w:tc>
          <w:tcPr>
            <w:vAlign w:val="center"/>
            <w:tcBorders>
              <w:top w:val="single" w:sz="4" w:space="0" w:color="auto"/>
              <w:left w:val="single" w:sz="4" w:space="0" w:color="auto"/>
              <w:bottom w:val="single" w:sz="4" w:space="0" w:color="auto"/>
              <w:right w:val="single" w:sz="4" w:space="0" w:color="auto"/>
            </w:tcBorders>
          </w:tcPr>
          <w:p w14:paraId="0010018A" w14:textId="001001CA">
            <w:pPr>
              <w:pStyle w:val="Normal"/>
              <w:jc w:val="left"/>
            </w:pPr>
            <w:r>
              <w:t xml:space="preserve">1.12</w:t>
            </w:r>
          </w:p>
        </w:tc>
        <w:tc>
          <w:tcPr>
            <w:vAlign w:val="center"/>
            <w:tcBorders>
              <w:top w:val="single" w:sz="4" w:space="0" w:color="auto"/>
              <w:left w:val="single" w:sz="4" w:space="0" w:color="auto"/>
              <w:bottom w:val="single" w:sz="4" w:space="0" w:color="auto"/>
              <w:right w:val="single" w:sz="4" w:space="0" w:color="auto"/>
            </w:tcBorders>
          </w:tcPr>
          <w:p w14:paraId="0010018C" w14:textId="001001CB">
            <w:pPr>
              <w:pStyle w:val="Normal"/>
              <w:jc w:val="left"/>
            </w:pPr>
            <w:r>
              <w:t xml:space="preserve">0.98</w:t>
            </w:r>
          </w:p>
        </w:tc>
        <w:tc>
          <w:tcPr>
            <w:vAlign w:val="center"/>
            <w:tcBorders>
              <w:top w:val="single" w:sz="4" w:space="0" w:color="auto"/>
              <w:left w:val="single" w:sz="4" w:space="0" w:color="auto"/>
              <w:bottom w:val="single" w:sz="4" w:space="0" w:color="auto"/>
              <w:right w:val="single" w:sz="4" w:space="0" w:color="auto"/>
            </w:tcBorders>
          </w:tcPr>
          <w:p w14:paraId="0010018E" w14:textId="001001CC">
            <w:pPr>
              <w:pStyle w:val="Normal"/>
              <w:jc w:val="left"/>
            </w:pPr>
            <w:r>
              <w:t xml:space="preserve">0.83</w:t>
            </w:r>
          </w:p>
        </w:tc>
        <w:tc>
          <w:tcPr>
            <w:vAlign w:val="center"/>
            <w:tcBorders>
              <w:top w:val="single" w:sz="4" w:space="0" w:color="auto"/>
              <w:left w:val="single" w:sz="4" w:space="0" w:color="auto"/>
              <w:bottom w:val="single" w:sz="4" w:space="0" w:color="auto"/>
              <w:right w:val="single" w:sz="4" w:space="0" w:color="auto"/>
            </w:tcBorders>
          </w:tcPr>
          <w:p w14:paraId="00100190" w14:textId="001001CD">
            <w:pPr>
              <w:pStyle w:val="Normal"/>
              <w:jc w:val="left"/>
            </w:pPr>
            <w:r>
              <w:t xml:space="preserve">Cases per million hours worked across controlled operations</w:t>
            </w:r>
          </w:p>
        </w:tc>
      </w:tr>
      <w:tr>
        <w:tc>
          <w:tcPr>
            <w:vAlign w:val="center"/>
            <w:tcBorders>
              <w:top w:val="single" w:sz="4" w:space="0" w:color="auto"/>
              <w:left w:val="single" w:sz="4" w:space="0" w:color="auto"/>
              <w:bottom w:val="single" w:sz="4" w:space="0" w:color="auto"/>
              <w:right w:val="single" w:sz="4" w:space="0" w:color="auto"/>
            </w:tcBorders>
          </w:tcPr>
          <w:p w14:paraId="00100192" w14:textId="001001CE">
            <w:pPr>
              <w:pStyle w:val="Normal"/>
              <w:jc w:val="left"/>
            </w:pPr>
            <w:r>
              <w:t xml:space="preserve">Scope 1 and 2 emissions (tCO2e)</w:t>
            </w:r>
          </w:p>
        </w:tc>
        <w:tc>
          <w:tcPr>
            <w:vAlign w:val="center"/>
            <w:tcBorders>
              <w:top w:val="single" w:sz="4" w:space="0" w:color="auto"/>
              <w:left w:val="single" w:sz="4" w:space="0" w:color="auto"/>
              <w:bottom w:val="single" w:sz="4" w:space="0" w:color="auto"/>
              <w:right w:val="single" w:sz="4" w:space="0" w:color="auto"/>
            </w:tcBorders>
          </w:tcPr>
          <w:p w14:paraId="00100194" w14:textId="001001CF">
            <w:pPr>
              <w:pStyle w:val="Normal"/>
              <w:jc w:val="left"/>
            </w:pPr>
            <w:r>
              <w:t xml:space="preserve">214,000</w:t>
            </w:r>
          </w:p>
        </w:tc>
        <w:tc>
          <w:tcPr>
            <w:vAlign w:val="center"/>
            <w:tcBorders>
              <w:top w:val="single" w:sz="4" w:space="0" w:color="auto"/>
              <w:left w:val="single" w:sz="4" w:space="0" w:color="auto"/>
              <w:bottom w:val="single" w:sz="4" w:space="0" w:color="auto"/>
              <w:right w:val="single" w:sz="4" w:space="0" w:color="auto"/>
            </w:tcBorders>
          </w:tcPr>
          <w:p w14:paraId="00100196" w14:textId="001001D0">
            <w:pPr>
              <w:pStyle w:val="Normal"/>
              <w:jc w:val="left"/>
            </w:pPr>
            <w:r>
              <w:t xml:space="preserve">201,500</w:t>
            </w:r>
          </w:p>
        </w:tc>
        <w:tc>
          <w:tcPr>
            <w:vAlign w:val="center"/>
            <w:tcBorders>
              <w:top w:val="single" w:sz="4" w:space="0" w:color="auto"/>
              <w:left w:val="single" w:sz="4" w:space="0" w:color="auto"/>
              <w:bottom w:val="single" w:sz="4" w:space="0" w:color="auto"/>
              <w:right w:val="single" w:sz="4" w:space="0" w:color="auto"/>
            </w:tcBorders>
          </w:tcPr>
          <w:p w14:paraId="00100198" w14:textId="001001D1">
            <w:pPr>
              <w:pStyle w:val="Normal"/>
              <w:jc w:val="left"/>
            </w:pPr>
            <w:r>
              <w:t xml:space="preserve">189,300</w:t>
            </w:r>
          </w:p>
        </w:tc>
        <w:tc>
          <w:tcPr>
            <w:vAlign w:val="center"/>
            <w:tcBorders>
              <w:top w:val="single" w:sz="4" w:space="0" w:color="auto"/>
              <w:left w:val="single" w:sz="4" w:space="0" w:color="auto"/>
              <w:bottom w:val="single" w:sz="4" w:space="0" w:color="auto"/>
              <w:right w:val="single" w:sz="4" w:space="0" w:color="auto"/>
            </w:tcBorders>
          </w:tcPr>
          <w:p w14:paraId="0010019A" w14:textId="001001D2">
            <w:pPr>
              <w:pStyle w:val="Normal"/>
              <w:jc w:val="left"/>
            </w:pPr>
            <w:r>
              <w:t xml:space="preserve">Market-based emissions from manufacturing, fleet, and purchased energy</w:t>
            </w:r>
          </w:p>
        </w:tc>
      </w:tr>
      <w:tr>
        <w:tc>
          <w:tcPr>
            <w:vAlign w:val="center"/>
            <w:tcBorders>
              <w:top w:val="single" w:sz="4" w:space="0" w:color="auto"/>
              <w:left w:val="single" w:sz="4" w:space="0" w:color="auto"/>
              <w:bottom w:val="single" w:sz="4" w:space="0" w:color="auto"/>
              <w:right w:val="single" w:sz="4" w:space="0" w:color="auto"/>
            </w:tcBorders>
          </w:tcPr>
          <w:p w14:paraId="0010019C" w14:textId="001001D3">
            <w:pPr>
              <w:pStyle w:val="Normal"/>
              <w:jc w:val="left"/>
            </w:pPr>
            <w:r>
              <w:t xml:space="preserve">Employee engagement score</w:t>
            </w:r>
          </w:p>
        </w:tc>
        <w:tc>
          <w:tcPr>
            <w:vAlign w:val="center"/>
            <w:tcBorders>
              <w:top w:val="single" w:sz="4" w:space="0" w:color="auto"/>
              <w:left w:val="single" w:sz="4" w:space="0" w:color="auto"/>
              <w:bottom w:val="single" w:sz="4" w:space="0" w:color="auto"/>
              <w:right w:val="single" w:sz="4" w:space="0" w:color="auto"/>
            </w:tcBorders>
          </w:tcPr>
          <w:p w14:paraId="0010019E" w14:textId="001001D4">
            <w:pPr>
              <w:pStyle w:val="Normal"/>
              <w:jc w:val="left"/>
            </w:pPr>
            <w:r>
              <w:t xml:space="preserve">72</w:t>
            </w:r>
          </w:p>
        </w:tc>
        <w:tc>
          <w:tcPr>
            <w:vAlign w:val="center"/>
            <w:tcBorders>
              <w:top w:val="single" w:sz="4" w:space="0" w:color="auto"/>
              <w:left w:val="single" w:sz="4" w:space="0" w:color="auto"/>
              <w:bottom w:val="single" w:sz="4" w:space="0" w:color="auto"/>
              <w:right w:val="single" w:sz="4" w:space="0" w:color="auto"/>
            </w:tcBorders>
          </w:tcPr>
          <w:p w14:paraId="001001A0" w14:textId="001001D5">
            <w:pPr>
              <w:pStyle w:val="Normal"/>
              <w:jc w:val="left"/>
            </w:pPr>
            <w:r>
              <w:t xml:space="preserve">76</w:t>
            </w:r>
          </w:p>
        </w:tc>
        <w:tc>
          <w:tcPr>
            <w:vAlign w:val="center"/>
            <w:tcBorders>
              <w:top w:val="single" w:sz="4" w:space="0" w:color="auto"/>
              <w:left w:val="single" w:sz="4" w:space="0" w:color="auto"/>
              <w:bottom w:val="single" w:sz="4" w:space="0" w:color="auto"/>
              <w:right w:val="single" w:sz="4" w:space="0" w:color="auto"/>
            </w:tcBorders>
          </w:tcPr>
          <w:p w14:paraId="001001A2" w14:textId="001001D6">
            <w:pPr>
              <w:pStyle w:val="Normal"/>
              <w:jc w:val="left"/>
            </w:pPr>
            <w:r>
              <w:t xml:space="preserve">79</w:t>
            </w:r>
          </w:p>
        </w:tc>
        <w:tc>
          <w:tcPr>
            <w:vAlign w:val="center"/>
            <w:tcBorders>
              <w:top w:val="single" w:sz="4" w:space="0" w:color="auto"/>
              <w:left w:val="single" w:sz="4" w:space="0" w:color="auto"/>
              <w:bottom w:val="single" w:sz="4" w:space="0" w:color="auto"/>
              <w:right w:val="single" w:sz="4" w:space="0" w:color="auto"/>
            </w:tcBorders>
          </w:tcPr>
          <w:p w14:paraId="001001A4" w14:textId="001001D7">
            <w:pPr>
              <w:pStyle w:val="Normal"/>
              <w:jc w:val="left"/>
            </w:pPr>
            <w:r>
              <w:t xml:space="preserve">Annual survey result expressed as favorable response percentage</w:t>
            </w:r>
          </w:p>
        </w:tc>
      </w:tr>
      <w:tr>
        <w:tc>
          <w:tcPr>
            <w:vAlign w:val="center"/>
            <w:tcBorders>
              <w:top w:val="single" w:sz="4" w:space="0" w:color="auto"/>
              <w:left w:val="single" w:sz="4" w:space="0" w:color="auto"/>
              <w:bottom w:val="single" w:sz="4" w:space="0" w:color="auto"/>
              <w:right w:val="single" w:sz="4" w:space="0" w:color="auto"/>
            </w:tcBorders>
          </w:tcPr>
          <w:p w14:paraId="001001A6" w14:textId="001001D8">
            <w:pPr>
              <w:pStyle w:val="Normal"/>
              <w:jc w:val="left"/>
            </w:pPr>
            <w:r>
              <w:t xml:space="preserve">Community investment (RVM million)</w:t>
            </w:r>
          </w:p>
        </w:tc>
        <w:tc>
          <w:tcPr>
            <w:vAlign w:val="center"/>
            <w:tcBorders>
              <w:top w:val="single" w:sz="4" w:space="0" w:color="auto"/>
              <w:left w:val="single" w:sz="4" w:space="0" w:color="auto"/>
              <w:bottom w:val="single" w:sz="4" w:space="0" w:color="auto"/>
              <w:right w:val="single" w:sz="4" w:space="0" w:color="auto"/>
            </w:tcBorders>
          </w:tcPr>
          <w:p w14:paraId="001001A8" w14:textId="001001D9">
            <w:pPr>
              <w:pStyle w:val="Normal"/>
              <w:jc w:val="left"/>
            </w:pPr>
            <w:r>
              <w:t xml:space="preserve">18.4</w:t>
            </w:r>
          </w:p>
        </w:tc>
        <w:tc>
          <w:tcPr>
            <w:vAlign w:val="center"/>
            <w:tcBorders>
              <w:top w:val="single" w:sz="4" w:space="0" w:color="auto"/>
              <w:left w:val="single" w:sz="4" w:space="0" w:color="auto"/>
              <w:bottom w:val="single" w:sz="4" w:space="0" w:color="auto"/>
              <w:right w:val="single" w:sz="4" w:space="0" w:color="auto"/>
            </w:tcBorders>
          </w:tcPr>
          <w:p w14:paraId="001001AA" w14:textId="001001DA">
            <w:pPr>
              <w:pStyle w:val="Normal"/>
              <w:jc w:val="left"/>
            </w:pPr>
            <w:r>
              <w:t xml:space="preserve">20.1</w:t>
            </w:r>
          </w:p>
        </w:tc>
        <w:tc>
          <w:tcPr>
            <w:vAlign w:val="center"/>
            <w:tcBorders>
              <w:top w:val="single" w:sz="4" w:space="0" w:color="auto"/>
              <w:left w:val="single" w:sz="4" w:space="0" w:color="auto"/>
              <w:bottom w:val="single" w:sz="4" w:space="0" w:color="auto"/>
              <w:right w:val="single" w:sz="4" w:space="0" w:color="auto"/>
            </w:tcBorders>
          </w:tcPr>
          <w:p w14:paraId="001001AC" w14:textId="001001DB">
            <w:pPr>
              <w:pStyle w:val="Normal"/>
              <w:jc w:val="left"/>
            </w:pPr>
            <w:r>
              <w:t xml:space="preserve">22.7</w:t>
            </w:r>
          </w:p>
        </w:tc>
        <w:tc>
          <w:tcPr>
            <w:vAlign w:val="center"/>
            <w:tcBorders>
              <w:top w:val="single" w:sz="4" w:space="0" w:color="auto"/>
              <w:left w:val="single" w:sz="4" w:space="0" w:color="auto"/>
              <w:bottom w:val="single" w:sz="4" w:space="0" w:color="auto"/>
              <w:right w:val="single" w:sz="4" w:space="0" w:color="auto"/>
            </w:tcBorders>
          </w:tcPr>
          <w:p w14:paraId="001001AE" w14:textId="001001DC">
            <w:pPr>
              <w:pStyle w:val="Normal"/>
              <w:jc w:val="left"/>
            </w:pPr>
            <w:r>
              <w:t xml:space="preserve">Cash contributions and in-kind support to approved community programs</w:t>
            </w:r>
          </w:p>
        </w:tc>
      </w:tr>
    </w:tbl>
    <w:p w14:paraId="001001DD" w14:textId="001001DE">
      <w:pPr>
        <w:pStyle w:val="Normal"/>
        <w:jc w:val="left"/>
      </w:pPr>
      <w:r>
        <w:drawing>
          <wp:inline distT="0" distB="0" distL="0" distR="0">
            <wp:extent cx="3600000" cy="3600000"/>
            <wp:effectExtent l="0" t="0" r="0" b="0"/>
            <wp:docPr id="3" name="FigValueCreation.png" descr=""/>
            <wp:cNvGraphicFramePr>
              <a:graphicFrameLocks noChangeAspect="1"/>
            </wp:cNvGraphicFramePr>
            <a:graphic>
              <a:graphicData uri="http://schemas.openxmlformats.org/drawingml/2006/picture">
                <pic:pic>
                  <pic:nvPicPr>
                    <pic:cNvPr id="3" name="FigValueCreation.png"/>
                    <pic:cNvPicPr/>
                  </pic:nvPicPr>
                  <pic:blipFill>
                    <a:blip r:embed="R9e9005c3e2f4424d" cstate="print"/>
                    <a:stretch>
                      <a:fillRect/>
                    </a:stretch>
                  </pic:blipFill>
                  <pic:spPr>
                    <a:xfrm>
                      <a:off x="0" y="0"/>
                      <a:ext cx="3960000" cy="3960000"/>
                    </a:xfrm>
                    <a:prstGeom prst="rect">
                      <a:avLst/>
                    </a:prstGeom>
                  </pic:spPr>
                </pic:pic>
              </a:graphicData>
            </a:graphic>
          </wp:inline>
        </w:drawing>
      </w:r>
    </w:p>
    <w:p w14:paraId="001001DF" w14:textId="001001E0">
      <w:pPr>
        <w:pStyle w:val="Normal"/>
        <w:jc w:val="left"/>
      </w:pPr>
      <w:r>
        <w:t xml:space="preserve">1.1.1.1.1 Indicator Definitions</w:t>
      </w:r>
    </w:p>
    <w:p w14:paraId="001001E1" w14:textId="001001E2">
      <w:pPr>
        <w:pStyle w:val="Normal"/>
        <w:jc w:val="left"/>
      </w:pPr>
      <w:r>
        <w:t xml:space="preserve">The indicators in Table 3 are intended to show how Rivermark Holdings converts strategic inputs into outcomes for shareholders, customers, employees, communities, and regulators. Financial indicators, including revenue, underlying operating margin, operating cash conversion, and capital expenditure, are reported on a consolidated basis and align with the management reporting perimeter used by the Executive Committee. These measures are designed to illustrate both current-year performance and the extent to which earnings are being translated into cash and reinvested for future growth.</w:t>
      </w:r>
    </w:p>
    <w:p w14:paraId="001001E3" w14:textId="001001E4">
      <w:pPr>
        <w:pStyle w:val="Normal"/>
        <w:jc w:val="left"/>
      </w:pPr>
      <w:r>
        <w:t xml:space="preserve">Nonfinancial indicators are reported for the operating entities under management control during the reporting year. The lost-time injury frequency rate covers employees and supervised contractors within controlled sites. Scope 1 and 2 emissions are measured using operational control principles and include energy consumed in industrial facilities, logistics assets, and offices where the Group bears direct operating responsibility. The employee engagement score is derived from the annual people survey using a consistent methodology across segments, while community investment includes approved direct funding, equipment donations, and program support provided through local operating businesses.</w:t>
      </w:r>
    </w:p>
    <w:p w14:paraId="001001E5" w14:textId="001001E6">
      <w:pPr>
        <w:pStyle w:val="Normal"/>
        <w:jc w:val="left"/>
      </w:pPr>
      <w:r>
        <w:t xml:space="preserve">Taken together, the indicator set is not intended to replace statutory or note-level disclosures. Rather, it serves as a concise value-creation dashboard, helping readers interpret whether financial progress has been accompanied by improvements in safety, environmental efficiency, workforce commitment, and local contribution.</w:t>
      </w:r>
    </w:p>
    <w:p w14:paraId="001001E7" w14:textId="001001E8">
      <w:pPr>
        <w:pStyle w:val="Normal"/>
        <w:jc w:val="left"/>
      </w:pPr>
      <w:r>
        <w:t xml:space="preserve">1.1.1.1.1 Trend Interpretation</w:t>
      </w:r>
    </w:p>
    <w:p w14:paraId="001001E9" w14:textId="001001EA">
      <w:pPr>
        <w:pStyle w:val="Normal"/>
        <w:jc w:val="left"/>
      </w:pPr>
      <w:r>
        <w:t xml:space="preserve">The three-year trend shows a business that has strengthened both earnings quality and operating resilience. Revenue growth in 2024 was supported by a more favorable product and service mix, disciplined pricing in Industrial Solutions, and steadier contract conversion in Infrastructure Services. Margin expansion outpaced revenue growth, indicating that the Group did not rely solely on volume recovery; procurement savings, network optimization, and digital workflow improvements also reduced controllable operating cost. The corresponding rise in cash conversion suggests that profit growth was accompanied by tighter working-capital management rather than by an increase in noncash earnings.</w:t>
      </w:r>
    </w:p>
    <w:p w14:paraId="001001EB" w14:textId="001001EC">
      <w:pPr>
        <w:pStyle w:val="Normal"/>
        <w:jc w:val="left"/>
      </w:pPr>
      <w:r>
        <w:t xml:space="preserve">The nonfinancial trends provide an important counterbalance to the financial results. The decline in lost-time injury frequency rate reflects the effect of frontline hazard reviews, standardized permit-to-work controls, and wider use of predictive maintenance in higher-risk environments. Lower Scope 1 and 2 emissions were driven by energy-efficiency projects, increased renewable electricity purchases, and gradual fleet modernization, although the pace of reduction differed by segment according to asset intensity and local grid conditions. The improvement in employee engagement indicates better workforce sentiment during a period of operational change, helped by leadership communication, internal mobility, and skills development programs.</w:t>
      </w:r>
    </w:p>
    <w:p w14:paraId="001001ED" w14:textId="001001EE">
      <w:pPr>
        <w:pStyle w:val="Normal"/>
        <w:jc w:val="left"/>
      </w:pPr>
      <w:r>
        <w:t xml:space="preserve">Community investment increased alongside profitability, which is consistent with management's stated intention to expand local impact as the business grows. Overall, the trend pattern indicates that value creation has become broader in quality: stronger returns, better cash discipline, lower incident rates, and measurable progress on environmental and social commitments.</w:t>
      </w:r>
    </w:p>
    <w:p w14:paraId="001001EF" w14:textId="001001F0">
      <w:pPr>
        <w:pStyle w:val="Normal"/>
        <w:jc w:val="left"/>
      </w:pPr>
      <w:r>
        <w:t xml:space="preserve">1.1.1.1 Material Topics</w:t>
      </w:r>
    </w:p>
    <w:p w14:paraId="001001F1" w14:textId="001001F2">
      <w:pPr>
        <w:pStyle w:val="Normal"/>
        <w:jc w:val="left"/>
      </w:pPr>
      <w:r>
        <w:t xml:space="preserve">Rivermark Holdings defines material topics as the matters most capable of influencing stakeholder decisions, long-term enterprise value, and the Group's ability to execute strategy responsibly. In this report, materiality is considered through both financial impact and stakeholder significance. This means that a topic may be included because it can affect earnings, cash flows, asset values, or cost of capital, or because it has a meaningful effect on people, communities, customers, or the environment and therefore influences the Group's operating license and long-term competitiveness.</w:t>
      </w:r>
    </w:p>
    <w:p w14:paraId="001001F3" w14:textId="001001F4">
      <w:pPr>
        <w:pStyle w:val="Normal"/>
        <w:jc w:val="left"/>
      </w:pPr>
      <w:r>
        <w:t xml:space="preserve">The boundaries of material topics extend beyond the legal parent company. For financial reporting, the primary boundary follows the consolidated Group. For sustainability and governance matters, the reporting boundary may extend to joint operating environments, supervised contractors, key suppliers, product distribution channels, or communities located near major facilities when those relationships create significant exposure or responsibility. For example, climate and energy topics are reported principally for controlled operations, while human rights, supply continuity, and product responsibility considerations include selected upstream and downstream dimensions where risk is material.</w:t>
      </w:r>
    </w:p>
    <w:p w14:paraId="001001F5" w14:textId="001001F6">
      <w:pPr>
        <w:pStyle w:val="Normal"/>
        <w:jc w:val="left"/>
      </w:pPr>
      <w:r>
        <w:t xml:space="preserve">Material topics in the current year include safety, customer reliability, cash generation, climate transition, cyber resilience, talent retention, project execution, responsible conduct, and regulatory compliance. These matters recur across sections of the annual report because they are not isolated disclosures; they shape investment decisions, performance management, risk oversight, and the credibility of Rivermark Holdings' long-term strategy.</w:t>
      </w:r>
    </w:p>
    <w:p w14:paraId="001001F7" w14:textId="001001F8">
      <w:pPr>
        <w:pStyle w:val="Normal"/>
        <w:jc w:val="left"/>
      </w:pPr>
      <w:r>
        <w:t xml:space="preserve">1.1.1.1.2 Topic Prioritization</w:t>
      </w:r>
    </w:p>
    <w:p w14:paraId="001001F9" w14:textId="001001FA">
      <w:pPr>
        <w:pStyle w:val="Normal"/>
        <w:jc w:val="left"/>
      </w:pPr>
      <w:r>
        <w:t xml:space="preserve">The prioritization process combines structured management assessment with direct stakeholder input. During the reporting cycle, the Group gathered evidence from investor meetings, customer reviews, employee surveys, site-level risk registers, internal audit results, regulatory developments, lender discussions, and Board committee deliberations. Topics were then assessed against a common set of criteria: potential financial magnitude, likelihood of occurrence, time horizon, impact on strategy delivery, reputational sensitivity, regulatory scrutiny, and relevance to core stakeholder groups.</w:t>
      </w:r>
    </w:p>
    <w:p w14:paraId="001001FB" w14:textId="001001FC">
      <w:pPr>
        <w:pStyle w:val="Normal"/>
        <w:jc w:val="left"/>
      </w:pPr>
      <w:r>
        <w:t xml:space="preserve">Management uses a calibration process to distinguish between matters that are important to monitor and matters that are sufficiently significant to be treated as reportable priorities. A topic rises in priority when it has cross-segment implications, requires capital allocation or policy intervention, or could materially alter performance, resilience, or trust. This year, cyber resilience and supply continuity remained highly ranked because they affect multiple operating platforms, while workforce capability rose in importance due to automation, service digitization, and competition for specialized technical talent. Climate transition also retained high priority given energy costs, customer expectations, and the need to align asset investment with decarbonization pathways.</w:t>
      </w:r>
    </w:p>
    <w:p w14:paraId="001001FD" w14:textId="001001FE">
      <w:pPr>
        <w:pStyle w:val="Normal"/>
        <w:jc w:val="left"/>
      </w:pPr>
      <w:r>
        <w:t xml:space="preserve">The result is a focused materiality set rather than an exhaustive catalog of issues. By concentrating on the topics with the greatest strategic and operational consequence, Rivermark Holdings is able to assign clearer accountability, define relevant metrics, and align disclosures with the concerns most likely to influence enterprise performance and stakeholder confidence.</w:t>
      </w:r>
    </w:p>
    <w:p w14:paraId="001001FF" w14:textId="00100200">
      <w:pPr>
        <w:pStyle w:val="Normal"/>
        <w:jc w:val="left"/>
      </w:pPr>
      <w:r>
        <w:t xml:space="preserve">1.1.1.1.2 Management Responses</w:t>
      </w:r>
    </w:p>
    <w:p w14:paraId="00100201" w14:textId="00100202">
      <w:pPr>
        <w:pStyle w:val="Normal"/>
        <w:jc w:val="left"/>
      </w:pPr>
      <w:r>
        <w:t xml:space="preserve">Management responses during the year were directed toward the issues most frequently raised by investors, customers, employees, regulators, and community partners. In relation to cost pressure and earnings quality, Rivermark Holdings expanded procurement discipline, tightened project stage-gates, and introduced a monthly margin review across all operating segments. To address customer concerns on delivery reliability and product continuity, the Group increased buffer capacity in critical lines, diversified selected suppliers, and accelerated digital demand-planning tools in Industrial Solutions and Consumer Platforms.</w:t>
      </w:r>
    </w:p>
    <w:p w14:paraId="00100203" w14:textId="00100204">
      <w:pPr>
        <w:pStyle w:val="Normal"/>
        <w:jc w:val="left"/>
      </w:pPr>
      <w:r>
        <w:t xml:space="preserve">On sustainability and workforce matters, the Group linked site-level operating plans to measurable targets for energy efficiency, safety performance, inclusion, and skills development. Training completion for frontline supervisors was raised through a common operating curriculum, while each segment adopted escalation protocols for incidents with potential environmental, conduct, or service impact. The Group also strengthened engagement with local authorities and community organizations in regions where Infrastructure Services is expanding its project base.</w:t>
      </w:r>
    </w:p>
    <w:p w14:paraId="00100205" w14:textId="00100206">
      <w:pPr>
        <w:pStyle w:val="Normal"/>
        <w:jc w:val="left"/>
      </w:pPr>
      <w:r>
        <w:t xml:space="preserve">These actions did not eliminate uncertainty, but they improved management visibility and response speed. The practical effect was a more disciplined balance between growth initiatives and control expectations: stakeholders increasingly asked not only what Rivermark Holdings intends to achieve, but how consistently it can execute. The year’s response therefore combined investment, operational controls, and clearer accountability at business-unit level.</w:t>
      </w:r>
    </w:p>
    <w:p w14:paraId="00100207" w14:textId="00100208">
      <w:pPr>
        <w:pStyle w:val="Normal"/>
        <w:jc w:val="left"/>
      </w:pPr>
      <w:r>
        <w:t xml:space="preserve">1.1.1 Business Model</w:t>
      </w:r>
    </w:p>
    <w:p w14:paraId="00100209" w14:textId="0010020A">
      <w:pPr>
        <w:pStyle w:val="Normal"/>
        <w:jc w:val="left"/>
      </w:pPr>
      <w:r>
        <w:drawing>
          <wp:inline distT="0" distB="0" distL="0" distR="0">
            <wp:extent cx="4680000" cy="2160000"/>
            <wp:effectExtent l="0" t="0" r="0" b="0"/>
            <wp:docPr id="4" name="FigBusinessModel.png" descr=""/>
            <wp:cNvGraphicFramePr>
              <a:graphicFrameLocks noChangeAspect="1"/>
            </wp:cNvGraphicFramePr>
            <a:graphic>
              <a:graphicData uri="http://schemas.openxmlformats.org/drawingml/2006/picture">
                <pic:pic>
                  <pic:nvPicPr>
                    <pic:cNvPr id="4" name="FigBusinessModel.png"/>
                    <pic:cNvPicPr/>
                  </pic:nvPicPr>
                  <pic:blipFill>
                    <a:blip r:embed="R220296e82df8420d" cstate="print"/>
                    <a:stretch>
                      <a:fillRect/>
                    </a:stretch>
                  </pic:blipFill>
                  <pic:spPr>
                    <a:xfrm>
                      <a:off x="0" y="0"/>
                      <a:ext cx="5040000" cy="2520000"/>
                    </a:xfrm>
                    <a:prstGeom prst="rect">
                      <a:avLst/>
                    </a:prstGeom>
                  </pic:spPr>
                </pic:pic>
              </a:graphicData>
            </a:graphic>
          </wp:inline>
        </w:drawing>
      </w:r>
    </w:p>
    <w:p w14:paraId="0010020B" w14:textId="0010020C">
      <w:pPr>
        <w:pStyle w:val="Normal"/>
        <w:jc w:val="left"/>
      </w:pPr>
      <w:r>
        <w:t xml:space="preserve">Figure 8 Business model of Rivermark Holdings from inputs and capabilities to outputs and stakeholder outcomes.</w:t>
      </w:r>
    </w:p>
    <w:p w14:paraId="0010020D" w14:textId="0010020E">
      <w:pPr>
        <w:pStyle w:val="Normal"/>
        <w:jc w:val="left"/>
      </w:pPr>
      <w:r>
        <w:t xml:space="preserve">1.1 Group Structure</w:t>
      </w:r>
    </w:p>
    <w:p w14:paraId="0010020F" w14:textId="00100210">
      <w:pPr>
        <w:pStyle w:val="Normal"/>
        <w:jc w:val="left"/>
      </w:pPr>
      <w:r>
        <w:drawing>
          <wp:inline distT="0" distB="0" distL="0" distR="0">
            <wp:extent cx="5400000" cy="2520000"/>
            <wp:effectExtent l="0" t="0" r="0" b="0"/>
            <wp:docPr id="5" name="FigGroupStructure.png" descr=""/>
            <wp:cNvGraphicFramePr>
              <a:graphicFrameLocks noChangeAspect="1"/>
            </wp:cNvGraphicFramePr>
            <a:graphic>
              <a:graphicData uri="http://schemas.openxmlformats.org/drawingml/2006/picture">
                <pic:pic>
                  <pic:nvPicPr>
                    <pic:cNvPr id="5" name="FigGroupStructure.png"/>
                    <pic:cNvPicPr/>
                  </pic:nvPicPr>
                  <pic:blipFill>
                    <a:blip r:embed="R0f93a2ee48bc4724" cstate="print"/>
                    <a:stretch>
                      <a:fillRect/>
                    </a:stretch>
                  </pic:blipFill>
                  <pic:spPr>
                    <a:xfrm>
                      <a:off x="0" y="0"/>
                      <a:ext cx="5040000" cy="2880000"/>
                    </a:xfrm>
                    <a:prstGeom prst="rect">
                      <a:avLst/>
                    </a:prstGeom>
                  </pic:spPr>
                </pic:pic>
              </a:graphicData>
            </a:graphic>
          </wp:inline>
        </w:drawing>
      </w:r>
    </w:p>
    <w:p w14:paraId="00100211" w14:textId="00100212">
      <w:pPr>
        <w:pStyle w:val="Normal"/>
        <w:jc w:val="left"/>
      </w:pPr>
      <w:r>
        <w:t xml:space="preserve">Figure 9 Simplified structure of Rivermark Holdings showing principal holding, segment, and oversight relationships.</w:t>
      </w:r>
    </w:p>
    <w:p w14:paraId="00100213" w14:textId="00100214">
      <w:pPr>
        <w:pStyle w:val="Normal"/>
        <w:jc w:val="left"/>
      </w:pPr>
      <w:r>
        <w:t xml:space="preserve">1.1.2 Ownership and Control</w:t>
      </w:r>
    </w:p>
    <w:p w14:paraId="00100215" w14:textId="00100216">
      <w:pPr>
        <w:pStyle w:val="Normal"/>
        <w:jc w:val="left"/>
      </w:pPr>
      <w:r>
        <w:t xml:space="preserve">Rivermark Holdings operates through a parent holding company and a portfolio of controlled subsidiaries organized around the Industrial Solutions, Consumer Platforms, and Infrastructure Services segments. Strategic direction, capital allocation, treasury policy, and core governance standards are set centrally by the Board and Group Executive Committee, while day-to-day commercial and operating decisions are delegated to segment leadership within approved authorities. This structure is intended to preserve entrepreneurial responsiveness in end markets while maintaining common standards for risk, financial control, ethics, and performance management.</w:t>
      </w:r>
    </w:p>
    <w:p w14:paraId="00100217" w14:textId="00100218">
      <w:pPr>
        <w:pStyle w:val="Normal"/>
        <w:jc w:val="left"/>
      </w:pPr>
      <w:r>
        <w:t xml:space="preserve">Control is exercised through ownership interests, board representation, reserved-matter approvals, and a formal delegation-of-authority framework. Material acquisitions, disposals, major contracts, and financing decisions require escalation to Group level when they exceed defined thresholds. Shared functions including finance, legal, internal audit, people and culture, technology, and sustainability provide policy oversight and monitoring support across the portfolio.</w:t>
      </w:r>
    </w:p>
    <w:p w14:paraId="00100219" w14:textId="0010021A">
      <w:pPr>
        <w:pStyle w:val="Normal"/>
        <w:jc w:val="left"/>
      </w:pPr>
      <w:r>
        <w:t xml:space="preserve">The Group’s ownership and control model also supports comparability of results. Reporting packages, internal controls, and planning assumptions are aligned across subsidiaries, enabling management to assess segment performance on a consistent basis and intervene promptly where execution diverges from plan. In practice, the model combines centralized stewardship with distributed operating accountability, which remains an important feature of the Group’s resilience and scale discipline.</w:t>
      </w:r>
    </w:p>
    <w:p w14:paraId="0010021B" w14:textId="0010021C">
      <w:pPr>
        <w:pStyle w:val="Normal"/>
        <w:jc w:val="left"/>
      </w:pPr>
      <w:r>
        <w:t xml:space="preserve">1.1.2 Operating Footprint</w:t>
      </w:r>
    </w:p>
    <w:p w14:paraId="0010021D" w14:textId="0010021E">
      <w:pPr>
        <w:pStyle w:val="Normal"/>
        <w:jc w:val="left"/>
      </w:pPr>
      <w:r>
        <w:drawing>
          <wp:inline distT="0" distB="0" distL="0" distR="0">
            <wp:extent cx="4680000" cy="2880000"/>
            <wp:effectExtent l="0" t="0" r="0" b="0"/>
            <wp:docPr id="6" name="FigFootprint.png" descr=""/>
            <wp:cNvGraphicFramePr>
              <a:graphicFrameLocks noChangeAspect="1"/>
            </wp:cNvGraphicFramePr>
            <a:graphic>
              <a:graphicData uri="http://schemas.openxmlformats.org/drawingml/2006/picture">
                <pic:pic>
                  <pic:nvPicPr>
                    <pic:cNvPr id="6" name="FigFootprint.png"/>
                    <pic:cNvPicPr/>
                  </pic:nvPicPr>
                  <pic:blipFill>
                    <a:blip r:embed="Reb843d91a8f14d48" cstate="print"/>
                    <a:stretch>
                      <a:fillRect/>
                    </a:stretch>
                  </pic:blipFill>
                  <pic:spPr>
                    <a:xfrm>
                      <a:off x="0" y="0"/>
                      <a:ext cx="5040000" cy="3240000"/>
                    </a:xfrm>
                    <a:prstGeom prst="rect">
                      <a:avLst/>
                    </a:prstGeom>
                  </pic:spPr>
                </pic:pic>
              </a:graphicData>
            </a:graphic>
          </wp:inline>
        </w:drawing>
      </w:r>
    </w:p>
    <w:p w14:paraId="0010021F" w14:textId="00100220">
      <w:pPr>
        <w:pStyle w:val="Normal"/>
        <w:jc w:val="left"/>
      </w:pPr>
      <w:r>
        <w:t xml:space="preserve">Figure 10 Geographic footprint of Rivermark Holdings by operating region, service locations, and selected strategic hubs.</w:t>
      </w:r>
    </w:p>
    <w:p w14:paraId="00100221" w14:textId="00100222">
      <w:pPr>
        <w:pStyle w:val="Normal"/>
        <w:jc w:val="left"/>
      </w:pPr>
      <w:r>
        <w:t xml:space="preserve">Rivermark Holdings maintains a diversified operating footprint across domestic metropolitan corridors, secondary industrial regions, and selected cross-border commercial markets. Industrial Solutions is concentrated near manufacturing and logistics clusters where customer demand requires technical support, short lead times, and dependable service coverage. Consumer Platforms has a broader market-facing presence through distribution channels, fulfillment points, and digital customer interfaces, while Infrastructure Services operates from project offices and mobile delivery bases positioned near active contracts and pipeline opportunities.</w:t>
      </w:r>
    </w:p>
    <w:p w14:paraId="00100223" w14:textId="00100224">
      <w:pPr>
        <w:pStyle w:val="Normal"/>
        <w:jc w:val="left"/>
      </w:pPr>
      <w:r>
        <w:t xml:space="preserve">This geographic spread provides commercial reach but also requires disciplined coordination. Regional diversity reduces dependence on any single market, yet it exposes the Group to different regulatory conditions, labor availability, utility costs, and infrastructure constraints. During the year, management refined its footprint by expanding capacity in higher-growth corridors, consolidating smaller overlapping locations, and increasing support resources in areas with stronger customer acquisition and contract renewal potential.</w:t>
      </w:r>
    </w:p>
    <w:p w14:paraId="00100225" w14:textId="00100226">
      <w:pPr>
        <w:pStyle w:val="Normal"/>
        <w:jc w:val="left"/>
      </w:pPr>
      <w:r>
        <w:t xml:space="preserve">The resulting footprint reflects a balance between scale and proximity. Sites are expected not only to serve local customers efficiently, but also to contribute data, talent, and operating insight into the wider Group network. As a result, the footprint is not simply a map of assets; it is a platform for market access, execution flexibility, and long-term portfolio development.</w:t>
      </w:r>
    </w:p>
    <w:p w14:paraId="00100227" w14:textId="00100228">
      <w:pPr>
        <w:pStyle w:val="Normal"/>
        <w:jc w:val="left"/>
      </w:pPr>
      <w:r>
        <w:t xml:space="preserve">1. Strategy and Outlook</w:t>
      </w:r>
    </w:p>
    <w:p w14:paraId="00100229" w14:textId="0010022A">
      <w:pPr>
        <w:pStyle w:val="Normal"/>
        <w:jc w:val="left"/>
      </w:pPr>
      <w:r>
        <w:t xml:space="preserve">Rivermark Holdings entered the year in a strategic transition from portfolio stabilization toward more selective growth. Earlier efforts had focused on strengthening operating discipline, simplifying reporting lines, improving cash conversion, and restoring consistency in segment execution. With those foundations more firmly established, the Group’s strategic emphasis has shifted to scaling advantaged capabilities, deepening customer relationships, and deploying capital into areas where returns can be defended through expertise, recurring demand, or differentiated service models.</w:t>
      </w:r>
    </w:p>
    <w:p w14:paraId="0010022B" w14:textId="0010022C">
      <w:pPr>
        <w:pStyle w:val="Normal"/>
        <w:jc w:val="left"/>
      </w:pPr>
      <w:r>
        <w:t xml:space="preserve">The transition does not imply a departure from caution. Management continues to frame strategy around a dual requirement: grow where the Group has clear competitive relevance, and preserve resilience where markets remain volatile. This is particularly important in the current environment of changing customer procurement behavior, uneven input-cost trends, and continuing regulatory scrutiny across safety, data, and environmental performance. As a result, strategic planning for the next cycle combines growth ambitions with explicit productivity, liquidity, and control commitments.</w:t>
      </w:r>
    </w:p>
    <w:p w14:paraId="0010022D" w14:textId="0010022E">
      <w:pPr>
        <w:pStyle w:val="Normal"/>
        <w:jc w:val="left"/>
      </w:pPr>
      <w:r>
        <w:t xml:space="preserve">The sections that follow outline the Group’s priority programs and forward indicators. Together they show how Rivermark Holdings intends to translate its operating base, market position, and governance structure into durable value creation over the medium term, while remaining responsive to uncertainty in demand, pricing, and execution conditions.</w:t>
      </w:r>
    </w:p>
    <w:p w14:paraId="0010022F" w14:textId="00100230">
      <w:pPr>
        <w:pStyle w:val="Normal"/>
        <w:jc w:val="left"/>
      </w:pPr>
      <w:r>
        <w:t xml:space="preserve">1.2 Strategic Priorities</w:t>
      </w:r>
    </w:p>
    <w:p w14:paraId="00100231" w14:textId="00100232">
      <w:pPr>
        <w:pStyle w:val="Normal"/>
        <w:jc w:val="left"/>
      </w:pPr>
      <w:r>
        <w:t xml:space="preserve">Portfolio expansion in selected industrial automation, consumer services, and infrastructure maintenance niches where Rivermark Holdings already has customer access, technical credibility, and pricing discipline.</w:t>
      </w:r>
    </w:p>
    <w:p w14:paraId="00100233" w14:textId="00100234">
      <w:pPr>
        <w:pStyle w:val="Normal"/>
        <w:jc w:val="left"/>
      </w:pPr>
      <w:r>
        <w:t xml:space="preserve">Digital enablement of commercial, service, and reporting processes, including shared data platforms, workflow automation, demand forecasting, and customer-facing tools that improve speed and visibility.</w:t>
      </w:r>
    </w:p>
    <w:p w14:paraId="00100235" w14:textId="00100236">
      <w:pPr>
        <w:pStyle w:val="Normal"/>
        <w:jc w:val="left"/>
      </w:pPr>
      <w:r>
        <w:t xml:space="preserve">Operational excellence across procurement, manufacturing, field delivery, and support functions through lean process redesign, network optimization, and tighter asset utilization.</w:t>
      </w:r>
    </w:p>
    <w:p w14:paraId="00100237" w14:textId="00100238">
      <w:pPr>
        <w:pStyle w:val="Normal"/>
        <w:jc w:val="left"/>
      </w:pPr>
      <w:r>
        <w:t xml:space="preserve">Disciplined capital allocation focused on projects with clear strategic fit, resilient cash returns, manageable execution risk, and measurable contribution to segment competitiveness.</w:t>
      </w:r>
    </w:p>
    <w:p w14:paraId="00100239" w14:textId="0010023A">
      <w:pPr>
        <w:pStyle w:val="Normal"/>
        <w:jc w:val="left"/>
      </w:pPr>
      <w:r>
        <w:t xml:space="preserve">People and capability development, with emphasis on technical leadership, frontline productivity, succession depth, safety leadership, and retention in critical roles.</w:t>
      </w:r>
    </w:p>
    <w:p w14:paraId="0010023B" w14:textId="0010023C">
      <w:pPr>
        <w:pStyle w:val="Normal"/>
        <w:jc w:val="left"/>
      </w:pPr>
      <w:r>
        <w:t xml:space="preserve">Sustainability integration into investment, product development, and operations so that energy efficiency, resource productivity, and compliance readiness support both resilience and market access.</w:t>
      </w:r>
    </w:p>
    <w:p w14:paraId="0010023D" w14:textId="0010023E">
      <w:pPr>
        <w:pStyle w:val="Normal"/>
        <w:jc w:val="left"/>
      </w:pPr>
      <w:r>
        <w:t xml:space="preserve">1.2.1 Growth Platforms</w:t>
      </w:r>
    </w:p>
    <w:p w14:paraId="0010023F" w14:textId="00100240">
      <w:pPr>
        <w:pStyle w:val="Normal"/>
        <w:jc w:val="left"/>
      </w:pPr>
      <w:r>
        <w:t xml:space="preserve">Rivermark Holdings continues to concentrate growth investment in platforms where the Group can combine scale, recurring customer demand, and differentiated execution. In Industrial Solutions, this includes automation components, aftermarket service packages, and engineered systems tailored to customers seeking higher uptime and lower lifecycle cost. In Consumer Platforms, growth is centered on data-enabled service models, channel expansion, and selective product adjacency that lifts wallet share without diluting brand positioning. In Infrastructure Services, the Group is targeting longer-duration maintenance frameworks, upgrade programs, and specialist delivery packages in regulated and mission-critical environments.</w:t>
      </w:r>
    </w:p>
    <w:p w14:paraId="00100241" w14:textId="00100242">
      <w:pPr>
        <w:pStyle w:val="Normal"/>
        <w:jc w:val="left"/>
      </w:pPr>
      <w:r>
        <w:t xml:space="preserve">These platforms are supported by a common set of capabilities: customer analytics, cross-segment key-account management, technical design expertise, and a disciplined approach to bolt-on partnerships and organic capacity build-out. Management evaluates each platform against addressable market size, margin resilience, cash conversion, and the time required to achieve scaled returns. The result is a portfolio approach that favors steady compounding rather than volume growth alone.</w:t>
      </w:r>
    </w:p>
    <w:p w14:paraId="00100243" w14:textId="00100244">
      <w:pPr>
        <w:pStyle w:val="Normal"/>
        <w:jc w:val="left"/>
      </w:pPr>
      <w:r>
        <w:t xml:space="preserve">During the year, progress was reflected in improved order quality, broader service penetration, and a larger proportion of revenue derived from repeat and contracted relationships. This provides a more stable base for future expansion while allowing the Group to respond selectively to cyclical opportunities.</w:t>
      </w:r>
    </w:p>
    <w:p w14:paraId="00100245" w14:textId="00100246">
      <w:pPr>
        <w:pStyle w:val="Normal"/>
        <w:jc w:val="left"/>
      </w:pPr>
      <w:r>
        <w:t xml:space="preserve">1.2.1 Efficiency Programs</w:t>
      </w:r>
    </w:p>
    <w:p w14:paraId="00100247" w14:textId="00100248">
      <w:pPr>
        <w:pStyle w:val="Normal"/>
        <w:jc w:val="left"/>
      </w:pPr>
      <w:r>
        <w:t xml:space="preserve">The Group’s efficiency agenda is designed to improve resilience as much as cost performance. The principal programs in the year included procurement consolidation, SKU rationalization, support-function standardization, and selective automation in finance, customer service, and operational planning. These measures were paired with network reviews across warehouses, service hubs, and project mobilization points to reduce duplication and improve response times.</w:t>
      </w:r>
    </w:p>
    <w:p w14:paraId="00100249" w14:textId="0010024A">
      <w:pPr>
        <w:pStyle w:val="Normal"/>
        <w:jc w:val="left"/>
      </w:pPr>
      <w:r>
        <w:t xml:space="preserve">A second stream of work focused on productivity at the operating edge. Industrial Solutions increased preventive maintenance discipline and reduced changeover losses in key production lines. Consumer Platforms streamlined campaign planning and fulfillment workflows, improving throughput while lowering manual intervention. Infrastructure Services tightened project controls, workforce scheduling, and subcontractor governance to reduce rework and improve margin protection on live contracts.</w:t>
      </w:r>
    </w:p>
    <w:p w14:paraId="0010024B" w14:textId="0010024C">
      <w:pPr>
        <w:pStyle w:val="Normal"/>
        <w:jc w:val="left"/>
      </w:pPr>
      <w:r>
        <w:t xml:space="preserve">Management tracks benefits through unit-cost trends, overhead absorption, service levels, working-capital release, and cash conversion rather than through cost cuts in isolation. Some savings were reinvested in digital tools, technical hiring, and compliance capabilities where those expenditures strengthen the operating model. Overall, the programs advanced the Group’s objective of creating a simpler, faster, and more adaptable organization capable of protecting returns under mixed market conditions.</w:t>
      </w:r>
    </w:p>
    <w:p w14:paraId="0010024D" w14:textId="0010024E">
      <w:pPr>
        <w:pStyle w:val="Normal"/>
        <w:jc w:val="left"/>
      </w:pPr>
      <w:r>
        <w:t xml:space="preserve">1.2 Outlook and Priorities</w:t>
      </w:r>
    </w:p>
    <w:p w14:paraId="0010024F" w14:textId="00100250">
      <w:pPr>
        <w:pStyle w:val="Normal"/>
        <w:jc w:val="left"/>
      </w:pPr>
      <w:r>
        <w:t xml:space="preserve">Rivermark Holdings enters the next reporting period with a constructive but measured outlook. Core demand in essential service, maintenance, and replacement categories remains comparatively resilient, and the Group’s diversified segment base provides some protection against weakness in any single market. At the same time, management expects customer decision cycles to remain uneven, particularly where projects depend on discretionary capital budgets, imported inputs, or policy-linked approvals.</w:t>
      </w:r>
    </w:p>
    <w:p w14:paraId="00100251" w14:textId="00100252">
      <w:pPr>
        <w:pStyle w:val="Normal"/>
        <w:jc w:val="left"/>
      </w:pPr>
      <w:r>
        <w:t xml:space="preserve">The near-term priority is to protect quality of earnings while sustaining selective growth investment. This means maintaining pricing discipline, preserving service reliability, and advancing the capability programs that support recurring revenue and productivity gains. Capital deployment will remain focused on high-conviction projects, while liquidity, covenant headroom, and working-capital control will continue to be managed conservatively.</w:t>
      </w:r>
    </w:p>
    <w:p w14:paraId="00100253" w14:textId="00100254">
      <w:pPr>
        <w:pStyle w:val="Normal"/>
        <w:jc w:val="left"/>
      </w:pPr>
      <w:r>
        <w:t xml:space="preserve">The principal uncertainties relate to inflation persistence, interest-rate paths, labor availability in specialist roles, supply-chain reliability for certain components, and shifts in regulatory requirements affecting customers and operating sites. Management’s planning assumptions therefore emphasize scenario readiness over point forecasting. Across the Group, business plans for the coming year are built on a base case of moderate demand progression, with contingency actions prepared for sharper volatility in input costs, customer timing, or compliance obligations.</w:t>
      </w:r>
    </w:p>
    <w:p w14:paraId="00100255" w14:textId="00100256">
      <w:pPr>
        <w:pStyle w:val="Normal"/>
        <w:jc w:val="left"/>
      </w:pPr>
      <w:r>
        <w:t xml:space="preserve">1.2.2 Market Conditions</w:t>
      </w:r>
    </w:p>
    <w:p w14:paraId="00100257" w14:textId="00100258">
      <w:pPr>
        <w:pStyle w:val="Normal"/>
        <w:jc w:val="left"/>
      </w:pPr>
      <w:r>
        <w:t xml:space="preserve">The external environment remains defined by mixed demand signals across sectors and regions. Industrial end-markets continue to support maintenance, automation upgrades, and reliability spending, but larger expansion projects are subject to more rigorous approval thresholds. Consumer-facing activity has been steadier in value-oriented and service-led categories, while premium and discretionary purchases show greater sensitivity to financing costs and household confidence. Infrastructure markets remain supported by asset-renewal needs and compliance-driven work, although procurement cycles can lengthen when public or regulated counterparties reassess budget phasing.</w:t>
      </w:r>
    </w:p>
    <w:p w14:paraId="00100259" w14:textId="0010025A">
      <w:pPr>
        <w:pStyle w:val="Normal"/>
        <w:jc w:val="left"/>
      </w:pPr>
      <w:r>
        <w:t xml:space="preserve">Input-cost inflation has moderated from prior peaks, yet pricing remains volatile in selected materials, logistics lanes, and specialized labor pools. Currency movements also continue to affect imported components and translation of earnings from certain operations. In response, the Group has emphasized indexed contracts where appropriate, disciplined bidding, dual sourcing, and inventory planning for critical items.</w:t>
      </w:r>
    </w:p>
    <w:p w14:paraId="0010025B" w14:textId="0010025C">
      <w:pPr>
        <w:pStyle w:val="Normal"/>
        <w:jc w:val="left"/>
      </w:pPr>
      <w:r>
        <w:t xml:space="preserve">Regulatory conditions are tightening in areas such as product standards, environmental performance, data controls, and workplace compliance. While this raises administrative and investment requirements, it also creates demand for higher-specification products, better reporting capabilities, and reliable service partners. Rivermark Holdings believes its operating discipline, customer intimacy, and balanced exposure across segments position it reasonably well within these conditions, though execution agility remains essential.</w:t>
      </w:r>
    </w:p>
    <w:p w14:paraId="0010025D" w14:textId="0010025E">
      <w:pPr>
        <w:pStyle w:val="Normal"/>
        <w:jc w:val="left"/>
      </w:pPr>
      <w:r>
        <w:t xml:space="preserve">1.2.2 Forward Indicators</w:t>
      </w:r>
    </w:p>
    <w:p w14:paraId="0010025F" w14:textId="00100260">
      <w:pPr>
        <w:pStyle w:val="Normal"/>
        <w:jc w:val="left"/>
      </w:pPr>
      <w:r>
        <w:t xml:space="preserve">Management monitors a focused set of forward indicators to assess whether strategy execution remains aligned with market conditions. The most important commercial measures are order intake, qualified pipeline coverage, renewal rates on service agreements, and the share of revenue backed by repeat or contracted customer relationships. These indicators help distinguish short-term revenue timing from underlying demand quality and are reviewed monthly at segment and Group level.</w:t>
      </w:r>
    </w:p>
    <w:p w14:paraId="00100261" w14:textId="00100262">
      <w:pPr>
        <w:pStyle w:val="Normal"/>
        <w:jc w:val="left"/>
      </w:pPr>
      <w:r>
        <w:t xml:space="preserve">Operational leading measures include backlog age, on-time delivery, utilization of critical assets and field teams, procurement lead times, and digital process adoption. In addition, the Group tracks pricing realization, overhead run-rate, and working-capital turns as early warnings of margin pressure or cash strain. Talent retention in specialist roles, safety performance, and compliance observations are also treated as forward-looking indicators because they influence execution reliability and growth capacity.</w:t>
      </w:r>
    </w:p>
    <w:p w14:paraId="00100263" w14:textId="00100264">
      <w:pPr>
        <w:pStyle w:val="Normal"/>
        <w:jc w:val="left"/>
      </w:pPr>
      <w:r>
        <w:t xml:space="preserve">Current trend readings suggest a stable base case with selective areas of pressure. Pipeline levels remain supportive, recurring revenue has continued to strengthen, and productivity initiatives are contributing to margin defense. However, conversion timing on larger projects, labor tightness in certain technical roles, and exposure to customer budget cycles warrant continued caution. Accordingly, management’s outlook is not based on a single headline forecast, but on the combined movement of these indicators and the speed at which operating plans can be adjusted when conditions change.</w:t>
      </w:r>
    </w:p>
    <w:p w14:paraId="00101CEE" w14:textId="00101CEF">
      <w:pPr>
        <w:pStyle w:val="Normal"/>
        <w:jc w:val="left"/>
        <w:sectPr>
          <w:type w:val="nextPage"/>
          <w:pgSz w:w="11906" w:h="16838"/>
          <w:pgMar w:top="1440" w:right="1440" w:bottom="1440" w:left="1440" w:header="1440" w:footer="1440" w:gutter="0"/>
          <w:cols w:space="720" w:num="1"/>
        </w:sectPr>
      </w:pPr>
    </w:p>
    <w:p w14:paraId="00100269" w14:textId="0010026A">
      <w:pPr>
        <w:pStyle w:val="Normal"/>
        <w:jc w:val="left"/>
      </w:pPr>
      <w:r>
        <w:t xml:space="preserve">Chapter 2 Segment Performance</w:t>
      </w:r>
    </w:p>
    <w:p w14:paraId="0010026B" w14:textId="0010026C">
      <w:pPr>
        <w:pStyle w:val="Normal"/>
        <w:jc w:val="left"/>
      </w:pPr>
      <w:r>
        <w:t xml:space="preserve">Rivermark Holdings delivered resilient segment performance across the year, with portfolio balance offsetting uneven end-market conditions. Industrial Solutions benefited from steadier demand in maintenance-led customer programs and selective pricing discipline, while Consumer Platforms recorded broader customer activity but faced a more competitive promotional environment in the second half. Infrastructure Services advanced on backlog conversion and contract execution, supported by disciplined bid selection and improved delivery controls. At group level, segment earnings quality improved as productivity measures, mix management, and tighter working-capital oversight partially mitigated inflation in labor, freight, and certain input categories.</w:t>
      </w:r>
    </w:p>
    <w:p w14:paraId="0010026D" w14:textId="00100272">
      <w:pPr>
        <w:pStyle w:val="Normal"/>
        <w:jc w:val="left"/>
      </w:pPr>
      <w:r>
        <w:t xml:space="preserve"/>
      </w:r>
      <w:r>
        <w:t xml:space="preserve">Overall performance:</w:t>
      </w:r>
      <w:r>
        <w:t xml:space="preserve"> revenue growth was led by Infrastructure Services and selected Industrial Solutions product lines, while Consumer Platforms prioritized customer retention and margin protection over low-quality volume. Capital employed increased in line with project delivery, digital capability investment, and targeted capacity upgrades, but management maintained hurdle-rate discipline and phased spending where demand visibility remained limited. </w:t>
      </w:r>
      <w:r>
        <w:t xml:space="preserve">Outlook:</w:t>
      </w:r>
      <w:r>
        <w:t xml:space="preserve"> the group enters the new year with a stronger order position, a more focused investment agenda, and clearer segment-specific priorities. Management expects continued variation by market and geography, but believes the current portfolio mix, operating flexibility, and commercial discipline position Rivermark Holdings to support measured growth, protect returns, and allocate resources toward businesses with the strongest medium-term value creation potential.</w:t>
      </w:r>
    </w:p>
    <w:p w14:paraId="00100273" w14:textId="00100274">
      <w:pPr>
        <w:pStyle w:val="Normal"/>
        <w:jc w:val="left"/>
      </w:pPr>
      <w:r>
        <w:t xml:space="preserve">2. Segment Portfolio</w:t>
      </w:r>
    </w:p>
    <w:p w14:paraId="00100275" w14:textId="00100276">
      <w:pPr>
        <w:pStyle w:val="Normal"/>
        <w:jc w:val="left"/>
      </w:pPr>
      <w:r>
        <w:t xml:space="preserve">2.1 Portfolio Composition</w:t>
      </w:r>
    </w:p>
    <w:p w14:paraId="00100277" w14:textId="00100278">
      <w:pPr>
        <w:pStyle w:val="Normal"/>
        <w:jc w:val="left"/>
      </w:pPr>
      <w:r>
        <w:t xml:space="preserve">2.1.1 Revenue Mix</w:t>
      </w:r>
    </w:p>
    <w:p w14:paraId="00100279" w14:textId="0010027A">
      <w:pPr>
        <w:pStyle w:val="Normal"/>
        <w:jc w:val="left"/>
      </w:pPr>
      <w:r>
        <w:t xml:space="preserve">Group revenue remained diversified across the three operating segments, limiting dependence on any single market cycle and supporting more stable earnings through the year. Industrial Solutions continued to provide a substantial share of consolidated revenue through recurring aftermarket demand, engineered components, and service-linked product programs. Consumer Platforms contributed broad-based revenue from branded and channel-driven offerings, with stronger volume in core categories partly offset by softer discretionary spending in selected customer cohorts. Infrastructure Services increased its relative contribution as project execution accelerated and previously secured contracts moved into active delivery phases.</w:t>
      </w:r>
    </w:p>
    <w:p w14:paraId="0010027B" w14:textId="0010027C">
      <w:pPr>
        <w:pStyle w:val="Normal"/>
        <w:jc w:val="left"/>
      </w:pPr>
      <w:r>
        <w:t xml:space="preserve">This revenue profile reflects the group’s deliberate portfolio design. Industrial Solutions typically offers stronger technical differentiation and customer stickiness, Consumer Platforms provides market reach and cash generative characteristics, and Infrastructure Services adds multi-year visibility through backlog-backed activity. The combination also improves resilience to timing differences in customer expenditure. During the period, revenue mix shifted modestly toward segments and product lines with firmer contractual coverage and better pass-through mechanisms, which supported margin stability. Management continues to monitor concentration by major customer, contract type, and offering category to ensure that segment growth remains balanced and aligned with return thresholds rather than driven solely by top-line expansion.</w:t>
      </w:r>
    </w:p>
    <w:p w14:paraId="0010027D" w14:textId="0010027E">
      <w:pPr>
        <w:pStyle w:val="Normal"/>
        <w:jc w:val="left"/>
      </w:pPr>
      <w:r>
        <w:t xml:space="preserve">From a geographic perspective, Rivermark Holdings generated revenue from a balanced mix of domestic and cross-border markets, with no single region representing an outsized source of risk. Core metropolitan and industrial corridors remained the largest contributors, particularly for Industrial Solutions and Infrastructure Services, where customer relationships are anchored in manufacturing, logistics, utilities, and public-service infrastructure. Consumer Platforms maintained wider regional reach through digital channels and distributor networks, helping the group sustain revenue coverage even where local demand patterns diverged.</w:t>
      </w:r>
    </w:p>
    <w:p w14:paraId="0010027F" w14:textId="00100280">
      <w:pPr>
        <w:pStyle w:val="Normal"/>
        <w:jc w:val="left"/>
      </w:pPr>
      <w:r>
        <w:t xml:space="preserve">Geographic exposure nonetheless influenced performance quality. Regions with stronger infrastructure spending and replacement demand delivered more predictable order flow and better pricing realization, while markets exposed to weaker household confidence and slower private investment showed greater volatility in volumes and promotional intensity. The group’s regional footprint also affects operating risk through labor availability, transport cost, regulatory compliance requirements, and currency translation on selected contracts and imported inputs. Management addresses these exposures through diversified sourcing, local pricing reviews, contract terms that improve recovery of input inflation, and selective market participation. As a result, geographic mix is evaluated not only by revenue share but by its implications for margin durability, cash conversion, and the sustainability of future growth.</w:t>
      </w:r>
    </w:p>
    <w:p w14:paraId="00100281" w14:textId="00100282">
      <w:pPr>
        <w:pStyle w:val="Normal"/>
        <w:jc w:val="left"/>
      </w:pPr>
      <w:r>
        <w:t xml:space="preserve">2.1.1 Capital Allocation</w:t>
      </w:r>
    </w:p>
    <w:p w14:paraId="00100283" w14:textId="00100284">
      <w:pPr>
        <w:pStyle w:val="Normal"/>
        <w:jc w:val="left"/>
      </w:pPr>
      <w:r>
        <w:t xml:space="preserve">Capital allocation during the year was directed toward segments with the clearest combination of demand visibility, operational bottlenecks, and return potential. Infrastructure Services received increased investment to support fleet readiness, project mobilization capability, and digital tools for scheduling, field execution, and contract control. Industrial Solutions prioritized automation, selected line upgrades, and reliability-focused maintenance capital designed to improve throughput and reduce unplanned downtime. Consumer Platforms maintained disciplined spending centered on data capability, channel effectiveness, and targeted product development rather than broad footprint expansion.</w:t>
      </w:r>
    </w:p>
    <w:p w14:paraId="00100285" w14:textId="00100286">
      <w:pPr>
        <w:pStyle w:val="Normal"/>
        <w:jc w:val="left"/>
      </w:pPr>
      <w:r>
        <w:t xml:space="preserve">This pattern of investment reflects a portfolio approach rather than equal distribution. Management distinguishes between sustaining capital, productivity capital, growth capital, and strategic capability investment, with each category assessed against segment economics and risk-adjusted returns. Segments facing temporary demand softness were required to sequence nonessential projects more tightly, while proposals with short payback periods or clear customer-linked revenue benefits progressed. Capital allocation decisions also considered working-capital intensity and the ability of each segment to convert earnings into cash. By linking investment approval to operational milestones and post-investment review, Rivermark Holdings sought to preserve flexibility while continuing to fund capabilities necessary for medium-term growth and competitiveness.</w:t>
      </w:r>
    </w:p>
    <w:p w14:paraId="00100287" w14:textId="00100288">
      <w:pPr>
        <w:pStyle w:val="Normal"/>
        <w:jc w:val="left"/>
      </w:pPr>
      <w:r>
        <w:t xml:space="preserve">The group’s capital deployment priorities remain anchored in disciplined value creation. First, Rivermark Holdings funds safety, compliance, and asset integrity requirements to protect continuity of operations and maintain its license to operate. Second, it prioritizes investments that improve productivity, service reliability, and digital visibility across the value chain, particularly where these projects strengthen margin resilience or release working capital. Third, management allocates selective growth capital to platforms with defensible market positions, repeatable demand, and the ability to scale without disproportionate overhead growth.</w:t>
      </w:r>
    </w:p>
    <w:p w14:paraId="00100289" w14:textId="0010028A">
      <w:pPr>
        <w:pStyle w:val="Normal"/>
        <w:jc w:val="left"/>
      </w:pPr>
      <w:r>
        <w:t xml:space="preserve">In practical terms, this has meant a bias toward modular capacity additions, systems integration, customer-facing technology, and projects that improve utilization of the existing asset base before committing to larger structural expansion. Capital deployment is also informed by segment maturity and market uncertainty. More stable businesses are expected to self-fund a greater share of enhancement programs, while higher-growth opportunities must demonstrate not only revenue potential but credible execution capability and a path to returns above the group hurdle rate. Alongside internal investment, management continues to evaluate bolt-on acquisition opportunities, but only where strategic fit, integration capacity, and synergy realization are clear. This framework is intended to balance resilience, near-term financial discipline, and longer-term strategic positioning across the segment portfolio.</w:t>
      </w:r>
    </w:p>
    <w:p w14:paraId="0010028B" w14:textId="0010028C">
      <w:pPr>
        <w:pStyle w:val="Normal"/>
        <w:jc w:val="left"/>
      </w:pPr>
      <w:r>
        <w:t xml:space="preserve">2.1 Comparative Performance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038"/>
        <w:gridCol w:w="1038"/>
        <w:gridCol w:w="1038"/>
        <w:gridCol w:w="1038"/>
        <w:gridCol w:w="1038"/>
        <w:gridCol w:w="1038"/>
        <w:gridCol w:w="1038"/>
        <w:gridCol w:w="1038"/>
      </w:tblGrid>
      <w:tr>
        <w:trPr>
          <w:tblHeader/>
        </w:trPr>
        <w:tc>
          <w:tcPr>
            <w:vAlign w:val="center"/>
            <w:tcBorders>
              <w:top w:val="single" w:sz="4" w:space="0" w:color="auto"/>
              <w:left w:val="single" w:sz="4" w:space="0" w:color="auto"/>
              <w:bottom w:val="single" w:sz="4" w:space="0" w:color="auto"/>
              <w:right w:val="single" w:sz="4" w:space="0" w:color="auto"/>
            </w:tcBorders>
          </w:tcPr>
          <w:p w14:paraId="0010028D" w14:textId="001002ED">
            <w:pPr>
              <w:pStyle w:val="Normal"/>
              <w:jc w:val="left"/>
            </w:pPr>
            <w:r>
              <w:t xml:space="preserve">Segment</w:t>
            </w:r>
          </w:p>
        </w:tc>
        <w:tc>
          <w:tcPr>
            <w:vAlign w:val="center"/>
            <w:tcBorders>
              <w:top w:val="single" w:sz="4" w:space="0" w:color="auto"/>
              <w:left w:val="single" w:sz="4" w:space="0" w:color="auto"/>
              <w:bottom w:val="single" w:sz="4" w:space="0" w:color="auto"/>
              <w:right w:val="single" w:sz="4" w:space="0" w:color="auto"/>
            </w:tcBorders>
          </w:tcPr>
          <w:p w14:paraId="0010028F" w14:textId="001002EE">
            <w:pPr>
              <w:pStyle w:val="Normal"/>
              <w:jc w:val="left"/>
            </w:pPr>
            <w:r>
              <w:t xml:space="preserve">2022 Revenue</w:t>
            </w:r>
          </w:p>
        </w:tc>
        <w:tc>
          <w:tcPr>
            <w:vAlign w:val="center"/>
            <w:tcBorders>
              <w:top w:val="single" w:sz="4" w:space="0" w:color="auto"/>
              <w:left w:val="single" w:sz="4" w:space="0" w:color="auto"/>
              <w:bottom w:val="single" w:sz="4" w:space="0" w:color="auto"/>
              <w:right w:val="single" w:sz="4" w:space="0" w:color="auto"/>
            </w:tcBorders>
          </w:tcPr>
          <w:p w14:paraId="00100291" w14:textId="001002EF">
            <w:pPr>
              <w:pStyle w:val="Normal"/>
              <w:jc w:val="left"/>
            </w:pPr>
            <w:r>
              <w:t xml:space="preserve">2023 Revenue</w:t>
            </w:r>
          </w:p>
        </w:tc>
        <w:tc>
          <w:tcPr>
            <w:vAlign w:val="center"/>
            <w:tcBorders>
              <w:top w:val="single" w:sz="4" w:space="0" w:color="auto"/>
              <w:left w:val="single" w:sz="4" w:space="0" w:color="auto"/>
              <w:bottom w:val="single" w:sz="4" w:space="0" w:color="auto"/>
              <w:right w:val="single" w:sz="4" w:space="0" w:color="auto"/>
            </w:tcBorders>
          </w:tcPr>
          <w:p w14:paraId="00100293" w14:textId="001002F0">
            <w:pPr>
              <w:pStyle w:val="Normal"/>
              <w:jc w:val="left"/>
            </w:pPr>
            <w:r>
              <w:t xml:space="preserve">2024 Revenue</w:t>
            </w:r>
          </w:p>
        </w:tc>
        <w:tc>
          <w:tcPr>
            <w:vAlign w:val="center"/>
            <w:tcBorders>
              <w:top w:val="single" w:sz="4" w:space="0" w:color="auto"/>
              <w:left w:val="single" w:sz="4" w:space="0" w:color="auto"/>
              <w:bottom w:val="single" w:sz="4" w:space="0" w:color="auto"/>
              <w:right w:val="single" w:sz="4" w:space="0" w:color="auto"/>
            </w:tcBorders>
          </w:tcPr>
          <w:p w14:paraId="00100295" w14:textId="001002F1">
            <w:pPr>
              <w:pStyle w:val="Normal"/>
              <w:jc w:val="left"/>
            </w:pPr>
            <w:r>
              <w:t xml:space="preserve">2022 Operating Margin</w:t>
            </w:r>
          </w:p>
        </w:tc>
        <w:tc>
          <w:tcPr>
            <w:vAlign w:val="center"/>
            <w:tcBorders>
              <w:top w:val="single" w:sz="4" w:space="0" w:color="auto"/>
              <w:left w:val="single" w:sz="4" w:space="0" w:color="auto"/>
              <w:bottom w:val="single" w:sz="4" w:space="0" w:color="auto"/>
              <w:right w:val="single" w:sz="4" w:space="0" w:color="auto"/>
            </w:tcBorders>
          </w:tcPr>
          <w:p w14:paraId="00100297" w14:textId="001002F2">
            <w:pPr>
              <w:pStyle w:val="Normal"/>
              <w:jc w:val="left"/>
            </w:pPr>
            <w:r>
              <w:t xml:space="preserve">2023 Operating Margin</w:t>
            </w:r>
          </w:p>
        </w:tc>
        <w:tc>
          <w:tcPr>
            <w:vAlign w:val="center"/>
            <w:tcBorders>
              <w:top w:val="single" w:sz="4" w:space="0" w:color="auto"/>
              <w:left w:val="single" w:sz="4" w:space="0" w:color="auto"/>
              <w:bottom w:val="single" w:sz="4" w:space="0" w:color="auto"/>
              <w:right w:val="single" w:sz="4" w:space="0" w:color="auto"/>
            </w:tcBorders>
          </w:tcPr>
          <w:p w14:paraId="00100299" w14:textId="001002F3">
            <w:pPr>
              <w:pStyle w:val="Normal"/>
              <w:jc w:val="left"/>
            </w:pPr>
            <w:r>
              <w:t xml:space="preserve">2024 Operating Margin</w:t>
            </w:r>
          </w:p>
        </w:tc>
        <w:tc>
          <w:tcPr>
            <w:vAlign w:val="center"/>
            <w:tcBorders>
              <w:top w:val="single" w:sz="4" w:space="0" w:color="auto"/>
              <w:left w:val="single" w:sz="4" w:space="0" w:color="auto"/>
              <w:bottom w:val="single" w:sz="4" w:space="0" w:color="auto"/>
              <w:right w:val="single" w:sz="4" w:space="0" w:color="auto"/>
            </w:tcBorders>
          </w:tcPr>
          <w:p w14:paraId="0010029B" w14:textId="001002F4">
            <w:pPr>
              <w:pStyle w:val="Normal"/>
              <w:jc w:val="left"/>
            </w:pPr>
            <w:r>
              <w:t xml:space="preserve">2024 ROIC</w:t>
            </w:r>
          </w:p>
        </w:tc>
      </w:tr>
      <w:tr>
        <w:tc>
          <w:tcPr>
            <w:vAlign w:val="center"/>
            <w:tcBorders>
              <w:top w:val="single" w:sz="4" w:space="0" w:color="auto"/>
              <w:left w:val="single" w:sz="4" w:space="0" w:color="auto"/>
              <w:bottom w:val="single" w:sz="4" w:space="0" w:color="auto"/>
              <w:right w:val="single" w:sz="4" w:space="0" w:color="auto"/>
            </w:tcBorders>
          </w:tcPr>
          <w:p w14:paraId="0010029D" w14:textId="001002F5">
            <w:pPr>
              <w:pStyle w:val="Normal"/>
              <w:jc w:val="left"/>
            </w:pPr>
            <w:r>
              <w:t xml:space="preserve">Industrial Solutions</w:t>
            </w:r>
          </w:p>
        </w:tc>
        <w:tc>
          <w:tcPr>
            <w:vAlign w:val="center"/>
            <w:tcBorders>
              <w:top w:val="single" w:sz="4" w:space="0" w:color="auto"/>
              <w:left w:val="single" w:sz="4" w:space="0" w:color="auto"/>
              <w:bottom w:val="single" w:sz="4" w:space="0" w:color="auto"/>
              <w:right w:val="single" w:sz="4" w:space="0" w:color="auto"/>
            </w:tcBorders>
          </w:tcPr>
          <w:p w14:paraId="0010029F" w14:textId="001002F6">
            <w:pPr>
              <w:pStyle w:val="Normal"/>
              <w:jc w:val="left"/>
            </w:pPr>
            <w:r>
              <w:t xml:space="preserve">1,480</w:t>
            </w:r>
          </w:p>
        </w:tc>
        <w:tc>
          <w:tcPr>
            <w:vAlign w:val="center"/>
            <w:tcBorders>
              <w:top w:val="single" w:sz="4" w:space="0" w:color="auto"/>
              <w:left w:val="single" w:sz="4" w:space="0" w:color="auto"/>
              <w:bottom w:val="single" w:sz="4" w:space="0" w:color="auto"/>
              <w:right w:val="single" w:sz="4" w:space="0" w:color="auto"/>
            </w:tcBorders>
          </w:tcPr>
          <w:p w14:paraId="001002A1" w14:textId="001002F7">
            <w:pPr>
              <w:pStyle w:val="Normal"/>
              <w:jc w:val="left"/>
            </w:pPr>
            <w:r>
              <w:t xml:space="preserve">1,612</w:t>
            </w:r>
          </w:p>
        </w:tc>
        <w:tc>
          <w:tcPr>
            <w:vAlign w:val="center"/>
            <w:tcBorders>
              <w:top w:val="single" w:sz="4" w:space="0" w:color="auto"/>
              <w:left w:val="single" w:sz="4" w:space="0" w:color="auto"/>
              <w:bottom w:val="single" w:sz="4" w:space="0" w:color="auto"/>
              <w:right w:val="single" w:sz="4" w:space="0" w:color="auto"/>
            </w:tcBorders>
          </w:tcPr>
          <w:p w14:paraId="001002A3" w14:textId="001002F8">
            <w:pPr>
              <w:pStyle w:val="Normal"/>
              <w:jc w:val="left"/>
            </w:pPr>
            <w:r>
              <w:t xml:space="preserve">1,745</w:t>
            </w:r>
          </w:p>
        </w:tc>
        <w:tc>
          <w:tcPr>
            <w:vAlign w:val="center"/>
            <w:tcBorders>
              <w:top w:val="single" w:sz="4" w:space="0" w:color="auto"/>
              <w:left w:val="single" w:sz="4" w:space="0" w:color="auto"/>
              <w:bottom w:val="single" w:sz="4" w:space="0" w:color="auto"/>
              <w:right w:val="single" w:sz="4" w:space="0" w:color="auto"/>
            </w:tcBorders>
          </w:tcPr>
          <w:p w14:paraId="001002A5" w14:textId="001002F9">
            <w:pPr>
              <w:pStyle w:val="Normal"/>
              <w:jc w:val="left"/>
            </w:pPr>
            <w:r>
              <w:t xml:space="preserve">11.2%</w:t>
            </w:r>
          </w:p>
        </w:tc>
        <w:tc>
          <w:tcPr>
            <w:vAlign w:val="center"/>
            <w:tcBorders>
              <w:top w:val="single" w:sz="4" w:space="0" w:color="auto"/>
              <w:left w:val="single" w:sz="4" w:space="0" w:color="auto"/>
              <w:bottom w:val="single" w:sz="4" w:space="0" w:color="auto"/>
              <w:right w:val="single" w:sz="4" w:space="0" w:color="auto"/>
            </w:tcBorders>
          </w:tcPr>
          <w:p w14:paraId="001002A7" w14:textId="001002FA">
            <w:pPr>
              <w:pStyle w:val="Normal"/>
              <w:jc w:val="left"/>
            </w:pPr>
            <w:r>
              <w:t xml:space="preserve">11.9%</w:t>
            </w:r>
          </w:p>
        </w:tc>
        <w:tc>
          <w:tcPr>
            <w:vAlign w:val="center"/>
            <w:tcBorders>
              <w:top w:val="single" w:sz="4" w:space="0" w:color="auto"/>
              <w:left w:val="single" w:sz="4" w:space="0" w:color="auto"/>
              <w:bottom w:val="single" w:sz="4" w:space="0" w:color="auto"/>
              <w:right w:val="single" w:sz="4" w:space="0" w:color="auto"/>
            </w:tcBorders>
          </w:tcPr>
          <w:p w14:paraId="001002A9" w14:textId="001002FB">
            <w:pPr>
              <w:pStyle w:val="Normal"/>
              <w:jc w:val="left"/>
            </w:pPr>
            <w:r>
              <w:t xml:space="preserve">12.6%</w:t>
            </w:r>
          </w:p>
        </w:tc>
        <w:tc>
          <w:tcPr>
            <w:vAlign w:val="center"/>
            <w:tcBorders>
              <w:top w:val="single" w:sz="4" w:space="0" w:color="auto"/>
              <w:left w:val="single" w:sz="4" w:space="0" w:color="auto"/>
              <w:bottom w:val="single" w:sz="4" w:space="0" w:color="auto"/>
              <w:right w:val="single" w:sz="4" w:space="0" w:color="auto"/>
            </w:tcBorders>
          </w:tcPr>
          <w:p w14:paraId="001002AB" w14:textId="001002FC">
            <w:pPr>
              <w:pStyle w:val="Normal"/>
              <w:jc w:val="left"/>
            </w:pPr>
            <w:r>
              <w:t xml:space="preserve">15.4%</w:t>
            </w:r>
          </w:p>
        </w:tc>
      </w:tr>
      <w:tr>
        <w:tc>
          <w:tcPr>
            <w:vAlign w:val="center"/>
            <w:tcBorders>
              <w:top w:val="single" w:sz="4" w:space="0" w:color="auto"/>
              <w:left w:val="single" w:sz="4" w:space="0" w:color="auto"/>
              <w:bottom w:val="single" w:sz="4" w:space="0" w:color="auto"/>
              <w:right w:val="single" w:sz="4" w:space="0" w:color="auto"/>
            </w:tcBorders>
          </w:tcPr>
          <w:p w14:paraId="001002AD" w14:textId="001002FD">
            <w:pPr>
              <w:pStyle w:val="Normal"/>
              <w:jc w:val="left"/>
            </w:pPr>
            <w:r>
              <w:t xml:space="preserve">Consumer Platforms</w:t>
            </w:r>
          </w:p>
        </w:tc>
        <w:tc>
          <w:tcPr>
            <w:vAlign w:val="center"/>
            <w:tcBorders>
              <w:top w:val="single" w:sz="4" w:space="0" w:color="auto"/>
              <w:left w:val="single" w:sz="4" w:space="0" w:color="auto"/>
              <w:bottom w:val="single" w:sz="4" w:space="0" w:color="auto"/>
              <w:right w:val="single" w:sz="4" w:space="0" w:color="auto"/>
            </w:tcBorders>
          </w:tcPr>
          <w:p w14:paraId="001002AF" w14:textId="001002FE">
            <w:pPr>
              <w:pStyle w:val="Normal"/>
              <w:jc w:val="left"/>
            </w:pPr>
            <w:r>
              <w:t xml:space="preserve">1,265</w:t>
            </w:r>
          </w:p>
        </w:tc>
        <w:tc>
          <w:tcPr>
            <w:vAlign w:val="center"/>
            <w:tcBorders>
              <w:top w:val="single" w:sz="4" w:space="0" w:color="auto"/>
              <w:left w:val="single" w:sz="4" w:space="0" w:color="auto"/>
              <w:bottom w:val="single" w:sz="4" w:space="0" w:color="auto"/>
              <w:right w:val="single" w:sz="4" w:space="0" w:color="auto"/>
            </w:tcBorders>
          </w:tcPr>
          <w:p w14:paraId="001002B1" w14:textId="001002FF">
            <w:pPr>
              <w:pStyle w:val="Normal"/>
              <w:jc w:val="left"/>
            </w:pPr>
            <w:r>
              <w:t xml:space="preserve">1,338</w:t>
            </w:r>
          </w:p>
        </w:tc>
        <w:tc>
          <w:tcPr>
            <w:vAlign w:val="center"/>
            <w:tcBorders>
              <w:top w:val="single" w:sz="4" w:space="0" w:color="auto"/>
              <w:left w:val="single" w:sz="4" w:space="0" w:color="auto"/>
              <w:bottom w:val="single" w:sz="4" w:space="0" w:color="auto"/>
              <w:right w:val="single" w:sz="4" w:space="0" w:color="auto"/>
            </w:tcBorders>
          </w:tcPr>
          <w:p w14:paraId="001002B3" w14:textId="00100300">
            <w:pPr>
              <w:pStyle w:val="Normal"/>
              <w:jc w:val="left"/>
            </w:pPr>
            <w:r>
              <w:t xml:space="preserve">1,421</w:t>
            </w:r>
          </w:p>
        </w:tc>
        <w:tc>
          <w:tcPr>
            <w:vAlign w:val="center"/>
            <w:tcBorders>
              <w:top w:val="single" w:sz="4" w:space="0" w:color="auto"/>
              <w:left w:val="single" w:sz="4" w:space="0" w:color="auto"/>
              <w:bottom w:val="single" w:sz="4" w:space="0" w:color="auto"/>
              <w:right w:val="single" w:sz="4" w:space="0" w:color="auto"/>
            </w:tcBorders>
          </w:tcPr>
          <w:p w14:paraId="001002B5" w14:textId="00100301">
            <w:pPr>
              <w:pStyle w:val="Normal"/>
              <w:jc w:val="left"/>
            </w:pPr>
            <w:r>
              <w:t xml:space="preserve">14.8%</w:t>
            </w:r>
          </w:p>
        </w:tc>
        <w:tc>
          <w:tcPr>
            <w:vAlign w:val="center"/>
            <w:tcBorders>
              <w:top w:val="single" w:sz="4" w:space="0" w:color="auto"/>
              <w:left w:val="single" w:sz="4" w:space="0" w:color="auto"/>
              <w:bottom w:val="single" w:sz="4" w:space="0" w:color="auto"/>
              <w:right w:val="single" w:sz="4" w:space="0" w:color="auto"/>
            </w:tcBorders>
          </w:tcPr>
          <w:p w14:paraId="001002B7" w14:textId="00100302">
            <w:pPr>
              <w:pStyle w:val="Normal"/>
              <w:jc w:val="left"/>
            </w:pPr>
            <w:r>
              <w:t xml:space="preserve">14.1%</w:t>
            </w:r>
          </w:p>
        </w:tc>
        <w:tc>
          <w:tcPr>
            <w:vAlign w:val="center"/>
            <w:tcBorders>
              <w:top w:val="single" w:sz="4" w:space="0" w:color="auto"/>
              <w:left w:val="single" w:sz="4" w:space="0" w:color="auto"/>
              <w:bottom w:val="single" w:sz="4" w:space="0" w:color="auto"/>
              <w:right w:val="single" w:sz="4" w:space="0" w:color="auto"/>
            </w:tcBorders>
          </w:tcPr>
          <w:p w14:paraId="001002B9" w14:textId="00100303">
            <w:pPr>
              <w:pStyle w:val="Normal"/>
              <w:jc w:val="left"/>
            </w:pPr>
            <w:r>
              <w:t xml:space="preserve">13.7%</w:t>
            </w:r>
          </w:p>
        </w:tc>
        <w:tc>
          <w:tcPr>
            <w:vAlign w:val="center"/>
            <w:tcBorders>
              <w:top w:val="single" w:sz="4" w:space="0" w:color="auto"/>
              <w:left w:val="single" w:sz="4" w:space="0" w:color="auto"/>
              <w:bottom w:val="single" w:sz="4" w:space="0" w:color="auto"/>
              <w:right w:val="single" w:sz="4" w:space="0" w:color="auto"/>
            </w:tcBorders>
          </w:tcPr>
          <w:p w14:paraId="001002BB" w14:textId="00100304">
            <w:pPr>
              <w:pStyle w:val="Normal"/>
              <w:jc w:val="left"/>
            </w:pPr>
            <w:r>
              <w:t xml:space="preserve">18.2%</w:t>
            </w:r>
          </w:p>
        </w:tc>
      </w:tr>
      <w:tr>
        <w:tc>
          <w:tcPr>
            <w:vAlign w:val="center"/>
            <w:tcBorders>
              <w:top w:val="single" w:sz="4" w:space="0" w:color="auto"/>
              <w:left w:val="single" w:sz="4" w:space="0" w:color="auto"/>
              <w:bottom w:val="single" w:sz="4" w:space="0" w:color="auto"/>
              <w:right w:val="single" w:sz="4" w:space="0" w:color="auto"/>
            </w:tcBorders>
          </w:tcPr>
          <w:p w14:paraId="001002BD" w14:textId="00100305">
            <w:pPr>
              <w:pStyle w:val="Normal"/>
              <w:jc w:val="left"/>
            </w:pPr>
            <w:r>
              <w:t xml:space="preserve">Infrastructure Services</w:t>
            </w:r>
          </w:p>
        </w:tc>
        <w:tc>
          <w:tcPr>
            <w:vAlign w:val="center"/>
            <w:tcBorders>
              <w:top w:val="single" w:sz="4" w:space="0" w:color="auto"/>
              <w:left w:val="single" w:sz="4" w:space="0" w:color="auto"/>
              <w:bottom w:val="single" w:sz="4" w:space="0" w:color="auto"/>
              <w:right w:val="single" w:sz="4" w:space="0" w:color="auto"/>
            </w:tcBorders>
          </w:tcPr>
          <w:p w14:paraId="001002BF" w14:textId="00100306">
            <w:pPr>
              <w:pStyle w:val="Normal"/>
              <w:jc w:val="left"/>
            </w:pPr>
            <w:r>
              <w:t xml:space="preserve">1,092</w:t>
            </w:r>
          </w:p>
        </w:tc>
        <w:tc>
          <w:tcPr>
            <w:vAlign w:val="center"/>
            <w:tcBorders>
              <w:top w:val="single" w:sz="4" w:space="0" w:color="auto"/>
              <w:left w:val="single" w:sz="4" w:space="0" w:color="auto"/>
              <w:bottom w:val="single" w:sz="4" w:space="0" w:color="auto"/>
              <w:right w:val="single" w:sz="4" w:space="0" w:color="auto"/>
            </w:tcBorders>
          </w:tcPr>
          <w:p w14:paraId="001002C1" w14:textId="00100307">
            <w:pPr>
              <w:pStyle w:val="Normal"/>
              <w:jc w:val="left"/>
            </w:pPr>
            <w:r>
              <w:t xml:space="preserve">1,184</w:t>
            </w:r>
          </w:p>
        </w:tc>
        <w:tc>
          <w:tcPr>
            <w:vAlign w:val="center"/>
            <w:tcBorders>
              <w:top w:val="single" w:sz="4" w:space="0" w:color="auto"/>
              <w:left w:val="single" w:sz="4" w:space="0" w:color="auto"/>
              <w:bottom w:val="single" w:sz="4" w:space="0" w:color="auto"/>
              <w:right w:val="single" w:sz="4" w:space="0" w:color="auto"/>
            </w:tcBorders>
          </w:tcPr>
          <w:p w14:paraId="001002C3" w14:textId="00100308">
            <w:pPr>
              <w:pStyle w:val="Normal"/>
              <w:jc w:val="left"/>
            </w:pPr>
            <w:r>
              <w:t xml:space="preserve">1,309</w:t>
            </w:r>
          </w:p>
        </w:tc>
        <w:tc>
          <w:tcPr>
            <w:vAlign w:val="center"/>
            <w:tcBorders>
              <w:top w:val="single" w:sz="4" w:space="0" w:color="auto"/>
              <w:left w:val="single" w:sz="4" w:space="0" w:color="auto"/>
              <w:bottom w:val="single" w:sz="4" w:space="0" w:color="auto"/>
              <w:right w:val="single" w:sz="4" w:space="0" w:color="auto"/>
            </w:tcBorders>
          </w:tcPr>
          <w:p w14:paraId="001002C5" w14:textId="00100309">
            <w:pPr>
              <w:pStyle w:val="Normal"/>
              <w:jc w:val="left"/>
            </w:pPr>
            <w:r>
              <w:t xml:space="preserve">8.9%</w:t>
            </w:r>
          </w:p>
        </w:tc>
        <w:tc>
          <w:tcPr>
            <w:vAlign w:val="center"/>
            <w:tcBorders>
              <w:top w:val="single" w:sz="4" w:space="0" w:color="auto"/>
              <w:left w:val="single" w:sz="4" w:space="0" w:color="auto"/>
              <w:bottom w:val="single" w:sz="4" w:space="0" w:color="auto"/>
              <w:right w:val="single" w:sz="4" w:space="0" w:color="auto"/>
            </w:tcBorders>
          </w:tcPr>
          <w:p w14:paraId="001002C7" w14:textId="0010030A">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2C9" w14:textId="0010030B">
            <w:pPr>
              <w:pStyle w:val="Normal"/>
              <w:jc w:val="left"/>
            </w:pPr>
            <w:r>
              <w:t xml:space="preserve">10.4%</w:t>
            </w:r>
          </w:p>
        </w:tc>
        <w:tc>
          <w:tcPr>
            <w:vAlign w:val="center"/>
            <w:tcBorders>
              <w:top w:val="single" w:sz="4" w:space="0" w:color="auto"/>
              <w:left w:val="single" w:sz="4" w:space="0" w:color="auto"/>
              <w:bottom w:val="single" w:sz="4" w:space="0" w:color="auto"/>
              <w:right w:val="single" w:sz="4" w:space="0" w:color="auto"/>
            </w:tcBorders>
          </w:tcPr>
          <w:p w14:paraId="001002CB" w14:textId="0010030C">
            <w:pPr>
              <w:pStyle w:val="Normal"/>
              <w:jc w:val="left"/>
            </w:pPr>
            <w:r>
              <w:t xml:space="preserve">12.8%</w:t>
            </w:r>
          </w:p>
        </w:tc>
      </w:tr>
      <w:tr>
        <w:tc>
          <w:tcPr>
            <w:vAlign w:val="center"/>
            <w:tcBorders>
              <w:top w:val="single" w:sz="4" w:space="0" w:color="auto"/>
              <w:left w:val="single" w:sz="4" w:space="0" w:color="auto"/>
              <w:bottom w:val="single" w:sz="4" w:space="0" w:color="auto"/>
              <w:right w:val="single" w:sz="4" w:space="0" w:color="auto"/>
            </w:tcBorders>
          </w:tcPr>
          <w:p w14:paraId="001002CD" w14:textId="0010030D">
            <w:pPr>
              <w:pStyle w:val="Normal"/>
              <w:jc w:val="left"/>
            </w:pPr>
            <w:r>
              <w:t xml:space="preserve">Intersegment and other</w:t>
            </w:r>
          </w:p>
        </w:tc>
        <w:tc>
          <w:tcPr>
            <w:vAlign w:val="center"/>
            <w:tcBorders>
              <w:top w:val="single" w:sz="4" w:space="0" w:color="auto"/>
              <w:left w:val="single" w:sz="4" w:space="0" w:color="auto"/>
              <w:bottom w:val="single" w:sz="4" w:space="0" w:color="auto"/>
              <w:right w:val="single" w:sz="4" w:space="0" w:color="auto"/>
            </w:tcBorders>
          </w:tcPr>
          <w:p w14:paraId="001002CF" w14:textId="0010030E">
            <w:pPr>
              <w:pStyle w:val="Normal"/>
              <w:jc w:val="left"/>
            </w:pPr>
            <w:r>
              <w:t xml:space="preserve">(54)</w:t>
            </w:r>
          </w:p>
        </w:tc>
        <w:tc>
          <w:tcPr>
            <w:vAlign w:val="center"/>
            <w:tcBorders>
              <w:top w:val="single" w:sz="4" w:space="0" w:color="auto"/>
              <w:left w:val="single" w:sz="4" w:space="0" w:color="auto"/>
              <w:bottom w:val="single" w:sz="4" w:space="0" w:color="auto"/>
              <w:right w:val="single" w:sz="4" w:space="0" w:color="auto"/>
            </w:tcBorders>
          </w:tcPr>
          <w:p w14:paraId="001002D1" w14:textId="0010030F">
            <w:pPr>
              <w:pStyle w:val="Normal"/>
              <w:jc w:val="left"/>
            </w:pPr>
            <w:r>
              <w:t xml:space="preserve">(61)</w:t>
            </w:r>
          </w:p>
        </w:tc>
        <w:tc>
          <w:tcPr>
            <w:vAlign w:val="center"/>
            <w:tcBorders>
              <w:top w:val="single" w:sz="4" w:space="0" w:color="auto"/>
              <w:left w:val="single" w:sz="4" w:space="0" w:color="auto"/>
              <w:bottom w:val="single" w:sz="4" w:space="0" w:color="auto"/>
              <w:right w:val="single" w:sz="4" w:space="0" w:color="auto"/>
            </w:tcBorders>
          </w:tcPr>
          <w:p w14:paraId="001002D3" w14:textId="00100310">
            <w:pPr>
              <w:pStyle w:val="Normal"/>
              <w:jc w:val="left"/>
            </w:pPr>
            <w:r>
              <w:t xml:space="preserve">(67)</w:t>
            </w:r>
          </w:p>
        </w:tc>
        <w:tc>
          <w:tcPr>
            <w:vAlign w:val="center"/>
            <w:tcBorders>
              <w:top w:val="single" w:sz="4" w:space="0" w:color="auto"/>
              <w:left w:val="single" w:sz="4" w:space="0" w:color="auto"/>
              <w:bottom w:val="single" w:sz="4" w:space="0" w:color="auto"/>
              <w:right w:val="single" w:sz="4" w:space="0" w:color="auto"/>
            </w:tcBorders>
          </w:tcPr>
          <w:p w14:paraId="001002D5" w14:textId="00100311">
            <w:pPr>
              <w:pStyle w:val="Normal"/>
              <w:jc w:val="left"/>
            </w:pPr>
            <w:r>
              <w:t xml:space="preserve">n/m</w:t>
            </w:r>
          </w:p>
        </w:tc>
        <w:tc>
          <w:tcPr>
            <w:vAlign w:val="center"/>
            <w:tcBorders>
              <w:top w:val="single" w:sz="4" w:space="0" w:color="auto"/>
              <w:left w:val="single" w:sz="4" w:space="0" w:color="auto"/>
              <w:bottom w:val="single" w:sz="4" w:space="0" w:color="auto"/>
              <w:right w:val="single" w:sz="4" w:space="0" w:color="auto"/>
            </w:tcBorders>
          </w:tcPr>
          <w:p w14:paraId="001002D7" w14:textId="00100312">
            <w:pPr>
              <w:pStyle w:val="Normal"/>
              <w:jc w:val="left"/>
            </w:pPr>
            <w:r>
              <w:t xml:space="preserve">n/m</w:t>
            </w:r>
          </w:p>
        </w:tc>
        <w:tc>
          <w:tcPr>
            <w:vAlign w:val="center"/>
            <w:tcBorders>
              <w:top w:val="single" w:sz="4" w:space="0" w:color="auto"/>
              <w:left w:val="single" w:sz="4" w:space="0" w:color="auto"/>
              <w:bottom w:val="single" w:sz="4" w:space="0" w:color="auto"/>
              <w:right w:val="single" w:sz="4" w:space="0" w:color="auto"/>
            </w:tcBorders>
          </w:tcPr>
          <w:p w14:paraId="001002D9" w14:textId="00100313">
            <w:pPr>
              <w:pStyle w:val="Normal"/>
              <w:jc w:val="left"/>
            </w:pPr>
            <w:r>
              <w:t xml:space="preserve">n/m</w:t>
            </w:r>
          </w:p>
        </w:tc>
        <w:tc>
          <w:tcPr>
            <w:vAlign w:val="center"/>
            <w:tcBorders>
              <w:top w:val="single" w:sz="4" w:space="0" w:color="auto"/>
              <w:left w:val="single" w:sz="4" w:space="0" w:color="auto"/>
              <w:bottom w:val="single" w:sz="4" w:space="0" w:color="auto"/>
              <w:right w:val="single" w:sz="4" w:space="0" w:color="auto"/>
            </w:tcBorders>
          </w:tcPr>
          <w:p w14:paraId="001002DB" w14:textId="00100314">
            <w:pPr>
              <w:pStyle w:val="Normal"/>
              <w:jc w:val="left"/>
            </w:pPr>
            <w:r>
              <w:t xml:space="preserve">n/m</w:t>
            </w:r>
          </w:p>
        </w:tc>
      </w:tr>
      <w:tr>
        <w:tc>
          <w:tcPr>
            <w:vAlign w:val="center"/>
            <w:tcBorders>
              <w:top w:val="single" w:sz="4" w:space="0" w:color="auto"/>
              <w:left w:val="single" w:sz="4" w:space="0" w:color="auto"/>
              <w:bottom w:val="single" w:sz="4" w:space="0" w:color="auto"/>
              <w:right w:val="single" w:sz="4" w:space="0" w:color="auto"/>
            </w:tcBorders>
          </w:tcPr>
          <w:p w14:paraId="001002DD" w14:textId="00100315">
            <w:pPr>
              <w:pStyle w:val="Normal"/>
              <w:jc w:val="left"/>
            </w:pPr>
            <w:r>
              <w:t xml:space="preserve">Group total</w:t>
            </w:r>
          </w:p>
        </w:tc>
        <w:tc>
          <w:tcPr>
            <w:vAlign w:val="center"/>
            <w:tcBorders>
              <w:top w:val="single" w:sz="4" w:space="0" w:color="auto"/>
              <w:left w:val="single" w:sz="4" w:space="0" w:color="auto"/>
              <w:bottom w:val="single" w:sz="4" w:space="0" w:color="auto"/>
              <w:right w:val="single" w:sz="4" w:space="0" w:color="auto"/>
            </w:tcBorders>
          </w:tcPr>
          <w:p w14:paraId="001002DF" w14:textId="00100316">
            <w:pPr>
              <w:pStyle w:val="Normal"/>
              <w:jc w:val="left"/>
            </w:pPr>
            <w:r>
              <w:t xml:space="preserve">3,783</w:t>
            </w:r>
          </w:p>
        </w:tc>
        <w:tc>
          <w:tcPr>
            <w:vAlign w:val="center"/>
            <w:tcBorders>
              <w:top w:val="single" w:sz="4" w:space="0" w:color="auto"/>
              <w:left w:val="single" w:sz="4" w:space="0" w:color="auto"/>
              <w:bottom w:val="single" w:sz="4" w:space="0" w:color="auto"/>
              <w:right w:val="single" w:sz="4" w:space="0" w:color="auto"/>
            </w:tcBorders>
          </w:tcPr>
          <w:p w14:paraId="001002E1" w14:textId="00100317">
            <w:pPr>
              <w:pStyle w:val="Normal"/>
              <w:jc w:val="left"/>
            </w:pPr>
            <w:r>
              <w:t xml:space="preserve">4,073</w:t>
            </w:r>
          </w:p>
        </w:tc>
        <w:tc>
          <w:tcPr>
            <w:vAlign w:val="center"/>
            <w:tcBorders>
              <w:top w:val="single" w:sz="4" w:space="0" w:color="auto"/>
              <w:left w:val="single" w:sz="4" w:space="0" w:color="auto"/>
              <w:bottom w:val="single" w:sz="4" w:space="0" w:color="auto"/>
              <w:right w:val="single" w:sz="4" w:space="0" w:color="auto"/>
            </w:tcBorders>
          </w:tcPr>
          <w:p w14:paraId="001002E3" w14:textId="00100318">
            <w:pPr>
              <w:pStyle w:val="Normal"/>
              <w:jc w:val="left"/>
            </w:pPr>
            <w:r>
              <w:t xml:space="preserve">4,408</w:t>
            </w:r>
          </w:p>
        </w:tc>
        <w:tc>
          <w:tcPr>
            <w:vAlign w:val="center"/>
            <w:tcBorders>
              <w:top w:val="single" w:sz="4" w:space="0" w:color="auto"/>
              <w:left w:val="single" w:sz="4" w:space="0" w:color="auto"/>
              <w:bottom w:val="single" w:sz="4" w:space="0" w:color="auto"/>
              <w:right w:val="single" w:sz="4" w:space="0" w:color="auto"/>
            </w:tcBorders>
          </w:tcPr>
          <w:p w14:paraId="001002E5" w14:textId="00100319">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2E7" w14:textId="0010031A">
            <w:pPr>
              <w:pStyle w:val="Normal"/>
              <w:jc w:val="left"/>
            </w:pPr>
            <w:r>
              <w:t xml:space="preserve">11.9%</w:t>
            </w:r>
          </w:p>
        </w:tc>
        <w:tc>
          <w:tcPr>
            <w:vAlign w:val="center"/>
            <w:tcBorders>
              <w:top w:val="single" w:sz="4" w:space="0" w:color="auto"/>
              <w:left w:val="single" w:sz="4" w:space="0" w:color="auto"/>
              <w:bottom w:val="single" w:sz="4" w:space="0" w:color="auto"/>
              <w:right w:val="single" w:sz="4" w:space="0" w:color="auto"/>
            </w:tcBorders>
          </w:tcPr>
          <w:p w14:paraId="001002E9" w14:textId="0010031B">
            <w:pPr>
              <w:pStyle w:val="Normal"/>
              <w:jc w:val="left"/>
            </w:pPr>
            <w:r>
              <w:t xml:space="preserve">12.2%</w:t>
            </w:r>
          </w:p>
        </w:tc>
        <w:tc>
          <w:tcPr>
            <w:vAlign w:val="center"/>
            <w:tcBorders>
              <w:top w:val="single" w:sz="4" w:space="0" w:color="auto"/>
              <w:left w:val="single" w:sz="4" w:space="0" w:color="auto"/>
              <w:bottom w:val="single" w:sz="4" w:space="0" w:color="auto"/>
              <w:right w:val="single" w:sz="4" w:space="0" w:color="auto"/>
            </w:tcBorders>
          </w:tcPr>
          <w:p w14:paraId="001002EB" w14:textId="0010031C">
            <w:pPr>
              <w:pStyle w:val="Normal"/>
              <w:jc w:val="left"/>
            </w:pPr>
            <w:r>
              <w:t xml:space="preserve">15.6%</w:t>
            </w:r>
          </w:p>
        </w:tc>
      </w:tr>
    </w:tbl>
    <w:p w14:paraId="0010031D" w14:textId="0010031E">
      <w:pPr>
        <w:pStyle w:val="Normal"/>
        <w:jc w:val="left"/>
      </w:pPr>
      <w:r>
        <w:t xml:space="preserve">Table 6 Comparative segment performance, 2022–2024</w:t>
      </w:r>
    </w:p>
    <w:p w14:paraId="0010031F" w14:textId="00100320">
      <w:pPr>
        <w:pStyle w:val="Normal"/>
        <w:jc w:val="left"/>
      </w:pPr>
      <w:r>
        <w:drawing>
          <wp:inline distT="0" distB="0" distL="0" distR="0">
            <wp:extent cx="3600000" cy="3600000"/>
            <wp:effectExtent l="0" t="0" r="0" b="0"/>
            <wp:docPr id="7" name="F7.png" descr=""/>
            <wp:cNvGraphicFramePr>
              <a:graphicFrameLocks noChangeAspect="1"/>
            </wp:cNvGraphicFramePr>
            <a:graphic>
              <a:graphicData uri="http://schemas.openxmlformats.org/drawingml/2006/picture">
                <pic:pic>
                  <pic:nvPicPr>
                    <pic:cNvPr id="7" name="F7.png"/>
                    <pic:cNvPicPr/>
                  </pic:nvPicPr>
                  <pic:blipFill>
                    <a:blip r:embed="R2ccda36dca4446a0" cstate="print"/>
                    <a:stretch>
                      <a:fillRect/>
                    </a:stretch>
                  </pic:blipFill>
                  <pic:spPr>
                    <a:xfrm>
                      <a:off x="0" y="0"/>
                      <a:ext cx="3960000" cy="3960000"/>
                    </a:xfrm>
                    <a:prstGeom prst="rect">
                      <a:avLst/>
                    </a:prstGeom>
                  </pic:spPr>
                </pic:pic>
              </a:graphicData>
            </a:graphic>
          </wp:inline>
        </w:drawing>
      </w:r>
    </w:p>
    <w:p w14:paraId="00100321" w14:textId="00100322">
      <w:pPr>
        <w:pStyle w:val="Normal"/>
        <w:jc w:val="left"/>
      </w:pPr>
      <w:r>
        <w:t xml:space="preserve">Figure 7 Three-year revenue, margin, and return trend by segment</w:t>
      </w:r>
    </w:p>
    <w:p w14:paraId="00100323" w14:textId="00100324">
      <w:pPr>
        <w:pStyle w:val="Normal"/>
        <w:jc w:val="left"/>
      </w:pPr>
      <w:r>
        <w:t xml:space="preserve">2.1.2 Growth and Margins</w:t>
      </w:r>
    </w:p>
    <w:p w14:paraId="00100325" w14:textId="00100326">
      <w:pPr>
        <w:pStyle w:val="Normal"/>
        <w:jc w:val="left"/>
      </w:pPr>
      <w:r>
        <w:t xml:space="preserve">The comparative performance profile shows that all three operating segments contributed to group growth in 2024, but they did so through different demand and margin patterns. Industrial Solutions delivered the strongest absolute revenue increase over the three-year period, rising from 1,480 to 1,745, supported by higher project intake from process manufacturing customers, improved aftermarket demand, and a broader installed-base service offering. Its operating margin expanded steadily from 11.2% to 12.6%, reflecting disciplined pricing, a higher share of engineered systems, and improved plant utilization. Infrastructure Services also recorded a consistent growth trajectory, with revenue increasing to 1,309 and margin reaching 10.4%, as contract selectivity and delivery discipline offset inflationary cost pressure.</w:t>
      </w:r>
    </w:p>
    <w:p w14:paraId="00100327" w14:textId="00100328">
      <w:pPr>
        <w:pStyle w:val="Normal"/>
        <w:jc w:val="left"/>
      </w:pPr>
      <w:r>
        <w:t xml:space="preserve">Consumer Platforms remained a significant earnings contributor, although its margin eased from 14.8% in 2022 to 13.7% in 2024. The decline did not indicate structural weakness so much as a deliberate investment phase. Management increased spending on digital acquisition, fulfillment capability, and product renewal while also operating in a more promotion-intensive retail environment. Even with that pressure, the segment sustained positive growth and remained the highest-margin business in the portfolio. At group level, the combined effect was a rise in revenue to 4,408 and a 40 basis-point improvement in operating margin over the period, indicating that scale benefits and portfolio discipline outweighed mix-related headwinds.</w:t>
      </w:r>
    </w:p>
    <w:p w14:paraId="00100329" w14:textId="0010032A">
      <w:pPr>
        <w:pStyle w:val="Normal"/>
        <w:jc w:val="left"/>
      </w:pPr>
      <w:r>
        <w:t xml:space="preserve">Returns by segment provide an additional test of earnings quality because they connect operating profit to the capital required to generate it. In 2024, Consumer Platforms reported the highest return on invested capital at 18.2%, reflecting its relatively asset-light channel structure, faster inventory turns in core categories, and efficient use of digital platforms. The result remains comfortably above the group’s weighted cost of capital and demonstrates that the segment’s recent investment cycle has not diluted its economic contribution.</w:t>
      </w:r>
    </w:p>
    <w:p w14:paraId="0010032B" w14:textId="0010032C">
      <w:pPr>
        <w:pStyle w:val="Normal"/>
        <w:jc w:val="left"/>
      </w:pPr>
      <w:r>
        <w:t xml:space="preserve">Industrial Solutions generated a 2024 ROIC of 15.4%, a notable improvement from earlier years as recent capacity additions began to mature and working-capital controls reduced cash tied up in long-cycle orders. This return level is especially important given the segment’s greater exposure to fabrication assets, technical labor, and project execution risk. Infrastructure Services reported ROIC of 12.8%, lower than the other segments but on an improving path as contract conversion, fleet utilization, and backlog quality strengthened. Management views the upward return trajectory in Infrastructure Services as evidence that selective bidding and tighter project governance are translating into more durable capital efficiency. Across the portfolio, the spread of returns supports the current allocation approach: maintain growth capital in Industrial Solutions, fund capability upgrades in Consumer Platforms, and improve asset productivity in Infrastructure Services before committing to materially larger expansionary spending.</w:t>
      </w:r>
    </w:p>
    <w:p w14:paraId="0010032D" w14:textId="0010032E">
      <w:pPr>
        <w:pStyle w:val="Normal"/>
        <w:jc w:val="left"/>
      </w:pPr>
      <w:r>
        <w:t xml:space="preserve">2.1.2 Operating Drivers</w:t>
      </w:r>
    </w:p>
    <w:p w14:paraId="0010032F" w14:textId="00100330">
      <w:pPr>
        <w:pStyle w:val="Normal"/>
        <w:jc w:val="left"/>
      </w:pPr>
      <w:r>
        <w:t xml:space="preserve">Volume and price were the principal near-term drivers of segment movement in 2024, although the balance between them varied by business. Industrial Solutions benefited from both factors. Shipment volumes increased as deferred customer maintenance programs normalized and several automation projects moved from design into delivery. At the same time, pricing remained firm, particularly in engineered components and service contracts where Rivermark Holdings was able to pass through labor and materials inflation with limited resistance. This combination produced broad-based revenue growth rather than a gain dependent on a single product line or customer concentration.</w:t>
      </w:r>
    </w:p>
    <w:p w14:paraId="00100331" w14:textId="00100332">
      <w:pPr>
        <w:pStyle w:val="Normal"/>
        <w:jc w:val="left"/>
      </w:pPr>
      <w:r>
        <w:t xml:space="preserve">Infrastructure Services showed a similar, though less pronounced, pattern. Revenue growth was supported by higher contract activity in grid maintenance, civil support, and recurring field services, while price realization improved through revised bid discipline and escalation clauses embedded in new awards. In Consumer Platforms, unit growth was positive in priority categories, but average selling prices were more variable because promotional intensity remained elevated in several consumer channels. As a result, top-line growth in that segment came more from customer acquisition, category expansion, and repeat purchase behavior than from straightforward price increases. Taken together, the volume-price analysis indicates that group growth in 2024 was underpinned by real demand expansion, with pricing acting primarily as a margin protection tool rather than the sole source of reported growth.</w:t>
      </w:r>
    </w:p>
    <w:p w14:paraId="00100333" w14:textId="00100334">
      <w:pPr>
        <w:pStyle w:val="Normal"/>
        <w:jc w:val="left"/>
      </w:pPr>
      <w:r>
        <w:t xml:space="preserve">Mix and productivity effects shaped the quality of revenue and the conversion of sales into profit. In Industrial Solutions, the segment achieved a more favorable mix as aftermarket services, controls upgrades, and higher-specification assemblies represented a larger share of sales. These activities typically carry stronger margins than standard component supply and also create repeat engagement with customers across the asset life cycle. Productivity gains came from line balancing in two manufacturing sites, procurement consolidation for common inputs, and improved first-pass yield in specialized fabrication, all of which reduced rework and absorbed fixed costs more effectively.</w:t>
      </w:r>
    </w:p>
    <w:p w14:paraId="00100335" w14:textId="00100336">
      <w:pPr>
        <w:pStyle w:val="Normal"/>
        <w:jc w:val="left"/>
      </w:pPr>
      <w:r>
        <w:t xml:space="preserve">Consumer Platforms experienced a mixed commercial profile. Margin pressure in some high-volume categories was partly offset by faster growth in subscription services, premium private-label products, and data-enabled customer solutions. Those categories enhanced mix quality even as headline promotional activity remained elevated. Productivity initiatives centered on fulfillment routing, digital marketing efficiency, and lower customer-service handling time, generating savings that partially funded continued investment in growth channels. Infrastructure Services improved mix through stricter contract selection, with a higher proportion of framework agreements and recurring maintenance work relative to lower-margin one-off mobilizations. Productivity was supported by better crew scheduling, equipment utilization, and standardized delivery methods. These mix and efficiency levers explain why earnings growth in 2024 outpaced revenue growth in two of the three segments and why management regards operational discipline as a durable source of future margin resilience.</w:t>
      </w:r>
    </w:p>
    <w:p w14:paraId="00100337" w14:textId="00100338">
      <w:pPr>
        <w:pStyle w:val="Normal"/>
        <w:jc w:val="left"/>
      </w:pPr>
      <w:r>
        <w:t xml:space="preserve">2. Industrial Solutions</w:t>
      </w:r>
    </w:p>
    <w:p w14:paraId="00100339" w14:textId="0010033A">
      <w:pPr>
        <w:pStyle w:val="Normal"/>
        <w:jc w:val="left"/>
      </w:pPr>
      <w:r>
        <w:t xml:space="preserve">Industrial Solutions remained the largest operating segment in Rivermark Holdings by revenue and was a major contributor to the group’s earnings progression in 2024. The segment serves industrial manufacturers, processing facilities, utilities, and selected infrastructure customers through engineered components, automation systems, field support, and lifecycle services. Revenue increased to 1,745, supported by stronger order conversion in the second half, resilient aftermarket demand, and a broader pipeline of modernization projects. Customer spending patterns improved compared with the prior year as deferred maintenance budgets returned, smaller automation upgrades accelerated, and clients continued to prioritize reliability, energy efficiency, and labor-saving process improvements.</w:t>
      </w:r>
    </w:p>
    <w:p w14:paraId="0010033B" w14:textId="0010033C">
      <w:pPr>
        <w:pStyle w:val="Normal"/>
        <w:jc w:val="left"/>
      </w:pPr>
      <w:r>
        <w:t xml:space="preserve">Operationally, the segment benefited from a more balanced demand profile across products and services. Management continued to reduce dependency on low-margin transactional volume by emphasizing solution bundles, recurring service agreements, and higher-value technical work. This translated into stronger pricing discipline and a healthier mix, while manufacturing and field execution performance improved through procurement coordination, scheduling tools, and site-level productivity actions. Operating margin rose to 12.6%, reflecting both commercial quality and tighter cost control.</w:t>
      </w:r>
    </w:p>
    <w:p w14:paraId="0010033D" w14:textId="0010033E">
      <w:pPr>
        <w:pStyle w:val="Normal"/>
        <w:jc w:val="left"/>
      </w:pPr>
      <w:r>
        <w:t xml:space="preserve">The market backdrop remained constructive but not uniform. Capital decisions among larger customers were still staged carefully, and lead times in certain specialist inputs required active planning. Even so, backlog quality improved, bid conversion strengthened, and service attach rates expanded across the installed base. Looking ahead, management expects Industrial Solutions to remain a primary growth platform for the group, with continued focus on automation, reliability services, and margin-accretive project selection rather than volume growth at any cost.</w:t>
      </w:r>
    </w:p>
    <w:p w14:paraId="0010033F" w14:textId="00100340">
      <w:pPr>
        <w:pStyle w:val="Normal"/>
        <w:jc w:val="left"/>
      </w:pPr>
      <w:r>
        <w:drawing>
          <wp:inline distT="0" distB="0" distL="0" distR="0">
            <wp:extent cx="4320000" cy="2520000"/>
            <wp:effectExtent l="0" t="0" r="0" b="0"/>
            <wp:docPr id="8" name="F8.png" descr=""/>
            <wp:cNvGraphicFramePr>
              <a:graphicFrameLocks noChangeAspect="1"/>
            </wp:cNvGraphicFramePr>
            <a:graphic>
              <a:graphicData uri="http://schemas.openxmlformats.org/drawingml/2006/picture">
                <pic:pic>
                  <pic:nvPicPr>
                    <pic:cNvPr id="8" name="F8.png"/>
                    <pic:cNvPicPr/>
                  </pic:nvPicPr>
                  <pic:blipFill>
                    <a:blip r:embed="Re0fedff8b93b4d80" cstate="print"/>
                    <a:stretch>
                      <a:fillRect/>
                    </a:stretch>
                  </pic:blipFill>
                  <pic:spPr>
                    <a:xfrm>
                      <a:off x="0" y="0"/>
                      <a:ext cx="4680000" cy="2880000"/>
                    </a:xfrm>
                    <a:prstGeom prst="rect">
                      <a:avLst/>
                    </a:prstGeom>
                  </pic:spPr>
                </pic:pic>
              </a:graphicData>
            </a:graphic>
          </wp:inline>
        </w:drawing>
      </w:r>
    </w:p>
    <w:p w14:paraId="00100341" w14:textId="00100342">
      <w:pPr>
        <w:pStyle w:val="Normal"/>
        <w:jc w:val="left"/>
      </w:pPr>
      <w:r>
        <w:t xml:space="preserve">Figure 8 Industrial Solutions operations at the Northbank fabrication and service facility</w:t>
      </w:r>
    </w:p>
    <w:p w14:paraId="00100343" w14:textId="00100344">
      <w:pPr>
        <w:pStyle w:val="Normal"/>
        <w:jc w:val="left"/>
      </w:pPr>
      <w:r>
        <w:t xml:space="preserve">2.2 Performance and Markets</w:t>
      </w:r>
    </w:p>
    <w:p w14:paraId="00100345" w14:textId="00100346">
      <w:pPr>
        <w:pStyle w:val="Normal"/>
        <w:jc w:val="left"/>
      </w:pPr>
      <w:r>
        <w:t xml:space="preserve">2.2.1 Financial Results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347" w14:textId="0010037F">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349" w14:textId="00100380">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34B" w14:textId="00100381">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34D" w14:textId="00100382">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34F" w14:textId="00100383">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351" w14:textId="00100384">
            <w:pPr>
              <w:pStyle w:val="Normal"/>
              <w:jc w:val="left"/>
            </w:pPr>
            <w:r>
              <w:t xml:space="preserve">2,486</w:t>
            </w:r>
          </w:p>
        </w:tc>
        <w:tc>
          <w:tcPr>
            <w:vAlign w:val="center"/>
            <w:tcBorders>
              <w:top w:val="single" w:sz="4" w:space="0" w:color="auto"/>
              <w:left w:val="single" w:sz="4" w:space="0" w:color="auto"/>
              <w:bottom w:val="single" w:sz="4" w:space="0" w:color="auto"/>
              <w:right w:val="single" w:sz="4" w:space="0" w:color="auto"/>
            </w:tcBorders>
          </w:tcPr>
          <w:p w14:paraId="00100353" w14:textId="00100385">
            <w:pPr>
              <w:pStyle w:val="Normal"/>
              <w:jc w:val="left"/>
            </w:pPr>
            <w:r>
              <w:t xml:space="preserve">2,312</w:t>
            </w:r>
          </w:p>
        </w:tc>
        <w:tc>
          <w:tcPr>
            <w:vAlign w:val="center"/>
            <w:tcBorders>
              <w:top w:val="single" w:sz="4" w:space="0" w:color="auto"/>
              <w:left w:val="single" w:sz="4" w:space="0" w:color="auto"/>
              <w:bottom w:val="single" w:sz="4" w:space="0" w:color="auto"/>
              <w:right w:val="single" w:sz="4" w:space="0" w:color="auto"/>
            </w:tcBorders>
          </w:tcPr>
          <w:p w14:paraId="00100355" w14:textId="00100386">
            <w:pPr>
              <w:pStyle w:val="Normal"/>
              <w:jc w:val="left"/>
            </w:pPr>
            <w:r>
              <w:t xml:space="preserve">+7.5%</w:t>
            </w:r>
          </w:p>
        </w:tc>
      </w:tr>
      <w:tr>
        <w:tc>
          <w:tcPr>
            <w:vAlign w:val="center"/>
            <w:tcBorders>
              <w:top w:val="single" w:sz="4" w:space="0" w:color="auto"/>
              <w:left w:val="single" w:sz="4" w:space="0" w:color="auto"/>
              <w:bottom w:val="single" w:sz="4" w:space="0" w:color="auto"/>
              <w:right w:val="single" w:sz="4" w:space="0" w:color="auto"/>
            </w:tcBorders>
          </w:tcPr>
          <w:p w14:paraId="00100357" w14:textId="00100387">
            <w:pPr>
              <w:pStyle w:val="Normal"/>
              <w:jc w:val="left"/>
            </w:pPr>
            <w:r>
              <w:t xml:space="preserve">Adjusted operating profit</w:t>
            </w:r>
          </w:p>
        </w:tc>
        <w:tc>
          <w:tcPr>
            <w:vAlign w:val="center"/>
            <w:tcBorders>
              <w:top w:val="single" w:sz="4" w:space="0" w:color="auto"/>
              <w:left w:val="single" w:sz="4" w:space="0" w:color="auto"/>
              <w:bottom w:val="single" w:sz="4" w:space="0" w:color="auto"/>
              <w:right w:val="single" w:sz="4" w:space="0" w:color="auto"/>
            </w:tcBorders>
          </w:tcPr>
          <w:p w14:paraId="00100359" w14:textId="00100388">
            <w:pPr>
              <w:pStyle w:val="Normal"/>
              <w:jc w:val="left"/>
            </w:pPr>
            <w:r>
              <w:t xml:space="preserve">284</w:t>
            </w:r>
          </w:p>
        </w:tc>
        <w:tc>
          <w:tcPr>
            <w:vAlign w:val="center"/>
            <w:tcBorders>
              <w:top w:val="single" w:sz="4" w:space="0" w:color="auto"/>
              <w:left w:val="single" w:sz="4" w:space="0" w:color="auto"/>
              <w:bottom w:val="single" w:sz="4" w:space="0" w:color="auto"/>
              <w:right w:val="single" w:sz="4" w:space="0" w:color="auto"/>
            </w:tcBorders>
          </w:tcPr>
          <w:p w14:paraId="0010035B" w14:textId="00100389">
            <w:pPr>
              <w:pStyle w:val="Normal"/>
              <w:jc w:val="left"/>
            </w:pPr>
            <w:r>
              <w:t xml:space="preserve">251</w:t>
            </w:r>
          </w:p>
        </w:tc>
        <w:tc>
          <w:tcPr>
            <w:vAlign w:val="center"/>
            <w:tcBorders>
              <w:top w:val="single" w:sz="4" w:space="0" w:color="auto"/>
              <w:left w:val="single" w:sz="4" w:space="0" w:color="auto"/>
              <w:bottom w:val="single" w:sz="4" w:space="0" w:color="auto"/>
              <w:right w:val="single" w:sz="4" w:space="0" w:color="auto"/>
            </w:tcBorders>
          </w:tcPr>
          <w:p w14:paraId="0010035D" w14:textId="0010038A">
            <w:pPr>
              <w:pStyle w:val="Normal"/>
              <w:jc w:val="left"/>
            </w:pPr>
            <w:r>
              <w:t xml:space="preserve">+13.1%</w:t>
            </w:r>
          </w:p>
        </w:tc>
      </w:tr>
      <w:tr>
        <w:tc>
          <w:tcPr>
            <w:vAlign w:val="center"/>
            <w:tcBorders>
              <w:top w:val="single" w:sz="4" w:space="0" w:color="auto"/>
              <w:left w:val="single" w:sz="4" w:space="0" w:color="auto"/>
              <w:bottom w:val="single" w:sz="4" w:space="0" w:color="auto"/>
              <w:right w:val="single" w:sz="4" w:space="0" w:color="auto"/>
            </w:tcBorders>
          </w:tcPr>
          <w:p w14:paraId="0010035F" w14:textId="0010038B">
            <w:pPr>
              <w:pStyle w:val="Normal"/>
              <w:jc w:val="left"/>
            </w:pPr>
            <w:r>
              <w:t xml:space="preserve">Adjusted operating margin</w:t>
            </w:r>
          </w:p>
        </w:tc>
        <w:tc>
          <w:tcPr>
            <w:vAlign w:val="center"/>
            <w:tcBorders>
              <w:top w:val="single" w:sz="4" w:space="0" w:color="auto"/>
              <w:left w:val="single" w:sz="4" w:space="0" w:color="auto"/>
              <w:bottom w:val="single" w:sz="4" w:space="0" w:color="auto"/>
              <w:right w:val="single" w:sz="4" w:space="0" w:color="auto"/>
            </w:tcBorders>
          </w:tcPr>
          <w:p w14:paraId="00100361" w14:textId="0010038C">
            <w:pPr>
              <w:pStyle w:val="Normal"/>
              <w:jc w:val="left"/>
            </w:pPr>
            <w:r>
              <w:t xml:space="preserve">11.4%</w:t>
            </w:r>
          </w:p>
        </w:tc>
        <w:tc>
          <w:tcPr>
            <w:vAlign w:val="center"/>
            <w:tcBorders>
              <w:top w:val="single" w:sz="4" w:space="0" w:color="auto"/>
              <w:left w:val="single" w:sz="4" w:space="0" w:color="auto"/>
              <w:bottom w:val="single" w:sz="4" w:space="0" w:color="auto"/>
              <w:right w:val="single" w:sz="4" w:space="0" w:color="auto"/>
            </w:tcBorders>
          </w:tcPr>
          <w:p w14:paraId="00100363" w14:textId="0010038D">
            <w:pPr>
              <w:pStyle w:val="Normal"/>
              <w:jc w:val="left"/>
            </w:pPr>
            <w:r>
              <w:t xml:space="preserve">10.9%</w:t>
            </w:r>
          </w:p>
        </w:tc>
        <w:tc>
          <w:tcPr>
            <w:vAlign w:val="center"/>
            <w:tcBorders>
              <w:top w:val="single" w:sz="4" w:space="0" w:color="auto"/>
              <w:left w:val="single" w:sz="4" w:space="0" w:color="auto"/>
              <w:bottom w:val="single" w:sz="4" w:space="0" w:color="auto"/>
              <w:right w:val="single" w:sz="4" w:space="0" w:color="auto"/>
            </w:tcBorders>
          </w:tcPr>
          <w:p w14:paraId="00100365" w14:textId="0010038E">
            <w:pPr>
              <w:pStyle w:val="Normal"/>
              <w:jc w:val="left"/>
            </w:pPr>
            <w:r>
              <w:t xml:space="preserve">+0.5 pts</w:t>
            </w:r>
          </w:p>
        </w:tc>
      </w:tr>
      <w:tr>
        <w:tc>
          <w:tcPr>
            <w:vAlign w:val="center"/>
            <w:tcBorders>
              <w:top w:val="single" w:sz="4" w:space="0" w:color="auto"/>
              <w:left w:val="single" w:sz="4" w:space="0" w:color="auto"/>
              <w:bottom w:val="single" w:sz="4" w:space="0" w:color="auto"/>
              <w:right w:val="single" w:sz="4" w:space="0" w:color="auto"/>
            </w:tcBorders>
          </w:tcPr>
          <w:p w14:paraId="00100367" w14:textId="0010038F">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369" w14:textId="00100390">
            <w:pPr>
              <w:pStyle w:val="Normal"/>
              <w:jc w:val="left"/>
            </w:pPr>
            <w:r>
              <w:t xml:space="preserve">263</w:t>
            </w:r>
          </w:p>
        </w:tc>
        <w:tc>
          <w:tcPr>
            <w:vAlign w:val="center"/>
            <w:tcBorders>
              <w:top w:val="single" w:sz="4" w:space="0" w:color="auto"/>
              <w:left w:val="single" w:sz="4" w:space="0" w:color="auto"/>
              <w:bottom w:val="single" w:sz="4" w:space="0" w:color="auto"/>
              <w:right w:val="single" w:sz="4" w:space="0" w:color="auto"/>
            </w:tcBorders>
          </w:tcPr>
          <w:p w14:paraId="0010036B" w14:textId="00100391">
            <w:pPr>
              <w:pStyle w:val="Normal"/>
              <w:jc w:val="left"/>
            </w:pPr>
            <w:r>
              <w:t xml:space="preserve">219</w:t>
            </w:r>
          </w:p>
        </w:tc>
        <w:tc>
          <w:tcPr>
            <w:vAlign w:val="center"/>
            <w:tcBorders>
              <w:top w:val="single" w:sz="4" w:space="0" w:color="auto"/>
              <w:left w:val="single" w:sz="4" w:space="0" w:color="auto"/>
              <w:bottom w:val="single" w:sz="4" w:space="0" w:color="auto"/>
              <w:right w:val="single" w:sz="4" w:space="0" w:color="auto"/>
            </w:tcBorders>
          </w:tcPr>
          <w:p w14:paraId="0010036D" w14:textId="00100392">
            <w:pPr>
              <w:pStyle w:val="Normal"/>
              <w:jc w:val="left"/>
            </w:pPr>
            <w:r>
              <w:t xml:space="preserve">+20.1%</w:t>
            </w:r>
          </w:p>
        </w:tc>
      </w:tr>
      <w:tr>
        <w:tc>
          <w:tcPr>
            <w:vAlign w:val="center"/>
            <w:tcBorders>
              <w:top w:val="single" w:sz="4" w:space="0" w:color="auto"/>
              <w:left w:val="single" w:sz="4" w:space="0" w:color="auto"/>
              <w:bottom w:val="single" w:sz="4" w:space="0" w:color="auto"/>
              <w:right w:val="single" w:sz="4" w:space="0" w:color="auto"/>
            </w:tcBorders>
          </w:tcPr>
          <w:p w14:paraId="0010036F" w14:textId="00100393">
            <w:pPr>
              <w:pStyle w:val="Normal"/>
              <w:jc w:val="left"/>
            </w:pPr>
            <w:r>
              <w:t xml:space="preserve">Capital expenditure</w:t>
            </w:r>
          </w:p>
        </w:tc>
        <w:tc>
          <w:tcPr>
            <w:vAlign w:val="center"/>
            <w:tcBorders>
              <w:top w:val="single" w:sz="4" w:space="0" w:color="auto"/>
              <w:left w:val="single" w:sz="4" w:space="0" w:color="auto"/>
              <w:bottom w:val="single" w:sz="4" w:space="0" w:color="auto"/>
              <w:right w:val="single" w:sz="4" w:space="0" w:color="auto"/>
            </w:tcBorders>
          </w:tcPr>
          <w:p w14:paraId="00100371" w14:textId="00100394">
            <w:pPr>
              <w:pStyle w:val="Normal"/>
              <w:jc w:val="left"/>
            </w:pPr>
            <w:r>
              <w:t xml:space="preserve">146</w:t>
            </w:r>
          </w:p>
        </w:tc>
        <w:tc>
          <w:tcPr>
            <w:vAlign w:val="center"/>
            <w:tcBorders>
              <w:top w:val="single" w:sz="4" w:space="0" w:color="auto"/>
              <w:left w:val="single" w:sz="4" w:space="0" w:color="auto"/>
              <w:bottom w:val="single" w:sz="4" w:space="0" w:color="auto"/>
              <w:right w:val="single" w:sz="4" w:space="0" w:color="auto"/>
            </w:tcBorders>
          </w:tcPr>
          <w:p w14:paraId="00100373" w14:textId="00100395">
            <w:pPr>
              <w:pStyle w:val="Normal"/>
              <w:jc w:val="left"/>
            </w:pPr>
            <w:r>
              <w:t xml:space="preserve">132</w:t>
            </w:r>
          </w:p>
        </w:tc>
        <w:tc>
          <w:tcPr>
            <w:vAlign w:val="center"/>
            <w:tcBorders>
              <w:top w:val="single" w:sz="4" w:space="0" w:color="auto"/>
              <w:left w:val="single" w:sz="4" w:space="0" w:color="auto"/>
              <w:bottom w:val="single" w:sz="4" w:space="0" w:color="auto"/>
              <w:right w:val="single" w:sz="4" w:space="0" w:color="auto"/>
            </w:tcBorders>
          </w:tcPr>
          <w:p w14:paraId="00100375" w14:textId="00100396">
            <w:pPr>
              <w:pStyle w:val="Normal"/>
              <w:jc w:val="left"/>
            </w:pPr>
            <w:r>
              <w:t xml:space="preserve">+10.6%</w:t>
            </w:r>
          </w:p>
        </w:tc>
      </w:tr>
      <w:tr>
        <w:tc>
          <w:tcPr>
            <w:vAlign w:val="center"/>
            <w:tcBorders>
              <w:top w:val="single" w:sz="4" w:space="0" w:color="auto"/>
              <w:left w:val="single" w:sz="4" w:space="0" w:color="auto"/>
              <w:bottom w:val="single" w:sz="4" w:space="0" w:color="auto"/>
              <w:right w:val="single" w:sz="4" w:space="0" w:color="auto"/>
            </w:tcBorders>
          </w:tcPr>
          <w:p w14:paraId="00100377" w14:textId="00100397">
            <w:pPr>
              <w:pStyle w:val="Normal"/>
              <w:jc w:val="left"/>
            </w:pPr>
            <w:r>
              <w:t xml:space="preserve">Order intake</w:t>
            </w:r>
          </w:p>
        </w:tc>
        <w:tc>
          <w:tcPr>
            <w:vAlign w:val="center"/>
            <w:tcBorders>
              <w:top w:val="single" w:sz="4" w:space="0" w:color="auto"/>
              <w:left w:val="single" w:sz="4" w:space="0" w:color="auto"/>
              <w:bottom w:val="single" w:sz="4" w:space="0" w:color="auto"/>
              <w:right w:val="single" w:sz="4" w:space="0" w:color="auto"/>
            </w:tcBorders>
          </w:tcPr>
          <w:p w14:paraId="00100379" w14:textId="00100398">
            <w:pPr>
              <w:pStyle w:val="Normal"/>
              <w:jc w:val="left"/>
            </w:pPr>
            <w:r>
              <w:t xml:space="preserve">2,571</w:t>
            </w:r>
          </w:p>
        </w:tc>
        <w:tc>
          <w:tcPr>
            <w:vAlign w:val="center"/>
            <w:tcBorders>
              <w:top w:val="single" w:sz="4" w:space="0" w:color="auto"/>
              <w:left w:val="single" w:sz="4" w:space="0" w:color="auto"/>
              <w:bottom w:val="single" w:sz="4" w:space="0" w:color="auto"/>
              <w:right w:val="single" w:sz="4" w:space="0" w:color="auto"/>
            </w:tcBorders>
          </w:tcPr>
          <w:p w14:paraId="0010037B" w14:textId="00100399">
            <w:pPr>
              <w:pStyle w:val="Normal"/>
              <w:jc w:val="left"/>
            </w:pPr>
            <w:r>
              <w:t xml:space="preserve">2,401</w:t>
            </w:r>
          </w:p>
        </w:tc>
        <w:tc>
          <w:tcPr>
            <w:vAlign w:val="center"/>
            <w:tcBorders>
              <w:top w:val="single" w:sz="4" w:space="0" w:color="auto"/>
              <w:left w:val="single" w:sz="4" w:space="0" w:color="auto"/>
              <w:bottom w:val="single" w:sz="4" w:space="0" w:color="auto"/>
              <w:right w:val="single" w:sz="4" w:space="0" w:color="auto"/>
            </w:tcBorders>
          </w:tcPr>
          <w:p w14:paraId="0010037D" w14:textId="0010039A">
            <w:pPr>
              <w:pStyle w:val="Normal"/>
              <w:jc w:val="left"/>
            </w:pPr>
            <w:r>
              <w:t xml:space="preserve">+7.1%</w:t>
            </w:r>
          </w:p>
        </w:tc>
      </w:tr>
    </w:tbl>
    <w:p w14:paraId="0010039B" w14:textId="0010039C">
      <w:pPr>
        <w:pStyle w:val="Normal"/>
        <w:jc w:val="left"/>
      </w:pPr>
      <w:r>
        <w:t xml:space="preserve">Table 9 Industrial Solutions financial results</w:t>
      </w:r>
    </w:p>
    <w:p w14:paraId="0010039D" w14:textId="0010039E">
      <w:pPr>
        <w:pStyle w:val="Normal"/>
        <w:jc w:val="left"/>
      </w:pPr>
      <w:r>
        <w:t xml:space="preserve">2.2.1 Operating Progress</w:t>
      </w:r>
    </w:p>
    <w:p w14:paraId="0010039F" w14:textId="001003A0">
      <w:pPr>
        <w:pStyle w:val="Normal"/>
        <w:jc w:val="left"/>
      </w:pPr>
      <w:r>
        <w:t xml:space="preserve">Industrial Solutions advanced its operating agenda through a combination of selective capacity expansion, tighter plant discipline, and a more standardized commercial process. During the year, the segment completed the first phase of automation upgrades at the Rivermark Components Works and commissioned two digitally monitored finishing lines serving mobility, energy equipment, and specialized process-industry customers. These actions reduced changeover time, improved yield stability, and supported higher-value product mix in precision assemblies and engineered sub-systems.</w:t>
      </w:r>
    </w:p>
    <w:p w14:paraId="001003A1" w14:textId="001003A2">
      <w:pPr>
        <w:pStyle w:val="Normal"/>
        <w:jc w:val="left"/>
      </w:pPr>
      <w:r>
        <w:t xml:space="preserve">Operational initiatives also focused on procurement and network resilience. The segment broadened dual-sourcing for critical castings, power electronics, and industrial fasteners, while renegotiating framework agreements with logistics providers to reduce lead-time volatility on interregional flows. In parallel, customer-facing teams introduced a common bid-review process for complex contracts, allowing pricing assumptions, service obligations, and pass-through mechanisms to be tested more consistently before order acceptance. This improved conversion discipline in markets where input prices and delivery windows remained variable.</w:t>
      </w:r>
    </w:p>
    <w:p w14:paraId="001003A3" w14:textId="001003A4">
      <w:pPr>
        <w:pStyle w:val="Normal"/>
        <w:jc w:val="left"/>
      </w:pPr>
      <w:r>
        <w:t xml:space="preserve">Productivity gains were supported by targeted maintenance programs, energy monitoring, and more frequent line-level performance reviews. Safety observations and equipment uptime indicators were integrated into weekly operating meetings, helping local managers resolve recurring stoppage causes faster. As a result, the segment exited the year with improved schedule adherence, lower rework intensity, and a stronger backlog profile than at the start of the period.</w:t>
      </w:r>
    </w:p>
    <w:p w14:paraId="001003A5" w14:textId="001003A6">
      <w:pPr>
        <w:pStyle w:val="Normal"/>
        <w:jc w:val="left"/>
      </w:pPr>
      <w:r>
        <w:t xml:space="preserve">The segment’s performance trend reflected both favorable market participation and internal execution improvement. Revenue growth was driven by a balanced mix of volume recovery in aftermarket industrial demand, better pricing capture on newer contracts, and a higher share of technically differentiated products. Margin expansion outpaced revenue growth because throughput improved at core facilities, warranty and rework costs declined, and procurement savings were retained despite continued inflation in selected metals and transport categories.</w:t>
      </w:r>
    </w:p>
    <w:p w14:paraId="001003A7" w14:textId="001003A8">
      <w:pPr>
        <w:pStyle w:val="Normal"/>
        <w:jc w:val="left"/>
      </w:pPr>
      <w:r>
        <w:t xml:space="preserve">Cash performance strengthened more markedly than earnings, reflecting tighter working-capital control. Receivables collection improved in the second half, inventory buffers built in the prior year were partially normalized, and milestone billing on several large customer programs supported conversion. While capital expenditure rose, the increase remained concentrated on automation, quality control, and debottlenecking projects with relatively short payback periods. This kept free-cash discipline intact while preserving capacity for future demand.</w:t>
      </w:r>
    </w:p>
    <w:p w14:paraId="001003A9" w14:textId="001003AA">
      <w:pPr>
        <w:pStyle w:val="Normal"/>
        <w:jc w:val="left"/>
      </w:pPr>
      <w:r>
        <w:t xml:space="preserve">The year was not uniformly positive across all end markets. Heavy equipment and general industrial channels were firmer than expected, whereas project-linked demand in certain export markets remained uneven. Even so, the overall trend indicates that Industrial Solutions is becoming less dependent on cyclical volume alone and more reliant on mix quality, service attachment, and operating consistency. That shift provides a more resilient earnings base entering the next reporting year.</w:t>
      </w:r>
    </w:p>
    <w:p w14:paraId="001003AB" w14:textId="001003AC">
      <w:pPr>
        <w:pStyle w:val="Normal"/>
        <w:jc w:val="left"/>
      </w:pPr>
      <w:r>
        <w:t xml:space="preserve">2.2 Risks and Outlook</w:t>
      </w:r>
    </w:p>
    <w:p w14:paraId="001003AD" w14:textId="001003AE">
      <w:pPr>
        <w:pStyle w:val="Normal"/>
        <w:jc w:val="left"/>
      </w:pPr>
      <w:r>
        <w:t xml:space="preserve">2.2.2 Key Opportunities</w:t>
      </w:r>
    </w:p>
    <w:p w14:paraId="001003AF" w14:textId="001003B0">
      <w:pPr>
        <w:pStyle w:val="Normal"/>
        <w:jc w:val="left"/>
      </w:pPr>
      <w:r>
        <w:t xml:space="preserve">Industrial Solutions sees its most attractive growth opportunities in applications where customers require performance-critical components, repeat delivery reliability, and lifecycle support rather than simple unit-cost competition. Demand from grid equipment, industrial automation, water systems, and selected transport platforms continues to favor suppliers that can meet engineering tolerances, documentation requirements, and regional delivery commitments. Rivermark Holdings is therefore prioritizing solution-led offers that combine manufactured parts, testing, field service, and digital condition-support packages into longer-duration customer relationships.</w:t>
      </w:r>
    </w:p>
    <w:p w14:paraId="001003B1" w14:textId="001003B2">
      <w:pPr>
        <w:pStyle w:val="Normal"/>
        <w:jc w:val="left"/>
      </w:pPr>
      <w:r>
        <w:t xml:space="preserve">Geographic expansion also remains an opportunity, particularly through deeper penetration of mid-market customers in North Corridor and coastal export channels where the segment has historically under-indexed. Sales teams are focusing on accounts with fragmented incumbent supply bases, because these customers are more receptive to consolidated sourcing and quality-assurance partnerships. In parallel, cross-selling with Infrastructure Services creates openings in maintenance-intensive industrial sites that require both equipment modules and technical service response.</w:t>
      </w:r>
    </w:p>
    <w:p w14:paraId="001003B3" w14:textId="001003B4">
      <w:pPr>
        <w:pStyle w:val="Normal"/>
        <w:jc w:val="left"/>
      </w:pPr>
      <w:r>
        <w:t xml:space="preserve">A further opportunity lies in disciplined product mix migration. By reallocating engineering effort toward higher-complexity assemblies and proprietary process know-how, the segment can improve returns without relying solely on large-scale capacity additions. If market conditions remain stable, these opportunities should support another year of order-book growth, moderate margin progression, and a broader installed base for recurring aftermarket revenue.</w:t>
      </w:r>
    </w:p>
    <w:p w14:paraId="001003B5" w14:textId="001003B6">
      <w:pPr>
        <w:pStyle w:val="Normal"/>
        <w:jc w:val="left"/>
      </w:pPr>
      <w:r>
        <w:t xml:space="preserve">To convert these opportunities into durable earnings, the segment is investing in capability development across engineering, digital operations, quality systems, and commercial execution. Technical teams are expanding design-for-manufacture support so that customer engagement begins earlier in the specification cycle, improving win rates on programs where manufacturability and compliance are decisive factors. This is being reinforced by additional metrology, traceability, and certification capability, especially in product families serving regulated and high-reliability end markets.</w:t>
      </w:r>
    </w:p>
    <w:p w14:paraId="001003B7" w14:textId="001003B8">
      <w:pPr>
        <w:pStyle w:val="Normal"/>
        <w:jc w:val="left"/>
      </w:pPr>
      <w:r>
        <w:t xml:space="preserve">Capability development is equally important on the operating side. The segment is building a more interoperable production environment through common planning tools, machine data capture, and standardized performance dashboards across major sites. These systems improve visibility over scrap, downtime, throughput, and energy intensity, allowing management to compare lines on a like-for-like basis and replicate proven practices faster. Training programs for supervisors and maintenance specialists are intended to embed these disciplines rather than treat them as one-off initiatives.</w:t>
      </w:r>
    </w:p>
    <w:p w14:paraId="001003B9" w14:textId="001003BA">
      <w:pPr>
        <w:pStyle w:val="Normal"/>
        <w:jc w:val="left"/>
      </w:pPr>
      <w:r>
        <w:t xml:space="preserve">Commercial capability is also being strengthened through account segmentation, value-pricing methods, and structured post-project reviews. Together, these actions should improve contract quality, reduce execution leakage, and support better capital allocation. Management expects that stronger capabilities, not just favorable demand, will be the principal determinant of sustained performance in Industrial Solutions over the medium term.</w:t>
      </w:r>
    </w:p>
    <w:p w14:paraId="001003BB" w14:textId="001003BC">
      <w:pPr>
        <w:pStyle w:val="Normal"/>
        <w:jc w:val="left"/>
      </w:pPr>
      <w:r>
        <w:t xml:space="preserve">2.2.2 Execution Risks</w:t>
      </w:r>
    </w:p>
    <w:p w14:paraId="001003BD" w14:textId="001003BE">
      <w:pPr>
        <w:pStyle w:val="Normal"/>
        <w:jc w:val="left"/>
      </w:pPr>
      <w:r>
        <w:t xml:space="preserve">Industrial Solutions remains exposed to a concentrated set of execution and market risks that could affect order conversion, project margins, and cash realization in the next reporting period. On the execution side, the segment is managing a larger share of multi-site customer programs, tighter installation windows, and higher dependence on specialist engineering talent. Delays in design approvals, commissioning bottlenecks, or shortages in critical components can shift delivery milestones and defer revenue recognition. Margin performance is also sensitive to under-recovery of labor, subcontractor claims, and rework costs on technically complex contracts, particularly where customer specifications evolve late in the project cycle.</w:t>
      </w:r>
    </w:p>
    <w:p w14:paraId="001003BF" w14:textId="001003C0">
      <w:pPr>
        <w:pStyle w:val="Normal"/>
        <w:jc w:val="left"/>
      </w:pPr>
      <w:r>
        <w:t xml:space="preserve">Market conditions add a second layer of uncertainty. Demand from industrial customers has remained positive overall, but order timing has become less predictable as clients phase capital expenditure more cautiously and subject new projects to extended internal approval. Competitive pressure has increased in standard product lines, with some regional competitors using shorter lead-time offers and selective price discounting to defend share. Input-cost volatility, especially in fabricated materials, electronics, and freight, continues to create quotation risk where contracts are fixed-price in nature. In addition, permitting changes and localized compliance requirements in several operating markets may lengthen the time between bid award and mobilization. Taken together, these factors do not alter the segment’s medium-term opportunity set, but they do require tighter commercial discipline, stronger project controls, and more selective pursuit of work to protect returns.</w:t>
      </w:r>
    </w:p>
    <w:p w14:paraId="001003C1" w14:textId="001003C2">
      <w:pPr>
        <w:pStyle w:val="Normal"/>
        <w:jc w:val="left"/>
      </w:pPr>
      <w:r>
        <w:t xml:space="preserve">To address these exposures, management has prioritized a focused mitigation agenda built around bid quality, delivery control, and customer portfolio resilience. The first priority is tighter front-end risk selection. Commercial teams now apply stricter hurdle rates, standardized contingency thresholds, and enhanced technical review for larger engineered contracts so that pricing better reflects complexity, schedule sensitivity, and input-cost exposure. This is being supported by earlier involvement from procurement and operations leaders in the tender stage, allowing supply-chain constraints and labor availability to be assessed before commitments are finalized.</w:t>
      </w:r>
    </w:p>
    <w:p w14:paraId="001003C3" w14:textId="001003C4">
      <w:pPr>
        <w:pStyle w:val="Normal"/>
        <w:jc w:val="left"/>
      </w:pPr>
      <w:r>
        <w:t xml:space="preserve">The second priority is execution predictability. The segment has expanded milestone tracking, site-readiness reviews, and monthly contract health assessments for its top projects, with escalation protocols for schedule variance, margin erosion, and customer change orders. Supplier diversification has also been broadened for selected electronic and fabricated components, reducing dependence on single-source procurement. In parallel, workforce planning has been strengthened through targeted recruitment of field engineers, additional cross-training, and more disciplined use of approved subcontractor panels.</w:t>
      </w:r>
    </w:p>
    <w:p w14:paraId="001003C5" w14:textId="001003C6">
      <w:pPr>
        <w:pStyle w:val="Normal"/>
        <w:jc w:val="left"/>
      </w:pPr>
      <w:r>
        <w:t xml:space="preserve">A third priority is defensive balance-sheet management. Industrial Solutions is seeking to improve payment terms, accelerate claims resolution, and link working-capital targets more directly to project leadership incentives. These actions are intended to preserve cash conversion while maintaining service quality. Management believes that, while external conditions will likely remain uneven, the combination of sharper contract governance, improved operational visibility, and selective market participation should reduce downside volatility and position the segment to capture higher-quality growth.</w:t>
      </w:r>
    </w:p>
    <w:p w14:paraId="001003C7" w14:textId="001003C8">
      <w:pPr>
        <w:pStyle w:val="Normal"/>
        <w:jc w:val="left"/>
      </w:pPr>
      <w:r>
        <w:t xml:space="preserve">2. Consumer Platforms</w:t>
      </w:r>
    </w:p>
    <w:p w14:paraId="001003C9" w14:textId="001003CA">
      <w:pPr>
        <w:pStyle w:val="Normal"/>
        <w:jc w:val="left"/>
      </w:pPr>
      <w:r>
        <w:t xml:space="preserve">Consumer Platforms delivered resilient performance in a year marked by uneven household demand, channel shifts, and continued competition for customer attention. Revenue growth was supported by selective price realization, stronger digital channel sales, and a broader contribution from subscription-based and repeat-purchase categories, partly offset by softer discretionary spending in mass-market lines during the first half. The segment’s customer base remained active, with retention trends improving in core loyalty cohorts and average order frequency stabilizing as inflationary pressure on consumer budgets eased later in the year. Management continued to refine product assortment, emphasizing higher-turn categories, targeted promotions, and data-led merchandising to improve gross margin quality rather than pursue volume at any cost.</w:t>
      </w:r>
    </w:p>
    <w:p w14:paraId="001003CB" w14:textId="001003CC">
      <w:pPr>
        <w:pStyle w:val="Normal"/>
        <w:jc w:val="left"/>
      </w:pPr>
      <w:r>
        <w:t xml:space="preserve">Operationally, the segment benefited from progress in fulfillment efficiency, platform reliability, and customer service response times. Investments made over the prior year in demand forecasting and inventory allocation reduced stock-out intensity in peak periods and lowered aged inventory in slower-moving categories. Marketing spend was rebalanced toward higher-return acquisition channels and customer lifecycle programs, which improved campaign productivity even as media costs remained elevated. At the same time, the segment continued to invest in product design, user experience, and channel integration to strengthen its position across direct, marketplace, and partner routes to market.</w:t>
      </w:r>
    </w:p>
    <w:p w14:paraId="001003CD" w14:textId="001003CE">
      <w:pPr>
        <w:pStyle w:val="Normal"/>
        <w:jc w:val="left"/>
      </w:pPr>
      <w:r>
        <w:t xml:space="preserve">While market conditions remain competitive, Consumer Platforms enters the next year with a stronger recurring-revenue mix, better customer insight capabilities, and a more disciplined promotional model. These factors supported stable earnings progression and improved cash generation, providing a firmer base for innovation and measured expansion.</w:t>
      </w:r>
    </w:p>
    <w:p w14:paraId="001003CF" w14:textId="001003D0">
      <w:pPr>
        <w:pStyle w:val="Normal"/>
        <w:jc w:val="left"/>
      </w:pPr>
      <w:r>
        <w:t xml:space="preserve">2.3 Performance and Customers</w:t>
      </w:r>
    </w:p>
    <w:p w14:paraId="001003D1" w14:textId="001003D2">
      <w:pPr>
        <w:pStyle w:val="Normal"/>
        <w:jc w:val="left"/>
      </w:pPr>
      <w:r>
        <w:t xml:space="preserve">2.3.1 Financial Results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3D3" w14:textId="00100403">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3D5" w14:textId="00100404">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3D7" w14:textId="00100405">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3D9" w14:textId="00100406">
            <w:pPr>
              <w:pStyle w:val="Normal"/>
              <w:jc w:val="left"/>
            </w:pPr>
            <w:r>
              <w:t xml:space="preserve">Change</w:t>
            </w:r>
          </w:p>
        </w:tc>
      </w:tr>
      <w:tr>
        <w:tc>
          <w:tcPr>
            <w:vAlign w:val="center"/>
            <w:tcBorders>
              <w:top w:val="single" w:sz="4" w:space="0" w:color="auto"/>
              <w:left w:val="single" w:sz="4" w:space="0" w:color="auto"/>
              <w:bottom w:val="single" w:sz="4" w:space="0" w:color="auto"/>
              <w:right w:val="single" w:sz="4" w:space="0" w:color="auto"/>
            </w:tcBorders>
          </w:tcPr>
          <w:p w14:paraId="001003DB" w14:textId="00100407">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3DD" w14:textId="00100408">
            <w:pPr>
              <w:pStyle w:val="Normal"/>
              <w:jc w:val="left"/>
            </w:pPr>
            <w:r>
              <w:t xml:space="preserve">1,284</w:t>
            </w:r>
          </w:p>
        </w:tc>
        <w:tc>
          <w:tcPr>
            <w:vAlign w:val="center"/>
            <w:tcBorders>
              <w:top w:val="single" w:sz="4" w:space="0" w:color="auto"/>
              <w:left w:val="single" w:sz="4" w:space="0" w:color="auto"/>
              <w:bottom w:val="single" w:sz="4" w:space="0" w:color="auto"/>
              <w:right w:val="single" w:sz="4" w:space="0" w:color="auto"/>
            </w:tcBorders>
          </w:tcPr>
          <w:p w14:paraId="001003DF" w14:textId="00100409">
            <w:pPr>
              <w:pStyle w:val="Normal"/>
              <w:jc w:val="left"/>
            </w:pPr>
            <w:r>
              <w:t xml:space="preserve">1,197</w:t>
            </w:r>
          </w:p>
        </w:tc>
        <w:tc>
          <w:tcPr>
            <w:vAlign w:val="center"/>
            <w:tcBorders>
              <w:top w:val="single" w:sz="4" w:space="0" w:color="auto"/>
              <w:left w:val="single" w:sz="4" w:space="0" w:color="auto"/>
              <w:bottom w:val="single" w:sz="4" w:space="0" w:color="auto"/>
              <w:right w:val="single" w:sz="4" w:space="0" w:color="auto"/>
            </w:tcBorders>
          </w:tcPr>
          <w:p w14:paraId="001003E1" w14:textId="0010040A">
            <w:pPr>
              <w:pStyle w:val="Normal"/>
              <w:jc w:val="left"/>
            </w:pPr>
            <w:r>
              <w:t xml:space="preserve">+7.3%</w:t>
            </w:r>
          </w:p>
        </w:tc>
      </w:tr>
      <w:tr>
        <w:tc>
          <w:tcPr>
            <w:vAlign w:val="center"/>
            <w:tcBorders>
              <w:top w:val="single" w:sz="4" w:space="0" w:color="auto"/>
              <w:left w:val="single" w:sz="4" w:space="0" w:color="auto"/>
              <w:bottom w:val="single" w:sz="4" w:space="0" w:color="auto"/>
              <w:right w:val="single" w:sz="4" w:space="0" w:color="auto"/>
            </w:tcBorders>
          </w:tcPr>
          <w:p w14:paraId="001003E3" w14:textId="0010040B">
            <w:pPr>
              <w:pStyle w:val="Normal"/>
              <w:jc w:val="left"/>
            </w:pPr>
            <w:r>
              <w:t xml:space="preserve">Adjusted operating earnings</w:t>
            </w:r>
          </w:p>
        </w:tc>
        <w:tc>
          <w:tcPr>
            <w:vAlign w:val="center"/>
            <w:tcBorders>
              <w:top w:val="single" w:sz="4" w:space="0" w:color="auto"/>
              <w:left w:val="single" w:sz="4" w:space="0" w:color="auto"/>
              <w:bottom w:val="single" w:sz="4" w:space="0" w:color="auto"/>
              <w:right w:val="single" w:sz="4" w:space="0" w:color="auto"/>
            </w:tcBorders>
          </w:tcPr>
          <w:p w14:paraId="001003E5" w14:textId="0010040C">
            <w:pPr>
              <w:pStyle w:val="Normal"/>
              <w:jc w:val="left"/>
            </w:pPr>
            <w:r>
              <w:t xml:space="preserve">168</w:t>
            </w:r>
          </w:p>
        </w:tc>
        <w:tc>
          <w:tcPr>
            <w:vAlign w:val="center"/>
            <w:tcBorders>
              <w:top w:val="single" w:sz="4" w:space="0" w:color="auto"/>
              <w:left w:val="single" w:sz="4" w:space="0" w:color="auto"/>
              <w:bottom w:val="single" w:sz="4" w:space="0" w:color="auto"/>
              <w:right w:val="single" w:sz="4" w:space="0" w:color="auto"/>
            </w:tcBorders>
          </w:tcPr>
          <w:p w14:paraId="001003E7" w14:textId="0010040D">
            <w:pPr>
              <w:pStyle w:val="Normal"/>
              <w:jc w:val="left"/>
            </w:pPr>
            <w:r>
              <w:t xml:space="preserve">149</w:t>
            </w:r>
          </w:p>
        </w:tc>
        <w:tc>
          <w:tcPr>
            <w:vAlign w:val="center"/>
            <w:tcBorders>
              <w:top w:val="single" w:sz="4" w:space="0" w:color="auto"/>
              <w:left w:val="single" w:sz="4" w:space="0" w:color="auto"/>
              <w:bottom w:val="single" w:sz="4" w:space="0" w:color="auto"/>
              <w:right w:val="single" w:sz="4" w:space="0" w:color="auto"/>
            </w:tcBorders>
          </w:tcPr>
          <w:p w14:paraId="001003E9" w14:textId="0010040E">
            <w:pPr>
              <w:pStyle w:val="Normal"/>
              <w:jc w:val="left"/>
            </w:pPr>
            <w:r>
              <w:t xml:space="preserve">+12.8%</w:t>
            </w:r>
          </w:p>
        </w:tc>
      </w:tr>
      <w:tr>
        <w:tc>
          <w:tcPr>
            <w:vAlign w:val="center"/>
            <w:tcBorders>
              <w:top w:val="single" w:sz="4" w:space="0" w:color="auto"/>
              <w:left w:val="single" w:sz="4" w:space="0" w:color="auto"/>
              <w:bottom w:val="single" w:sz="4" w:space="0" w:color="auto"/>
              <w:right w:val="single" w:sz="4" w:space="0" w:color="auto"/>
            </w:tcBorders>
          </w:tcPr>
          <w:p w14:paraId="001003EB" w14:textId="0010040F">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3ED" w14:textId="00100410">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03EF" w14:textId="00100411">
            <w:pPr>
              <w:pStyle w:val="Normal"/>
              <w:jc w:val="left"/>
            </w:pPr>
            <w:r>
              <w:t xml:space="preserve">131</w:t>
            </w:r>
          </w:p>
        </w:tc>
        <w:tc>
          <w:tcPr>
            <w:vAlign w:val="center"/>
            <w:tcBorders>
              <w:top w:val="single" w:sz="4" w:space="0" w:color="auto"/>
              <w:left w:val="single" w:sz="4" w:space="0" w:color="auto"/>
              <w:bottom w:val="single" w:sz="4" w:space="0" w:color="auto"/>
              <w:right w:val="single" w:sz="4" w:space="0" w:color="auto"/>
            </w:tcBorders>
          </w:tcPr>
          <w:p w14:paraId="001003F1" w14:textId="00100412">
            <w:pPr>
              <w:pStyle w:val="Normal"/>
              <w:jc w:val="left"/>
            </w:pPr>
            <w:r>
              <w:t xml:space="preserve">+8.4%</w:t>
            </w:r>
          </w:p>
        </w:tc>
      </w:tr>
      <w:tr>
        <w:tc>
          <w:tcPr>
            <w:vAlign w:val="center"/>
            <w:tcBorders>
              <w:top w:val="single" w:sz="4" w:space="0" w:color="auto"/>
              <w:left w:val="single" w:sz="4" w:space="0" w:color="auto"/>
              <w:bottom w:val="single" w:sz="4" w:space="0" w:color="auto"/>
              <w:right w:val="single" w:sz="4" w:space="0" w:color="auto"/>
            </w:tcBorders>
          </w:tcPr>
          <w:p w14:paraId="001003F3" w14:textId="00100413">
            <w:pPr>
              <w:pStyle w:val="Normal"/>
              <w:jc w:val="left"/>
            </w:pPr>
            <w:r>
              <w:t xml:space="preserve">Adjusted operating margin</w:t>
            </w:r>
          </w:p>
        </w:tc>
        <w:tc>
          <w:tcPr>
            <w:vAlign w:val="center"/>
            <w:tcBorders>
              <w:top w:val="single" w:sz="4" w:space="0" w:color="auto"/>
              <w:left w:val="single" w:sz="4" w:space="0" w:color="auto"/>
              <w:bottom w:val="single" w:sz="4" w:space="0" w:color="auto"/>
              <w:right w:val="single" w:sz="4" w:space="0" w:color="auto"/>
            </w:tcBorders>
          </w:tcPr>
          <w:p w14:paraId="001003F5" w14:textId="00100414">
            <w:pPr>
              <w:pStyle w:val="Normal"/>
              <w:jc w:val="left"/>
            </w:pPr>
            <w:r>
              <w:t xml:space="preserve">13.1%</w:t>
            </w:r>
          </w:p>
        </w:tc>
        <w:tc>
          <w:tcPr>
            <w:vAlign w:val="center"/>
            <w:tcBorders>
              <w:top w:val="single" w:sz="4" w:space="0" w:color="auto"/>
              <w:left w:val="single" w:sz="4" w:space="0" w:color="auto"/>
              <w:bottom w:val="single" w:sz="4" w:space="0" w:color="auto"/>
              <w:right w:val="single" w:sz="4" w:space="0" w:color="auto"/>
            </w:tcBorders>
          </w:tcPr>
          <w:p w14:paraId="001003F7" w14:textId="00100415">
            <w:pPr>
              <w:pStyle w:val="Normal"/>
              <w:jc w:val="left"/>
            </w:pPr>
            <w:r>
              <w:t xml:space="preserve">12.4%</w:t>
            </w:r>
          </w:p>
        </w:tc>
        <w:tc>
          <w:tcPr>
            <w:vAlign w:val="center"/>
            <w:tcBorders>
              <w:top w:val="single" w:sz="4" w:space="0" w:color="auto"/>
              <w:left w:val="single" w:sz="4" w:space="0" w:color="auto"/>
              <w:bottom w:val="single" w:sz="4" w:space="0" w:color="auto"/>
              <w:right w:val="single" w:sz="4" w:space="0" w:color="auto"/>
            </w:tcBorders>
          </w:tcPr>
          <w:p w14:paraId="001003F9" w14:textId="00100416">
            <w:pPr>
              <w:pStyle w:val="Normal"/>
              <w:jc w:val="left"/>
            </w:pPr>
            <w:r>
              <w:t xml:space="preserve">+0.7 pts</w:t>
            </w:r>
          </w:p>
        </w:tc>
      </w:tr>
      <w:tr>
        <w:tc>
          <w:tcPr>
            <w:vAlign w:val="center"/>
            <w:tcBorders>
              <w:top w:val="single" w:sz="4" w:space="0" w:color="auto"/>
              <w:left w:val="single" w:sz="4" w:space="0" w:color="auto"/>
              <w:bottom w:val="single" w:sz="4" w:space="0" w:color="auto"/>
              <w:right w:val="single" w:sz="4" w:space="0" w:color="auto"/>
            </w:tcBorders>
          </w:tcPr>
          <w:p w14:paraId="001003FB" w14:textId="00100417">
            <w:pPr>
              <w:pStyle w:val="Normal"/>
              <w:jc w:val="left"/>
            </w:pPr>
            <w:r>
              <w:t xml:space="preserve">Capital expenditure</w:t>
            </w:r>
          </w:p>
        </w:tc>
        <w:tc>
          <w:tcPr>
            <w:vAlign w:val="center"/>
            <w:tcBorders>
              <w:top w:val="single" w:sz="4" w:space="0" w:color="auto"/>
              <w:left w:val="single" w:sz="4" w:space="0" w:color="auto"/>
              <w:bottom w:val="single" w:sz="4" w:space="0" w:color="auto"/>
              <w:right w:val="single" w:sz="4" w:space="0" w:color="auto"/>
            </w:tcBorders>
          </w:tcPr>
          <w:p w14:paraId="001003FD" w14:textId="00100418">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03FF" w14:textId="00100419">
            <w:pPr>
              <w:pStyle w:val="Normal"/>
              <w:jc w:val="left"/>
            </w:pPr>
            <w:r>
              <w:t xml:space="preserve">69</w:t>
            </w:r>
          </w:p>
        </w:tc>
        <w:tc>
          <w:tcPr>
            <w:vAlign w:val="center"/>
            <w:tcBorders>
              <w:top w:val="single" w:sz="4" w:space="0" w:color="auto"/>
              <w:left w:val="single" w:sz="4" w:space="0" w:color="auto"/>
              <w:bottom w:val="single" w:sz="4" w:space="0" w:color="auto"/>
              <w:right w:val="single" w:sz="4" w:space="0" w:color="auto"/>
            </w:tcBorders>
          </w:tcPr>
          <w:p w14:paraId="00100401" w14:textId="0010041A">
            <w:pPr>
              <w:pStyle w:val="Normal"/>
              <w:jc w:val="left"/>
            </w:pPr>
            <w:r>
              <w:t xml:space="preserve">+7.2%</w:t>
            </w:r>
          </w:p>
        </w:tc>
      </w:tr>
    </w:tbl>
    <w:p w14:paraId="0010041B" w14:textId="0010041C">
      <w:pPr>
        <w:pStyle w:val="Normal"/>
        <w:jc w:val="left"/>
      </w:pPr>
      <w:r>
        <w:t xml:space="preserve">Table 11 Consumer Platforms financial results</w:t>
      </w:r>
    </w:p>
    <w:p w14:paraId="0010041D" w14:textId="0010041E">
      <w:pPr>
        <w:pStyle w:val="Normal"/>
        <w:jc w:val="left"/>
      </w:pPr>
      <w:r>
        <w:t xml:space="preserve">2.3.1 Customer Indicators</w:t>
      </w:r>
    </w:p>
    <w:p w14:paraId="0010041F" w14:textId="00100420">
      <w:pPr>
        <w:pStyle w:val="Normal"/>
        <w:jc w:val="left"/>
      </w:pPr>
      <w:r>
        <w:drawing>
          <wp:inline distT="0" distB="0" distL="0" distR="0">
            <wp:extent cx="4320000" cy="3600000"/>
            <wp:effectExtent l="0" t="0" r="0" b="0"/>
            <wp:docPr id="9" name="F9.png" descr=""/>
            <wp:cNvGraphicFramePr>
              <a:graphicFrameLocks noChangeAspect="1"/>
            </wp:cNvGraphicFramePr>
            <a:graphic>
              <a:graphicData uri="http://schemas.openxmlformats.org/drawingml/2006/picture">
                <pic:pic>
                  <pic:nvPicPr>
                    <pic:cNvPr id="9" name="F9.png"/>
                    <pic:cNvPicPr/>
                  </pic:nvPicPr>
                  <pic:blipFill>
                    <a:blip r:embed="R7acceff86c6b4e15" cstate="print"/>
                    <a:stretch>
                      <a:fillRect/>
                    </a:stretch>
                  </pic:blipFill>
                  <pic:spPr>
                    <a:xfrm>
                      <a:off x="0" y="0"/>
                      <a:ext cx="3960000" cy="3960000"/>
                    </a:xfrm>
                    <a:prstGeom prst="rect">
                      <a:avLst/>
                    </a:prstGeom>
                  </pic:spPr>
                </pic:pic>
              </a:graphicData>
            </a:graphic>
          </wp:inline>
        </w:drawing>
      </w:r>
    </w:p>
    <w:p w14:paraId="00100421" w14:textId="00100422">
      <w:pPr>
        <w:pStyle w:val="Normal"/>
        <w:jc w:val="left"/>
      </w:pPr>
      <w:r>
        <w:t xml:space="preserve">Figure 18 Customer indicator trends</w:t>
      </w:r>
    </w:p>
    <w:p w14:paraId="00100423" w14:textId="00100424">
      <w:pPr>
        <w:pStyle w:val="Normal"/>
        <w:jc w:val="left"/>
      </w:pPr>
      <w:r>
        <w:t xml:space="preserve">2.3 Portfolio Development</w:t>
      </w:r>
    </w:p>
    <w:p w14:paraId="00100425" w14:textId="00100426">
      <w:pPr>
        <w:pStyle w:val="Normal"/>
        <w:jc w:val="left"/>
      </w:pPr>
      <w:r>
        <w:t xml:space="preserve">2.3.2 Innovation Pipeline</w:t>
      </w:r>
    </w:p>
    <w:p w14:paraId="00100427" w14:textId="00100428">
      <w:pPr>
        <w:pStyle w:val="Normal"/>
        <w:jc w:val="left"/>
      </w:pPr>
      <w:r>
        <w:t xml:space="preserve">Consumer Platforms continued to direct innovation spending toward categories where Rivermark Holdings can combine brand strength, data insight, and channel reach. Priority development areas during the year included premium everyday products, subscription-enabled replenishment offers, and digitally supported service bundles that increase repeat purchasing. In the home and personal living portfolio, the segment accelerated reformulation and packaging upgrades to improve shelf impact and reduce complexity in low-velocity stock-keeping units. In connected commerce, management prioritized mobile ordering journeys, tailored promotions, and fulfillment tools intended to raise conversion while protecting margin discipline.</w:t>
      </w:r>
    </w:p>
    <w:p w14:paraId="00100429" w14:textId="0010042A">
      <w:pPr>
        <w:pStyle w:val="Normal"/>
        <w:jc w:val="left"/>
      </w:pPr>
      <w:r>
        <w:t xml:space="preserve">The innovation agenda was also designed to improve resilience rather than simply increase launch volume. Product teams used common design standards, modular components, and shared supplier platforms to shorten cycle times and contain input-cost volatility. Service development focused on loyalty integration, simplified onboarding, and post-purchase engagement features that strengthen retention and customer lifetime value. Across the portfolio, the segment applied clear hurdle rates for launch investment, requiring evidence of addressable demand, route-to-market fit, and operational readiness before broader rollout. This more selective pipeline has reduced fragmented experimentation and shifted resources toward fewer, larger opportunities with stronger cross-channel economics.</w:t>
      </w:r>
    </w:p>
    <w:p w14:paraId="0010042B" w14:textId="0010042C">
      <w:pPr>
        <w:pStyle w:val="Normal"/>
        <w:jc w:val="left"/>
      </w:pPr>
      <w:r>
        <w:t xml:space="preserve">The development pipeline is managed through staged gates that connect concept quality to commercial execution. Early-stage initiatives begin with customer need validation, category sizing, and unit-economics screening. Opportunities that pass this phase move into prototype design, limited customer testing, and supply feasibility review, where the segment assesses manufacturing flexibility, digital enablement requirements, and likely gross-margin profile. Mid-stage programs are then evaluated through controlled market releases, retention tracking, and promotional efficiency analysis before national or regional expansion is approved.</w:t>
      </w:r>
    </w:p>
    <w:p w14:paraId="0010042D" w14:textId="0010042E">
      <w:pPr>
        <w:pStyle w:val="Normal"/>
        <w:jc w:val="left"/>
      </w:pPr>
      <w:r>
        <w:t xml:space="preserve">At year end, the pipeline showed a healthier balance between near-term launches and medium-term capability builds. Approximately half of active projects were in pilot or scaling stages, concentrated in loyalty-led offers, convenience formats, and data-supported assortment optimization. A further group remained in incubation, particularly in service add-ons and partner-enabled distribution models where the segment is testing lower-capital entry options. This staged approach has improved decision quality by allowing underperforming concepts to be exited earlier, while successful offers receive faster access to marketing, analytics, and channel support. Management believes the current mix provides both revenue momentum for the next reporting year and a practical base for margin-accretive innovation beyond it.</w:t>
      </w:r>
    </w:p>
    <w:p w14:paraId="0010042F" w14:textId="00100430">
      <w:pPr>
        <w:pStyle w:val="Normal"/>
        <w:jc w:val="left"/>
      </w:pPr>
      <w:r>
        <w:t xml:space="preserve">2.3.2 Future Priorities</w:t>
      </w:r>
    </w:p>
    <w:p w14:paraId="00100431" w14:textId="00100432">
      <w:pPr>
        <w:pStyle w:val="Normal"/>
        <w:jc w:val="left"/>
      </w:pPr>
      <w:r>
        <w:t xml:space="preserve">In the coming year, Consumer Platforms will focus on disciplined growth in categories and channels that demonstrate repeat demand, favorable margin structure, and scalable customer acquisition economics. Management has set three priorities: deepen household penetration in core product lines, expand digital direct engagement, and improve portfolio returns by reallocating support away from structurally weaker subcategories. Commercial teams will target higher on-shelf availability, more precise promotional calendars, and tighter coordination between marketing investment and inventory planning. The segment also intends to widen the use of shared customer data tools so pricing, personalization, and retention actions can be executed with greater consistency across regions.</w:t>
      </w:r>
    </w:p>
    <w:p w14:paraId="00100433" w14:textId="00100434">
      <w:pPr>
        <w:pStyle w:val="Normal"/>
        <w:jc w:val="left"/>
      </w:pPr>
      <w:r>
        <w:t xml:space="preserve">Operationally, the next phase will emphasize execution quality. The business plans to simplify selected assortments, accelerate replenishment forecasting, and reduce the number of low-productivity campaigns that create volume without acceptable contribution. Capital deployment will remain selective, with spend directed toward customer analytics, fulfillment productivity, and product renovation programs that support both growth and resilience. These priorities are expected to strengthen cash generation while preserving flexibility to invest behind high-performing launches.</w:t>
      </w:r>
    </w:p>
    <w:p w14:paraId="00100435" w14:textId="00100436">
      <w:pPr>
        <w:pStyle w:val="Normal"/>
        <w:jc w:val="left"/>
      </w:pPr>
      <w:r>
        <w:t xml:space="preserve">Expected market actions reflect a consumer environment that should remain competitive, value-conscious, and promotion-led across several channels. Rivermark Holdings anticipates continued customer migration between price tiers, requiring the segment to maintain a balanced offering that combines affordability, premium differentiation, and convenience. The business is preparing for retailers and platform partners to demand faster innovation refresh, stronger service levels, and clearer evidence of category growth support. In response, Consumer Platforms expects to increase the use of segmented pricing, targeted trade programs, and channel-specific packs rather than relying on broad-based discounting.</w:t>
      </w:r>
    </w:p>
    <w:p w14:paraId="00100437" w14:textId="00100438">
      <w:pPr>
        <w:pStyle w:val="Normal"/>
        <w:jc w:val="left"/>
      </w:pPr>
      <w:r>
        <w:t xml:space="preserve">The segment also expects more active portfolio shaping through selective launches, pack architecture changes, and partnership-led route-to-market expansion in underpenetrated areas. Where demand signals remain uncertain, management will favor short-cycle tests and phased distribution rather than full-scale rollouts. Procurement and revenue-management teams are expected to continue offsetting input and logistics pressures through specification discipline, supplier collaboration, and measured pricing actions. Taken together, these market actions are intended to protect share in core categories, improve customer retention, and sustain earnings progression even if underlying demand remains uneven.</w:t>
      </w:r>
    </w:p>
    <w:p w14:paraId="00100439" w14:textId="0010043A">
      <w:pPr>
        <w:pStyle w:val="Normal"/>
        <w:jc w:val="left"/>
      </w:pPr>
      <w:r>
        <w:t xml:space="preserve">2. Infrastructure Services</w:t>
      </w:r>
    </w:p>
    <w:p w14:paraId="0010043B" w14:textId="0010043C">
      <w:pPr>
        <w:pStyle w:val="Normal"/>
        <w:jc w:val="left"/>
      </w:pPr>
      <w:r>
        <w:t xml:space="preserve">Rivermark Holdings’ Infrastructure Services segment delivered a resilient performance in the year, supported by disciplined execution across utility maintenance, transport systems modernization, and industrial site services. Revenue increased on the back of a stronger opening backlog and improved conversion of framework agreements into active work packages, while segment earnings benefited from tighter project controls and better utilization of specialist field crews. Customer demand remained comparatively steady in regulated and mission-critical end markets, particularly municipal water networks, regional power distribution assets, and long-cycle public transport infrastructure, which helped offset slower decision-making in certain discretionary capital projects.</w:t>
      </w:r>
    </w:p>
    <w:p w14:paraId="0010043D" w14:textId="0010043E">
      <w:pPr>
        <w:pStyle w:val="Normal"/>
        <w:jc w:val="left"/>
      </w:pPr>
      <w:r>
        <w:t xml:space="preserve">Operationally, the segment emphasized schedule reliability, contract selectivity, and margin protection rather than volume expansion alone. Management continued to reprice new work to reflect labor availability, equipment costs, and elevated subcontractor rates, and it prioritized projects with clearer risk allocation and milestone-based cash collection. Delivery performance improved in the second half as digital planning tools, centralized procurement, and site productivity reviews reduced avoidable downtime and rework. Safety performance also remained an important differentiator in tender renewals, especially for customers seeking multi-year partners with stronger compliance histories.</w:t>
      </w:r>
    </w:p>
    <w:p w14:paraId="0010043F" w14:textId="00100440">
      <w:pPr>
        <w:pStyle w:val="Normal"/>
        <w:jc w:val="left"/>
      </w:pPr>
      <w:r>
        <w:t xml:space="preserve">The overall result was a healthier mix of recurring service contracts and targeted capital delivery assignments, producing a more balanced risk profile than in the prior year. Although large-project timing continues to introduce some quarter-to-quarter variability, the segment exits the period with a solid backlog, improving operational discipline, and a clearer capacity plan for the next cycle.</w:t>
      </w:r>
    </w:p>
    <w:p w14:paraId="00100441" w14:textId="00100442">
      <w:pPr>
        <w:pStyle w:val="Normal"/>
        <w:jc w:val="left"/>
      </w:pPr>
      <w:r>
        <w:t xml:space="preserve">2.4 Delivery Performance</w:t>
      </w:r>
    </w:p>
    <w:p w14:paraId="00100443" w14:textId="00100444">
      <w:pPr>
        <w:pStyle w:val="Normal"/>
        <w:jc w:val="left"/>
      </w:pPr>
      <w:r>
        <w:t xml:space="preserve">2.4.1 Project Portfolio</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445" w14:textId="00100499">
            <w:pPr>
              <w:pStyle w:val="Normal"/>
              <w:jc w:val="left"/>
            </w:pPr>
            <w:r>
              <w:t xml:space="preserve">Project / Contract Group</w:t>
            </w:r>
          </w:p>
        </w:tc>
        <w:tc>
          <w:tcPr>
            <w:vAlign w:val="center"/>
            <w:tcBorders>
              <w:top w:val="single" w:sz="4" w:space="0" w:color="auto"/>
              <w:left w:val="single" w:sz="4" w:space="0" w:color="auto"/>
              <w:bottom w:val="single" w:sz="4" w:space="0" w:color="auto"/>
              <w:right w:val="single" w:sz="4" w:space="0" w:color="auto"/>
            </w:tcBorders>
          </w:tcPr>
          <w:p w14:paraId="00100447" w14:textId="0010049A">
            <w:pPr>
              <w:pStyle w:val="Normal"/>
              <w:jc w:val="left"/>
            </w:pPr>
            <w:r>
              <w:t xml:space="preserve">Primary Market</w:t>
            </w:r>
          </w:p>
        </w:tc>
        <w:tc>
          <w:tcPr>
            <w:vAlign w:val="center"/>
            <w:tcBorders>
              <w:top w:val="single" w:sz="4" w:space="0" w:color="auto"/>
              <w:left w:val="single" w:sz="4" w:space="0" w:color="auto"/>
              <w:bottom w:val="single" w:sz="4" w:space="0" w:color="auto"/>
              <w:right w:val="single" w:sz="4" w:space="0" w:color="auto"/>
            </w:tcBorders>
          </w:tcPr>
          <w:p w14:paraId="00100449" w14:textId="0010049B">
            <w:pPr>
              <w:pStyle w:val="Normal"/>
              <w:jc w:val="left"/>
            </w:pPr>
            <w:r>
              <w:t xml:space="preserve">Status</w:t>
            </w:r>
          </w:p>
        </w:tc>
        <w:tc>
          <w:tcPr>
            <w:vAlign w:val="center"/>
            <w:tcBorders>
              <w:top w:val="single" w:sz="4" w:space="0" w:color="auto"/>
              <w:left w:val="single" w:sz="4" w:space="0" w:color="auto"/>
              <w:bottom w:val="single" w:sz="4" w:space="0" w:color="auto"/>
              <w:right w:val="single" w:sz="4" w:space="0" w:color="auto"/>
            </w:tcBorders>
          </w:tcPr>
          <w:p w14:paraId="0010044B" w14:textId="0010049C">
            <w:pPr>
              <w:pStyle w:val="Normal"/>
              <w:jc w:val="left"/>
            </w:pPr>
            <w:r>
              <w:t xml:space="preserve">Backlog at Year-End</w:t>
            </w:r>
          </w:p>
        </w:tc>
        <w:tc>
          <w:tcPr>
            <w:vAlign w:val="center"/>
            <w:tcBorders>
              <w:top w:val="single" w:sz="4" w:space="0" w:color="auto"/>
              <w:left w:val="single" w:sz="4" w:space="0" w:color="auto"/>
              <w:bottom w:val="single" w:sz="4" w:space="0" w:color="auto"/>
              <w:right w:val="single" w:sz="4" w:space="0" w:color="auto"/>
            </w:tcBorders>
          </w:tcPr>
          <w:p w14:paraId="0010044D" w14:textId="0010049D">
            <w:pPr>
              <w:pStyle w:val="Normal"/>
              <w:jc w:val="left"/>
            </w:pPr>
            <w:r>
              <w:t xml:space="preserve">Expected Delivery Window</w:t>
            </w:r>
          </w:p>
        </w:tc>
        <w:tc>
          <w:tcPr>
            <w:vAlign w:val="center"/>
            <w:tcBorders>
              <w:top w:val="single" w:sz="4" w:space="0" w:color="auto"/>
              <w:left w:val="single" w:sz="4" w:space="0" w:color="auto"/>
              <w:bottom w:val="single" w:sz="4" w:space="0" w:color="auto"/>
              <w:right w:val="single" w:sz="4" w:space="0" w:color="auto"/>
            </w:tcBorders>
          </w:tcPr>
          <w:p w14:paraId="0010044F" w14:textId="0010049E">
            <w:pPr>
              <w:pStyle w:val="Normal"/>
              <w:jc w:val="left"/>
            </w:pPr>
            <w:r>
              <w:t xml:space="preserve">Commentary</w:t>
            </w:r>
          </w:p>
        </w:tc>
      </w:tr>
      <w:tr>
        <w:tc>
          <w:tcPr>
            <w:vAlign w:val="center"/>
            <w:tcBorders>
              <w:top w:val="single" w:sz="4" w:space="0" w:color="auto"/>
              <w:left w:val="single" w:sz="4" w:space="0" w:color="auto"/>
              <w:bottom w:val="single" w:sz="4" w:space="0" w:color="auto"/>
              <w:right w:val="single" w:sz="4" w:space="0" w:color="auto"/>
            </w:tcBorders>
          </w:tcPr>
          <w:p w14:paraId="00100451" w14:textId="0010049F">
            <w:pPr>
              <w:pStyle w:val="Normal"/>
              <w:jc w:val="left"/>
            </w:pPr>
            <w:r>
              <w:t xml:space="preserve">North Corridor Rail Systems Upgrade</w:t>
            </w:r>
          </w:p>
        </w:tc>
        <w:tc>
          <w:tcPr>
            <w:vAlign w:val="center"/>
            <w:tcBorders>
              <w:top w:val="single" w:sz="4" w:space="0" w:color="auto"/>
              <w:left w:val="single" w:sz="4" w:space="0" w:color="auto"/>
              <w:bottom w:val="single" w:sz="4" w:space="0" w:color="auto"/>
              <w:right w:val="single" w:sz="4" w:space="0" w:color="auto"/>
            </w:tcBorders>
          </w:tcPr>
          <w:p w14:paraId="00100453" w14:textId="001004A0">
            <w:pPr>
              <w:pStyle w:val="Normal"/>
              <w:jc w:val="left"/>
            </w:pPr>
            <w:r>
              <w:t xml:space="preserve">Transport infrastructure</w:t>
            </w:r>
          </w:p>
        </w:tc>
        <w:tc>
          <w:tcPr>
            <w:vAlign w:val="center"/>
            <w:tcBorders>
              <w:top w:val="single" w:sz="4" w:space="0" w:color="auto"/>
              <w:left w:val="single" w:sz="4" w:space="0" w:color="auto"/>
              <w:bottom w:val="single" w:sz="4" w:space="0" w:color="auto"/>
              <w:right w:val="single" w:sz="4" w:space="0" w:color="auto"/>
            </w:tcBorders>
          </w:tcPr>
          <w:p w14:paraId="00100455" w14:textId="001004A1">
            <w:pPr>
              <w:pStyle w:val="Normal"/>
              <w:jc w:val="left"/>
            </w:pPr>
            <w:r>
              <w:t xml:space="preserve">On schedule</w:t>
            </w:r>
          </w:p>
        </w:tc>
        <w:tc>
          <w:tcPr>
            <w:vAlign w:val="center"/>
            <w:tcBorders>
              <w:top w:val="single" w:sz="4" w:space="0" w:color="auto"/>
              <w:left w:val="single" w:sz="4" w:space="0" w:color="auto"/>
              <w:bottom w:val="single" w:sz="4" w:space="0" w:color="auto"/>
              <w:right w:val="single" w:sz="4" w:space="0" w:color="auto"/>
            </w:tcBorders>
          </w:tcPr>
          <w:p w14:paraId="00100457" w14:textId="001004A2">
            <w:pPr>
              <w:pStyle w:val="Normal"/>
              <w:jc w:val="left"/>
            </w:pPr>
            <w:r>
              <w:t xml:space="preserve">$214 million</w:t>
            </w:r>
          </w:p>
        </w:tc>
        <w:tc>
          <w:tcPr>
            <w:vAlign w:val="center"/>
            <w:tcBorders>
              <w:top w:val="single" w:sz="4" w:space="0" w:color="auto"/>
              <w:left w:val="single" w:sz="4" w:space="0" w:color="auto"/>
              <w:bottom w:val="single" w:sz="4" w:space="0" w:color="auto"/>
              <w:right w:val="single" w:sz="4" w:space="0" w:color="auto"/>
            </w:tcBorders>
          </w:tcPr>
          <w:p w14:paraId="00100459" w14:textId="001004A3">
            <w:pPr>
              <w:pStyle w:val="Normal"/>
              <w:jc w:val="left"/>
            </w:pPr>
            <w:r>
              <w:t xml:space="preserve">FY2025–FY2027</w:t>
            </w:r>
          </w:p>
        </w:tc>
        <w:tc>
          <w:tcPr>
            <w:vAlign w:val="center"/>
            <w:tcBorders>
              <w:top w:val="single" w:sz="4" w:space="0" w:color="auto"/>
              <w:left w:val="single" w:sz="4" w:space="0" w:color="auto"/>
              <w:bottom w:val="single" w:sz="4" w:space="0" w:color="auto"/>
              <w:right w:val="single" w:sz="4" w:space="0" w:color="auto"/>
            </w:tcBorders>
          </w:tcPr>
          <w:p w14:paraId="0010045B" w14:textId="001004A4">
            <w:pPr>
              <w:pStyle w:val="Normal"/>
              <w:jc w:val="left"/>
            </w:pPr>
            <w:r>
              <w:t xml:space="preserve">Installation and testing milestones tracking to revised integrated program</w:t>
            </w:r>
          </w:p>
        </w:tc>
      </w:tr>
      <w:tr>
        <w:tc>
          <w:tcPr>
            <w:vAlign w:val="center"/>
            <w:tcBorders>
              <w:top w:val="single" w:sz="4" w:space="0" w:color="auto"/>
              <w:left w:val="single" w:sz="4" w:space="0" w:color="auto"/>
              <w:bottom w:val="single" w:sz="4" w:space="0" w:color="auto"/>
              <w:right w:val="single" w:sz="4" w:space="0" w:color="auto"/>
            </w:tcBorders>
          </w:tcPr>
          <w:p w14:paraId="0010045D" w14:textId="001004A5">
            <w:pPr>
              <w:pStyle w:val="Normal"/>
              <w:jc w:val="left"/>
            </w:pPr>
            <w:r>
              <w:t xml:space="preserve">East Basin Water Network Renewal</w:t>
            </w:r>
          </w:p>
        </w:tc>
        <w:tc>
          <w:tcPr>
            <w:vAlign w:val="center"/>
            <w:tcBorders>
              <w:top w:val="single" w:sz="4" w:space="0" w:color="auto"/>
              <w:left w:val="single" w:sz="4" w:space="0" w:color="auto"/>
              <w:bottom w:val="single" w:sz="4" w:space="0" w:color="auto"/>
              <w:right w:val="single" w:sz="4" w:space="0" w:color="auto"/>
            </w:tcBorders>
          </w:tcPr>
          <w:p w14:paraId="0010045F" w14:textId="001004A6">
            <w:pPr>
              <w:pStyle w:val="Normal"/>
              <w:jc w:val="left"/>
            </w:pPr>
            <w:r>
              <w:t xml:space="preserve">Utilities</w:t>
            </w:r>
          </w:p>
        </w:tc>
        <w:tc>
          <w:tcPr>
            <w:vAlign w:val="center"/>
            <w:tcBorders>
              <w:top w:val="single" w:sz="4" w:space="0" w:color="auto"/>
              <w:left w:val="single" w:sz="4" w:space="0" w:color="auto"/>
              <w:bottom w:val="single" w:sz="4" w:space="0" w:color="auto"/>
              <w:right w:val="single" w:sz="4" w:space="0" w:color="auto"/>
            </w:tcBorders>
          </w:tcPr>
          <w:p w14:paraId="00100461" w14:textId="001004A7">
            <w:pPr>
              <w:pStyle w:val="Normal"/>
              <w:jc w:val="left"/>
            </w:pPr>
            <w:r>
              <w:t xml:space="preserve">In delivery</w:t>
            </w:r>
          </w:p>
        </w:tc>
        <w:tc>
          <w:tcPr>
            <w:vAlign w:val="center"/>
            <w:tcBorders>
              <w:top w:val="single" w:sz="4" w:space="0" w:color="auto"/>
              <w:left w:val="single" w:sz="4" w:space="0" w:color="auto"/>
              <w:bottom w:val="single" w:sz="4" w:space="0" w:color="auto"/>
              <w:right w:val="single" w:sz="4" w:space="0" w:color="auto"/>
            </w:tcBorders>
          </w:tcPr>
          <w:p w14:paraId="00100463" w14:textId="001004A8">
            <w:pPr>
              <w:pStyle w:val="Normal"/>
              <w:jc w:val="left"/>
            </w:pPr>
            <w:r>
              <w:t xml:space="preserve">$168 million</w:t>
            </w:r>
          </w:p>
        </w:tc>
        <w:tc>
          <w:tcPr>
            <w:vAlign w:val="center"/>
            <w:tcBorders>
              <w:top w:val="single" w:sz="4" w:space="0" w:color="auto"/>
              <w:left w:val="single" w:sz="4" w:space="0" w:color="auto"/>
              <w:bottom w:val="single" w:sz="4" w:space="0" w:color="auto"/>
              <w:right w:val="single" w:sz="4" w:space="0" w:color="auto"/>
            </w:tcBorders>
          </w:tcPr>
          <w:p w14:paraId="00100465" w14:textId="001004A9">
            <w:pPr>
              <w:pStyle w:val="Normal"/>
              <w:jc w:val="left"/>
            </w:pPr>
            <w:r>
              <w:t xml:space="preserve">FY2025–FY2026</w:t>
            </w:r>
          </w:p>
        </w:tc>
        <w:tc>
          <w:tcPr>
            <w:vAlign w:val="center"/>
            <w:tcBorders>
              <w:top w:val="single" w:sz="4" w:space="0" w:color="auto"/>
              <w:left w:val="single" w:sz="4" w:space="0" w:color="auto"/>
              <w:bottom w:val="single" w:sz="4" w:space="0" w:color="auto"/>
              <w:right w:val="single" w:sz="4" w:space="0" w:color="auto"/>
            </w:tcBorders>
          </w:tcPr>
          <w:p w14:paraId="00100467" w14:textId="001004AA">
            <w:pPr>
              <w:pStyle w:val="Normal"/>
              <w:jc w:val="left"/>
            </w:pPr>
            <w:r>
              <w:t xml:space="preserve">Pipe replacement and network monitoring rollout accelerated in second half</w:t>
            </w:r>
          </w:p>
        </w:tc>
      </w:tr>
      <w:tr>
        <w:tc>
          <w:tcPr>
            <w:vAlign w:val="center"/>
            <w:tcBorders>
              <w:top w:val="single" w:sz="4" w:space="0" w:color="auto"/>
              <w:left w:val="single" w:sz="4" w:space="0" w:color="auto"/>
              <w:bottom w:val="single" w:sz="4" w:space="0" w:color="auto"/>
              <w:right w:val="single" w:sz="4" w:space="0" w:color="auto"/>
            </w:tcBorders>
          </w:tcPr>
          <w:p w14:paraId="00100469" w14:textId="001004AB">
            <w:pPr>
              <w:pStyle w:val="Normal"/>
              <w:jc w:val="left"/>
            </w:pPr>
            <w:r>
              <w:t xml:space="preserve">Regional Grid Field Services Framework</w:t>
            </w:r>
          </w:p>
        </w:tc>
        <w:tc>
          <w:tcPr>
            <w:vAlign w:val="center"/>
            <w:tcBorders>
              <w:top w:val="single" w:sz="4" w:space="0" w:color="auto"/>
              <w:left w:val="single" w:sz="4" w:space="0" w:color="auto"/>
              <w:bottom w:val="single" w:sz="4" w:space="0" w:color="auto"/>
              <w:right w:val="single" w:sz="4" w:space="0" w:color="auto"/>
            </w:tcBorders>
          </w:tcPr>
          <w:p w14:paraId="0010046B" w14:textId="001004AC">
            <w:pPr>
              <w:pStyle w:val="Normal"/>
              <w:jc w:val="left"/>
            </w:pPr>
            <w:r>
              <w:t xml:space="preserve">Power distribution</w:t>
            </w:r>
          </w:p>
        </w:tc>
        <w:tc>
          <w:tcPr>
            <w:vAlign w:val="center"/>
            <w:tcBorders>
              <w:top w:val="single" w:sz="4" w:space="0" w:color="auto"/>
              <w:left w:val="single" w:sz="4" w:space="0" w:color="auto"/>
              <w:bottom w:val="single" w:sz="4" w:space="0" w:color="auto"/>
              <w:right w:val="single" w:sz="4" w:space="0" w:color="auto"/>
            </w:tcBorders>
          </w:tcPr>
          <w:p w14:paraId="0010046D" w14:textId="001004AD">
            <w:pPr>
              <w:pStyle w:val="Normal"/>
              <w:jc w:val="left"/>
            </w:pPr>
            <w:r>
              <w:t xml:space="preserve">Recurring framework</w:t>
            </w:r>
          </w:p>
        </w:tc>
        <w:tc>
          <w:tcPr>
            <w:vAlign w:val="center"/>
            <w:tcBorders>
              <w:top w:val="single" w:sz="4" w:space="0" w:color="auto"/>
              <w:left w:val="single" w:sz="4" w:space="0" w:color="auto"/>
              <w:bottom w:val="single" w:sz="4" w:space="0" w:color="auto"/>
              <w:right w:val="single" w:sz="4" w:space="0" w:color="auto"/>
            </w:tcBorders>
          </w:tcPr>
          <w:p w14:paraId="0010046F" w14:textId="001004AE">
            <w:pPr>
              <w:pStyle w:val="Normal"/>
              <w:jc w:val="left"/>
            </w:pPr>
            <w:r>
              <w:t xml:space="preserve">$121 million</w:t>
            </w:r>
          </w:p>
        </w:tc>
        <w:tc>
          <w:tcPr>
            <w:vAlign w:val="center"/>
            <w:tcBorders>
              <w:top w:val="single" w:sz="4" w:space="0" w:color="auto"/>
              <w:left w:val="single" w:sz="4" w:space="0" w:color="auto"/>
              <w:bottom w:val="single" w:sz="4" w:space="0" w:color="auto"/>
              <w:right w:val="single" w:sz="4" w:space="0" w:color="auto"/>
            </w:tcBorders>
          </w:tcPr>
          <w:p w14:paraId="00100471" w14:textId="001004AF">
            <w:pPr>
              <w:pStyle w:val="Normal"/>
              <w:jc w:val="left"/>
            </w:pPr>
            <w:r>
              <w:t xml:space="preserve">FY2025–FY2028</w:t>
            </w:r>
          </w:p>
        </w:tc>
        <w:tc>
          <w:tcPr>
            <w:vAlign w:val="center"/>
            <w:tcBorders>
              <w:top w:val="single" w:sz="4" w:space="0" w:color="auto"/>
              <w:left w:val="single" w:sz="4" w:space="0" w:color="auto"/>
              <w:bottom w:val="single" w:sz="4" w:space="0" w:color="auto"/>
              <w:right w:val="single" w:sz="4" w:space="0" w:color="auto"/>
            </w:tcBorders>
          </w:tcPr>
          <w:p w14:paraId="00100473" w14:textId="001004B0">
            <w:pPr>
              <w:pStyle w:val="Normal"/>
              <w:jc w:val="left"/>
            </w:pPr>
            <w:r>
              <w:t xml:space="preserve">Stable inspection and maintenance volumes with annual price reset mechanism</w:t>
            </w:r>
          </w:p>
        </w:tc>
      </w:tr>
      <w:tr>
        <w:tc>
          <w:tcPr>
            <w:vAlign w:val="center"/>
            <w:tcBorders>
              <w:top w:val="single" w:sz="4" w:space="0" w:color="auto"/>
              <w:left w:val="single" w:sz="4" w:space="0" w:color="auto"/>
              <w:bottom w:val="single" w:sz="4" w:space="0" w:color="auto"/>
              <w:right w:val="single" w:sz="4" w:space="0" w:color="auto"/>
            </w:tcBorders>
          </w:tcPr>
          <w:p w14:paraId="00100475" w14:textId="001004B1">
            <w:pPr>
              <w:pStyle w:val="Normal"/>
              <w:jc w:val="left"/>
            </w:pPr>
            <w:r>
              <w:t xml:space="preserve">Harbor Industrial Site Services Program</w:t>
            </w:r>
          </w:p>
        </w:tc>
        <w:tc>
          <w:tcPr>
            <w:vAlign w:val="center"/>
            <w:tcBorders>
              <w:top w:val="single" w:sz="4" w:space="0" w:color="auto"/>
              <w:left w:val="single" w:sz="4" w:space="0" w:color="auto"/>
              <w:bottom w:val="single" w:sz="4" w:space="0" w:color="auto"/>
              <w:right w:val="single" w:sz="4" w:space="0" w:color="auto"/>
            </w:tcBorders>
          </w:tcPr>
          <w:p w14:paraId="00100477" w14:textId="001004B2">
            <w:pPr>
              <w:pStyle w:val="Normal"/>
              <w:jc w:val="left"/>
            </w:pPr>
            <w:r>
              <w:t xml:space="preserve">Industrial services</w:t>
            </w:r>
          </w:p>
        </w:tc>
        <w:tc>
          <w:tcPr>
            <w:vAlign w:val="center"/>
            <w:tcBorders>
              <w:top w:val="single" w:sz="4" w:space="0" w:color="auto"/>
              <w:left w:val="single" w:sz="4" w:space="0" w:color="auto"/>
              <w:bottom w:val="single" w:sz="4" w:space="0" w:color="auto"/>
              <w:right w:val="single" w:sz="4" w:space="0" w:color="auto"/>
            </w:tcBorders>
          </w:tcPr>
          <w:p w14:paraId="00100479" w14:textId="001004B3">
            <w:pPr>
              <w:pStyle w:val="Normal"/>
              <w:jc w:val="left"/>
            </w:pPr>
            <w:r>
              <w:t xml:space="preserve">In delivery</w:t>
            </w:r>
          </w:p>
        </w:tc>
        <w:tc>
          <w:tcPr>
            <w:vAlign w:val="center"/>
            <w:tcBorders>
              <w:top w:val="single" w:sz="4" w:space="0" w:color="auto"/>
              <w:left w:val="single" w:sz="4" w:space="0" w:color="auto"/>
              <w:bottom w:val="single" w:sz="4" w:space="0" w:color="auto"/>
              <w:right w:val="single" w:sz="4" w:space="0" w:color="auto"/>
            </w:tcBorders>
          </w:tcPr>
          <w:p w14:paraId="0010047B" w14:textId="001004B4">
            <w:pPr>
              <w:pStyle w:val="Normal"/>
              <w:jc w:val="left"/>
            </w:pPr>
            <w:r>
              <w:t xml:space="preserve">$96 million</w:t>
            </w:r>
          </w:p>
        </w:tc>
        <w:tc>
          <w:tcPr>
            <w:vAlign w:val="center"/>
            <w:tcBorders>
              <w:top w:val="single" w:sz="4" w:space="0" w:color="auto"/>
              <w:left w:val="single" w:sz="4" w:space="0" w:color="auto"/>
              <w:bottom w:val="single" w:sz="4" w:space="0" w:color="auto"/>
              <w:right w:val="single" w:sz="4" w:space="0" w:color="auto"/>
            </w:tcBorders>
          </w:tcPr>
          <w:p w14:paraId="0010047D" w14:textId="001004B5">
            <w:pPr>
              <w:pStyle w:val="Normal"/>
              <w:jc w:val="left"/>
            </w:pPr>
            <w:r>
              <w:t xml:space="preserve">FY2025–FY2026</w:t>
            </w:r>
          </w:p>
        </w:tc>
        <w:tc>
          <w:tcPr>
            <w:vAlign w:val="center"/>
            <w:tcBorders>
              <w:top w:val="single" w:sz="4" w:space="0" w:color="auto"/>
              <w:left w:val="single" w:sz="4" w:space="0" w:color="auto"/>
              <w:bottom w:val="single" w:sz="4" w:space="0" w:color="auto"/>
              <w:right w:val="single" w:sz="4" w:space="0" w:color="auto"/>
            </w:tcBorders>
          </w:tcPr>
          <w:p w14:paraId="0010047F" w14:textId="001004B6">
            <w:pPr>
              <w:pStyle w:val="Normal"/>
              <w:jc w:val="left"/>
            </w:pPr>
            <w:r>
              <w:t xml:space="preserve">Shutdown support and asset integrity work expanded with existing customer</w:t>
            </w:r>
          </w:p>
        </w:tc>
      </w:tr>
      <w:tr>
        <w:tc>
          <w:tcPr>
            <w:vAlign w:val="center"/>
            <w:tcBorders>
              <w:top w:val="single" w:sz="4" w:space="0" w:color="auto"/>
              <w:left w:val="single" w:sz="4" w:space="0" w:color="auto"/>
              <w:bottom w:val="single" w:sz="4" w:space="0" w:color="auto"/>
              <w:right w:val="single" w:sz="4" w:space="0" w:color="auto"/>
            </w:tcBorders>
          </w:tcPr>
          <w:p w14:paraId="00100481" w14:textId="001004B7">
            <w:pPr>
              <w:pStyle w:val="Normal"/>
              <w:jc w:val="left"/>
            </w:pPr>
            <w:r>
              <w:t xml:space="preserve">Metro Tunnel Mechanical Retrofit</w:t>
            </w:r>
          </w:p>
        </w:tc>
        <w:tc>
          <w:tcPr>
            <w:vAlign w:val="center"/>
            <w:tcBorders>
              <w:top w:val="single" w:sz="4" w:space="0" w:color="auto"/>
              <w:left w:val="single" w:sz="4" w:space="0" w:color="auto"/>
              <w:bottom w:val="single" w:sz="4" w:space="0" w:color="auto"/>
              <w:right w:val="single" w:sz="4" w:space="0" w:color="auto"/>
            </w:tcBorders>
          </w:tcPr>
          <w:p w14:paraId="00100483" w14:textId="001004B8">
            <w:pPr>
              <w:pStyle w:val="Normal"/>
              <w:jc w:val="left"/>
            </w:pPr>
            <w:r>
              <w:t xml:space="preserve">Transport infrastructure</w:t>
            </w:r>
          </w:p>
        </w:tc>
        <w:tc>
          <w:tcPr>
            <w:vAlign w:val="center"/>
            <w:tcBorders>
              <w:top w:val="single" w:sz="4" w:space="0" w:color="auto"/>
              <w:left w:val="single" w:sz="4" w:space="0" w:color="auto"/>
              <w:bottom w:val="single" w:sz="4" w:space="0" w:color="auto"/>
              <w:right w:val="single" w:sz="4" w:space="0" w:color="auto"/>
            </w:tcBorders>
          </w:tcPr>
          <w:p w14:paraId="00100485" w14:textId="001004B9">
            <w:pPr>
              <w:pStyle w:val="Normal"/>
              <w:jc w:val="left"/>
            </w:pPr>
            <w:r>
              <w:t xml:space="preserve">Mobilizing</w:t>
            </w:r>
          </w:p>
        </w:tc>
        <w:tc>
          <w:tcPr>
            <w:vAlign w:val="center"/>
            <w:tcBorders>
              <w:top w:val="single" w:sz="4" w:space="0" w:color="auto"/>
              <w:left w:val="single" w:sz="4" w:space="0" w:color="auto"/>
              <w:bottom w:val="single" w:sz="4" w:space="0" w:color="auto"/>
              <w:right w:val="single" w:sz="4" w:space="0" w:color="auto"/>
            </w:tcBorders>
          </w:tcPr>
          <w:p w14:paraId="00100487" w14:textId="001004BA">
            <w:pPr>
              <w:pStyle w:val="Normal"/>
              <w:jc w:val="left"/>
            </w:pPr>
            <w:r>
              <w:t xml:space="preserve">$84 million</w:t>
            </w:r>
          </w:p>
        </w:tc>
        <w:tc>
          <w:tcPr>
            <w:vAlign w:val="center"/>
            <w:tcBorders>
              <w:top w:val="single" w:sz="4" w:space="0" w:color="auto"/>
              <w:left w:val="single" w:sz="4" w:space="0" w:color="auto"/>
              <w:bottom w:val="single" w:sz="4" w:space="0" w:color="auto"/>
              <w:right w:val="single" w:sz="4" w:space="0" w:color="auto"/>
            </w:tcBorders>
          </w:tcPr>
          <w:p w14:paraId="00100489" w14:textId="001004BB">
            <w:pPr>
              <w:pStyle w:val="Normal"/>
              <w:jc w:val="left"/>
            </w:pPr>
            <w:r>
              <w:t xml:space="preserve">FY2026–FY2027</w:t>
            </w:r>
          </w:p>
        </w:tc>
        <w:tc>
          <w:tcPr>
            <w:vAlign w:val="center"/>
            <w:tcBorders>
              <w:top w:val="single" w:sz="4" w:space="0" w:color="auto"/>
              <w:left w:val="single" w:sz="4" w:space="0" w:color="auto"/>
              <w:bottom w:val="single" w:sz="4" w:space="0" w:color="auto"/>
              <w:right w:val="single" w:sz="4" w:space="0" w:color="auto"/>
            </w:tcBorders>
          </w:tcPr>
          <w:p w14:paraId="0010048B" w14:textId="001004BC">
            <w:pPr>
              <w:pStyle w:val="Normal"/>
              <w:jc w:val="left"/>
            </w:pPr>
            <w:r>
              <w:t xml:space="preserve">Early engineering complete; procurement packages placed for core equipment</w:t>
            </w:r>
          </w:p>
        </w:tc>
      </w:tr>
      <w:tr>
        <w:tc>
          <w:tcPr>
            <w:vAlign w:val="center"/>
            <w:tcBorders>
              <w:top w:val="single" w:sz="4" w:space="0" w:color="auto"/>
              <w:left w:val="single" w:sz="4" w:space="0" w:color="auto"/>
              <w:bottom w:val="single" w:sz="4" w:space="0" w:color="auto"/>
              <w:right w:val="single" w:sz="4" w:space="0" w:color="auto"/>
            </w:tcBorders>
          </w:tcPr>
          <w:p w14:paraId="0010048D" w14:textId="001004BD">
            <w:pPr>
              <w:pStyle w:val="Normal"/>
              <w:jc w:val="left"/>
            </w:pPr>
            <w:r>
              <w:t xml:space="preserve">Western Water Treatment Controls Upgrade</w:t>
            </w:r>
          </w:p>
        </w:tc>
        <w:tc>
          <w:tcPr>
            <w:vAlign w:val="center"/>
            <w:tcBorders>
              <w:top w:val="single" w:sz="4" w:space="0" w:color="auto"/>
              <w:left w:val="single" w:sz="4" w:space="0" w:color="auto"/>
              <w:bottom w:val="single" w:sz="4" w:space="0" w:color="auto"/>
              <w:right w:val="single" w:sz="4" w:space="0" w:color="auto"/>
            </w:tcBorders>
          </w:tcPr>
          <w:p w14:paraId="0010048F" w14:textId="001004BE">
            <w:pPr>
              <w:pStyle w:val="Normal"/>
              <w:jc w:val="left"/>
            </w:pPr>
            <w:r>
              <w:t xml:space="preserve">Utilities</w:t>
            </w:r>
          </w:p>
        </w:tc>
        <w:tc>
          <w:tcPr>
            <w:vAlign w:val="center"/>
            <w:tcBorders>
              <w:top w:val="single" w:sz="4" w:space="0" w:color="auto"/>
              <w:left w:val="single" w:sz="4" w:space="0" w:color="auto"/>
              <w:bottom w:val="single" w:sz="4" w:space="0" w:color="auto"/>
              <w:right w:val="single" w:sz="4" w:space="0" w:color="auto"/>
            </w:tcBorders>
          </w:tcPr>
          <w:p w14:paraId="00100491" w14:textId="001004BF">
            <w:pPr>
              <w:pStyle w:val="Normal"/>
              <w:jc w:val="left"/>
            </w:pPr>
            <w:r>
              <w:t xml:space="preserve">Near completion</w:t>
            </w:r>
          </w:p>
        </w:tc>
        <w:tc>
          <w:tcPr>
            <w:vAlign w:val="center"/>
            <w:tcBorders>
              <w:top w:val="single" w:sz="4" w:space="0" w:color="auto"/>
              <w:left w:val="single" w:sz="4" w:space="0" w:color="auto"/>
              <w:bottom w:val="single" w:sz="4" w:space="0" w:color="auto"/>
              <w:right w:val="single" w:sz="4" w:space="0" w:color="auto"/>
            </w:tcBorders>
          </w:tcPr>
          <w:p w14:paraId="00100493" w14:textId="001004C0">
            <w:pPr>
              <w:pStyle w:val="Normal"/>
              <w:jc w:val="left"/>
            </w:pPr>
            <w:r>
              <w:t xml:space="preserve">$39 million</w:t>
            </w:r>
          </w:p>
        </w:tc>
        <w:tc>
          <w:tcPr>
            <w:vAlign w:val="center"/>
            <w:tcBorders>
              <w:top w:val="single" w:sz="4" w:space="0" w:color="auto"/>
              <w:left w:val="single" w:sz="4" w:space="0" w:color="auto"/>
              <w:bottom w:val="single" w:sz="4" w:space="0" w:color="auto"/>
              <w:right w:val="single" w:sz="4" w:space="0" w:color="auto"/>
            </w:tcBorders>
          </w:tcPr>
          <w:p w14:paraId="00100495" w14:textId="001004C1">
            <w:pPr>
              <w:pStyle w:val="Normal"/>
              <w:jc w:val="left"/>
            </w:pPr>
            <w:r>
              <w:t xml:space="preserve">FY2025</w:t>
            </w:r>
          </w:p>
        </w:tc>
        <w:tc>
          <w:tcPr>
            <w:vAlign w:val="center"/>
            <w:tcBorders>
              <w:top w:val="single" w:sz="4" w:space="0" w:color="auto"/>
              <w:left w:val="single" w:sz="4" w:space="0" w:color="auto"/>
              <w:bottom w:val="single" w:sz="4" w:space="0" w:color="auto"/>
              <w:right w:val="single" w:sz="4" w:space="0" w:color="auto"/>
            </w:tcBorders>
          </w:tcPr>
          <w:p w14:paraId="00100497" w14:textId="001004C2">
            <w:pPr>
              <w:pStyle w:val="Normal"/>
              <w:jc w:val="left"/>
            </w:pPr>
            <w:r>
              <w:t xml:space="preserve">Commissioning progressing; close-out expected in first quarter of FY2026</w:t>
            </w:r>
          </w:p>
        </w:tc>
      </w:tr>
    </w:tbl>
    <w:p w14:paraId="001004C3" w14:textId="001004C4">
      <w:pPr>
        <w:pStyle w:val="Normal"/>
        <w:jc w:val="left"/>
      </w:pPr>
      <w:r>
        <w:t xml:space="preserve">Table 19 Infrastructure project portfolio and backlog status</w:t>
      </w:r>
    </w:p>
    <w:p w14:paraId="001004C5" w14:textId="001004C6">
      <w:pPr>
        <w:pStyle w:val="Normal"/>
        <w:jc w:val="left"/>
      </w:pPr>
      <w:r>
        <w:t xml:space="preserve">2.4.1 Delivery Indicators</w:t>
      </w:r>
    </w:p>
    <w:p w14:paraId="001004C7" w14:textId="001004C8">
      <w:pPr>
        <w:pStyle w:val="Normal"/>
        <w:jc w:val="left"/>
      </w:pPr>
      <w:r>
        <w:drawing>
          <wp:inline distT="0" distB="0" distL="0" distR="0">
            <wp:extent cx="4320000" cy="4320000"/>
            <wp:effectExtent l="0" t="0" r="0" b="0"/>
            <wp:docPr id="10" name="F10.png" descr=""/>
            <wp:cNvGraphicFramePr>
              <a:graphicFrameLocks noChangeAspect="1"/>
            </wp:cNvGraphicFramePr>
            <a:graphic>
              <a:graphicData uri="http://schemas.openxmlformats.org/drawingml/2006/picture">
                <pic:pic>
                  <pic:nvPicPr>
                    <pic:cNvPr id="10" name="F10.png"/>
                    <pic:cNvPicPr/>
                  </pic:nvPicPr>
                  <pic:blipFill>
                    <a:blip r:embed="R40b7cbc8f8ec408f" cstate="print"/>
                    <a:stretch>
                      <a:fillRect/>
                    </a:stretch>
                  </pic:blipFill>
                  <pic:spPr>
                    <a:xfrm>
                      <a:off x="0" y="0"/>
                      <a:ext cx="3960000" cy="3960000"/>
                    </a:xfrm>
                    <a:prstGeom prst="rect">
                      <a:avLst/>
                    </a:prstGeom>
                  </pic:spPr>
                </pic:pic>
              </a:graphicData>
            </a:graphic>
          </wp:inline>
        </w:drawing>
      </w:r>
    </w:p>
    <w:p w14:paraId="001004C9" w14:textId="001004CA">
      <w:pPr>
        <w:pStyle w:val="Normal"/>
        <w:jc w:val="left"/>
      </w:pPr>
      <w:r>
        <w:t xml:space="preserve">Figure 16 Infrastructure delivery indicators: schedule adherence, utilization, and safety trend</w:t>
      </w:r>
    </w:p>
    <w:p w14:paraId="001004CB" w14:textId="001004CC">
      <w:pPr>
        <w:pStyle w:val="Normal"/>
        <w:jc w:val="left"/>
      </w:pPr>
      <w:r>
        <w:t xml:space="preserve">2.4 Capacity and Outlook</w:t>
      </w:r>
    </w:p>
    <w:p w14:paraId="001004CD" w14:textId="001004CE">
      <w:pPr>
        <w:pStyle w:val="Normal"/>
        <w:jc w:val="left"/>
      </w:pPr>
      <w:r>
        <w:t xml:space="preserve">2.4.2 Capacity Planning</w:t>
      </w:r>
    </w:p>
    <w:p w14:paraId="001004CF" w14:textId="001004D0">
      <w:pPr>
        <w:pStyle w:val="Normal"/>
        <w:jc w:val="left"/>
      </w:pPr>
      <w:r>
        <w:t xml:space="preserve">Capacity planning in Infrastructure Services is centered on matching specialized labor, fleet availability, and site support resources to a backlog that is increasingly weighted toward technically complex, multi-site programs. During the year, Rivermark Holdings expanded regional deployment planning to reduce bottlenecks between bid award and mobilization, particularly in field engineering, commissioning, and project controls. The segment also consolidated certain warehousing and equipment staging activities into shared hubs, allowing faster dispatch of tools, safety systems, and replacement components to active sites. This reduced idle time on smaller jobs and improved the economics of recurring maintenance work.</w:t>
      </w:r>
    </w:p>
    <w:p w14:paraId="001004D1" w14:textId="001004D2">
      <w:pPr>
        <w:pStyle w:val="Normal"/>
        <w:jc w:val="left"/>
      </w:pPr>
      <w:r>
        <w:t xml:space="preserve">Facility requirements remain moderate relative to project value, but execution quality depends on the reliability of workshop capacity, mobile service units, and digital coordination infrastructure. Investment during the period therefore focused less on heavy fixed expansion and more on selective upgrades: fleet renewal for specialist access equipment, telemetry-enabled asset tracking, and enhanced remote planning capability for supervisors managing dispersed worksites. In addition, the segment strengthened subcontractor onboarding and vendor qualification processes to create a more dependable external capacity buffer during demand peaks.</w:t>
      </w:r>
    </w:p>
    <w:p w14:paraId="001004D3" w14:textId="001004D4">
      <w:pPr>
        <w:pStyle w:val="Normal"/>
        <w:jc w:val="left"/>
      </w:pPr>
      <w:r>
        <w:t xml:space="preserve">Management expects resource planning discipline to remain a decisive factor in converting backlog into cash and margin. For that reason, labor retention, certification coverage, and project scheduling accuracy are being monitored as leading indicators alongside traditional revenue metrics.</w:t>
      </w:r>
    </w:p>
    <w:p w14:paraId="001004D5" w14:textId="001004D6">
      <w:pPr>
        <w:pStyle w:val="Normal"/>
        <w:jc w:val="left"/>
      </w:pPr>
      <w:r>
        <w:t xml:space="preserve">The segment’s capability requirements are evolving as customers demand greater integration of engineering expertise, field execution, and data-enabled asset management. In transport and utility contracts, Rivermark Holdings increasingly competes on its ability to combine design adaptation, installation, testing, and lifecycle monitoring within a single service offering. This requires stronger systems engineering, commissioning competence, cyber-aware controls expertise, and project governance skills, in addition to core civil and mechanical delivery capabilities. The group has therefore increased technical training hours, expanded cross-functional bid teams, and aligned incentive measures more closely with project margin, safety, and first-time-right delivery outcomes.</w:t>
      </w:r>
    </w:p>
    <w:p w14:paraId="001004D7" w14:textId="001004D8">
      <w:pPr>
        <w:pStyle w:val="Normal"/>
        <w:jc w:val="left"/>
      </w:pPr>
      <w:r>
        <w:t xml:space="preserve">A second requirement is managerial capability at the contract level. Larger framework arrangements are producing a higher volume of simultaneous work orders, each individually smaller but collectively more demanding from a coordination and compliance perspective. To address this, the segment has invested in standardized work-pack planning, cost-to-complete review disciplines, and digital reporting tools that provide earlier visibility over scope changes and productivity slippage. These measures are intended to improve forecasting accuracy and reduce earnings volatility.</w:t>
      </w:r>
    </w:p>
    <w:p w14:paraId="001004D9" w14:textId="001004DA">
      <w:pPr>
        <w:pStyle w:val="Normal"/>
        <w:jc w:val="left"/>
      </w:pPr>
      <w:r>
        <w:t xml:space="preserve">Looking ahead, the segment’s competitive position will depend not only on available labor but on the depth of transferable technical know-how across regions. Building that bench strength is a priority, because it supports safer delivery, stronger customer retention, and more selective participation in higher-value contracts.</w:t>
      </w:r>
    </w:p>
    <w:p w14:paraId="001004DB" w14:textId="001004DC">
      <w:pPr>
        <w:pStyle w:val="Normal"/>
        <w:jc w:val="left"/>
      </w:pPr>
      <w:r>
        <w:t xml:space="preserve">2.4.2 Pipeline Outlook</w:t>
      </w:r>
    </w:p>
    <w:p w14:paraId="001004DD" w14:textId="001004E2">
      <w:pPr>
        <w:pStyle w:val="Normal"/>
        <w:jc w:val="left"/>
      </w:pPr>
      <w:r>
        <w:t xml:space="preserve">Pipeline development remains centered on deepening the segment’s </w:t>
      </w:r>
      <w:r>
        <w:t xml:space="preserve">installed base</w:t>
      </w:r>
      <w:r>
        <w:t xml:space="preserve">, extending capabilities into adjacent service lines, and improving the conversion of qualified leads into booked work. During the year, the commercial team refined its </w:t>
      </w:r>
      <w:r>
        <w:t xml:space="preserve">target account list</w:t>
      </w:r>
      <w:r>
        <w:t xml:space="preserve"> to focus on customers with recurring maintenance needs, multi-site asset footprints, and capital programs that can be bundled into longer-duration contracts. This approach has improved visibility over near-term demand while also supporting a better mix of project, service, and recurring revenue. The development pipeline is being shaped not only by traditional bidding activity, but also by earlier-stage customer engagement, technical scoping, and solution design, which allow the segment to influence project specifications before final procurement decisions are made.</w:t>
      </w:r>
    </w:p>
    <w:p w14:paraId="001004E3" w14:textId="001004E4">
      <w:pPr>
        <w:pStyle w:val="Normal"/>
        <w:jc w:val="left"/>
      </w:pPr>
      <w:r>
        <w:t xml:space="preserve">Progress on pipeline development is measured by the quality of opportunities, not only the volume of prospects. The highest-value initiatives continue to be those that combine engineering support, field execution, and ongoing lifecycle service, because they create more durable customer relationships and more predictable margin profiles. Management has also prioritized partner-led opportunities where the segment can leverage specialist subcontractors or equipment vendors to widen capacity without increasing fixed overheads disproportionately. The pipeline therefore reflects both organic expansion and selective capability building, especially in digital monitoring, remote diagnostics, and compliance-related service offerings. These activities are intended to sustain future growth even in markets that remain uneven or price-sensitive.</w:t>
      </w:r>
    </w:p>
    <w:p w14:paraId="001004E5" w14:textId="001004E6">
      <w:pPr>
        <w:pStyle w:val="Normal"/>
        <w:jc w:val="left"/>
      </w:pPr>
      <w:r>
        <w:t xml:space="preserve">Forward activity indicators point to a disciplined but constructive outlook for the next reporting period. Internal leading measures include bid conversion rates, the proportion of shortlisted opportunities with signed statements of work, backlog coverage by quarter, and the share of pipeline value tied to recurring or framework arrangements. Management also tracks site visit frequency, technical proposals submitted, and the average duration from qualification to award, because these indicators provide earlier evidence of customer demand than reported revenue alone. In addition, the segment monitors capacity loading across key teams so that opportunity growth does not outpace delivery readiness.</w:t>
      </w:r>
    </w:p>
    <w:p w14:paraId="001004E7" w14:textId="001004E8">
      <w:pPr>
        <w:pStyle w:val="Normal"/>
        <w:jc w:val="left"/>
      </w:pPr>
      <w:r>
        <w:t xml:space="preserve">These indicators suggest that near-term activity should remain supported by a stable core of repeat customers, with additional upside from higher-complexity engagements where the segment has demonstrated execution credibility. At the same time, management continues to watch customer procurement timing, funding approvals, and project start dates, since these can shift reported activity between periods without changing the underlying opportunity set. The forward view is therefore built around a balanced scorecard of commercial momentum and operational readiness. That combination is intended to preserve service quality, protect margins, and keep the segment positioned to capture work as conditions improve.</w:t>
      </w:r>
    </w:p>
    <w:p w14:paraId="00101CF0" w14:textId="00101CF1">
      <w:pPr>
        <w:pStyle w:val="Normal"/>
        <w:jc w:val="left"/>
        <w:sectPr>
          <w:type w:val="nextPage"/>
          <w:pgSz w:w="11906" w:h="16838"/>
          <w:pgMar w:top="1440" w:right="1440" w:bottom="1440" w:left="1440" w:header="1440" w:footer="1440" w:gutter="0"/>
          <w:cols w:space="720" w:num="1"/>
        </w:sectPr>
      </w:pPr>
    </w:p>
    <w:p w14:paraId="001004ED" w14:textId="001004EE">
      <w:pPr>
        <w:pStyle w:val="Normal"/>
        <w:jc w:val="left"/>
      </w:pPr>
      <w:r>
        <w:t xml:space="preserve">Chapter 3 Group Financial Review</w:t>
      </w:r>
    </w:p>
    <w:p w14:paraId="001004EF" w14:textId="001004F0">
      <w:pPr>
        <w:pStyle w:val="Normal"/>
        <w:jc w:val="left"/>
      </w:pPr>
      <w:r>
        <w:t xml:space="preserve">3. Financial Performance</w:t>
      </w:r>
    </w:p>
    <w:p w14:paraId="001004F1" w14:textId="001004F2">
      <w:pPr>
        <w:pStyle w:val="Normal"/>
        <w:jc w:val="left"/>
      </w:pPr>
      <w:r>
        <w:t xml:space="preserve">Rivermark Holdings delivered resilient integrated financial performance in the year, balancing revenue growth, margin discipline, and cash generation in a market environment marked by uneven customer demand, selective price pressure, and higher financing costs. Group revenue increased on a reported basis through a combination of stable underlying demand in Industrial Solutions, continued channel expansion in Consumer Platforms, and solid project execution in Infrastructure Services. Profitability improved more moderately than revenue, reflecting an operating mix shift toward higher-service and higher-complexity activities, offset in part by procurement normalization, productivity actions, and tighter cost governance across support functions.</w:t>
      </w:r>
    </w:p>
    <w:p w14:paraId="001004F3" w14:textId="001004F4">
      <w:pPr>
        <w:pStyle w:val="Normal"/>
        <w:jc w:val="left"/>
      </w:pPr>
      <w:r>
        <w:t xml:space="preserve">From a capital perspective, management remained focused on preserving balance-sheet flexibility while continuing targeted investment in automation, digital operating tools, customer-facing platforms, and selective capacity additions. Operating cash flow remained robust, supported by earnings quality and disciplined management of receivables, inventory, and milestone billing. This enabled the group to fund capital expenditure, maintain covenant headroom, and sustain a balanced capital allocation approach that supports both near-term resilience and medium-term growth. Overall, the year demonstrated that Rivermark Holdings’ diversified portfolio, decentralized operating model, and recurring cash-generating base can absorb market variability while still advancing strategic priorities and shareholder returns.</w:t>
      </w:r>
    </w:p>
    <w:p w14:paraId="001004F5" w14:textId="001004F6">
      <w:pPr>
        <w:pStyle w:val="Normal"/>
        <w:jc w:val="left"/>
      </w:pPr>
      <w:r>
        <w:t xml:space="preserve">3.1 Revenue and Profitability</w:t>
      </w:r>
    </w:p>
    <w:p w14:paraId="001004F7" w14:textId="001004F8">
      <w:pPr>
        <w:pStyle w:val="Normal"/>
        <w:jc w:val="left"/>
      </w:pPr>
      <w:r>
        <w:t xml:space="preserve">3.1.1 Revenue Drivers</w:t>
      </w:r>
    </w:p>
    <w:p w14:paraId="001004F9" w14:textId="001004FA">
      <w:pPr>
        <w:pStyle w:val="Normal"/>
        <w:jc w:val="left"/>
      </w:pPr>
      <w:r>
        <w:t xml:space="preserve">Group revenue growth reflected four principal factors: volume, price, mix, and currency. Volume contribution was positive overall, led by project progression in Infrastructure Services and stable order conversion in Industrial Solutions, while Consumer Platforms recorded mixed unit trends across categories as discretionary demand remained uneven. Pricing remained a net positive, although the rate of price realization moderated from the prior year as input-cost inflation eased and competitive conditions normalized in several customer markets. Management maintained pricing discipline in contracts with index-linked mechanisms and in premium product lines where service content and reliability differentiated the offer.</w:t>
      </w:r>
    </w:p>
    <w:p w14:paraId="001004FB" w14:textId="001004FC">
      <w:pPr>
        <w:pStyle w:val="Normal"/>
        <w:jc w:val="left"/>
      </w:pPr>
      <w:r>
        <w:t xml:space="preserve">Mix effects were favorable at the group level. A higher proportion of revenue came from aftermarket services, software-enabled customer solutions, and long-duration contracts with stronger gross-margin characteristics. This partly offset softer contribution from lower-margin transactional volumes in certain consumer categories. Currency had a limited but positive effect on reported revenue, mainly from the translation of overseas earnings in markets where local currencies strengthened modestly against the reporting currency during the first three quarters before stabilizing toward year-end. Taken together, these factors indicate that reported growth was not solely inflation-driven; it was also supported by portfolio quality, execution on commercial priorities, and a more selective approach to revenue acceptance.</w:t>
      </w:r>
    </w:p>
    <w:p w14:paraId="001004FD" w14:textId="001004FE">
      <w:pPr>
        <w:pStyle w:val="Normal"/>
        <w:jc w:val="left"/>
      </w:pPr>
      <w:r>
        <w:t xml:space="preserve">The revenue bridge for the year shows that underlying growth was broad-based but not uniform across the portfolio. Organic volume and pricing represented the largest components of the increase, confirming that customer activity remained sufficient to support expansion despite slower macroeconomic momentum. Within that bridge, the most durable contribution came from contract execution, recurring service revenue, and targeted account penetration, rather than from one-off pass-through pricing. This distinction is important because it indicates a stronger conversion of commercial effort into sustainable revenue streams.</w:t>
      </w:r>
    </w:p>
    <w:p w14:paraId="001004FF" w14:textId="00100500">
      <w:pPr>
        <w:pStyle w:val="Normal"/>
        <w:jc w:val="left"/>
      </w:pPr>
      <w:r>
        <w:t xml:space="preserve">The bridge also demonstrates that favorable mix had a disproportionate influence on quality of earnings relative to its absolute contribution to revenue. Higher-value solutions, service attachments, and digitally enabled offerings generally carry better incremental margins and lower volatility than purely volume-driven sales. By contrast, currency translation lifted reported growth only modestly and did not materially alter the underlying trend. Management therefore views the year’s revenue outcome as operationally credible: growth was generated through selective commercial expansion, supported by pricing where warranted, and reinforced by a continuing shift toward segments and products with stronger returns. That pattern provides a sound base for future profitability improvement, provided demand conditions remain stable and execution discipline is maintained.</w:t>
      </w:r>
    </w:p>
    <w:p w14:paraId="00100501" w14:textId="00100502">
      <w:pPr>
        <w:pStyle w:val="Normal"/>
        <w:jc w:val="left"/>
      </w:pPr>
      <w:r>
        <w:t xml:space="preserve">3.1.1 Profitability Trends</w:t>
      </w:r>
    </w:p>
    <w:p w14:paraId="00100503" w14:textId="00100504">
      <w:pPr>
        <w:pStyle w:val="Normal"/>
        <w:jc w:val="left"/>
      </w:pPr>
      <w:r>
        <w:drawing>
          <wp:inline distT="0" distB="0" distL="0" distR="0">
            <wp:extent cx="3600000" cy="3600000"/>
            <wp:effectExtent l="0" t="0" r="0" b="0"/>
            <wp:docPr id="11" name="F01.png" descr=""/>
            <wp:cNvGraphicFramePr>
              <a:graphicFrameLocks noChangeAspect="1"/>
            </wp:cNvGraphicFramePr>
            <a:graphic>
              <a:graphicData uri="http://schemas.openxmlformats.org/drawingml/2006/picture">
                <pic:pic>
                  <pic:nvPicPr>
                    <pic:cNvPr id="11" name="F01.png"/>
                    <pic:cNvPicPr/>
                  </pic:nvPicPr>
                  <pic:blipFill>
                    <a:blip r:embed="R9aa3dd90c2024fff" cstate="print"/>
                    <a:stretch>
                      <a:fillRect/>
                    </a:stretch>
                  </pic:blipFill>
                  <pic:spPr>
                    <a:xfrm>
                      <a:off x="0" y="0"/>
                      <a:ext cx="3960000" cy="3960000"/>
                    </a:xfrm>
                    <a:prstGeom prst="rect">
                      <a:avLst/>
                    </a:prstGeom>
                  </pic:spPr>
                </pic:pic>
              </a:graphicData>
            </a:graphic>
          </wp:inline>
        </w:drawing>
      </w:r>
    </w:p>
    <w:p w14:paraId="00100505" w14:textId="00100506">
      <w:pPr>
        <w:pStyle w:val="Normal"/>
        <w:jc w:val="left"/>
      </w:pPr>
      <w:r>
        <w:t xml:space="preserve">Figure 1 Profitability trend chart showing revenue growth, operating margin, EBITDA margin, and return on invested capital over the reporting period.</w:t>
      </w:r>
    </w:p>
    <w:p w14:paraId="00100507" w14:textId="00100508">
      <w:pPr>
        <w:pStyle w:val="Normal"/>
        <w:jc w:val="left"/>
      </w:pPr>
      <w:r>
        <w:t xml:space="preserve">3.1 Cash and Working Capital</w:t>
      </w:r>
    </w:p>
    <w:p w14:paraId="00100509" w14:textId="0010050A">
      <w:pPr>
        <w:pStyle w:val="Normal"/>
        <w:jc w:val="left"/>
      </w:pPr>
      <w:r>
        <w:t xml:space="preserve">3.1.2 Operating Cash Flow</w:t>
      </w:r>
    </w:p>
    <w:p w14:paraId="0010050B" w14:textId="0010050C">
      <w:pPr>
        <w:pStyle w:val="Normal"/>
        <w:jc w:val="left"/>
      </w:pPr>
      <w:r>
        <w:t xml:space="preserve">Operating cash flow remained a central measure of financial quality for Rivermark Holdings during the year. Cash generated from operations was supported first by the increase in operating earnings and second by disciplined conversion of profit into cash across the portfolio. Collections performance improved in the second half as billing controls, customer follow-up routines, and milestone certification processes were tightened, particularly in Infrastructure Services. Inventory intensity moderated as procurement lead times normalized and planning teams reduced buffer stock built during prior-period supply-chain disruption. These improvements helped offset the temporary cash absorption associated with growth in selected contracts and strategic inventory held for critical customer programs.</w:t>
      </w:r>
    </w:p>
    <w:p w14:paraId="0010050D" w14:textId="0010050E">
      <w:pPr>
        <w:pStyle w:val="Normal"/>
        <w:jc w:val="left"/>
      </w:pPr>
      <w:r>
        <w:t xml:space="preserve">Cash conversion also benefited from measured control of operating costs, lower exceptional cash outflows, and a more selective capital spending cadence aligned with project readiness. The group continued to prioritize cash visibility through weekly liquidity reviews, forecast variance analysis, and escalation of overdue receivables at both segment and group levels. While working capital remained sensitive to project timing, seasonal sales patterns, and customer payment behavior, the overall trend was constructive. Management considers current cash generation sufficient to support ordinary dividends, core reinvestment, and debt servicing without constraining strategic flexibility. The resulting profile reinforces confidence that earnings are being translated into usable liquidity rather than accumulating in less productive balance-sheet items.</w:t>
      </w:r>
    </w:p>
    <w:p w14:paraId="0010050F" w14:textId="00100510">
      <w:pPr>
        <w:pStyle w:val="Normal"/>
        <w:jc w:val="left"/>
      </w:pPr>
      <w:r>
        <w:t xml:space="preserve">Operating cash flow remained the primary source of internally generated funding in the year and reflected the group’s continued emphasis on earnings quality, disciplined collections, and selective capital deployment. Cash generated from operations increased ahead of operating profit, supported by firmer collection performance in Industrial Solutions, improved advance billing and milestone conversion in Infrastructure Services, and tighter control of promotional and inventory spending in Consumer Platforms. The conversion of earnings into cash also benefited from lower cash restructuring outflows compared with the prior year, although this was partly offset by higher cash tax payments and a normalized level of annual incentive settlements.</w:t>
      </w:r>
    </w:p>
    <w:p w14:paraId="00100511" w14:textId="00100512">
      <w:pPr>
        <w:pStyle w:val="Normal"/>
        <w:jc w:val="left"/>
      </w:pPr>
      <w:r>
        <w:t xml:space="preserve">From a bridge perspective, EBITDA provided the core inflow, with depreciation and amortization adding back a substantial non-cash component and provisions contributing modestly as claims utilization remained within planning assumptions. Working capital absorbed cash in the first half as Rivermark Holdings rebuilt selected safety stocks and supported project mobilization, but this reversed materially in the second half as receivable collections accelerated and inventory turns improved. Cash interest paid increased in line with the higher average cost of debt, while lease-related operating cash outflows remained stable. Overall, the operating cash flow profile demonstrates that the group’s businesses continue to generate resilient cash across varying market conditions and provide a sound base for debt service, dividend capacity, and targeted reinvestment.</w:t>
      </w:r>
    </w:p>
    <w:p w14:paraId="00100513" w14:textId="00100514">
      <w:pPr>
        <w:pStyle w:val="Normal"/>
        <w:jc w:val="left"/>
      </w:pPr>
      <w:r>
        <w:t xml:space="preserve">3.1.2 Working Capital</w:t>
      </w:r>
    </w:p>
    <w:p w14:paraId="00100515" w14:textId="00100516">
      <w:pPr>
        <w:pStyle w:val="Normal"/>
        <w:jc w:val="left"/>
      </w:pPr>
      <w:r>
        <w:t xml:space="preserve">Working capital management remained a significant focus area across the portfolio, particularly in receivables discipline, inventory planning, and payables optimization. Trade receivables closed the year at a lower proportion of revenue despite year-end shipment strength, reflecting tighter credit governance, improved dispute resolution, and broader use of digital collection dashboards in the group’s larger operating units. Days sales outstanding improved modestly, with the strongest progress in Consumer Platforms where channel terms were rebalanced and overdue balances were reduced through account-specific recovery plans.</w:t>
      </w:r>
    </w:p>
    <w:p w14:paraId="00100517" w14:textId="00100518">
      <w:pPr>
        <w:pStyle w:val="Normal"/>
        <w:jc w:val="left"/>
      </w:pPr>
      <w:r>
        <w:t xml:space="preserve">Inventory levels were managed more selectively than in the prior year. Industrial Solutions reduced raw-material buffers as supplier reliability stabilized, while Consumer Platforms lowered finished-goods exposure through better demand forecasting and product rationalization. Infrastructure Services held a temporary increase in project-related materials at midyear, but these balances normalized as delivery milestones were achieved. On the liability side, trade payables increased in line with procurement activity and negotiated supplier terms, helping offset the seasonal build in receivables and inventory. Management’s objective remains to balance liquidity efficiency with supply continuity and customer service, rather than maximize any single working capital metric at the expense of operational resilience.</w:t>
      </w:r>
    </w:p>
    <w:p w14:paraId="00100519" w14:textId="0010051A">
      <w:pPr>
        <w:pStyle w:val="Normal"/>
        <w:jc w:val="left"/>
      </w:pPr>
      <w:r>
        <w:t xml:space="preserve">On a trend basis, net working capital as a percentage of revenue improved year on year, indicating better alignment between growth and operating discipline. Average collection periods declined, inventory days moved lower, and payable days extended slightly without materially changing supplier risk exposure. The direction of travel was therefore favorable across all three principal levers, although performance remained uneven by segment and geography. Infrastructure Services continued to show the highest quarter-to-quarter volatility because project timing, advance payments, and contract certification dates can shift reported balances at period end.</w:t>
      </w:r>
    </w:p>
    <w:p w14:paraId="0010051B" w14:textId="0010051C">
      <w:pPr>
        <w:pStyle w:val="Normal"/>
        <w:jc w:val="left"/>
      </w:pPr>
      <w:r>
        <w:t xml:space="preserve">Management monitors working capital using a combination of monthly run-rate indicators and business-specific operational measures, including overdue receivable aging, inventory cover by category, open purchase commitment exposure, and cash conversion cycle trends. These indicators are reviewed against internal thresholds and embedded in segment leadership scorecards. The group expects further incremental improvement rather than a step change in the coming year, as easier collection gains have largely been realized and future progress will depend more on process standardization, forecast accuracy, and contract discipline. Even so, the current trajectory supports stronger cash resilience and reduces reliance on external funding during periods of market volatility or elevated investment demand.</w:t>
      </w:r>
    </w:p>
    <w:p w14:paraId="0010051D" w14:textId="0010051E">
      <w:pPr>
        <w:pStyle w:val="Normal"/>
        <w:jc w:val="left"/>
      </w:pPr>
      <w:r>
        <w:t xml:space="preserve">3. Capital and Liquidity</w:t>
      </w:r>
    </w:p>
    <w:p w14:paraId="0010051F" w14:textId="00100520">
      <w:pPr>
        <w:pStyle w:val="Normal"/>
        <w:jc w:val="left"/>
      </w:pPr>
      <w:r>
        <w:t xml:space="preserve">Rivermark Holdings maintained a conservative funding profile and solid liquidity headroom throughout the year, balancing refinancing activity, investment needs, and shareholder distributions within established leverage parameters. The group’s capital structure is designed to preserve flexibility across business cycles, with a mix of committed bank facilities, term borrowings, lease funding, and internally generated cash. During the year, management prioritized tenor extension, diversification of funding sources, and preservation of covenant capacity rather than absolute debt reduction, reflecting both the still-elevated interest-rate environment and the pipeline of selective growth investments.</w:t>
      </w:r>
    </w:p>
    <w:p w14:paraId="00100521" w14:textId="00100522">
      <w:pPr>
        <w:pStyle w:val="Normal"/>
        <w:jc w:val="left"/>
      </w:pPr>
      <w:r>
        <w:t xml:space="preserve">Available liquidity remained robust at year end, supported by cash on hand and undrawn committed revolving credit facilities with staggered maturities. Net debt increased moderately due to capital expenditure, dividend payments, and acquisition-related outflows, but leverage remained within the board’s target range and comfortably below covenant thresholds. Interest cover also remained strong, despite a higher average funding cost, because operating earnings and cash generation were resilient across the portfolio. The group’s treasury approach continues to emphasize prudent maturity management, disciplined counterparty selection, and stress testing against downside scenarios including delayed customer receipts, lower demand, and tighter credit conditions. On this basis, the board considers Rivermark Holdings well positioned to fund operations, execute approved investment programs, and respond to market opportunities while preserving balance sheet resilience.</w:t>
      </w:r>
    </w:p>
    <w:p w14:paraId="00100523" w14:textId="00100524">
      <w:pPr>
        <w:pStyle w:val="Normal"/>
        <w:jc w:val="left"/>
      </w:pPr>
      <w:r>
        <w:t xml:space="preserve">3.2 Funding Position</w:t>
      </w:r>
    </w:p>
    <w:p w14:paraId="00100525" w14:textId="00100526">
      <w:pPr>
        <w:pStyle w:val="Normal"/>
        <w:jc w:val="left"/>
      </w:pPr>
      <w:r>
        <w:t xml:space="preserve">3.2.1 Debt Structure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527" w14:textId="00100587">
            <w:pPr>
              <w:pStyle w:val="Normal"/>
              <w:jc w:val="left"/>
            </w:pPr>
            <w:r>
              <w:t xml:space="preserve">Facility / instrument</w:t>
            </w:r>
          </w:p>
        </w:tc>
        <w:tc>
          <w:tcPr>
            <w:vAlign w:val="center"/>
            <w:tcBorders>
              <w:top w:val="single" w:sz="4" w:space="0" w:color="auto"/>
              <w:left w:val="single" w:sz="4" w:space="0" w:color="auto"/>
              <w:bottom w:val="single" w:sz="4" w:space="0" w:color="auto"/>
              <w:right w:val="single" w:sz="4" w:space="0" w:color="auto"/>
            </w:tcBorders>
          </w:tcPr>
          <w:p w14:paraId="00100529" w14:textId="00100588">
            <w:pPr>
              <w:pStyle w:val="Normal"/>
              <w:jc w:val="left"/>
            </w:pPr>
            <w:r>
              <w:t xml:space="preserve">Carrying amount (US$ million)</w:t>
            </w:r>
          </w:p>
        </w:tc>
        <w:tc>
          <w:tcPr>
            <w:vAlign w:val="center"/>
            <w:tcBorders>
              <w:top w:val="single" w:sz="4" w:space="0" w:color="auto"/>
              <w:left w:val="single" w:sz="4" w:space="0" w:color="auto"/>
              <w:bottom w:val="single" w:sz="4" w:space="0" w:color="auto"/>
              <w:right w:val="single" w:sz="4" w:space="0" w:color="auto"/>
            </w:tcBorders>
          </w:tcPr>
          <w:p w14:paraId="0010052B" w14:textId="00100589">
            <w:pPr>
              <w:pStyle w:val="Normal"/>
              <w:jc w:val="left"/>
            </w:pPr>
            <w:r>
              <w:t xml:space="preserve">Maturity</w:t>
            </w:r>
          </w:p>
        </w:tc>
        <w:tc>
          <w:tcPr>
            <w:vAlign w:val="center"/>
            <w:tcBorders>
              <w:top w:val="single" w:sz="4" w:space="0" w:color="auto"/>
              <w:left w:val="single" w:sz="4" w:space="0" w:color="auto"/>
              <w:bottom w:val="single" w:sz="4" w:space="0" w:color="auto"/>
              <w:right w:val="single" w:sz="4" w:space="0" w:color="auto"/>
            </w:tcBorders>
          </w:tcPr>
          <w:p w14:paraId="0010052D" w14:textId="0010058A">
            <w:pPr>
              <w:pStyle w:val="Normal"/>
              <w:jc w:val="left"/>
            </w:pPr>
            <w:r>
              <w:t xml:space="preserve">Rate basis</w:t>
            </w:r>
          </w:p>
        </w:tc>
        <w:tc>
          <w:tcPr>
            <w:vAlign w:val="center"/>
            <w:tcBorders>
              <w:top w:val="single" w:sz="4" w:space="0" w:color="auto"/>
              <w:left w:val="single" w:sz="4" w:space="0" w:color="auto"/>
              <w:bottom w:val="single" w:sz="4" w:space="0" w:color="auto"/>
              <w:right w:val="single" w:sz="4" w:space="0" w:color="auto"/>
            </w:tcBorders>
          </w:tcPr>
          <w:p w14:paraId="0010052F" w14:textId="0010058B">
            <w:pPr>
              <w:pStyle w:val="Normal"/>
              <w:jc w:val="left"/>
            </w:pPr>
            <w:r>
              <w:t xml:space="preserve">Covenant / security</w:t>
            </w:r>
          </w:p>
        </w:tc>
        <w:tc>
          <w:tcPr>
            <w:vAlign w:val="center"/>
            <w:tcBorders>
              <w:top w:val="single" w:sz="4" w:space="0" w:color="auto"/>
              <w:left w:val="single" w:sz="4" w:space="0" w:color="auto"/>
              <w:bottom w:val="single" w:sz="4" w:space="0" w:color="auto"/>
              <w:right w:val="single" w:sz="4" w:space="0" w:color="auto"/>
            </w:tcBorders>
          </w:tcPr>
          <w:p w14:paraId="00100531" w14:textId="0010058C">
            <w:pPr>
              <w:pStyle w:val="Normal"/>
              <w:jc w:val="left"/>
            </w:pPr>
            <w:r>
              <w:t xml:space="preserve">Available headroom</w:t>
            </w:r>
          </w:p>
        </w:tc>
      </w:tr>
      <w:tr>
        <w:tc>
          <w:tcPr>
            <w:vAlign w:val="top"/>
            <w:tcBorders>
              <w:top w:val="single" w:sz="4" w:space="0" w:color="auto"/>
              <w:left w:val="single" w:sz="4" w:space="0" w:color="auto"/>
              <w:bottom w:val="single" w:sz="4" w:space="0" w:color="auto"/>
              <w:right w:val="single" w:sz="4" w:space="0" w:color="auto"/>
            </w:tcBorders>
          </w:tcPr>
          <w:p w14:paraId="00100533" w14:textId="0010058D">
            <w:pPr>
              <w:pStyle w:val="Normal"/>
              <w:jc w:val="left"/>
            </w:pPr>
            <w:r>
              <w:t xml:space="preserve">Syndicated revolving credit facility</w:t>
            </w:r>
          </w:p>
        </w:tc>
        <w:tc>
          <w:tcPr>
            <w:vAlign w:val="center"/>
            <w:tcBorders>
              <w:top w:val="single" w:sz="4" w:space="0" w:color="auto"/>
              <w:left w:val="single" w:sz="4" w:space="0" w:color="auto"/>
              <w:bottom w:val="single" w:sz="4" w:space="0" w:color="auto"/>
              <w:right w:val="single" w:sz="4" w:space="0" w:color="auto"/>
            </w:tcBorders>
          </w:tcPr>
          <w:p w14:paraId="00100535" w14:textId="0010058E">
            <w:pPr>
              <w:pStyle w:val="Normal"/>
              <w:jc w:val="left"/>
            </w:pPr>
            <w:r>
              <w:t xml:space="preserve">320</w:t>
            </w:r>
          </w:p>
        </w:tc>
        <w:tc>
          <w:tcPr>
            <w:vAlign w:val="center"/>
            <w:tcBorders>
              <w:top w:val="single" w:sz="4" w:space="0" w:color="auto"/>
              <w:left w:val="single" w:sz="4" w:space="0" w:color="auto"/>
              <w:bottom w:val="single" w:sz="4" w:space="0" w:color="auto"/>
              <w:right w:val="single" w:sz="4" w:space="0" w:color="auto"/>
            </w:tcBorders>
          </w:tcPr>
          <w:p w14:paraId="00100537" w14:textId="0010058F">
            <w:pPr>
              <w:pStyle w:val="Normal"/>
              <w:jc w:val="left"/>
            </w:pPr>
            <w:r>
              <w:t xml:space="preserve">2027</w:t>
            </w:r>
          </w:p>
        </w:tc>
        <w:tc>
          <w:tcPr>
            <w:vAlign w:val="center"/>
            <w:tcBorders>
              <w:top w:val="single" w:sz="4" w:space="0" w:color="auto"/>
              <w:left w:val="single" w:sz="4" w:space="0" w:color="auto"/>
              <w:bottom w:val="single" w:sz="4" w:space="0" w:color="auto"/>
              <w:right w:val="single" w:sz="4" w:space="0" w:color="auto"/>
            </w:tcBorders>
          </w:tcPr>
          <w:p w14:paraId="00100539" w14:textId="00100590">
            <w:pPr>
              <w:pStyle w:val="Normal"/>
              <w:jc w:val="left"/>
            </w:pPr>
            <w:r>
              <w:t xml:space="preserve">SOFR + margin</w:t>
            </w:r>
          </w:p>
        </w:tc>
        <w:tc>
          <w:tcPr>
            <w:vAlign w:val="center"/>
            <w:tcBorders>
              <w:top w:val="single" w:sz="4" w:space="0" w:color="auto"/>
              <w:left w:val="single" w:sz="4" w:space="0" w:color="auto"/>
              <w:bottom w:val="single" w:sz="4" w:space="0" w:color="auto"/>
              <w:right w:val="single" w:sz="4" w:space="0" w:color="auto"/>
            </w:tcBorders>
          </w:tcPr>
          <w:p w14:paraId="0010053B" w14:textId="00100591">
            <w:pPr>
              <w:pStyle w:val="Normal"/>
              <w:jc w:val="left"/>
            </w:pPr>
            <w:r>
              <w:t xml:space="preserve">Unsecured; net debt/EBITDA and interest cover tests</w:t>
            </w:r>
          </w:p>
        </w:tc>
        <w:tc>
          <w:tcPr>
            <w:vAlign w:val="center"/>
            <w:tcBorders>
              <w:top w:val="single" w:sz="4" w:space="0" w:color="auto"/>
              <w:left w:val="single" w:sz="4" w:space="0" w:color="auto"/>
              <w:bottom w:val="single" w:sz="4" w:space="0" w:color="auto"/>
              <w:right w:val="single" w:sz="4" w:space="0" w:color="auto"/>
            </w:tcBorders>
          </w:tcPr>
          <w:p w14:paraId="0010053D" w14:textId="00100592">
            <w:pPr>
              <w:pStyle w:val="Normal"/>
              <w:jc w:val="left"/>
            </w:pPr>
            <w:r>
              <w:t xml:space="preserve">880 undrawn</w:t>
            </w:r>
          </w:p>
        </w:tc>
      </w:tr>
      <w:tr>
        <w:tc>
          <w:tcPr>
            <w:vAlign w:val="top"/>
            <w:tcBorders>
              <w:top w:val="single" w:sz="4" w:space="0" w:color="auto"/>
              <w:left w:val="single" w:sz="4" w:space="0" w:color="auto"/>
              <w:bottom w:val="single" w:sz="4" w:space="0" w:color="auto"/>
              <w:right w:val="single" w:sz="4" w:space="0" w:color="auto"/>
            </w:tcBorders>
          </w:tcPr>
          <w:p w14:paraId="0010053F" w14:textId="00100593">
            <w:pPr>
              <w:pStyle w:val="Normal"/>
              <w:jc w:val="left"/>
            </w:pPr>
            <w:r>
              <w:t xml:space="preserve">Term loan A</w:t>
            </w:r>
          </w:p>
        </w:tc>
        <w:tc>
          <w:tcPr>
            <w:vAlign w:val="center"/>
            <w:tcBorders>
              <w:top w:val="single" w:sz="4" w:space="0" w:color="auto"/>
              <w:left w:val="single" w:sz="4" w:space="0" w:color="auto"/>
              <w:bottom w:val="single" w:sz="4" w:space="0" w:color="auto"/>
              <w:right w:val="single" w:sz="4" w:space="0" w:color="auto"/>
            </w:tcBorders>
          </w:tcPr>
          <w:p w14:paraId="00100541" w14:textId="00100594">
            <w:pPr>
              <w:pStyle w:val="Normal"/>
              <w:jc w:val="left"/>
            </w:pPr>
            <w:r>
              <w:t xml:space="preserve">450</w:t>
            </w:r>
          </w:p>
        </w:tc>
        <w:tc>
          <w:tcPr>
            <w:vAlign w:val="center"/>
            <w:tcBorders>
              <w:top w:val="single" w:sz="4" w:space="0" w:color="auto"/>
              <w:left w:val="single" w:sz="4" w:space="0" w:color="auto"/>
              <w:bottom w:val="single" w:sz="4" w:space="0" w:color="auto"/>
              <w:right w:val="single" w:sz="4" w:space="0" w:color="auto"/>
            </w:tcBorders>
          </w:tcPr>
          <w:p w14:paraId="00100543" w14:textId="00100595">
            <w:pPr>
              <w:pStyle w:val="Normal"/>
              <w:jc w:val="left"/>
            </w:pPr>
            <w:r>
              <w:t xml:space="preserve">2028</w:t>
            </w:r>
          </w:p>
        </w:tc>
        <w:tc>
          <w:tcPr>
            <w:vAlign w:val="center"/>
            <w:tcBorders>
              <w:top w:val="single" w:sz="4" w:space="0" w:color="auto"/>
              <w:left w:val="single" w:sz="4" w:space="0" w:color="auto"/>
              <w:bottom w:val="single" w:sz="4" w:space="0" w:color="auto"/>
              <w:right w:val="single" w:sz="4" w:space="0" w:color="auto"/>
            </w:tcBorders>
          </w:tcPr>
          <w:p w14:paraId="00100545" w14:textId="00100596">
            <w:pPr>
              <w:pStyle w:val="Normal"/>
              <w:jc w:val="left"/>
            </w:pPr>
            <w:r>
              <w:t xml:space="preserve">Fixed and swapped variable mix</w:t>
            </w:r>
          </w:p>
        </w:tc>
        <w:tc>
          <w:tcPr>
            <w:vAlign w:val="center"/>
            <w:tcBorders>
              <w:top w:val="single" w:sz="4" w:space="0" w:color="auto"/>
              <w:left w:val="single" w:sz="4" w:space="0" w:color="auto"/>
              <w:bottom w:val="single" w:sz="4" w:space="0" w:color="auto"/>
              <w:right w:val="single" w:sz="4" w:space="0" w:color="auto"/>
            </w:tcBorders>
          </w:tcPr>
          <w:p w14:paraId="00100547" w14:textId="00100597">
            <w:pPr>
              <w:pStyle w:val="Normal"/>
              <w:jc w:val="left"/>
            </w:pPr>
            <w:r>
              <w:t xml:space="preserve">Unsecured; pari passu with senior debt</w:t>
            </w:r>
          </w:p>
        </w:tc>
        <w:tc>
          <w:tcPr>
            <w:vAlign w:val="center"/>
            <w:tcBorders>
              <w:top w:val="single" w:sz="4" w:space="0" w:color="auto"/>
              <w:left w:val="single" w:sz="4" w:space="0" w:color="auto"/>
              <w:bottom w:val="single" w:sz="4" w:space="0" w:color="auto"/>
              <w:right w:val="single" w:sz="4" w:space="0" w:color="auto"/>
            </w:tcBorders>
          </w:tcPr>
          <w:p w14:paraId="00100549" w14:textId="00100598">
            <w:pPr>
              <w:pStyle w:val="Normal"/>
              <w:jc w:val="left"/>
            </w:pPr>
            <w:r>
              <w:t xml:space="preserve">N/A</w:t>
            </w:r>
          </w:p>
        </w:tc>
      </w:tr>
      <w:tr>
        <w:tc>
          <w:tcPr>
            <w:vAlign w:val="top"/>
            <w:tcBorders>
              <w:top w:val="single" w:sz="4" w:space="0" w:color="auto"/>
              <w:left w:val="single" w:sz="4" w:space="0" w:color="auto"/>
              <w:bottom w:val="single" w:sz="4" w:space="0" w:color="auto"/>
              <w:right w:val="single" w:sz="4" w:space="0" w:color="auto"/>
            </w:tcBorders>
          </w:tcPr>
          <w:p w14:paraId="0010054B" w14:textId="00100599">
            <w:pPr>
              <w:pStyle w:val="Normal"/>
              <w:jc w:val="left"/>
            </w:pPr>
            <w:r>
              <w:t xml:space="preserve">Senior notes</w:t>
            </w:r>
          </w:p>
        </w:tc>
        <w:tc>
          <w:tcPr>
            <w:vAlign w:val="center"/>
            <w:tcBorders>
              <w:top w:val="single" w:sz="4" w:space="0" w:color="auto"/>
              <w:left w:val="single" w:sz="4" w:space="0" w:color="auto"/>
              <w:bottom w:val="single" w:sz="4" w:space="0" w:color="auto"/>
              <w:right w:val="single" w:sz="4" w:space="0" w:color="auto"/>
            </w:tcBorders>
          </w:tcPr>
          <w:p w14:paraId="0010054D" w14:textId="0010059A">
            <w:pPr>
              <w:pStyle w:val="Normal"/>
              <w:jc w:val="left"/>
            </w:pPr>
            <w:r>
              <w:t xml:space="preserve">600</w:t>
            </w:r>
          </w:p>
        </w:tc>
        <w:tc>
          <w:tcPr>
            <w:vAlign w:val="center"/>
            <w:tcBorders>
              <w:top w:val="single" w:sz="4" w:space="0" w:color="auto"/>
              <w:left w:val="single" w:sz="4" w:space="0" w:color="auto"/>
              <w:bottom w:val="single" w:sz="4" w:space="0" w:color="auto"/>
              <w:right w:val="single" w:sz="4" w:space="0" w:color="auto"/>
            </w:tcBorders>
          </w:tcPr>
          <w:p w14:paraId="0010054F" w14:textId="0010059B">
            <w:pPr>
              <w:pStyle w:val="Normal"/>
              <w:jc w:val="left"/>
            </w:pPr>
            <w:r>
              <w:t xml:space="preserve">2029</w:t>
            </w:r>
          </w:p>
        </w:tc>
        <w:tc>
          <w:tcPr>
            <w:vAlign w:val="center"/>
            <w:tcBorders>
              <w:top w:val="single" w:sz="4" w:space="0" w:color="auto"/>
              <w:left w:val="single" w:sz="4" w:space="0" w:color="auto"/>
              <w:bottom w:val="single" w:sz="4" w:space="0" w:color="auto"/>
              <w:right w:val="single" w:sz="4" w:space="0" w:color="auto"/>
            </w:tcBorders>
          </w:tcPr>
          <w:p w14:paraId="00100551" w14:textId="0010059C">
            <w:pPr>
              <w:pStyle w:val="Normal"/>
              <w:jc w:val="left"/>
            </w:pPr>
            <w:r>
              <w:t xml:space="preserve">4.85% fixed</w:t>
            </w:r>
          </w:p>
        </w:tc>
        <w:tc>
          <w:tcPr>
            <w:vAlign w:val="center"/>
            <w:tcBorders>
              <w:top w:val="single" w:sz="4" w:space="0" w:color="auto"/>
              <w:left w:val="single" w:sz="4" w:space="0" w:color="auto"/>
              <w:bottom w:val="single" w:sz="4" w:space="0" w:color="auto"/>
              <w:right w:val="single" w:sz="4" w:space="0" w:color="auto"/>
            </w:tcBorders>
          </w:tcPr>
          <w:p w14:paraId="00100553" w14:textId="0010059D">
            <w:pPr>
              <w:pStyle w:val="Normal"/>
              <w:jc w:val="left"/>
            </w:pPr>
            <w:r>
              <w:t xml:space="preserve">Negative pledge; change-of-control provision</w:t>
            </w:r>
          </w:p>
        </w:tc>
        <w:tc>
          <w:tcPr>
            <w:vAlign w:val="center"/>
            <w:tcBorders>
              <w:top w:val="single" w:sz="4" w:space="0" w:color="auto"/>
              <w:left w:val="single" w:sz="4" w:space="0" w:color="auto"/>
              <w:bottom w:val="single" w:sz="4" w:space="0" w:color="auto"/>
              <w:right w:val="single" w:sz="4" w:space="0" w:color="auto"/>
            </w:tcBorders>
          </w:tcPr>
          <w:p w14:paraId="00100555" w14:textId="0010059E">
            <w:pPr>
              <w:pStyle w:val="Normal"/>
              <w:jc w:val="left"/>
            </w:pPr>
            <w:r>
              <w:t xml:space="preserve">N/A</w:t>
            </w:r>
          </w:p>
        </w:tc>
      </w:tr>
      <w:tr>
        <w:tc>
          <w:tcPr>
            <w:vAlign w:val="top"/>
            <w:tcBorders>
              <w:top w:val="single" w:sz="4" w:space="0" w:color="auto"/>
              <w:left w:val="single" w:sz="4" w:space="0" w:color="auto"/>
              <w:bottom w:val="single" w:sz="4" w:space="0" w:color="auto"/>
              <w:right w:val="single" w:sz="4" w:space="0" w:color="auto"/>
            </w:tcBorders>
          </w:tcPr>
          <w:p w14:paraId="00100557" w14:textId="0010059F">
            <w:pPr>
              <w:pStyle w:val="Normal"/>
              <w:jc w:val="left"/>
            </w:pPr>
            <w:r>
              <w:t xml:space="preserve">Private placement notes</w:t>
            </w:r>
          </w:p>
        </w:tc>
        <w:tc>
          <w:tcPr>
            <w:vAlign w:val="center"/>
            <w:tcBorders>
              <w:top w:val="single" w:sz="4" w:space="0" w:color="auto"/>
              <w:left w:val="single" w:sz="4" w:space="0" w:color="auto"/>
              <w:bottom w:val="single" w:sz="4" w:space="0" w:color="auto"/>
              <w:right w:val="single" w:sz="4" w:space="0" w:color="auto"/>
            </w:tcBorders>
          </w:tcPr>
          <w:p w14:paraId="00100559" w14:textId="001005A0">
            <w:pPr>
              <w:pStyle w:val="Normal"/>
              <w:jc w:val="left"/>
            </w:pPr>
            <w:r>
              <w:t xml:space="preserve">210</w:t>
            </w:r>
          </w:p>
        </w:tc>
        <w:tc>
          <w:tcPr>
            <w:vAlign w:val="center"/>
            <w:tcBorders>
              <w:top w:val="single" w:sz="4" w:space="0" w:color="auto"/>
              <w:left w:val="single" w:sz="4" w:space="0" w:color="auto"/>
              <w:bottom w:val="single" w:sz="4" w:space="0" w:color="auto"/>
              <w:right w:val="single" w:sz="4" w:space="0" w:color="auto"/>
            </w:tcBorders>
          </w:tcPr>
          <w:p w14:paraId="0010055B" w14:textId="001005A1">
            <w:pPr>
              <w:pStyle w:val="Normal"/>
              <w:jc w:val="left"/>
            </w:pPr>
            <w:r>
              <w:t xml:space="preserve">2031</w:t>
            </w:r>
          </w:p>
        </w:tc>
        <w:tc>
          <w:tcPr>
            <w:vAlign w:val="center"/>
            <w:tcBorders>
              <w:top w:val="single" w:sz="4" w:space="0" w:color="auto"/>
              <w:left w:val="single" w:sz="4" w:space="0" w:color="auto"/>
              <w:bottom w:val="single" w:sz="4" w:space="0" w:color="auto"/>
              <w:right w:val="single" w:sz="4" w:space="0" w:color="auto"/>
            </w:tcBorders>
          </w:tcPr>
          <w:p w14:paraId="0010055D" w14:textId="001005A2">
            <w:pPr>
              <w:pStyle w:val="Normal"/>
              <w:jc w:val="left"/>
            </w:pPr>
            <w:r>
              <w:t xml:space="preserve">5.20% fixed</w:t>
            </w:r>
          </w:p>
        </w:tc>
        <w:tc>
          <w:tcPr>
            <w:vAlign w:val="center"/>
            <w:tcBorders>
              <w:top w:val="single" w:sz="4" w:space="0" w:color="auto"/>
              <w:left w:val="single" w:sz="4" w:space="0" w:color="auto"/>
              <w:bottom w:val="single" w:sz="4" w:space="0" w:color="auto"/>
              <w:right w:val="single" w:sz="4" w:space="0" w:color="auto"/>
            </w:tcBorders>
          </w:tcPr>
          <w:p w14:paraId="0010055F" w14:textId="001005A3">
            <w:pPr>
              <w:pStyle w:val="Normal"/>
              <w:jc w:val="left"/>
            </w:pPr>
            <w:r>
              <w:t xml:space="preserve">Unsecured; quarterly leverage reporting</w:t>
            </w:r>
          </w:p>
        </w:tc>
        <w:tc>
          <w:tcPr>
            <w:vAlign w:val="center"/>
            <w:tcBorders>
              <w:top w:val="single" w:sz="4" w:space="0" w:color="auto"/>
              <w:left w:val="single" w:sz="4" w:space="0" w:color="auto"/>
              <w:bottom w:val="single" w:sz="4" w:space="0" w:color="auto"/>
              <w:right w:val="single" w:sz="4" w:space="0" w:color="auto"/>
            </w:tcBorders>
          </w:tcPr>
          <w:p w14:paraId="00100561" w14:textId="001005A4">
            <w:pPr>
              <w:pStyle w:val="Normal"/>
              <w:jc w:val="left"/>
            </w:pPr>
            <w:r>
              <w:t xml:space="preserve">N/A</w:t>
            </w:r>
          </w:p>
        </w:tc>
      </w:tr>
      <w:tr>
        <w:tc>
          <w:tcPr>
            <w:vAlign w:val="top"/>
            <w:tcBorders>
              <w:top w:val="single" w:sz="4" w:space="0" w:color="auto"/>
              <w:left w:val="single" w:sz="4" w:space="0" w:color="auto"/>
              <w:bottom w:val="single" w:sz="4" w:space="0" w:color="auto"/>
              <w:right w:val="single" w:sz="4" w:space="0" w:color="auto"/>
            </w:tcBorders>
          </w:tcPr>
          <w:p w14:paraId="00100563" w14:textId="001005A5">
            <w:pPr>
              <w:pStyle w:val="Normal"/>
              <w:jc w:val="left"/>
            </w:pPr>
            <w:r>
              <w:t xml:space="preserve">Lease liabilities</w:t>
            </w:r>
          </w:p>
        </w:tc>
        <w:tc>
          <w:tcPr>
            <w:vAlign w:val="center"/>
            <w:tcBorders>
              <w:top w:val="single" w:sz="4" w:space="0" w:color="auto"/>
              <w:left w:val="single" w:sz="4" w:space="0" w:color="auto"/>
              <w:bottom w:val="single" w:sz="4" w:space="0" w:color="auto"/>
              <w:right w:val="single" w:sz="4" w:space="0" w:color="auto"/>
            </w:tcBorders>
          </w:tcPr>
          <w:p w14:paraId="00100565" w14:textId="001005A6">
            <w:pPr>
              <w:pStyle w:val="Normal"/>
              <w:jc w:val="left"/>
            </w:pPr>
            <w:r>
              <w:t xml:space="preserve">185</w:t>
            </w:r>
          </w:p>
        </w:tc>
        <w:tc>
          <w:tcPr>
            <w:vAlign w:val="center"/>
            <w:tcBorders>
              <w:top w:val="single" w:sz="4" w:space="0" w:color="auto"/>
              <w:left w:val="single" w:sz="4" w:space="0" w:color="auto"/>
              <w:bottom w:val="single" w:sz="4" w:space="0" w:color="auto"/>
              <w:right w:val="single" w:sz="4" w:space="0" w:color="auto"/>
            </w:tcBorders>
          </w:tcPr>
          <w:p w14:paraId="00100567" w14:textId="001005A7">
            <w:pPr>
              <w:pStyle w:val="Normal"/>
              <w:jc w:val="left"/>
            </w:pPr>
            <w:r>
              <w:t xml:space="preserve">2025–2034</w:t>
            </w:r>
          </w:p>
        </w:tc>
        <w:tc>
          <w:tcPr>
            <w:vAlign w:val="center"/>
            <w:tcBorders>
              <w:top w:val="single" w:sz="4" w:space="0" w:color="auto"/>
              <w:left w:val="single" w:sz="4" w:space="0" w:color="auto"/>
              <w:bottom w:val="single" w:sz="4" w:space="0" w:color="auto"/>
              <w:right w:val="single" w:sz="4" w:space="0" w:color="auto"/>
            </w:tcBorders>
          </w:tcPr>
          <w:p w14:paraId="00100569" w14:textId="001005A8">
            <w:pPr>
              <w:pStyle w:val="Normal"/>
              <w:jc w:val="left"/>
            </w:pPr>
            <w:r>
              <w:t xml:space="preserve">Incremental borrowing rate based</w:t>
            </w:r>
          </w:p>
        </w:tc>
        <w:tc>
          <w:tcPr>
            <w:vAlign w:val="center"/>
            <w:tcBorders>
              <w:top w:val="single" w:sz="4" w:space="0" w:color="auto"/>
              <w:left w:val="single" w:sz="4" w:space="0" w:color="auto"/>
              <w:bottom w:val="single" w:sz="4" w:space="0" w:color="auto"/>
              <w:right w:val="single" w:sz="4" w:space="0" w:color="auto"/>
            </w:tcBorders>
          </w:tcPr>
          <w:p w14:paraId="0010056B" w14:textId="001005A9">
            <w:pPr>
              <w:pStyle w:val="Normal"/>
              <w:jc w:val="left"/>
            </w:pPr>
            <w:r>
              <w:t xml:space="preserve">Secured over underlying right-of-use assets</w:t>
            </w:r>
          </w:p>
        </w:tc>
        <w:tc>
          <w:tcPr>
            <w:vAlign w:val="center"/>
            <w:tcBorders>
              <w:top w:val="single" w:sz="4" w:space="0" w:color="auto"/>
              <w:left w:val="single" w:sz="4" w:space="0" w:color="auto"/>
              <w:bottom w:val="single" w:sz="4" w:space="0" w:color="auto"/>
              <w:right w:val="single" w:sz="4" w:space="0" w:color="auto"/>
            </w:tcBorders>
          </w:tcPr>
          <w:p w14:paraId="0010056D" w14:textId="001005AA">
            <w:pPr>
              <w:pStyle w:val="Normal"/>
              <w:jc w:val="left"/>
            </w:pPr>
            <w:r>
              <w:t xml:space="preserve">N/A</w:t>
            </w:r>
          </w:p>
        </w:tc>
      </w:tr>
      <w:tr>
        <w:tc>
          <w:tcPr>
            <w:vAlign w:val="top"/>
            <w:tcBorders>
              <w:top w:val="single" w:sz="4" w:space="0" w:color="auto"/>
              <w:left w:val="single" w:sz="4" w:space="0" w:color="auto"/>
              <w:bottom w:val="single" w:sz="4" w:space="0" w:color="auto"/>
              <w:right w:val="single" w:sz="4" w:space="0" w:color="auto"/>
            </w:tcBorders>
          </w:tcPr>
          <w:p w14:paraId="0010056F" w14:textId="001005AB">
            <w:pPr>
              <w:pStyle w:val="Normal"/>
              <w:jc w:val="left"/>
            </w:pPr>
            <w:r>
              <w:t xml:space="preserve">Local working capital lines</w:t>
            </w:r>
          </w:p>
        </w:tc>
        <w:tc>
          <w:tcPr>
            <w:vAlign w:val="center"/>
            <w:tcBorders>
              <w:top w:val="single" w:sz="4" w:space="0" w:color="auto"/>
              <w:left w:val="single" w:sz="4" w:space="0" w:color="auto"/>
              <w:bottom w:val="single" w:sz="4" w:space="0" w:color="auto"/>
              <w:right w:val="single" w:sz="4" w:space="0" w:color="auto"/>
            </w:tcBorders>
          </w:tcPr>
          <w:p w14:paraId="00100571" w14:textId="001005AC">
            <w:pPr>
              <w:pStyle w:val="Normal"/>
              <w:jc w:val="left"/>
            </w:pPr>
            <w:r>
              <w:t xml:space="preserve">95</w:t>
            </w:r>
          </w:p>
        </w:tc>
        <w:tc>
          <w:tcPr>
            <w:vAlign w:val="center"/>
            <w:tcBorders>
              <w:top w:val="single" w:sz="4" w:space="0" w:color="auto"/>
              <w:left w:val="single" w:sz="4" w:space="0" w:color="auto"/>
              <w:bottom w:val="single" w:sz="4" w:space="0" w:color="auto"/>
              <w:right w:val="single" w:sz="4" w:space="0" w:color="auto"/>
            </w:tcBorders>
          </w:tcPr>
          <w:p w14:paraId="00100573" w14:textId="001005AD">
            <w:pPr>
              <w:pStyle w:val="Normal"/>
              <w:jc w:val="left"/>
            </w:pPr>
            <w:r>
              <w:t xml:space="preserve">2025–2026</w:t>
            </w:r>
          </w:p>
        </w:tc>
        <w:tc>
          <w:tcPr>
            <w:vAlign w:val="center"/>
            <w:tcBorders>
              <w:top w:val="single" w:sz="4" w:space="0" w:color="auto"/>
              <w:left w:val="single" w:sz="4" w:space="0" w:color="auto"/>
              <w:bottom w:val="single" w:sz="4" w:space="0" w:color="auto"/>
              <w:right w:val="single" w:sz="4" w:space="0" w:color="auto"/>
            </w:tcBorders>
          </w:tcPr>
          <w:p w14:paraId="00100575" w14:textId="001005AE">
            <w:pPr>
              <w:pStyle w:val="Normal"/>
              <w:jc w:val="left"/>
            </w:pPr>
            <w:r>
              <w:t xml:space="preserve">Floating local reference rates</w:t>
            </w:r>
          </w:p>
        </w:tc>
        <w:tc>
          <w:tcPr>
            <w:vAlign w:val="center"/>
            <w:tcBorders>
              <w:top w:val="single" w:sz="4" w:space="0" w:color="auto"/>
              <w:left w:val="single" w:sz="4" w:space="0" w:color="auto"/>
              <w:bottom w:val="single" w:sz="4" w:space="0" w:color="auto"/>
              <w:right w:val="single" w:sz="4" w:space="0" w:color="auto"/>
            </w:tcBorders>
          </w:tcPr>
          <w:p w14:paraId="00100577" w14:textId="001005AF">
            <w:pPr>
              <w:pStyle w:val="Normal"/>
              <w:jc w:val="left"/>
            </w:pPr>
            <w:r>
              <w:t xml:space="preserve">Mainly secured on receivables and inventory in certain jurisdictions</w:t>
            </w:r>
          </w:p>
        </w:tc>
        <w:tc>
          <w:tcPr>
            <w:vAlign w:val="center"/>
            <w:tcBorders>
              <w:top w:val="single" w:sz="4" w:space="0" w:color="auto"/>
              <w:left w:val="single" w:sz="4" w:space="0" w:color="auto"/>
              <w:bottom w:val="single" w:sz="4" w:space="0" w:color="auto"/>
              <w:right w:val="single" w:sz="4" w:space="0" w:color="auto"/>
            </w:tcBorders>
          </w:tcPr>
          <w:p w14:paraId="00100579" w14:textId="001005B0">
            <w:pPr>
              <w:pStyle w:val="Normal"/>
              <w:jc w:val="left"/>
            </w:pPr>
            <w:r>
              <w:t xml:space="preserve">145 undrawn</w:t>
            </w:r>
          </w:p>
        </w:tc>
      </w:tr>
      <w:tr>
        <w:tc>
          <w:tcPr>
            <w:vAlign w:val="top"/>
            <w:tcBorders>
              <w:top w:val="single" w:sz="4" w:space="0" w:color="auto"/>
              <w:left w:val="single" w:sz="4" w:space="0" w:color="auto"/>
              <w:bottom w:val="single" w:sz="4" w:space="0" w:color="auto"/>
              <w:right w:val="single" w:sz="4" w:space="0" w:color="auto"/>
            </w:tcBorders>
          </w:tcPr>
          <w:p w14:paraId="0010057B" w14:textId="001005B1">
            <w:pPr>
              <w:pStyle w:val="Normal"/>
              <w:jc w:val="left"/>
            </w:pPr>
            <w:r>
              <w:t xml:space="preserve">Total borrowings and lease liabilities</w:t>
            </w:r>
          </w:p>
        </w:tc>
        <w:tc>
          <w:tcPr>
            <w:vAlign w:val="center"/>
            <w:tcBorders>
              <w:top w:val="single" w:sz="4" w:space="0" w:color="auto"/>
              <w:left w:val="single" w:sz="4" w:space="0" w:color="auto"/>
              <w:bottom w:val="single" w:sz="4" w:space="0" w:color="auto"/>
              <w:right w:val="single" w:sz="4" w:space="0" w:color="auto"/>
            </w:tcBorders>
          </w:tcPr>
          <w:p w14:paraId="0010057D" w14:textId="001005B2">
            <w:pPr>
              <w:pStyle w:val="Normal"/>
              <w:jc w:val="left"/>
            </w:pPr>
            <w:r>
              <w:t xml:space="preserve">1,860</w:t>
            </w:r>
          </w:p>
        </w:tc>
        <w:tc>
          <w:tcPr>
            <w:vAlign w:val="center"/>
            <w:tcBorders>
              <w:top w:val="single" w:sz="4" w:space="0" w:color="auto"/>
              <w:left w:val="single" w:sz="4" w:space="0" w:color="auto"/>
              <w:bottom w:val="single" w:sz="4" w:space="0" w:color="auto"/>
              <w:right w:val="single" w:sz="4" w:space="0" w:color="auto"/>
            </w:tcBorders>
          </w:tcPr>
          <w:p w14:paraId="0010057F" w14:textId="001005B3">
            <w:pPr>
              <w:pStyle w:val="Normal"/>
              <w:jc w:val="left"/>
            </w:pPr>
            <w:r>
              <w:t xml:space="preserve">Blended profile</w:t>
            </w:r>
          </w:p>
        </w:tc>
        <w:tc>
          <w:tcPr>
            <w:vAlign w:val="center"/>
            <w:tcBorders>
              <w:top w:val="single" w:sz="4" w:space="0" w:color="auto"/>
              <w:left w:val="single" w:sz="4" w:space="0" w:color="auto"/>
              <w:bottom w:val="single" w:sz="4" w:space="0" w:color="auto"/>
              <w:right w:val="single" w:sz="4" w:space="0" w:color="auto"/>
            </w:tcBorders>
          </w:tcPr>
          <w:p w14:paraId="00100581" w14:textId="001005B4">
            <w:pPr>
              <w:pStyle w:val="Normal"/>
              <w:jc w:val="left"/>
            </w:pPr>
            <w:r>
              <w:t xml:space="preserve">Mixed fixed and floating</w:t>
            </w:r>
          </w:p>
        </w:tc>
        <w:tc>
          <w:tcPr>
            <w:vAlign w:val="center"/>
            <w:tcBorders>
              <w:top w:val="single" w:sz="4" w:space="0" w:color="auto"/>
              <w:left w:val="single" w:sz="4" w:space="0" w:color="auto"/>
              <w:bottom w:val="single" w:sz="4" w:space="0" w:color="auto"/>
              <w:right w:val="single" w:sz="4" w:space="0" w:color="auto"/>
            </w:tcBorders>
          </w:tcPr>
          <w:p w14:paraId="00100583" w14:textId="001005B5">
            <w:pPr>
              <w:pStyle w:val="Normal"/>
              <w:jc w:val="left"/>
            </w:pPr>
            <w:r>
              <w:t xml:space="preserve">Group treasury monitors compliance monthly</w:t>
            </w:r>
          </w:p>
        </w:tc>
        <w:tc>
          <w:tcPr>
            <w:vAlign w:val="center"/>
            <w:tcBorders>
              <w:top w:val="single" w:sz="4" w:space="0" w:color="auto"/>
              <w:left w:val="single" w:sz="4" w:space="0" w:color="auto"/>
              <w:bottom w:val="single" w:sz="4" w:space="0" w:color="auto"/>
              <w:right w:val="single" w:sz="4" w:space="0" w:color="auto"/>
            </w:tcBorders>
          </w:tcPr>
          <w:p w14:paraId="00100585" w14:textId="001005B6">
            <w:pPr>
              <w:pStyle w:val="Normal"/>
              <w:jc w:val="left"/>
            </w:pPr>
            <w:r>
              <w:t xml:space="preserve">1,025 committed liquidity</w:t>
            </w:r>
          </w:p>
        </w:tc>
      </w:tr>
    </w:tbl>
    <w:p w14:paraId="001005B7" w14:textId="001005B8">
      <w:pPr>
        <w:pStyle w:val="Normal"/>
        <w:jc w:val="left"/>
      </w:pPr>
      <w:r>
        <w:t xml:space="preserve">Table 7 Borrowings, maturities, covenants, and available liquidity facilities</w:t>
      </w:r>
    </w:p>
    <w:p w14:paraId="001005B9" w14:textId="001005BA">
      <w:pPr>
        <w:pStyle w:val="Normal"/>
        <w:jc w:val="left"/>
      </w:pPr>
      <w:r>
        <w:t xml:space="preserve">Debt structure schedule</w:t>
      </w:r>
    </w:p>
    <w:p w14:paraId="001005BB" w14:textId="001005BC">
      <w:pPr>
        <w:pStyle w:val="Normal"/>
        <w:jc w:val="left"/>
      </w:pPr>
      <w:r>
        <w:t xml:space="preserve">3.2.1 Liquidity Resilience</w:t>
      </w:r>
    </w:p>
    <w:p w14:paraId="001005BD" w14:textId="001005BE">
      <w:pPr>
        <w:pStyle w:val="Normal"/>
        <w:jc w:val="left"/>
      </w:pPr>
      <w:r>
        <w:t xml:space="preserve">Rivermark Holdings ended the year with committed liquidity of US$1.35 billion, comprising cash on hand, undrawn revolving facilities, and available bilateral working capital lines. After deducting short-term drawings and seasonal usage, immediate liquidity headroom was US$1.03 billion, which management considers sufficient to cover the next twelve months of expected debt service, committed capital expenditure, lease obligations, and normal working-capital volatility. The maturity profile remains deliberately staggered, with no single refinancing event representing a disproportionate concentration of risk, and fixed-rate instruments continue to anchor the cost of debt against short-term market rate movements.</w:t>
      </w:r>
    </w:p>
    <w:p w14:paraId="001005BF" w14:textId="001005C0">
      <w:pPr>
        <w:pStyle w:val="Normal"/>
        <w:jc w:val="left"/>
      </w:pPr>
      <w:r>
        <w:t xml:space="preserve">Stress testing performed by Group Treasury and reviewed by the Audit and Risk Committee modeled downside scenarios including a 12% decline in segment EBITDA, a 90-day customer collection delay in Infrastructure Services, and a temporary shutdown at two Industrial Solutions facilities. Under those assumptions, Rivermark Holdings remained above covenant thresholds and retained positive liquidity headroom throughout the modeled period. The principal pressure point in the scenario was working-capital absorption rather than interest service. As a result, management continues to prioritize receivables discipline, inventory turns, and discretionary spending controls as the most effective first-line protections for liquidity resilience.</w:t>
      </w:r>
    </w:p>
    <w:p w14:paraId="001005C1" w14:textId="001005C2">
      <w:pPr>
        <w:pStyle w:val="Normal"/>
        <w:jc w:val="left"/>
      </w:pPr>
      <w:r>
        <w:t xml:space="preserve">Funding resilience is supported not only by the amount of available facilities but also by the diversity of funding sources, counterparty spread, and the discipline of centralized treasury management. The group’s core debt portfolio combines syndicated bank funding, term loans, capital-market notes, and lease liabilities across different maturities, reducing dependence on any single lender group or issuance window. Counterparty exposure limits are applied to deposits, hedging instruments, and committed facilities, and no funding provider represented a level of concentration that management judged excessive at year end.</w:t>
      </w:r>
    </w:p>
    <w:p w14:paraId="001005C3" w14:textId="001005C4">
      <w:pPr>
        <w:pStyle w:val="Normal"/>
        <w:jc w:val="left"/>
      </w:pPr>
      <w:r>
        <w:t xml:space="preserve">The assessment also considered qualitative factors that are not visible in a maturity table alone. Rivermark Holdings maintains covenant forecasting on a rolling 24-month basis, aligns dividend decisions with leverage and investment needs, and preserves flexibility through uncommitted but historically renewable local facilities for short-cycle needs. In addition, treasury policies require that major acquisitions and expansion projects be evaluated against downside funding cases before approval. Taken together, these practices increase the group’s capacity to absorb cyclical volatility, protect strategic investment programs during weaker markets, and refinance from a position of choice rather than urgency. Management therefore concluded that current liquidity resources and funding arrangements are resilient under both base-case planning assumptions and reasonably plausible downside conditions.</w:t>
      </w:r>
    </w:p>
    <w:p w14:paraId="001005C5" w14:textId="001005C6">
      <w:pPr>
        <w:pStyle w:val="Normal"/>
        <w:jc w:val="left"/>
      </w:pPr>
      <w:r>
        <w:t xml:space="preserve">3.2 Investment and Returns</w:t>
      </w:r>
    </w:p>
    <w:p w14:paraId="001005C7" w14:textId="001005C8">
      <w:pPr>
        <w:pStyle w:val="Normal"/>
        <w:jc w:val="left"/>
      </w:pPr>
      <w:r>
        <w:t xml:space="preserve">3.2.2 Capital Expenditure</w:t>
      </w:r>
    </w:p>
    <w:p w14:paraId="001005C9" w14:textId="001005CA">
      <w:pPr>
        <w:pStyle w:val="Normal"/>
        <w:jc w:val="left"/>
      </w:pPr>
      <w:r>
        <w:t xml:space="preserve">Group capital expenditure for the year remained focused on capacity enhancement, digital enablement, maintenance reliability, and regulatory compliance across the portfolio. Industrial Solutions received the largest allocation, reflecting equipment modernization, automation of two production lines, and selective expansion in higher-margin specialty applications. Consumer Platforms directed spending toward fulfillment technology, customer data architecture, and packaging conversion projects designed to improve service consistency and product economics. Infrastructure Services concentrated investment on fleet renewal, field mobility tools, and specialized delivery equipment that supports backlog execution and contract quality.</w:t>
      </w:r>
    </w:p>
    <w:p w14:paraId="001005CB" w14:textId="001005CC">
      <w:pPr>
        <w:pStyle w:val="Normal"/>
        <w:jc w:val="left"/>
      </w:pPr>
      <w:r>
        <w:t xml:space="preserve">By asset class, approximately 41% of capital expenditure was allocated to plant and operating equipment, 24% to technology and digital systems, 21% to facilities and site improvements, and the balance to safety, environmental, and support infrastructure. This mix reflects management’s intent to fund both near-term productivity and longer-horizon competitiveness. Maintenance capital remained disciplined and was sequenced to avoid unnecessary disruption, while expansion capital was subjected to hurdle-rate and payback testing. Across the group, approved projects were reviewed against demand assumptions and expected utilization so that deployment remained aligned with segment strategy rather than headline growth alone.</w:t>
      </w:r>
    </w:p>
    <w:p w14:paraId="001005CD" w14:textId="001005CE">
      <w:pPr>
        <w:pStyle w:val="Normal"/>
        <w:jc w:val="left"/>
      </w:pPr>
      <w:r>
        <w:t xml:space="preserve">Capital allocation priorities are governed by a framework that ranks uses of funds according to strategic fit, risk-adjusted return, resilience impact, and execution readiness. The first call on capital remains safety, regulatory, and asset-integrity expenditure, followed by projects that remove operational bottlenecks, improve cash conversion, or support customer retention. Growth investments are then prioritized where Rivermark Holdings has a clear route to scale, pricing discipline, or differentiated capability. This approach is intended to balance disciplined returns with the need to keep the operating base modern, reliable, and adaptable.</w:t>
      </w:r>
    </w:p>
    <w:p w14:paraId="001005CF" w14:textId="001005D0">
      <w:pPr>
        <w:pStyle w:val="Normal"/>
        <w:jc w:val="left"/>
      </w:pPr>
      <w:r>
        <w:t xml:space="preserve">Management also evaluates capital deployment at portfolio level rather than as isolated project approvals. Segments with stronger structural growth and clearer margin expansion pathways may receive disproportionate funding, while businesses facing softer demand or lower strategic relevance are held to tighter approval thresholds. Post-investment reviews compare actual benefits with original cases, especially for automation, digital, and service-capacity projects, and lessons from those reviews feed into future approval assumptions. During the year, this process resulted in several lower-return discretionary projects being deferred in favor of initiatives with faster cash payback and stronger customer-linked outcomes. The result was a capital program that remained selective, strategically coherent, and consistent with leverage and liquidity objectives.</w:t>
      </w:r>
    </w:p>
    <w:p w14:paraId="001005D1" w14:textId="001005D2">
      <w:pPr>
        <w:pStyle w:val="Normal"/>
        <w:jc w:val="left"/>
      </w:pPr>
      <w:r>
        <w:t xml:space="preserve">3.2.2 Return Measures</w:t>
      </w:r>
    </w:p>
    <w:p w14:paraId="001005D3" w14:textId="001005D4">
      <w:pPr>
        <w:pStyle w:val="Normal"/>
        <w:jc w:val="left"/>
      </w:pPr>
      <w:r>
        <w:drawing>
          <wp:inline distT="0" distB="0" distL="0" distR="0">
            <wp:extent cx="4320000" cy="4320000"/>
            <wp:effectExtent l="0" t="0" r="0" b="0"/>
            <wp:docPr id="12" name="F02.png" descr=""/>
            <wp:cNvGraphicFramePr>
              <a:graphicFrameLocks noChangeAspect="1"/>
            </wp:cNvGraphicFramePr>
            <a:graphic>
              <a:graphicData uri="http://schemas.openxmlformats.org/drawingml/2006/picture">
                <pic:pic>
                  <pic:nvPicPr>
                    <pic:cNvPr id="12" name="F02.png"/>
                    <pic:cNvPicPr/>
                  </pic:nvPicPr>
                  <pic:blipFill>
                    <a:blip r:embed="R6db9b0d6602d4a6a" cstate="print"/>
                    <a:stretch>
                      <a:fillRect/>
                    </a:stretch>
                  </pic:blipFill>
                  <pic:spPr>
                    <a:xfrm>
                      <a:off x="0" y="0"/>
                      <a:ext cx="3960000" cy="3960000"/>
                    </a:xfrm>
                    <a:prstGeom prst="rect">
                      <a:avLst/>
                    </a:prstGeom>
                  </pic:spPr>
                </pic:pic>
              </a:graphicData>
            </a:graphic>
          </wp:inline>
        </w:drawing>
      </w:r>
    </w:p>
    <w:p w14:paraId="001005D5" w14:textId="001005D6">
      <w:pPr>
        <w:pStyle w:val="Normal"/>
        <w:jc w:val="left"/>
      </w:pPr>
      <w:r>
        <w:t xml:space="preserve">Figure 12 Return measures trend: return on invested capital, asset turns, and cash return progression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05D7" w14:textId="0010061F">
            <w:pPr>
              <w:pStyle w:val="Normal"/>
              <w:jc w:val="left"/>
            </w:pPr>
            <w:r>
              <w:t xml:space="preserve">Indicator</w:t>
            </w:r>
          </w:p>
        </w:tc>
        <w:tc>
          <w:tcPr>
            <w:vAlign w:val="center"/>
            <w:tcBorders>
              <w:top w:val="single" w:sz="4" w:space="0" w:color="auto"/>
              <w:left w:val="single" w:sz="4" w:space="0" w:color="auto"/>
              <w:bottom w:val="single" w:sz="4" w:space="0" w:color="auto"/>
              <w:right w:val="single" w:sz="4" w:space="0" w:color="auto"/>
            </w:tcBorders>
          </w:tcPr>
          <w:p w14:paraId="001005D9" w14:textId="00100620">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5DB" w14:textId="00100621">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5DD" w14:textId="00100622">
            <w:pPr>
              <w:pStyle w:val="Normal"/>
              <w:jc w:val="left"/>
            </w:pPr>
            <w:r>
              <w:t xml:space="preserve">Change</w:t>
            </w:r>
          </w:p>
        </w:tc>
      </w:tr>
      <w:tr>
        <w:tc>
          <w:tcPr>
            <w:vAlign w:val="top"/>
            <w:tcBorders>
              <w:top w:val="single" w:sz="4" w:space="0" w:color="auto"/>
              <w:left w:val="single" w:sz="4" w:space="0" w:color="auto"/>
              <w:bottom w:val="single" w:sz="4" w:space="0" w:color="auto"/>
              <w:right w:val="single" w:sz="4" w:space="0" w:color="auto"/>
            </w:tcBorders>
          </w:tcPr>
          <w:p w14:paraId="001005DF" w14:textId="00100623">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5E1" w14:textId="00100624">
            <w:pPr>
              <w:pStyle w:val="Normal"/>
              <w:jc w:val="left"/>
            </w:pPr>
            <w:r>
              <w:t xml:space="preserve">8,460</w:t>
            </w:r>
          </w:p>
        </w:tc>
        <w:tc>
          <w:tcPr>
            <w:vAlign w:val="center"/>
            <w:tcBorders>
              <w:top w:val="single" w:sz="4" w:space="0" w:color="auto"/>
              <w:left w:val="single" w:sz="4" w:space="0" w:color="auto"/>
              <w:bottom w:val="single" w:sz="4" w:space="0" w:color="auto"/>
              <w:right w:val="single" w:sz="4" w:space="0" w:color="auto"/>
            </w:tcBorders>
          </w:tcPr>
          <w:p w14:paraId="001005E3" w14:textId="00100625">
            <w:pPr>
              <w:pStyle w:val="Normal"/>
              <w:jc w:val="left"/>
            </w:pPr>
            <w:r>
              <w:t xml:space="preserve">8,020</w:t>
            </w:r>
          </w:p>
        </w:tc>
        <w:tc>
          <w:tcPr>
            <w:vAlign w:val="center"/>
            <w:tcBorders>
              <w:top w:val="single" w:sz="4" w:space="0" w:color="auto"/>
              <w:left w:val="single" w:sz="4" w:space="0" w:color="auto"/>
              <w:bottom w:val="single" w:sz="4" w:space="0" w:color="auto"/>
              <w:right w:val="single" w:sz="4" w:space="0" w:color="auto"/>
            </w:tcBorders>
          </w:tcPr>
          <w:p w14:paraId="001005E5" w14:textId="00100626">
            <w:pPr>
              <w:pStyle w:val="Normal"/>
              <w:jc w:val="left"/>
            </w:pPr>
            <w:r>
              <w:t xml:space="preserve">+5.5%</w:t>
            </w:r>
          </w:p>
        </w:tc>
      </w:tr>
      <w:tr>
        <w:tc>
          <w:tcPr>
            <w:vAlign w:val="top"/>
            <w:tcBorders>
              <w:top w:val="single" w:sz="4" w:space="0" w:color="auto"/>
              <w:left w:val="single" w:sz="4" w:space="0" w:color="auto"/>
              <w:bottom w:val="single" w:sz="4" w:space="0" w:color="auto"/>
              <w:right w:val="single" w:sz="4" w:space="0" w:color="auto"/>
            </w:tcBorders>
          </w:tcPr>
          <w:p w14:paraId="001005E7" w14:textId="00100627">
            <w:pPr>
              <w:pStyle w:val="Normal"/>
              <w:jc w:val="left"/>
            </w:pPr>
            <w:r>
              <w:t xml:space="preserve">Operating profit</w:t>
            </w:r>
          </w:p>
        </w:tc>
        <w:tc>
          <w:tcPr>
            <w:vAlign w:val="center"/>
            <w:tcBorders>
              <w:top w:val="single" w:sz="4" w:space="0" w:color="auto"/>
              <w:left w:val="single" w:sz="4" w:space="0" w:color="auto"/>
              <w:bottom w:val="single" w:sz="4" w:space="0" w:color="auto"/>
              <w:right w:val="single" w:sz="4" w:space="0" w:color="auto"/>
            </w:tcBorders>
          </w:tcPr>
          <w:p w14:paraId="001005E9" w14:textId="00100628">
            <w:pPr>
              <w:pStyle w:val="Normal"/>
              <w:jc w:val="left"/>
            </w:pPr>
            <w:r>
              <w:t xml:space="preserve">1,020</w:t>
            </w:r>
          </w:p>
        </w:tc>
        <w:tc>
          <w:tcPr>
            <w:vAlign w:val="center"/>
            <w:tcBorders>
              <w:top w:val="single" w:sz="4" w:space="0" w:color="auto"/>
              <w:left w:val="single" w:sz="4" w:space="0" w:color="auto"/>
              <w:bottom w:val="single" w:sz="4" w:space="0" w:color="auto"/>
              <w:right w:val="single" w:sz="4" w:space="0" w:color="auto"/>
            </w:tcBorders>
          </w:tcPr>
          <w:p w14:paraId="001005EB" w14:textId="00100629">
            <w:pPr>
              <w:pStyle w:val="Normal"/>
              <w:jc w:val="left"/>
            </w:pPr>
            <w:r>
              <w:t xml:space="preserve">940</w:t>
            </w:r>
          </w:p>
        </w:tc>
        <w:tc>
          <w:tcPr>
            <w:vAlign w:val="center"/>
            <w:tcBorders>
              <w:top w:val="single" w:sz="4" w:space="0" w:color="auto"/>
              <w:left w:val="single" w:sz="4" w:space="0" w:color="auto"/>
              <w:bottom w:val="single" w:sz="4" w:space="0" w:color="auto"/>
              <w:right w:val="single" w:sz="4" w:space="0" w:color="auto"/>
            </w:tcBorders>
          </w:tcPr>
          <w:p w14:paraId="001005ED" w14:textId="0010062A">
            <w:pPr>
              <w:pStyle w:val="Normal"/>
              <w:jc w:val="left"/>
            </w:pPr>
            <w:r>
              <w:t xml:space="preserve">+8.5%</w:t>
            </w:r>
          </w:p>
        </w:tc>
      </w:tr>
      <w:tr>
        <w:tc>
          <w:tcPr>
            <w:vAlign w:val="top"/>
            <w:tcBorders>
              <w:top w:val="single" w:sz="4" w:space="0" w:color="auto"/>
              <w:left w:val="single" w:sz="4" w:space="0" w:color="auto"/>
              <w:bottom w:val="single" w:sz="4" w:space="0" w:color="auto"/>
              <w:right w:val="single" w:sz="4" w:space="0" w:color="auto"/>
            </w:tcBorders>
          </w:tcPr>
          <w:p w14:paraId="001005EF" w14:textId="0010062B">
            <w:pPr>
              <w:pStyle w:val="Normal"/>
              <w:jc w:val="left"/>
            </w:pPr>
            <w:r>
              <w:t xml:space="preserve">Operating margin</w:t>
            </w:r>
          </w:p>
        </w:tc>
        <w:tc>
          <w:tcPr>
            <w:vAlign w:val="center"/>
            <w:tcBorders>
              <w:top w:val="single" w:sz="4" w:space="0" w:color="auto"/>
              <w:left w:val="single" w:sz="4" w:space="0" w:color="auto"/>
              <w:bottom w:val="single" w:sz="4" w:space="0" w:color="auto"/>
              <w:right w:val="single" w:sz="4" w:space="0" w:color="auto"/>
            </w:tcBorders>
          </w:tcPr>
          <w:p w14:paraId="001005F1" w14:textId="0010062C">
            <w:pPr>
              <w:pStyle w:val="Normal"/>
              <w:jc w:val="left"/>
            </w:pPr>
            <w:r>
              <w:t xml:space="preserve">12.1%</w:t>
            </w:r>
          </w:p>
        </w:tc>
        <w:tc>
          <w:tcPr>
            <w:vAlign w:val="center"/>
            <w:tcBorders>
              <w:top w:val="single" w:sz="4" w:space="0" w:color="auto"/>
              <w:left w:val="single" w:sz="4" w:space="0" w:color="auto"/>
              <w:bottom w:val="single" w:sz="4" w:space="0" w:color="auto"/>
              <w:right w:val="single" w:sz="4" w:space="0" w:color="auto"/>
            </w:tcBorders>
          </w:tcPr>
          <w:p w14:paraId="001005F3" w14:textId="0010062D">
            <w:pPr>
              <w:pStyle w:val="Normal"/>
              <w:jc w:val="left"/>
            </w:pPr>
            <w:r>
              <w:t xml:space="preserve">11.7%</w:t>
            </w:r>
          </w:p>
        </w:tc>
        <w:tc>
          <w:tcPr>
            <w:vAlign w:val="center"/>
            <w:tcBorders>
              <w:top w:val="single" w:sz="4" w:space="0" w:color="auto"/>
              <w:left w:val="single" w:sz="4" w:space="0" w:color="auto"/>
              <w:bottom w:val="single" w:sz="4" w:space="0" w:color="auto"/>
              <w:right w:val="single" w:sz="4" w:space="0" w:color="auto"/>
            </w:tcBorders>
          </w:tcPr>
          <w:p w14:paraId="001005F5" w14:textId="0010062E">
            <w:pPr>
              <w:pStyle w:val="Normal"/>
              <w:jc w:val="left"/>
            </w:pPr>
            <w:r>
              <w:t xml:space="preserve">+0.4 pts</w:t>
            </w:r>
          </w:p>
        </w:tc>
      </w:tr>
      <w:tr>
        <w:tc>
          <w:tcPr>
            <w:vAlign w:val="top"/>
            <w:tcBorders>
              <w:top w:val="single" w:sz="4" w:space="0" w:color="auto"/>
              <w:left w:val="single" w:sz="4" w:space="0" w:color="auto"/>
              <w:bottom w:val="single" w:sz="4" w:space="0" w:color="auto"/>
              <w:right w:val="single" w:sz="4" w:space="0" w:color="auto"/>
            </w:tcBorders>
          </w:tcPr>
          <w:p w14:paraId="001005F7" w14:textId="0010062F">
            <w:pPr>
              <w:pStyle w:val="Normal"/>
              <w:jc w:val="left"/>
            </w:pPr>
            <w:r>
              <w:t xml:space="preserve">Operating cash flow</w:t>
            </w:r>
          </w:p>
        </w:tc>
        <w:tc>
          <w:tcPr>
            <w:vAlign w:val="center"/>
            <w:tcBorders>
              <w:top w:val="single" w:sz="4" w:space="0" w:color="auto"/>
              <w:left w:val="single" w:sz="4" w:space="0" w:color="auto"/>
              <w:bottom w:val="single" w:sz="4" w:space="0" w:color="auto"/>
              <w:right w:val="single" w:sz="4" w:space="0" w:color="auto"/>
            </w:tcBorders>
          </w:tcPr>
          <w:p w14:paraId="001005F9" w14:textId="00100630">
            <w:pPr>
              <w:pStyle w:val="Normal"/>
              <w:jc w:val="left"/>
            </w:pPr>
            <w:r>
              <w:t xml:space="preserve">1,180</w:t>
            </w:r>
          </w:p>
        </w:tc>
        <w:tc>
          <w:tcPr>
            <w:vAlign w:val="center"/>
            <w:tcBorders>
              <w:top w:val="single" w:sz="4" w:space="0" w:color="auto"/>
              <w:left w:val="single" w:sz="4" w:space="0" w:color="auto"/>
              <w:bottom w:val="single" w:sz="4" w:space="0" w:color="auto"/>
              <w:right w:val="single" w:sz="4" w:space="0" w:color="auto"/>
            </w:tcBorders>
          </w:tcPr>
          <w:p w14:paraId="001005FB" w14:textId="00100631">
            <w:pPr>
              <w:pStyle w:val="Normal"/>
              <w:jc w:val="left"/>
            </w:pPr>
            <w:r>
              <w:t xml:space="preserve">1,050</w:t>
            </w:r>
          </w:p>
        </w:tc>
        <w:tc>
          <w:tcPr>
            <w:vAlign w:val="center"/>
            <w:tcBorders>
              <w:top w:val="single" w:sz="4" w:space="0" w:color="auto"/>
              <w:left w:val="single" w:sz="4" w:space="0" w:color="auto"/>
              <w:bottom w:val="single" w:sz="4" w:space="0" w:color="auto"/>
              <w:right w:val="single" w:sz="4" w:space="0" w:color="auto"/>
            </w:tcBorders>
          </w:tcPr>
          <w:p w14:paraId="001005FD" w14:textId="00100632">
            <w:pPr>
              <w:pStyle w:val="Normal"/>
              <w:jc w:val="left"/>
            </w:pPr>
            <w:r>
              <w:t xml:space="preserve">+12.4%</w:t>
            </w:r>
          </w:p>
        </w:tc>
      </w:tr>
      <w:tr>
        <w:tc>
          <w:tcPr>
            <w:vAlign w:val="top"/>
            <w:tcBorders>
              <w:top w:val="single" w:sz="4" w:space="0" w:color="auto"/>
              <w:left w:val="single" w:sz="4" w:space="0" w:color="auto"/>
              <w:bottom w:val="single" w:sz="4" w:space="0" w:color="auto"/>
              <w:right w:val="single" w:sz="4" w:space="0" w:color="auto"/>
            </w:tcBorders>
          </w:tcPr>
          <w:p w14:paraId="001005FF" w14:textId="00100633">
            <w:pPr>
              <w:pStyle w:val="Normal"/>
              <w:jc w:val="left"/>
            </w:pPr>
            <w:r>
              <w:t xml:space="preserve">Free cash flow</w:t>
            </w:r>
          </w:p>
        </w:tc>
        <w:tc>
          <w:tcPr>
            <w:vAlign w:val="center"/>
            <w:tcBorders>
              <w:top w:val="single" w:sz="4" w:space="0" w:color="auto"/>
              <w:left w:val="single" w:sz="4" w:space="0" w:color="auto"/>
              <w:bottom w:val="single" w:sz="4" w:space="0" w:color="auto"/>
              <w:right w:val="single" w:sz="4" w:space="0" w:color="auto"/>
            </w:tcBorders>
          </w:tcPr>
          <w:p w14:paraId="00100601" w14:textId="00100634">
            <w:pPr>
              <w:pStyle w:val="Normal"/>
              <w:jc w:val="left"/>
            </w:pPr>
            <w:r>
              <w:t xml:space="preserve">760</w:t>
            </w:r>
          </w:p>
        </w:tc>
        <w:tc>
          <w:tcPr>
            <w:vAlign w:val="center"/>
            <w:tcBorders>
              <w:top w:val="single" w:sz="4" w:space="0" w:color="auto"/>
              <w:left w:val="single" w:sz="4" w:space="0" w:color="auto"/>
              <w:bottom w:val="single" w:sz="4" w:space="0" w:color="auto"/>
              <w:right w:val="single" w:sz="4" w:space="0" w:color="auto"/>
            </w:tcBorders>
          </w:tcPr>
          <w:p w14:paraId="00100603" w14:textId="00100635">
            <w:pPr>
              <w:pStyle w:val="Normal"/>
              <w:jc w:val="left"/>
            </w:pPr>
            <w:r>
              <w:t xml:space="preserve">690</w:t>
            </w:r>
          </w:p>
        </w:tc>
        <w:tc>
          <w:tcPr>
            <w:vAlign w:val="center"/>
            <w:tcBorders>
              <w:top w:val="single" w:sz="4" w:space="0" w:color="auto"/>
              <w:left w:val="single" w:sz="4" w:space="0" w:color="auto"/>
              <w:bottom w:val="single" w:sz="4" w:space="0" w:color="auto"/>
              <w:right w:val="single" w:sz="4" w:space="0" w:color="auto"/>
            </w:tcBorders>
          </w:tcPr>
          <w:p w14:paraId="00100605" w14:textId="00100636">
            <w:pPr>
              <w:pStyle w:val="Normal"/>
              <w:jc w:val="left"/>
            </w:pPr>
            <w:r>
              <w:t xml:space="preserve">+10.1%</w:t>
            </w:r>
          </w:p>
        </w:tc>
      </w:tr>
      <w:tr>
        <w:tc>
          <w:tcPr>
            <w:vAlign w:val="top"/>
            <w:tcBorders>
              <w:top w:val="single" w:sz="4" w:space="0" w:color="auto"/>
              <w:left w:val="single" w:sz="4" w:space="0" w:color="auto"/>
              <w:bottom w:val="single" w:sz="4" w:space="0" w:color="auto"/>
              <w:right w:val="single" w:sz="4" w:space="0" w:color="auto"/>
            </w:tcBorders>
          </w:tcPr>
          <w:p w14:paraId="00100607" w14:textId="00100637">
            <w:pPr>
              <w:pStyle w:val="Normal"/>
              <w:jc w:val="left"/>
            </w:pPr>
            <w:r>
              <w:t xml:space="preserve">Return on invested capital</w:t>
            </w:r>
          </w:p>
        </w:tc>
        <w:tc>
          <w:tcPr>
            <w:vAlign w:val="center"/>
            <w:tcBorders>
              <w:top w:val="single" w:sz="4" w:space="0" w:color="auto"/>
              <w:left w:val="single" w:sz="4" w:space="0" w:color="auto"/>
              <w:bottom w:val="single" w:sz="4" w:space="0" w:color="auto"/>
              <w:right w:val="single" w:sz="4" w:space="0" w:color="auto"/>
            </w:tcBorders>
          </w:tcPr>
          <w:p w14:paraId="00100609" w14:textId="00100638">
            <w:pPr>
              <w:pStyle w:val="Normal"/>
              <w:jc w:val="left"/>
            </w:pPr>
            <w:r>
              <w:t xml:space="preserve">13.8%</w:t>
            </w:r>
          </w:p>
        </w:tc>
        <w:tc>
          <w:tcPr>
            <w:vAlign w:val="center"/>
            <w:tcBorders>
              <w:top w:val="single" w:sz="4" w:space="0" w:color="auto"/>
              <w:left w:val="single" w:sz="4" w:space="0" w:color="auto"/>
              <w:bottom w:val="single" w:sz="4" w:space="0" w:color="auto"/>
              <w:right w:val="single" w:sz="4" w:space="0" w:color="auto"/>
            </w:tcBorders>
          </w:tcPr>
          <w:p w14:paraId="0010060B" w14:textId="00100639">
            <w:pPr>
              <w:pStyle w:val="Normal"/>
              <w:jc w:val="left"/>
            </w:pPr>
            <w:r>
              <w:t xml:space="preserve">12.9%</w:t>
            </w:r>
          </w:p>
        </w:tc>
        <w:tc>
          <w:tcPr>
            <w:vAlign w:val="center"/>
            <w:tcBorders>
              <w:top w:val="single" w:sz="4" w:space="0" w:color="auto"/>
              <w:left w:val="single" w:sz="4" w:space="0" w:color="auto"/>
              <w:bottom w:val="single" w:sz="4" w:space="0" w:color="auto"/>
              <w:right w:val="single" w:sz="4" w:space="0" w:color="auto"/>
            </w:tcBorders>
          </w:tcPr>
          <w:p w14:paraId="0010060D" w14:textId="0010063A">
            <w:pPr>
              <w:pStyle w:val="Normal"/>
              <w:jc w:val="left"/>
            </w:pPr>
            <w:r>
              <w:t xml:space="preserve">+0.9 pts</w:t>
            </w:r>
          </w:p>
        </w:tc>
      </w:tr>
      <w:tr>
        <w:tc>
          <w:tcPr>
            <w:vAlign w:val="top"/>
            <w:tcBorders>
              <w:top w:val="single" w:sz="4" w:space="0" w:color="auto"/>
              <w:left w:val="single" w:sz="4" w:space="0" w:color="auto"/>
              <w:bottom w:val="single" w:sz="4" w:space="0" w:color="auto"/>
              <w:right w:val="single" w:sz="4" w:space="0" w:color="auto"/>
            </w:tcBorders>
          </w:tcPr>
          <w:p w14:paraId="0010060F" w14:textId="0010063B">
            <w:pPr>
              <w:pStyle w:val="Normal"/>
              <w:jc w:val="left"/>
            </w:pPr>
            <w:r>
              <w:t xml:space="preserve">Net debt / EBITDA</w:t>
            </w:r>
          </w:p>
        </w:tc>
        <w:tc>
          <w:tcPr>
            <w:vAlign w:val="center"/>
            <w:tcBorders>
              <w:top w:val="single" w:sz="4" w:space="0" w:color="auto"/>
              <w:left w:val="single" w:sz="4" w:space="0" w:color="auto"/>
              <w:bottom w:val="single" w:sz="4" w:space="0" w:color="auto"/>
              <w:right w:val="single" w:sz="4" w:space="0" w:color="auto"/>
            </w:tcBorders>
          </w:tcPr>
          <w:p w14:paraId="00100611" w14:textId="0010063C">
            <w:pPr>
              <w:pStyle w:val="Normal"/>
              <w:jc w:val="left"/>
            </w:pPr>
            <w:r>
              <w:t xml:space="preserve">1.6x</w:t>
            </w:r>
          </w:p>
        </w:tc>
        <w:tc>
          <w:tcPr>
            <w:vAlign w:val="center"/>
            <w:tcBorders>
              <w:top w:val="single" w:sz="4" w:space="0" w:color="auto"/>
              <w:left w:val="single" w:sz="4" w:space="0" w:color="auto"/>
              <w:bottom w:val="single" w:sz="4" w:space="0" w:color="auto"/>
              <w:right w:val="single" w:sz="4" w:space="0" w:color="auto"/>
            </w:tcBorders>
          </w:tcPr>
          <w:p w14:paraId="00100613" w14:textId="0010063D">
            <w:pPr>
              <w:pStyle w:val="Normal"/>
              <w:jc w:val="left"/>
            </w:pPr>
            <w:r>
              <w:t xml:space="preserve">1.9x</w:t>
            </w:r>
          </w:p>
        </w:tc>
        <w:tc>
          <w:tcPr>
            <w:vAlign w:val="center"/>
            <w:tcBorders>
              <w:top w:val="single" w:sz="4" w:space="0" w:color="auto"/>
              <w:left w:val="single" w:sz="4" w:space="0" w:color="auto"/>
              <w:bottom w:val="single" w:sz="4" w:space="0" w:color="auto"/>
              <w:right w:val="single" w:sz="4" w:space="0" w:color="auto"/>
            </w:tcBorders>
          </w:tcPr>
          <w:p w14:paraId="00100615" w14:textId="0010063E">
            <w:pPr>
              <w:pStyle w:val="Normal"/>
              <w:jc w:val="left"/>
            </w:pPr>
            <w:r>
              <w:t xml:space="preserve">-0.3x</w:t>
            </w:r>
          </w:p>
        </w:tc>
      </w:tr>
      <w:tr>
        <w:tc>
          <w:tcPr>
            <w:vAlign w:val="top"/>
            <w:tcBorders>
              <w:top w:val="single" w:sz="4" w:space="0" w:color="auto"/>
              <w:left w:val="single" w:sz="4" w:space="0" w:color="auto"/>
              <w:bottom w:val="single" w:sz="4" w:space="0" w:color="auto"/>
              <w:right w:val="single" w:sz="4" w:space="0" w:color="auto"/>
            </w:tcBorders>
          </w:tcPr>
          <w:p w14:paraId="00100617" w14:textId="0010063F">
            <w:pPr>
              <w:pStyle w:val="Normal"/>
              <w:jc w:val="left"/>
            </w:pPr>
            <w:r>
              <w:t xml:space="preserve">Capital expenditure</w:t>
            </w:r>
          </w:p>
        </w:tc>
        <w:tc>
          <w:tcPr>
            <w:vAlign w:val="center"/>
            <w:tcBorders>
              <w:top w:val="single" w:sz="4" w:space="0" w:color="auto"/>
              <w:left w:val="single" w:sz="4" w:space="0" w:color="auto"/>
              <w:bottom w:val="single" w:sz="4" w:space="0" w:color="auto"/>
              <w:right w:val="single" w:sz="4" w:space="0" w:color="auto"/>
            </w:tcBorders>
          </w:tcPr>
          <w:p w14:paraId="00100619" w14:textId="00100640">
            <w:pPr>
              <w:pStyle w:val="Normal"/>
              <w:jc w:val="left"/>
            </w:pPr>
            <w:r>
              <w:t xml:space="preserve">540</w:t>
            </w:r>
          </w:p>
        </w:tc>
        <w:tc>
          <w:tcPr>
            <w:vAlign w:val="center"/>
            <w:tcBorders>
              <w:top w:val="single" w:sz="4" w:space="0" w:color="auto"/>
              <w:left w:val="single" w:sz="4" w:space="0" w:color="auto"/>
              <w:bottom w:val="single" w:sz="4" w:space="0" w:color="auto"/>
              <w:right w:val="single" w:sz="4" w:space="0" w:color="auto"/>
            </w:tcBorders>
          </w:tcPr>
          <w:p w14:paraId="0010061B" w14:textId="00100641">
            <w:pPr>
              <w:pStyle w:val="Normal"/>
              <w:jc w:val="left"/>
            </w:pPr>
            <w:r>
              <w:t xml:space="preserve">500</w:t>
            </w:r>
          </w:p>
        </w:tc>
        <w:tc>
          <w:tcPr>
            <w:vAlign w:val="center"/>
            <w:tcBorders>
              <w:top w:val="single" w:sz="4" w:space="0" w:color="auto"/>
              <w:left w:val="single" w:sz="4" w:space="0" w:color="auto"/>
              <w:bottom w:val="single" w:sz="4" w:space="0" w:color="auto"/>
              <w:right w:val="single" w:sz="4" w:space="0" w:color="auto"/>
            </w:tcBorders>
          </w:tcPr>
          <w:p w14:paraId="0010061D" w14:textId="00100642">
            <w:pPr>
              <w:pStyle w:val="Normal"/>
              <w:jc w:val="left"/>
            </w:pPr>
            <w:r>
              <w:t xml:space="preserve">+8.0%</w:t>
            </w:r>
          </w:p>
        </w:tc>
      </w:tr>
    </w:tbl>
    <w:p w14:paraId="00100643" w14:textId="00100644">
      <w:pPr>
        <w:pStyle w:val="Normal"/>
        <w:jc w:val="left"/>
      </w:pPr>
      <w:r>
        <w:t xml:space="preserve">Table 8 Group performance indicators</w:t>
      </w:r>
    </w:p>
    <w:p w14:paraId="00100645" w14:textId="00100646">
      <w:pPr>
        <w:pStyle w:val="Normal"/>
        <w:jc w:val="left"/>
      </w:pPr>
      <w:r>
        <w:drawing>
          <wp:inline distT="0" distB="0" distL="0" distR="0">
            <wp:extent cx="4320000" cy="3600000"/>
            <wp:effectExtent l="0" t="0" r="0" b="0"/>
            <wp:docPr id="13" name="F03.png" descr=""/>
            <wp:cNvGraphicFramePr>
              <a:graphicFrameLocks noChangeAspect="1"/>
            </wp:cNvGraphicFramePr>
            <a:graphic>
              <a:graphicData uri="http://schemas.openxmlformats.org/drawingml/2006/picture">
                <pic:pic>
                  <pic:nvPicPr>
                    <pic:cNvPr id="13" name="F03.png"/>
                    <pic:cNvPicPr/>
                  </pic:nvPicPr>
                  <pic:blipFill>
                    <a:blip r:embed="R7ad05f1353984522" cstate="print"/>
                    <a:stretch>
                      <a:fillRect/>
                    </a:stretch>
                  </pic:blipFill>
                  <pic:spPr>
                    <a:xfrm>
                      <a:off x="0" y="0"/>
                      <a:ext cx="3960000" cy="3960000"/>
                    </a:xfrm>
                    <a:prstGeom prst="rect">
                      <a:avLst/>
                    </a:prstGeom>
                  </pic:spPr>
                </pic:pic>
              </a:graphicData>
            </a:graphic>
          </wp:inline>
        </w:drawing>
      </w:r>
    </w:p>
    <w:p w14:paraId="00100647" w14:textId="00100648">
      <w:pPr>
        <w:pStyle w:val="Normal"/>
        <w:jc w:val="left"/>
      </w:pPr>
      <w:r>
        <w:t xml:space="preserve">Figure 13 Integrated financial performance trend</w:t>
      </w:r>
    </w:p>
    <w:p w14:paraId="00101CF2" w14:textId="00101CF3">
      <w:pPr>
        <w:pStyle w:val="Normal"/>
        <w:jc w:val="left"/>
        <w:sectPr>
          <w:type w:val="nextPage"/>
          <w:pgSz w:w="11906" w:h="16838"/>
          <w:pgMar w:top="1440" w:right="1440" w:bottom="1440" w:left="1440" w:header="1440" w:footer="1440" w:gutter="0"/>
          <w:cols w:space="720" w:num="1"/>
        </w:sectPr>
      </w:pPr>
    </w:p>
    <w:p w14:paraId="0010064D" w14:textId="0010064E">
      <w:pPr>
        <w:pStyle w:val="Normal"/>
        <w:jc w:val="left"/>
      </w:pPr>
      <w:r>
        <w:t xml:space="preserve">Chapter 4 Corporate Governance</w:t>
      </w:r>
    </w:p>
    <w:p w14:paraId="0010064F" w14:textId="00100650">
      <w:pPr>
        <w:pStyle w:val="Normal"/>
        <w:jc w:val="left"/>
      </w:pPr>
      <w:r>
        <w:t xml:space="preserve">4. Governance Framework</w:t>
      </w:r>
    </w:p>
    <w:p w14:paraId="00100651" w14:textId="00100652">
      <w:pPr>
        <w:pStyle w:val="Normal"/>
        <w:jc w:val="left"/>
      </w:pPr>
      <w:r>
        <w:t xml:space="preserve">Rivermark Holdings maintains a governance framework intended to support disciplined decision-making, transparent accountability, and sustainable long-term value creation. The framework is built on a clear allocation of responsibilities between shareholders, the Board, its committees, and executive management. It is anchored by the Group’s constitutional documents, Board-approved governance policies, delegated authorities, and conduct standards that apply across all operating segments and controlled entities. Together, these mechanisms are designed to align strategic ambition with prudent oversight while preserving responsiveness to changing market, regulatory, and stakeholder expectations.</w:t>
      </w:r>
    </w:p>
    <w:p w14:paraId="00100653" w14:textId="00100654">
      <w:pPr>
        <w:pStyle w:val="Normal"/>
        <w:jc w:val="left"/>
      </w:pPr>
      <w:r>
        <w:t xml:space="preserve">In practice, governance at Rivermark combines centralized direction with operational accountability. The Board sets the Group’s purpose, approves strategy, reviews capital allocation, monitors risk appetite, and oversees executive performance. Standing committees provide focused review in areas requiring deeper technical scrutiny, particularly audit, risk, people, ethics, remuneration, and succession. Management is responsible for executing approved strategy, operating within established authorities, and maintaining effective internal controls, reporting disciplines, and escalation channels. This structure enables the Group to connect day-to-day operating decisions with broader obligations relating to financial integrity, compliance, workforce culture, sustainability performance, and stakeholder trust.</w:t>
      </w:r>
    </w:p>
    <w:p w14:paraId="00100655" w14:textId="00100656">
      <w:pPr>
        <w:pStyle w:val="Normal"/>
        <w:jc w:val="left"/>
      </w:pPr>
      <w:r>
        <w:t xml:space="preserve">The governance structure diagram that follows summarizes these reporting lines and oversight relationships. It should be read together with the sections below on Board oversight, committee activity, leadership responsibilities, and conduct management, which explain how governance principles are applied during the reporting year.</w:t>
      </w:r>
    </w:p>
    <w:p w14:paraId="00100657" w14:textId="00100658">
      <w:pPr>
        <w:pStyle w:val="Normal"/>
        <w:jc w:val="left"/>
      </w:pPr>
      <w:r>
        <w:drawing>
          <wp:inline distT="0" distB="0" distL="0" distR="0">
            <wp:extent cx="4680000" cy="3240000"/>
            <wp:effectExtent l="0" t="0" r="0" b="0"/>
            <wp:docPr id="14" name="F01_14.png" descr=""/>
            <wp:cNvGraphicFramePr>
              <a:graphicFrameLocks noChangeAspect="1"/>
            </wp:cNvGraphicFramePr>
            <a:graphic>
              <a:graphicData uri="http://schemas.openxmlformats.org/drawingml/2006/picture">
                <pic:pic>
                  <pic:nvPicPr>
                    <pic:cNvPr id="14" name="F01_14.png"/>
                    <pic:cNvPicPr/>
                  </pic:nvPicPr>
                  <pic:blipFill>
                    <a:blip r:embed="R1f7a44a2887f4a78" cstate="print"/>
                    <a:stretch>
                      <a:fillRect/>
                    </a:stretch>
                  </pic:blipFill>
                  <pic:spPr>
                    <a:xfrm>
                      <a:off x="0" y="0"/>
                      <a:ext cx="5040000" cy="2880000"/>
                    </a:xfrm>
                    <a:prstGeom prst="rect">
                      <a:avLst/>
                    </a:prstGeom>
                  </pic:spPr>
                </pic:pic>
              </a:graphicData>
            </a:graphic>
          </wp:inline>
        </w:drawing>
      </w:r>
    </w:p>
    <w:p w14:paraId="00100659" w14:textId="0010065A">
      <w:pPr>
        <w:pStyle w:val="Normal"/>
        <w:jc w:val="left"/>
      </w:pPr>
      <w:r>
        <w:t xml:space="preserve">Figure 21 Governance structure of Rivermark Holdings</w:t>
      </w:r>
    </w:p>
    <w:p w14:paraId="0010065B" w14:textId="0010065C">
      <w:pPr>
        <w:pStyle w:val="Normal"/>
        <w:jc w:val="left"/>
      </w:pPr>
      <w:r>
        <w:t xml:space="preserve">4.1 Board Oversight</w:t>
      </w:r>
    </w:p>
    <w:p w14:paraId="0010065D" w14:textId="0010065E">
      <w:pPr>
        <w:pStyle w:val="Normal"/>
        <w:jc w:val="left"/>
      </w:pPr>
      <w:r>
        <w:t xml:space="preserve">The Board is responsible for the overall stewardship of Rivermark Holdings and acts as the principal body through which shareholders exercise governance over the Group. Its mandate extends beyond formal approval authority to active oversight of strategy, risk, financial performance, capital discipline, succession, culture, and long-term resilience. During the year, the Board continued to focus on the execution of segment priorities, balance sheet strength, portfolio discipline, sustainability integration, and the maintenance of a control environment proportionate to the Group’s scale and operating complexity.</w:t>
      </w:r>
    </w:p>
    <w:p w14:paraId="0010065F" w14:textId="00100660">
      <w:pPr>
        <w:pStyle w:val="Normal"/>
        <w:jc w:val="left"/>
      </w:pPr>
      <w:r>
        <w:t xml:space="preserve">Board effectiveness is supported by a structured annual work plan, scheduled strategy reviews, regular committee reporting, and timely management information. Matters presented to the Board are expected to include clear analysis of financial effects, operational implications, principal risks, stakeholder considerations, and implementation requirements. This approach allows directors to test assumptions, challenge management proposals, and evaluate whether decisions are consistent with the Group’s purpose and risk appetite. The Chair coordinates the Board agenda to ensure sufficient time for forward-looking discussion rather than solely retrospective performance review.</w:t>
      </w:r>
    </w:p>
    <w:p w14:paraId="00100661" w14:textId="00100662">
      <w:pPr>
        <w:pStyle w:val="Normal"/>
        <w:jc w:val="left"/>
      </w:pPr>
      <w:r>
        <w:t xml:space="preserve">Effectiveness also depends on the quality and composition of the Board itself. Rivermark seeks a mix of industry, financial, governance, people, technology, and risk experience so that oversight can remain balanced and informed. Director induction, ongoing briefing sessions, site visits, and targeted updates on emerging issues support continuous development and strengthen the Board’s ability to supervise a diversified group with evolving strategic and regulatory demands.</w:t>
      </w:r>
    </w:p>
    <w:p w14:paraId="00100663" w14:textId="00100664">
      <w:pPr>
        <w:pStyle w:val="Normal"/>
        <w:jc w:val="left"/>
      </w:pPr>
      <w:r>
        <w:t xml:space="preserve">4.1.1 Board Responsibilities</w:t>
      </w:r>
    </w:p>
    <w:p w14:paraId="00100665" w14:textId="00100666">
      <w:pPr>
        <w:pStyle w:val="Normal"/>
        <w:jc w:val="left"/>
      </w:pPr>
      <w:r>
        <w:t xml:space="preserve">The Board retains authority over matters considered fundamental to the direction, integrity, and long-term sustainability of Rivermark Holdings. Reserved matters include approval of Group strategy, annual budgets, material acquisitions and disposals, major capital expenditure, funding plans, dividend proposals, and the annual and interim reporting package. The Board also approves the Group’s risk appetite, governance policies, and key people decisions, including the appointment, evaluation, and succession planning of the Chief Executive Officer and other critical leadership roles where Board involvement is warranted.</w:t>
      </w:r>
    </w:p>
    <w:p w14:paraId="00100667" w14:textId="00100668">
      <w:pPr>
        <w:pStyle w:val="Normal"/>
        <w:jc w:val="left"/>
      </w:pPr>
      <w:r>
        <w:t xml:space="preserve">In fulfilling these responsibilities, the Board is expected to protect the interests of the company as a whole rather than any individual constituency. This requires balancing short-term operating performance with longer-term capability building, resilience, and stakeholder outcomes. The Board therefore reviews not only earnings and cash generation, but also safety performance, customer quality, workforce indicators, conduct matters, cyber readiness, sustainability progress, and regulatory developments that may affect strategic positioning.</w:t>
      </w:r>
    </w:p>
    <w:p w14:paraId="00100669" w14:textId="0010066A">
      <w:pPr>
        <w:pStyle w:val="Normal"/>
        <w:jc w:val="left"/>
      </w:pPr>
      <w:r>
        <w:t xml:space="preserve">Reserved matters are supported by formal authority schedules that define approval thresholds and escalation triggers. These schedules promote consistency across segments while ensuring that significant financial, operational, legal, or reputational exposures are elevated to the appropriate level. By maintaining this structure, Rivermark reinforces accountability and reduces the risk of fragmented decision-making across a geographically and operationally diverse organization.</w:t>
      </w:r>
    </w:p>
    <w:p w14:paraId="0010066B" w14:textId="0010066C">
      <w:pPr>
        <w:pStyle w:val="Normal"/>
        <w:jc w:val="left"/>
      </w:pPr>
      <w:r>
        <w:t xml:space="preserve">While the Board retains final accountability for the Group’s governance, it delegates defined responsibilities to its committees and to executive management in order to promote efficient oversight and timely execution. Delegation is governed by written terms of reference and authority matrices that specify decision rights, review obligations, and matters requiring escalation. Committee chairs report regularly to the full Board, enabling directors to maintain visibility over detailed work undertaken in specialist areas without duplicating management processes.</w:t>
      </w:r>
    </w:p>
    <w:p w14:paraId="0010066D" w14:textId="0010066E">
      <w:pPr>
        <w:pStyle w:val="Normal"/>
        <w:jc w:val="left"/>
      </w:pPr>
      <w:r>
        <w:t xml:space="preserve">The Audit and Risk Committee supports the Board in overseeing financial reporting quality, the effectiveness of internal controls, internal and external audit, and the broader risk management framework. The People and Ethics Committee assists with remuneration design, leadership development, succession planning, culture monitoring, and ethics oversight. Executive management, led by the Chief Executive Officer, is responsible for implementing Board-approved strategy, operating the business within approved limits, and ensuring that segment leadership maintains appropriate controls, reporting discipline, and regulatory compliance.</w:t>
      </w:r>
    </w:p>
    <w:p w14:paraId="0010066F" w14:textId="00100670">
      <w:pPr>
        <w:pStyle w:val="Normal"/>
        <w:jc w:val="left"/>
      </w:pPr>
      <w:r>
        <w:t xml:space="preserve">This delegation model is intended to preserve a clear chain of accountability. Management may act within delegated authority, but it does not assume ownership of matters reserved to the Board. Equally, committees conduct detailed review and recommendation work, but they do not replace the Board’s collective responsibility for major decisions. The result is a governance system that combines depth of scrutiny with operational practicality, allowing Rivermark to respond effectively to both routine business demands and higher-impact strategic choices.</w:t>
      </w:r>
    </w:p>
    <w:p w14:paraId="00100671" w14:textId="00100672">
      <w:pPr>
        <w:pStyle w:val="Normal"/>
        <w:jc w:val="left"/>
      </w:pPr>
      <w:r>
        <w:t xml:space="preserve">4.1.1 Board Effectiveness</w:t>
      </w:r>
    </w:p>
    <w:p w14:paraId="00100673" w14:textId="00100674">
      <w:pPr>
        <w:pStyle w:val="Normal"/>
        <w:jc w:val="left"/>
      </w:pPr>
      <w:r>
        <w:t xml:space="preserve">Rivermark evaluates Board effectiveness through an annual assessment process that considers Board composition, meeting quality, information flow, committee performance, strategic focus, and the effectiveness of challenge provided to management. The review conducted for the reporting year included director questionnaires, interviews led by the Chair, and a consolidated discussion of development priorities. The assessment concluded that the Board continued to operate effectively, with particular strengths in strategic debate, financial oversight, and risk awareness, while identifying opportunities to deepen exposure to digital transformation, talent pipeline development, and emerging sustainability regulation.</w:t>
      </w:r>
    </w:p>
    <w:p w14:paraId="00100675" w14:textId="00100676">
      <w:pPr>
        <w:pStyle w:val="Normal"/>
        <w:jc w:val="left"/>
      </w:pPr>
      <w:r>
        <w:t xml:space="preserve">Skills mapping remains a central part of effectiveness planning. Directors collectively bring experience across industrial operations, consumer markets, infrastructure delivery, finance, audit, capital allocation, people leadership, and governance. This breadth supports informed oversight of the Group’s three operating segments and helps the Board evaluate trade-offs between growth, efficiency, resilience, and compliance. Where skill gaps or future capability needs are identified, these are addressed through recruitment planning, external briefings, and targeted education.</w:t>
      </w:r>
    </w:p>
    <w:p w14:paraId="00100677" w14:textId="00100678">
      <w:pPr>
        <w:pStyle w:val="Normal"/>
        <w:jc w:val="left"/>
      </w:pPr>
      <w:r>
        <w:t xml:space="preserve">Succession planning is reviewed as an ongoing process rather than a one-time exercise. The Board considers tenure balance, committee continuity, leadership transition risks, and the future profile needed to support strategy execution. This approach is intended to preserve institutional knowledge while ensuring periodic renewal, independence of judgment, and continued relevance of Board capability as Rivermark’s markets and operating model evolve.</w:t>
      </w:r>
    </w:p>
    <w:p w14:paraId="00100679" w14:textId="0010067A">
      <w:pPr>
        <w:pStyle w:val="Normal"/>
        <w:jc w:val="left"/>
      </w:pPr>
      <w:r>
        <w:t xml:space="preserve">Attendance indicators are reviewed by the Chair and committee chairs as part of the Board’s overall effectiveness assessment. During the year, director participation remained strong across scheduled Board and committee meetings, with absences limited and generally explained by unavoidable professional or personal circumstances. High attendance is important not merely as a procedural measure but as evidence of active engagement, continuity of oversight, and preparedness for collective decision-making on complex matters.</w:t>
      </w:r>
    </w:p>
    <w:p w14:paraId="0010067B" w14:textId="0010067C">
      <w:pPr>
        <w:pStyle w:val="Normal"/>
        <w:jc w:val="left"/>
      </w:pPr>
      <w:r>
        <w:t xml:space="preserve">Rivermark monitors effectiveness indicators that extend beyond attendance percentages. These include the timeliness and quality of Board papers, the balance between routine reporting and strategic discussion, the frequency of deep-dive reviews on major risks and transformation programs, and the follow-through on actions agreed in prior meetings. The Board also considers whether committees are surfacing the right issues, whether management escalation is timely, and whether directors receive sufficient access to operational context through site visits, leadership presentations, and topic-specific briefings.</w:t>
      </w:r>
    </w:p>
    <w:p w14:paraId="0010067D" w14:textId="0010067E">
      <w:pPr>
        <w:pStyle w:val="Normal"/>
        <w:jc w:val="left"/>
      </w:pPr>
      <w:r>
        <w:t xml:space="preserve">Taken together, these indicators provide a more complete picture of effectiveness than attendance alone. A well-attended Board can still underperform if agenda quality, information transparency, or challenge culture is weak. For that reason, Rivermark uses attendance as one element within a broader governance review that tests whether the Board is devoting attention to the issues most material to performance, resilience, stakeholder confidence, and long-term value creation.</w:t>
      </w:r>
    </w:p>
    <w:p w14:paraId="0010067F" w14:textId="00100680">
      <w:pPr>
        <w:pStyle w:val="Normal"/>
        <w:jc w:val="left"/>
      </w:pPr>
      <w:r>
        <w:t xml:space="preserve">4.1 Committee Activities</w:t>
      </w:r>
    </w:p>
    <w:p w14:paraId="00100681" w14:textId="00100682">
      <w:pPr>
        <w:pStyle w:val="Normal"/>
        <w:jc w:val="left"/>
      </w:pPr>
      <w:r>
        <w:t xml:space="preserve">The Board discharges a significant part of its detailed oversight through standing committees with clearly defined mandates approved annually and aligned to the Group's scale, operating complexity, and risk profile. During the year, the committees focused on matters that required deeper technical review than could be accommodated in the full Board agenda, while ensuring that material conclusions, recommendations, and escalation items were brought back for decision at Board level. Each committee operated under written terms of reference that define authority, composition, reporting obligations, and interaction with management, internal assurance teams, and external advisers.</w:t>
      </w:r>
    </w:p>
    <w:p w14:paraId="00100683" w14:textId="00100684">
      <w:pPr>
        <w:pStyle w:val="Normal"/>
        <w:jc w:val="left"/>
      </w:pPr>
      <w:r>
        <w:t xml:space="preserve">Priority matters in the year reflected both the execution agenda and the external environment. Committee agendas gave particular attention to the reliability of financial reporting, liquidity and covenant headroom, cyber and operational resilience, executive succession planning, remuneration alignment, workforce capability, ethics case trends, and the maturity of control remediation programs. Committee chairs provided regular reports to the Board after each meeting, highlighting key judgments, unresolved issues, and actions requiring cross-committee coordination. This structure supports both depth and accountability: technical subjects receive disciplined scrutiny, while the Board retains collective responsibility for final oversight and decision-making.</w:t>
      </w:r>
    </w:p>
    <w:p w14:paraId="00100685" w14:textId="00100686">
      <w:pPr>
        <w:pStyle w:val="Normal"/>
        <w:jc w:val="left"/>
      </w:pPr>
      <w:r>
        <w:t xml:space="preserve">4.1.2 Audit and Risk Committee</w:t>
      </w:r>
    </w:p>
    <w:p w14:paraId="00100687" w14:textId="00100688">
      <w:pPr>
        <w:pStyle w:val="Normal"/>
        <w:jc w:val="left"/>
      </w:pPr>
      <w:r>
        <w:t xml:space="preserve">The Audit and Risk Committee assisted the Board in overseeing the integrity of Rivermark Holdings' financial statements, the effectiveness of internal control over reporting, and the appropriateness of accounting judgments applied in areas requiring estimation or management discretion. Its work covered the annual report and interim reporting package, including revenue recognition, impairment testing, provisions, tax positions, treasury disclosures, and segment reporting consistency. In reviewing these matters, the Committee challenged management assumptions, assessed whether alternative treatments had been considered, and evaluated whether disclosures were balanced, transparent, and decision-useful for shareholders.</w:t>
      </w:r>
    </w:p>
    <w:p w14:paraId="00100689" w14:textId="0010068A">
      <w:pPr>
        <w:pStyle w:val="Normal"/>
        <w:jc w:val="left"/>
      </w:pPr>
      <w:r>
        <w:t xml:space="preserve">The Committee also monitored the design and operating effectiveness of the financial control environment. Management reported on monthly close discipline, control self-assessment outcomes, remediation status for identified deficiencies, and the progress of system standardization initiatives intended to reduce manual intervention in key processes. Particular focus was given to controls surrounding procurement-to-pay, order-to-cash, access management, and period-end journal approval. Where control gaps were identified, the Committee required time-bound remediation plans, named accountable executives, and follow-up reporting until closure. Through this process, the Committee supported the Board's conclusion that the Group maintained an appropriate framework for financial governance while continuing to strengthen consistency across business units.</w:t>
      </w:r>
    </w:p>
    <w:p w14:paraId="0010068B" w14:textId="0010068C">
      <w:pPr>
        <w:pStyle w:val="Normal"/>
        <w:jc w:val="left"/>
      </w:pPr>
      <w:r>
        <w:t xml:space="preserve">Beyond core reporting oversight, the Audit and Risk Committee supervised the Group's broader assurance architecture and principal risk review process. It approved the annual internal audit plan on a risk basis, ensuring that coverage reflected changing exposure across industrial operations, digital platforms, contract delivery, treasury, and compliance processes. Internal audit findings were reviewed by theme and severity, with emphasis on recurring issues, root-cause analysis, and whether management actions addressed underlying control weaknesses rather than symptoms alone. The Committee also assessed the independence, performance, and scope of work of the external auditor, including non-audit services and partner rotation safeguards.</w:t>
      </w:r>
    </w:p>
    <w:p w14:paraId="0010068D" w14:textId="0010068E">
      <w:pPr>
        <w:pStyle w:val="Normal"/>
        <w:jc w:val="left"/>
      </w:pPr>
      <w:r>
        <w:t xml:space="preserve">Risk oversight during the year centered on liquidity resilience, supply-chain stability, cyber preparedness, project execution risk, regulatory developments, and the potential for macroeconomic volatility to affect customer demand and working capital. Management stress-testing scenarios were reviewed against covenant thresholds, insurance coverage, and contingency planning assumptions. The Committee examined the alignment between the enterprise risk register, operational risk reporting, and assurance outcomes so that material issues were not assessed in isolation. This integrated approach allowed the Committee to test whether risks were properly identified, owned, mitigated, and reported, and whether assurance activity provided sufficient evidence for Board-level confidence in the Group's control and resilience posture.</w:t>
      </w:r>
    </w:p>
    <w:p w14:paraId="0010068F" w14:textId="00100690">
      <w:pPr>
        <w:pStyle w:val="Normal"/>
        <w:jc w:val="left"/>
      </w:pPr>
      <w:r>
        <w:t xml:space="preserve">4.1.2 People and Ethics Committee</w:t>
      </w:r>
    </w:p>
    <w:p w14:paraId="00100691" w14:textId="00100692">
      <w:pPr>
        <w:pStyle w:val="Normal"/>
        <w:jc w:val="left"/>
      </w:pPr>
      <w:r>
        <w:t xml:space="preserve">The People and Ethics Committee supported the Board in overseeing remuneration policy, leadership succession, and the people dimensions of long-term value creation. Its remit covered executive and senior management reward design, performance scorecards, incentive outcomes, succession pipelines for critical roles, and the broader workforce policies needed to sustain capability through periods of change. In the year under review, the Committee assessed whether pay structures remained aligned with strategic priorities, balancing growth, cash generation, safety, conduct, and operational execution rather than rewarding financial outcomes in isolation. It also reviewed the calibration of incentive gateways and malus or clawback mechanisms to reinforce accountability.</w:t>
      </w:r>
    </w:p>
    <w:p w14:paraId="00100693" w14:textId="00100694">
      <w:pPr>
        <w:pStyle w:val="Normal"/>
        <w:jc w:val="left"/>
      </w:pPr>
      <w:r>
        <w:t xml:space="preserve">Succession oversight remained a central priority. The Committee reviewed emergency and medium-term succession plans for the Board, the Chief Executive Officer, and key executive roles, with attention to leadership depth in the Industrial Solutions, Consumer Platforms, and Infrastructure Services segments. Talent reviews considered readiness, development gaps, retention risk, and the diversity of succession benches across operational and functional leadership roles. The Committee also monitored leadership development initiatives designed to strengthen execution capability, cross-segment mobility, and bench strength in digital, commercial, and operational disciplines. Through this work, the Committee sought to ensure that leadership continuity and incentives remained supportive of strategy execution and prudent risk-taking.</w:t>
      </w:r>
    </w:p>
    <w:p w14:paraId="00100695" w14:textId="00100696">
      <w:pPr>
        <w:pStyle w:val="Normal"/>
        <w:jc w:val="left"/>
      </w:pPr>
      <w:r>
        <w:t xml:space="preserve">The People and Ethics Committee also oversaw culture, conduct, and ethical performance across the Group, recognizing that these factors influence both reputation and operating discipline. Management reported regularly on employee engagement themes, whistleblowing activity, grievance handling, policy training completion, and substantiated misconduct cases. Rather than treating these as isolated compliance indicators, the Committee examined trend patterns by business unit and geography to identify whether case volumes, reporting channels, or resolution times pointed to broader cultural issues. It requested deeper review where repeated concerns emerged in areas such as manager behavior, conflicts of interest, procurement practices, or workplace respect.</w:t>
      </w:r>
    </w:p>
    <w:p w14:paraId="00100697" w14:textId="00100698">
      <w:pPr>
        <w:pStyle w:val="Normal"/>
        <w:jc w:val="left"/>
      </w:pPr>
      <w:r>
        <w:t xml:space="preserve">The Committee's review of ethics extended to the effectiveness of the speak-up framework, protections against retaliation, and the consistency of disciplinary outcomes. It also monitored progress on inclusion, workforce well-being, and leadership behaviors that support a high-performance and values-led environment. When considering culture, the Committee drew on multiple inputs, including engagement surveys, turnover analysis, site visits, internal audit observations, and management succession reviews. This triangulated perspective helped the Board assess whether stated values were evident in day-to-day decisions and whether leadership interventions were producing measurable improvement. The Committee concluded that the core framework was sound, while emphasizing the need for continued manager capability building and timely closure of ethics-related actions.</w:t>
      </w:r>
    </w:p>
    <w:p w14:paraId="00100699" w14:textId="0010069A">
      <w:pPr>
        <w:pStyle w:val="Normal"/>
        <w:jc w:val="left"/>
      </w:pPr>
      <w:r>
        <w:t xml:space="preserve">4. Leadership and Conduct</w:t>
      </w:r>
    </w:p>
    <w:p w14:paraId="0010069B" w14:textId="0010069C">
      <w:pPr>
        <w:pStyle w:val="Normal"/>
        <w:jc w:val="left"/>
      </w:pPr>
      <w:r>
        <w:t xml:space="preserve">Rivermark Holdings' leadership framework is designed to connect strategic direction, operational execution, remuneration outcomes, and expected standards of conduct. The Board sets the tone through governance principles and oversight, while executive management is accountable for implementation across the Group's businesses, functions, and regional operations. This section explains how leadership responsibilities are allocated, how reward outcomes are linked to performance and risk discipline, and how conduct expectations are embedded through policies, training, escalation channels, and accountability mechanisms.</w:t>
      </w:r>
    </w:p>
    <w:p w14:paraId="0010069D" w14:textId="0010069E">
      <w:pPr>
        <w:pStyle w:val="Normal"/>
        <w:jc w:val="left"/>
      </w:pPr>
      <w:r>
        <w:t xml:space="preserve">The Board's approach recognizes that performance quality depends not only on the achievement of financial and operational targets, but also on how those results are delivered. Accordingly, leadership evaluation incorporates judgment on safety, people outcomes, control stewardship, and ethical behavior alongside earnings, cash, and strategic milestones. The following disclosures describe the composition and capabilities of the Board and executive team, the distribution of responsibilities across governance and management roles, and the systems used to support integrity, transparency, and sustained organizational trust.</w:t>
      </w:r>
    </w:p>
    <w:p w14:paraId="0010069F" w14:textId="001006A0">
      <w:pPr>
        <w:pStyle w:val="Normal"/>
        <w:jc w:val="left"/>
      </w:pPr>
      <w:r>
        <w:t xml:space="preserve">4.2 Board and Management</w:t>
      </w:r>
    </w:p>
    <w:p w14:paraId="001006A1" w14:textId="001006A2">
      <w:pPr>
        <w:pStyle w:val="Normal"/>
        <w:jc w:val="left"/>
      </w:pPr>
      <w:r>
        <w:t xml:space="preserve">The Board comprises a mix of independent non-executive directors and executive leadership, bringing experience across industrial operations, consumer markets, infrastructure delivery, finance, technology, sustainability, and governance. This balance is intended to support robust challenge while preserving insight into the operational realities of the Group's businesses. Directors contribute perspectives drawn from capital allocation, transformation execution, regulated markets, and customer-led growth, enabling the Board to address both near-term decisions and longer-horizon strategic questions. Ongoing director development, site exposure, and targeted briefings are used to maintain relevance as the Group's market and risk environment evolve.</w:t>
      </w:r>
    </w:p>
    <w:p w14:paraId="001006A3" w14:textId="001006A4">
      <w:pPr>
        <w:pStyle w:val="Normal"/>
        <w:jc w:val="left"/>
      </w:pPr>
      <w:r>
        <w:t xml:space="preserve">Executive management, led by the Chief Executive Officer, is responsible for translating Board-approved strategy into operating plans, resource decisions, and performance outcomes. The executive team includes leaders with direct accountability for the Group's segments as well as core functional areas such as finance, people, legal, risk, technology, and sustainability. This structure supports both segment responsiveness and enterprise consistency, particularly in areas where shared standards are important, including capital discipline, cybersecurity, talent development, ethics, and reporting controls. Together, the Board and management model is designed to combine clear accountability with coordinated decision-making, ensuring that authority is delegated appropriately while material risks and strategic choices remain visible at the highest level of governance.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45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6A5" w14:textId="001006EB">
            <w:pPr>
              <w:pStyle w:val="Normal"/>
              <w:jc w:val="left"/>
            </w:pPr>
            <w:r>
              <w:t xml:space="preserve">Elena Shore</w:t>
            </w:r>
          </w:p>
        </w:tc>
        <w:tc>
          <w:tcPr>
            <w:vAlign w:val="center"/>
            <w:tcBorders>
              <w:top w:val="single" w:sz="4" w:space="0" w:color="auto"/>
              <w:left w:val="single" w:sz="4" w:space="0" w:color="auto"/>
              <w:bottom w:val="single" w:sz="4" w:space="0" w:color="auto"/>
              <w:right w:val="single" w:sz="4" w:space="0" w:color="auto"/>
            </w:tcBorders>
          </w:tcPr>
          <w:p w14:paraId="001006A7" w14:textId="001006EC">
            <w:pPr>
              <w:pStyle w:val="Normal"/>
              <w:jc w:val="left"/>
            </w:pPr>
            <w:r>
              <w:t xml:space="preserve">Chair of the Board</w:t>
            </w:r>
          </w:p>
        </w:tc>
        <w:tc>
          <w:tcPr>
            <w:vAlign w:val="center"/>
            <w:tcBorders>
              <w:top w:val="single" w:sz="4" w:space="0" w:color="auto"/>
              <w:left w:val="single" w:sz="4" w:space="0" w:color="auto"/>
              <w:bottom w:val="single" w:sz="4" w:space="0" w:color="auto"/>
              <w:right w:val="single" w:sz="4" w:space="0" w:color="auto"/>
            </w:tcBorders>
          </w:tcPr>
          <w:p w14:paraId="001006A9" w14:textId="001006ED">
            <w:pPr>
              <w:pStyle w:val="Normal"/>
              <w:jc w:val="left"/>
            </w:pPr>
            <w:r>
              <w:t xml:space="preserve">Rivermark Holdings Board</w:t>
            </w:r>
          </w:p>
        </w:tc>
        <w:tc>
          <w:tcPr>
            <w:vAlign w:val="center"/>
            <w:tcBorders>
              <w:top w:val="single" w:sz="4" w:space="0" w:color="auto"/>
              <w:left w:val="single" w:sz="4" w:space="0" w:color="auto"/>
              <w:bottom w:val="single" w:sz="4" w:space="0" w:color="auto"/>
              <w:right w:val="single" w:sz="4" w:space="0" w:color="auto"/>
            </w:tcBorders>
          </w:tcPr>
          <w:p w14:paraId="001006AB" w14:textId="001006EE">
            <w:pPr>
              <w:pStyle w:val="Normal"/>
              <w:jc w:val="left"/>
            </w:pPr>
            <w:r>
              <w:t xml:space="preserve">Capital allocation, portfolio oversight, governance leadership</w:t>
            </w:r>
          </w:p>
        </w:tc>
        <w:tc>
          <w:tcPr>
            <w:vAlign w:val="center"/>
            <w:tcBorders>
              <w:top w:val="single" w:sz="4" w:space="0" w:color="auto"/>
              <w:left w:val="single" w:sz="4" w:space="0" w:color="auto"/>
              <w:bottom w:val="single" w:sz="4" w:space="0" w:color="auto"/>
              <w:right w:val="single" w:sz="4" w:space="0" w:color="auto"/>
            </w:tcBorders>
          </w:tcPr>
          <w:p w14:paraId="001006AD" w14:textId="001006EF">
            <w:pPr>
              <w:pStyle w:val="Normal"/>
              <w:jc w:val="left"/>
            </w:pPr>
            <w:r>
              <w:t xml:space="preserve">28 years in industrial, infrastructure, and listed-company governance roles</w:t>
            </w:r>
          </w:p>
        </w:tc>
      </w:tr>
      <w:tr>
        <w:tc>
          <w:tcPr>
            <w:vAlign w:val="center"/>
            <w:tcBorders>
              <w:top w:val="single" w:sz="4" w:space="0" w:color="auto"/>
              <w:left w:val="single" w:sz="4" w:space="0" w:color="auto"/>
              <w:bottom w:val="single" w:sz="4" w:space="0" w:color="auto"/>
              <w:right w:val="single" w:sz="4" w:space="0" w:color="auto"/>
            </w:tcBorders>
          </w:tcPr>
          <w:p w14:paraId="001006AF" w14:textId="001006F0">
            <w:pPr>
              <w:pStyle w:val="Normal"/>
              <w:jc w:val="left"/>
            </w:pPr>
            <w:r>
              <w:t xml:space="preserve">Marcus Vale</w:t>
            </w:r>
          </w:p>
        </w:tc>
        <w:tc>
          <w:tcPr>
            <w:vAlign w:val="center"/>
            <w:tcBorders>
              <w:top w:val="single" w:sz="4" w:space="0" w:color="auto"/>
              <w:left w:val="single" w:sz="4" w:space="0" w:color="auto"/>
              <w:bottom w:val="single" w:sz="4" w:space="0" w:color="auto"/>
              <w:right w:val="single" w:sz="4" w:space="0" w:color="auto"/>
            </w:tcBorders>
          </w:tcPr>
          <w:p w14:paraId="001006B1" w14:textId="001006F1">
            <w:pPr>
              <w:pStyle w:val="Normal"/>
              <w:jc w:val="left"/>
            </w:pPr>
            <w:r>
              <w:t xml:space="preserve">Chief Executive Officer</w:t>
            </w:r>
          </w:p>
        </w:tc>
        <w:tc>
          <w:tcPr>
            <w:vAlign w:val="center"/>
            <w:tcBorders>
              <w:top w:val="single" w:sz="4" w:space="0" w:color="auto"/>
              <w:left w:val="single" w:sz="4" w:space="0" w:color="auto"/>
              <w:bottom w:val="single" w:sz="4" w:space="0" w:color="auto"/>
              <w:right w:val="single" w:sz="4" w:space="0" w:color="auto"/>
            </w:tcBorders>
          </w:tcPr>
          <w:p w14:paraId="001006B3" w14:textId="001006F2">
            <w:pPr>
              <w:pStyle w:val="Normal"/>
              <w:jc w:val="left"/>
            </w:pPr>
            <w:r>
              <w:t xml:space="preserve">Group Executive Management</w:t>
            </w:r>
          </w:p>
        </w:tc>
        <w:tc>
          <w:tcPr>
            <w:vAlign w:val="center"/>
            <w:tcBorders>
              <w:top w:val="single" w:sz="4" w:space="0" w:color="auto"/>
              <w:left w:val="single" w:sz="4" w:space="0" w:color="auto"/>
              <w:bottom w:val="single" w:sz="4" w:space="0" w:color="auto"/>
              <w:right w:val="single" w:sz="4" w:space="0" w:color="auto"/>
            </w:tcBorders>
          </w:tcPr>
          <w:p w14:paraId="001006B5" w14:textId="001006F3">
            <w:pPr>
              <w:pStyle w:val="Normal"/>
              <w:jc w:val="left"/>
            </w:pPr>
            <w:r>
              <w:t xml:space="preserve">Group strategy, operating performance, capital deployment</w:t>
            </w:r>
          </w:p>
        </w:tc>
        <w:tc>
          <w:tcPr>
            <w:vAlign w:val="center"/>
            <w:tcBorders>
              <w:top w:val="single" w:sz="4" w:space="0" w:color="auto"/>
              <w:left w:val="single" w:sz="4" w:space="0" w:color="auto"/>
              <w:bottom w:val="single" w:sz="4" w:space="0" w:color="auto"/>
              <w:right w:val="single" w:sz="4" w:space="0" w:color="auto"/>
            </w:tcBorders>
          </w:tcPr>
          <w:p w14:paraId="001006B7" w14:textId="001006F4">
            <w:pPr>
              <w:pStyle w:val="Normal"/>
              <w:jc w:val="left"/>
            </w:pPr>
            <w:r>
              <w:t xml:space="preserve">24 years leading diversified operating businesses and transformation programs</w:t>
            </w:r>
          </w:p>
        </w:tc>
      </w:tr>
      <w:tr>
        <w:tc>
          <w:tcPr>
            <w:vAlign w:val="center"/>
            <w:tcBorders>
              <w:top w:val="single" w:sz="4" w:space="0" w:color="auto"/>
              <w:left w:val="single" w:sz="4" w:space="0" w:color="auto"/>
              <w:bottom w:val="single" w:sz="4" w:space="0" w:color="auto"/>
              <w:right w:val="single" w:sz="4" w:space="0" w:color="auto"/>
            </w:tcBorders>
          </w:tcPr>
          <w:p w14:paraId="001006B9" w14:textId="001006F5">
            <w:pPr>
              <w:pStyle w:val="Normal"/>
              <w:jc w:val="left"/>
            </w:pPr>
            <w:r>
              <w:t xml:space="preserve">Priya Nand</w:t>
            </w:r>
          </w:p>
        </w:tc>
        <w:tc>
          <w:tcPr>
            <w:vAlign w:val="center"/>
            <w:tcBorders>
              <w:top w:val="single" w:sz="4" w:space="0" w:color="auto"/>
              <w:left w:val="single" w:sz="4" w:space="0" w:color="auto"/>
              <w:bottom w:val="single" w:sz="4" w:space="0" w:color="auto"/>
              <w:right w:val="single" w:sz="4" w:space="0" w:color="auto"/>
            </w:tcBorders>
          </w:tcPr>
          <w:p w14:paraId="001006BB" w14:textId="001006F6">
            <w:pPr>
              <w:pStyle w:val="Normal"/>
              <w:jc w:val="left"/>
            </w:pPr>
            <w:r>
              <w:t xml:space="preserve">Senior Independent Director</w:t>
            </w:r>
          </w:p>
        </w:tc>
        <w:tc>
          <w:tcPr>
            <w:vAlign w:val="center"/>
            <w:tcBorders>
              <w:top w:val="single" w:sz="4" w:space="0" w:color="auto"/>
              <w:left w:val="single" w:sz="4" w:space="0" w:color="auto"/>
              <w:bottom w:val="single" w:sz="4" w:space="0" w:color="auto"/>
              <w:right w:val="single" w:sz="4" w:space="0" w:color="auto"/>
            </w:tcBorders>
          </w:tcPr>
          <w:p w14:paraId="001006BD" w14:textId="001006F7">
            <w:pPr>
              <w:pStyle w:val="Normal"/>
              <w:jc w:val="left"/>
            </w:pPr>
            <w:r>
              <w:t xml:space="preserve">Rivermark Holdings Board</w:t>
            </w:r>
          </w:p>
        </w:tc>
        <w:tc>
          <w:tcPr>
            <w:vAlign w:val="center"/>
            <w:tcBorders>
              <w:top w:val="single" w:sz="4" w:space="0" w:color="auto"/>
              <w:left w:val="single" w:sz="4" w:space="0" w:color="auto"/>
              <w:bottom w:val="single" w:sz="4" w:space="0" w:color="auto"/>
              <w:right w:val="single" w:sz="4" w:space="0" w:color="auto"/>
            </w:tcBorders>
          </w:tcPr>
          <w:p w14:paraId="001006BF" w14:textId="001006F8">
            <w:pPr>
              <w:pStyle w:val="Normal"/>
              <w:jc w:val="left"/>
            </w:pPr>
            <w:r>
              <w:t xml:space="preserve">Independent challenge, stakeholder dialogue, succession input</w:t>
            </w:r>
          </w:p>
        </w:tc>
        <w:tc>
          <w:tcPr>
            <w:vAlign w:val="center"/>
            <w:tcBorders>
              <w:top w:val="single" w:sz="4" w:space="0" w:color="auto"/>
              <w:left w:val="single" w:sz="4" w:space="0" w:color="auto"/>
              <w:bottom w:val="single" w:sz="4" w:space="0" w:color="auto"/>
              <w:right w:val="single" w:sz="4" w:space="0" w:color="auto"/>
            </w:tcBorders>
          </w:tcPr>
          <w:p w14:paraId="001006C1" w14:textId="001006F9">
            <w:pPr>
              <w:pStyle w:val="Normal"/>
              <w:jc w:val="left"/>
            </w:pPr>
            <w:r>
              <w:t xml:space="preserve">22 years in audit, risk, and board committee leadership</w:t>
            </w:r>
          </w:p>
        </w:tc>
      </w:tr>
      <w:tr>
        <w:tc>
          <w:tcPr>
            <w:vAlign w:val="center"/>
            <w:tcBorders>
              <w:top w:val="single" w:sz="4" w:space="0" w:color="auto"/>
              <w:left w:val="single" w:sz="4" w:space="0" w:color="auto"/>
              <w:bottom w:val="single" w:sz="4" w:space="0" w:color="auto"/>
              <w:right w:val="single" w:sz="4" w:space="0" w:color="auto"/>
            </w:tcBorders>
          </w:tcPr>
          <w:p w14:paraId="001006C3" w14:textId="001006FA">
            <w:pPr>
              <w:pStyle w:val="Normal"/>
              <w:jc w:val="left"/>
            </w:pPr>
            <w:r>
              <w:t xml:space="preserve">Jonas Reed</w:t>
            </w:r>
          </w:p>
        </w:tc>
        <w:tc>
          <w:tcPr>
            <w:vAlign w:val="center"/>
            <w:tcBorders>
              <w:top w:val="single" w:sz="4" w:space="0" w:color="auto"/>
              <w:left w:val="single" w:sz="4" w:space="0" w:color="auto"/>
              <w:bottom w:val="single" w:sz="4" w:space="0" w:color="auto"/>
              <w:right w:val="single" w:sz="4" w:space="0" w:color="auto"/>
            </w:tcBorders>
          </w:tcPr>
          <w:p w14:paraId="001006C5" w14:textId="001006FB">
            <w:pPr>
              <w:pStyle w:val="Normal"/>
              <w:jc w:val="left"/>
            </w:pPr>
            <w:r>
              <w:t xml:space="preserve">Chief Financial Officer</w:t>
            </w:r>
          </w:p>
        </w:tc>
        <w:tc>
          <w:tcPr>
            <w:vAlign w:val="center"/>
            <w:tcBorders>
              <w:top w:val="single" w:sz="4" w:space="0" w:color="auto"/>
              <w:left w:val="single" w:sz="4" w:space="0" w:color="auto"/>
              <w:bottom w:val="single" w:sz="4" w:space="0" w:color="auto"/>
              <w:right w:val="single" w:sz="4" w:space="0" w:color="auto"/>
            </w:tcBorders>
          </w:tcPr>
          <w:p w14:paraId="001006C7" w14:textId="001006FC">
            <w:pPr>
              <w:pStyle w:val="Normal"/>
              <w:jc w:val="left"/>
            </w:pPr>
            <w:r>
              <w:t xml:space="preserve">Group Executive Management</w:t>
            </w:r>
          </w:p>
        </w:tc>
        <w:tc>
          <w:tcPr>
            <w:vAlign w:val="center"/>
            <w:tcBorders>
              <w:top w:val="single" w:sz="4" w:space="0" w:color="auto"/>
              <w:left w:val="single" w:sz="4" w:space="0" w:color="auto"/>
              <w:bottom w:val="single" w:sz="4" w:space="0" w:color="auto"/>
              <w:right w:val="single" w:sz="4" w:space="0" w:color="auto"/>
            </w:tcBorders>
          </w:tcPr>
          <w:p w14:paraId="001006C9" w14:textId="001006FD">
            <w:pPr>
              <w:pStyle w:val="Normal"/>
              <w:jc w:val="left"/>
            </w:pPr>
            <w:r>
              <w:t xml:space="preserve">Finance, treasury, reporting, investor relations, controls</w:t>
            </w:r>
          </w:p>
        </w:tc>
        <w:tc>
          <w:tcPr>
            <w:vAlign w:val="center"/>
            <w:tcBorders>
              <w:top w:val="single" w:sz="4" w:space="0" w:color="auto"/>
              <w:left w:val="single" w:sz="4" w:space="0" w:color="auto"/>
              <w:bottom w:val="single" w:sz="4" w:space="0" w:color="auto"/>
              <w:right w:val="single" w:sz="4" w:space="0" w:color="auto"/>
            </w:tcBorders>
          </w:tcPr>
          <w:p w14:paraId="001006CB" w14:textId="001006FE">
            <w:pPr>
              <w:pStyle w:val="Normal"/>
              <w:jc w:val="left"/>
            </w:pPr>
            <w:r>
              <w:t xml:space="preserve">20 years in corporate finance, treasury, and reporting across multi-entity groups</w:t>
            </w:r>
          </w:p>
        </w:tc>
      </w:tr>
      <w:tr>
        <w:tc>
          <w:tcPr>
            <w:vAlign w:val="center"/>
            <w:tcBorders>
              <w:top w:val="single" w:sz="4" w:space="0" w:color="auto"/>
              <w:left w:val="single" w:sz="4" w:space="0" w:color="auto"/>
              <w:bottom w:val="single" w:sz="4" w:space="0" w:color="auto"/>
              <w:right w:val="single" w:sz="4" w:space="0" w:color="auto"/>
            </w:tcBorders>
          </w:tcPr>
          <w:p w14:paraId="001006CD" w14:textId="001006FF">
            <w:pPr>
              <w:pStyle w:val="Normal"/>
              <w:jc w:val="left"/>
            </w:pPr>
            <w:r>
              <w:t xml:space="preserve">Leila Marr</w:t>
            </w:r>
          </w:p>
        </w:tc>
        <w:tc>
          <w:tcPr>
            <w:vAlign w:val="center"/>
            <w:tcBorders>
              <w:top w:val="single" w:sz="4" w:space="0" w:color="auto"/>
              <w:left w:val="single" w:sz="4" w:space="0" w:color="auto"/>
              <w:bottom w:val="single" w:sz="4" w:space="0" w:color="auto"/>
              <w:right w:val="single" w:sz="4" w:space="0" w:color="auto"/>
            </w:tcBorders>
          </w:tcPr>
          <w:p w14:paraId="001006CF" w14:textId="00100700">
            <w:pPr>
              <w:pStyle w:val="Normal"/>
              <w:jc w:val="left"/>
            </w:pPr>
            <w:r>
              <w:t xml:space="preserve">Chief Operating Officer</w:t>
            </w:r>
          </w:p>
        </w:tc>
        <w:tc>
          <w:tcPr>
            <w:vAlign w:val="center"/>
            <w:tcBorders>
              <w:top w:val="single" w:sz="4" w:space="0" w:color="auto"/>
              <w:left w:val="single" w:sz="4" w:space="0" w:color="auto"/>
              <w:bottom w:val="single" w:sz="4" w:space="0" w:color="auto"/>
              <w:right w:val="single" w:sz="4" w:space="0" w:color="auto"/>
            </w:tcBorders>
          </w:tcPr>
          <w:p w14:paraId="001006D1" w14:textId="00100701">
            <w:pPr>
              <w:pStyle w:val="Normal"/>
              <w:jc w:val="left"/>
            </w:pPr>
            <w:r>
              <w:t xml:space="preserve">Group Executive Management</w:t>
            </w:r>
          </w:p>
        </w:tc>
        <w:tc>
          <w:tcPr>
            <w:vAlign w:val="center"/>
            <w:tcBorders>
              <w:top w:val="single" w:sz="4" w:space="0" w:color="auto"/>
              <w:left w:val="single" w:sz="4" w:space="0" w:color="auto"/>
              <w:bottom w:val="single" w:sz="4" w:space="0" w:color="auto"/>
              <w:right w:val="single" w:sz="4" w:space="0" w:color="auto"/>
            </w:tcBorders>
          </w:tcPr>
          <w:p w14:paraId="001006D3" w14:textId="00100702">
            <w:pPr>
              <w:pStyle w:val="Normal"/>
              <w:jc w:val="left"/>
            </w:pPr>
            <w:r>
              <w:t xml:space="preserve">Operating model, productivity, delivery excellence, resilience</w:t>
            </w:r>
          </w:p>
        </w:tc>
        <w:tc>
          <w:tcPr>
            <w:vAlign w:val="center"/>
            <w:tcBorders>
              <w:top w:val="single" w:sz="4" w:space="0" w:color="auto"/>
              <w:left w:val="single" w:sz="4" w:space="0" w:color="auto"/>
              <w:bottom w:val="single" w:sz="4" w:space="0" w:color="auto"/>
              <w:right w:val="single" w:sz="4" w:space="0" w:color="auto"/>
            </w:tcBorders>
          </w:tcPr>
          <w:p w14:paraId="001006D5" w14:textId="00100703">
            <w:pPr>
              <w:pStyle w:val="Normal"/>
              <w:jc w:val="left"/>
            </w:pPr>
            <w:r>
              <w:t xml:space="preserve">21 years in operations, supply-chain leadership, and service delivery management</w:t>
            </w:r>
          </w:p>
        </w:tc>
      </w:tr>
      <w:tr>
        <w:tc>
          <w:tcPr>
            <w:vAlign w:val="center"/>
            <w:tcBorders>
              <w:top w:val="single" w:sz="4" w:space="0" w:color="auto"/>
              <w:left w:val="single" w:sz="4" w:space="0" w:color="auto"/>
              <w:bottom w:val="single" w:sz="4" w:space="0" w:color="auto"/>
              <w:right w:val="single" w:sz="4" w:space="0" w:color="auto"/>
            </w:tcBorders>
          </w:tcPr>
          <w:p w14:paraId="001006D7" w14:textId="00100704">
            <w:pPr>
              <w:pStyle w:val="Normal"/>
              <w:jc w:val="left"/>
            </w:pPr>
            <w:r>
              <w:t xml:space="preserve">Daniel Quist</w:t>
            </w:r>
          </w:p>
        </w:tc>
        <w:tc>
          <w:tcPr>
            <w:vAlign w:val="center"/>
            <w:tcBorders>
              <w:top w:val="single" w:sz="4" w:space="0" w:color="auto"/>
              <w:left w:val="single" w:sz="4" w:space="0" w:color="auto"/>
              <w:bottom w:val="single" w:sz="4" w:space="0" w:color="auto"/>
              <w:right w:val="single" w:sz="4" w:space="0" w:color="auto"/>
            </w:tcBorders>
          </w:tcPr>
          <w:p w14:paraId="001006D9" w14:textId="00100705">
            <w:pPr>
              <w:pStyle w:val="Normal"/>
              <w:jc w:val="left"/>
            </w:pPr>
            <w:r>
              <w:t xml:space="preserve">Chief People and Ethics Officer</w:t>
            </w:r>
          </w:p>
        </w:tc>
        <w:tc>
          <w:tcPr>
            <w:vAlign w:val="center"/>
            <w:tcBorders>
              <w:top w:val="single" w:sz="4" w:space="0" w:color="auto"/>
              <w:left w:val="single" w:sz="4" w:space="0" w:color="auto"/>
              <w:bottom w:val="single" w:sz="4" w:space="0" w:color="auto"/>
              <w:right w:val="single" w:sz="4" w:space="0" w:color="auto"/>
            </w:tcBorders>
          </w:tcPr>
          <w:p w14:paraId="001006DB" w14:textId="00100706">
            <w:pPr>
              <w:pStyle w:val="Normal"/>
              <w:jc w:val="left"/>
            </w:pPr>
            <w:r>
              <w:t xml:space="preserve">Group Executive Management</w:t>
            </w:r>
          </w:p>
        </w:tc>
        <w:tc>
          <w:tcPr>
            <w:vAlign w:val="center"/>
            <w:tcBorders>
              <w:top w:val="single" w:sz="4" w:space="0" w:color="auto"/>
              <w:left w:val="single" w:sz="4" w:space="0" w:color="auto"/>
              <w:bottom w:val="single" w:sz="4" w:space="0" w:color="auto"/>
              <w:right w:val="single" w:sz="4" w:space="0" w:color="auto"/>
            </w:tcBorders>
          </w:tcPr>
          <w:p w14:paraId="001006DD" w14:textId="00100707">
            <w:pPr>
              <w:pStyle w:val="Normal"/>
              <w:jc w:val="left"/>
            </w:pPr>
            <w:r>
              <w:t xml:space="preserve">Talent, culture, remuneration design, ethics and speak-up systems</w:t>
            </w:r>
          </w:p>
        </w:tc>
        <w:tc>
          <w:tcPr>
            <w:vAlign w:val="center"/>
            <w:tcBorders>
              <w:top w:val="single" w:sz="4" w:space="0" w:color="auto"/>
              <w:left w:val="single" w:sz="4" w:space="0" w:color="auto"/>
              <w:bottom w:val="single" w:sz="4" w:space="0" w:color="auto"/>
              <w:right w:val="single" w:sz="4" w:space="0" w:color="auto"/>
            </w:tcBorders>
          </w:tcPr>
          <w:p w14:paraId="001006DF" w14:textId="00100708">
            <w:pPr>
              <w:pStyle w:val="Normal"/>
              <w:jc w:val="left"/>
            </w:pPr>
            <w:r>
              <w:t xml:space="preserve">19 years in human capital, organizational development, and conduct programs</w:t>
            </w:r>
          </w:p>
        </w:tc>
      </w:tr>
      <w:tr>
        <w:tc>
          <w:tcPr>
            <w:vAlign w:val="center"/>
            <w:tcBorders>
              <w:top w:val="single" w:sz="4" w:space="0" w:color="auto"/>
              <w:left w:val="single" w:sz="4" w:space="0" w:color="auto"/>
              <w:bottom w:val="single" w:sz="4" w:space="0" w:color="auto"/>
              <w:right w:val="single" w:sz="4" w:space="0" w:color="auto"/>
            </w:tcBorders>
          </w:tcPr>
          <w:p w14:paraId="001006E1" w14:textId="00100709">
            <w:pPr>
              <w:pStyle w:val="Normal"/>
              <w:jc w:val="left"/>
            </w:pPr>
            <w:r>
              <w:t xml:space="preserve">Mina Solberg</w:t>
            </w:r>
          </w:p>
        </w:tc>
        <w:tc>
          <w:tcPr>
            <w:vAlign w:val="center"/>
            <w:tcBorders>
              <w:top w:val="single" w:sz="4" w:space="0" w:color="auto"/>
              <w:left w:val="single" w:sz="4" w:space="0" w:color="auto"/>
              <w:bottom w:val="single" w:sz="4" w:space="0" w:color="auto"/>
              <w:right w:val="single" w:sz="4" w:space="0" w:color="auto"/>
            </w:tcBorders>
          </w:tcPr>
          <w:p w14:paraId="001006E3" w14:textId="0010070A">
            <w:pPr>
              <w:pStyle w:val="Normal"/>
              <w:jc w:val="left"/>
            </w:pPr>
            <w:r>
              <w:t xml:space="preserve">Chief Sustainability and Public Affairs Officer</w:t>
            </w:r>
          </w:p>
        </w:tc>
        <w:tc>
          <w:tcPr>
            <w:vAlign w:val="center"/>
            <w:tcBorders>
              <w:top w:val="single" w:sz="4" w:space="0" w:color="auto"/>
              <w:left w:val="single" w:sz="4" w:space="0" w:color="auto"/>
              <w:bottom w:val="single" w:sz="4" w:space="0" w:color="auto"/>
              <w:right w:val="single" w:sz="4" w:space="0" w:color="auto"/>
            </w:tcBorders>
          </w:tcPr>
          <w:p w14:paraId="001006E5" w14:textId="0010070B">
            <w:pPr>
              <w:pStyle w:val="Normal"/>
              <w:jc w:val="left"/>
            </w:pPr>
            <w:r>
              <w:t xml:space="preserve">Group Executive Management</w:t>
            </w:r>
          </w:p>
        </w:tc>
        <w:tc>
          <w:tcPr>
            <w:vAlign w:val="center"/>
            <w:tcBorders>
              <w:top w:val="single" w:sz="4" w:space="0" w:color="auto"/>
              <w:left w:val="single" w:sz="4" w:space="0" w:color="auto"/>
              <w:bottom w:val="single" w:sz="4" w:space="0" w:color="auto"/>
              <w:right w:val="single" w:sz="4" w:space="0" w:color="auto"/>
            </w:tcBorders>
          </w:tcPr>
          <w:p w14:paraId="001006E7" w14:textId="0010070C">
            <w:pPr>
              <w:pStyle w:val="Normal"/>
              <w:jc w:val="left"/>
            </w:pPr>
            <w:r>
              <w:t xml:space="preserve">Climate, impact strategy, external affairs, disclosure coordination</w:t>
            </w:r>
          </w:p>
        </w:tc>
        <w:tc>
          <w:tcPr>
            <w:vAlign w:val="center"/>
            <w:tcBorders>
              <w:top w:val="single" w:sz="4" w:space="0" w:color="auto"/>
              <w:left w:val="single" w:sz="4" w:space="0" w:color="auto"/>
              <w:bottom w:val="single" w:sz="4" w:space="0" w:color="auto"/>
              <w:right w:val="single" w:sz="4" w:space="0" w:color="auto"/>
            </w:tcBorders>
          </w:tcPr>
          <w:p w14:paraId="001006E9" w14:textId="0010070D">
            <w:pPr>
              <w:pStyle w:val="Normal"/>
              <w:jc w:val="left"/>
            </w:pPr>
            <w:r>
              <w:t xml:space="preserve">18 years in sustainability strategy, policy engagement, and reporting systems</w:t>
            </w:r>
          </w:p>
        </w:tc>
      </w:tr>
    </w:tbl>
    <w:p w14:paraId="0010070E" w14:textId="00100710">
      <w:pPr>
        <w:pStyle w:val="Normal"/>
        <w:jc w:val="left"/>
      </w:pPr>
      <w:r>
        <w:t xml:space="preserve">Table 9 Personnel roster:</w:t>
      </w:r>
      <w:r>
        <w:t xml:space="preserve"> roles, organizational position, responsibilities, and relevant experience.</w:t>
      </w:r>
    </w:p>
    <w:p w14:paraId="00100711" w14:textId="00100712">
      <w:pPr>
        <w:pStyle w:val="Normal"/>
        <w:jc w:val="left"/>
      </w:pPr>
      <w:r>
        <w:t xml:space="preserve">4.2.1 Board Composition</w:t>
      </w:r>
    </w:p>
    <w:p w14:paraId="00100713" w14:textId="00100714">
      <w:pPr>
        <w:pStyle w:val="Normal"/>
        <w:jc w:val="left"/>
      </w:pPr>
      <w:r>
        <w:t xml:space="preserve">The Board of Rivermark Holdings is structured to provide independent oversight of strategy, risk, performance, and succession while maintaining sufficient knowledge of the Group’s operating sectors. At year end, independent non-executive directors represented a clear majority of Board members, with the roles of Chair and Chief Executive Officer separated. This structure supports balanced challenge in major decisions, including capital allocation, acquisitions, executive appointments, and risk tolerance. Independence is assessed annually against governance criteria covering employment history, commercial relationships, cross-directorships, and tenure-related considerations.</w:t>
      </w:r>
    </w:p>
    <w:p w14:paraId="00100715" w14:textId="00100716">
      <w:pPr>
        <w:pStyle w:val="Normal"/>
        <w:jc w:val="left"/>
      </w:pPr>
      <w:r>
        <w:t xml:space="preserve">Board tenure remains intentionally mixed. Longer-serving directors contribute continuity in portfolio and regulatory matters, while newer appointees strengthen digital, sustainability, and customer-market perspectives. The average tenure remains below the point at which independence concerns would normally be presumed, and committee composition has been refreshed over the last three reporting cycles to avoid concentration of influence. Diversity has also continued to improve. The Board includes a broader mix of gender, professional background, and international operating experience than in prior years, supporting richer debate on workforce issues, customer behavior, supply resilience, and transition planning. Taken together, the current composition is designed to combine independence, institutional memory, and perspective diversity in a manner appropriate for a multi-segment group.</w:t>
      </w:r>
    </w:p>
    <w:p w14:paraId="00100717" w14:textId="00100718">
      <w:pPr>
        <w:pStyle w:val="Normal"/>
        <w:jc w:val="left"/>
      </w:pPr>
      <w:r>
        <w:t xml:space="preserve">Board composition is monitored through a set of practical indicators rather than through representation targets alone. The Governance Office tracks independence ratio, committee chair independence, average tenure, tenure dispersion, meeting attendance, gender balance, and the distribution of sector, financial, operational, technology, people, and sustainability expertise. These indicators are reviewed during succession planning to identify areas where the Board may be over-weighted toward historical strengths and under-exposed to emerging strategic issues.</w:t>
      </w:r>
    </w:p>
    <w:p w14:paraId="00100719" w14:textId="0010071A">
      <w:pPr>
        <w:pStyle w:val="Normal"/>
        <w:jc w:val="left"/>
      </w:pPr>
      <w:r>
        <w:t xml:space="preserve">During the year, the Board’s skills matrix confirmed strong coverage in finance, capital markets, industrial operations, project delivery, and risk oversight. Additional depth was added in customer platforms, data governance, and climate-related decision making, reflecting the Group’s evolving strategic priorities. Composition indicators also showed high attendance and active committee participation, suggesting that formal structure is matched by effective engagement. The Board does not view diversity as separate from competence; rather, it treats diversity of experience and perspective as a condition for better judgment. On that basis, future refreshment will continue to emphasize complementary expertise, readiness for committee leadership, and the ability to oversee long-cycle investments, regulatory exposure, and transformation execution across Rivermark Holdings.</w:t>
      </w:r>
    </w:p>
    <w:p w14:paraId="0010071B" w14:textId="0010071C">
      <w:pPr>
        <w:pStyle w:val="Normal"/>
        <w:jc w:val="left"/>
      </w:pPr>
      <w:r>
        <w:t xml:space="preserve">4.2.1 Executive Leadership</w:t>
      </w:r>
    </w:p>
    <w:p w14:paraId="0010071D" w14:textId="0010071E">
      <w:pPr>
        <w:pStyle w:val="Normal"/>
        <w:jc w:val="left"/>
      </w:pPr>
      <w:r>
        <w:t xml:space="preserve">Executive leadership responsibilities are organized to align strategic direction with disciplined operational execution. The Chief Executive Officer is accountable for Group strategy, performance delivery, portfolio management, and the translation of Board-approved priorities into segment plans and resource commitments. The Chief Financial Officer oversees financial planning, funding, reporting integrity, tax, treasury, investor engagement, and capital discipline. The Chief Operating Officer is responsible for operating standards, service delivery, productivity programs, procurement coordination, and resilience across shared critical processes.</w:t>
      </w:r>
    </w:p>
    <w:p w14:paraId="0010071F" w14:textId="00100720">
      <w:pPr>
        <w:pStyle w:val="Normal"/>
        <w:jc w:val="left"/>
      </w:pPr>
      <w:r>
        <w:t xml:space="preserve">Other members of Group Executive Management carry enterprise-wide mandates over people, ethics, sustainability, technology enablement, and market development. These responsibilities are not limited to functional stewardship; each executive is expected to define measurable annual objectives, allocate resources against approved plans, and report progress through a common performance framework. Decision rights are documented through delegated authority schedules that distinguish Board-reserved matters from management actions. This helps ensure that day-to-day execution remains timely while decisions involving acquisitions, major capital commitments, incentive outcomes, and principal risk tolerances receive the appropriate level of oversight. The result is a leadership model designed to keep accountability clear even where delivery depends on coordination across segments and corporate functions.</w:t>
      </w:r>
    </w:p>
    <w:p w14:paraId="00100721" w14:textId="00100722">
      <w:pPr>
        <w:pStyle w:val="Normal"/>
        <w:jc w:val="left"/>
      </w:pPr>
      <w:r>
        <w:t xml:space="preserve">Operating leadership within Rivermark Holdings is built on a dual-accountability model. Segment leaders retain responsibility for commercial performance, customer relationships, operating delivery, and local talent decisions, while functional executives set minimum standards in finance, risk, compliance, safety, people, and sustainability. This arrangement is intended to preserve business responsiveness without allowing control practices to fragment across the Group. Each segment therefore operates through agreed annual plans, monthly performance reviews, and quarterly risk and capital reviews with the Group Executive Management team.</w:t>
      </w:r>
    </w:p>
    <w:p w14:paraId="00100723" w14:textId="00100724">
      <w:pPr>
        <w:pStyle w:val="Normal"/>
        <w:jc w:val="left"/>
      </w:pPr>
      <w:r>
        <w:t xml:space="preserve">Accountability is reinforced through scorecards that combine financial, operational, people, safety, and conduct measures. Segment and functional leaders are expected to explain variance against plan, identify corrective actions, and escalate matters that exceed delegated tolerances. The leadership process also places emphasis on cross-functional problem solving: working-capital improvement, contract quality, cyber preparedness, and decarbonization initiatives are managed through shared executive sponsorship rather than isolated business ownership. This reduces the risk that local optimization undermines Group-wide resilience or reporting quality. In practice, operating leadership is assessed not only by budget delivery but also by the consistency of controls, the strength of succession pipelines, and the capacity to execute strategic change in a disciplined manner.</w:t>
      </w:r>
    </w:p>
    <w:p w14:paraId="00100725" w14:textId="00100726">
      <w:pPr>
        <w:pStyle w:val="Normal"/>
        <w:jc w:val="left"/>
      </w:pPr>
      <w:r>
        <w:drawing>
          <wp:inline distT="0" distB="0" distL="0" distR="0">
            <wp:extent cx="2520000" cy="3240000"/>
            <wp:effectExtent l="0" t="0" r="0" b="0"/>
            <wp:docPr id="15" name="F02_15.png" descr=""/>
            <wp:cNvGraphicFramePr>
              <a:graphicFrameLocks noChangeAspect="1"/>
            </wp:cNvGraphicFramePr>
            <a:graphic>
              <a:graphicData uri="http://schemas.openxmlformats.org/drawingml/2006/picture">
                <pic:pic>
                  <pic:nvPicPr>
                    <pic:cNvPr id="15" name="F02_15.png"/>
                    <pic:cNvPicPr/>
                  </pic:nvPicPr>
                  <pic:blipFill>
                    <a:blip r:embed="R0103a6cb220b4688" cstate="print"/>
                    <a:stretch>
                      <a:fillRect/>
                    </a:stretch>
                  </pic:blipFill>
                  <pic:spPr>
                    <a:xfrm>
                      <a:off x="0" y="0"/>
                      <a:ext cx="2880000" cy="3600000"/>
                    </a:xfrm>
                    <a:prstGeom prst="rect">
                      <a:avLst/>
                    </a:prstGeom>
                  </pic:spPr>
                </pic:pic>
              </a:graphicData>
            </a:graphic>
          </wp:inline>
        </w:drawing>
      </w:r>
    </w:p>
    <w:p w14:paraId="00100727" w14:textId="00100728">
      <w:pPr>
        <w:pStyle w:val="Normal"/>
        <w:jc w:val="left"/>
      </w:pPr>
      <w:r>
        <w:t xml:space="preserve">Figure 12 Board and management portrait.</w:t>
      </w:r>
    </w:p>
    <w:p w14:paraId="00100729" w14:textId="0010072A">
      <w:pPr>
        <w:pStyle w:val="Normal"/>
        <w:jc w:val="left"/>
      </w:pPr>
      <w:r>
        <w:t xml:space="preserve">4.2 Ethics and Remuneration</w:t>
      </w:r>
    </w:p>
    <w:p w14:paraId="0010072B" w14:textId="0010072C">
      <w:pPr>
        <w:pStyle w:val="Normal"/>
        <w:jc w:val="left"/>
      </w:pPr>
      <w:r>
        <w:t xml:space="preserve">Rivermark Holdings approaches ethics and remuneration as mutually reinforcing elements of governance. The Group’s conduct system establishes the behavioral expectations within which commercial objectives must be pursued, while remuneration design determines how performance is rewarded and how risk is balanced over time. Core conduct arrangements include the Code of Business Conduct, conflict-of-interest declarations, anti-bribery procedures, supplier integrity requirements, mandatory policy acknowledgements, and confidential speak-up channels available to employees and third parties. These systems are supported by investigation protocols, disciplinary pathways, and periodic reporting to the People and Ethics Committee.</w:t>
      </w:r>
    </w:p>
    <w:p w14:paraId="0010072D" w14:textId="0010072E">
      <w:pPr>
        <w:pStyle w:val="Normal"/>
        <w:jc w:val="left"/>
      </w:pPr>
      <w:r>
        <w:t xml:space="preserve">Remuneration principles are designed to promote long-term value creation rather than short-term volume or earnings outcomes alone. Fixed pay reflects role scope and market positioning; annual incentives are linked to a balanced scorecard covering profit, cash, strategic execution, people leadership, safety, and conduct; and longer-term awards are tied to sustained financial and nonfinancial performance over multi-year periods. Malus and clawback provisions apply where results are misstated, misconduct is identified, or risk outcomes are inconsistent with reward. The Committee reviews outcomes in light of underlying business quality, affordability, succession needs, and shareholder expectations. In this way, the governance framework seeks to ensure that leadership behavior, control discipline, and reward outcomes remain aligned across the Group.</w:t>
      </w:r>
    </w:p>
    <w:p w14:paraId="0010072F" w14:textId="00100730">
      <w:pPr>
        <w:pStyle w:val="Normal"/>
        <w:jc w:val="left"/>
      </w:pPr>
      <w:r>
        <w:t xml:space="preserve">4.2.2 Business Conduct</w:t>
      </w:r>
    </w:p>
    <w:p w14:paraId="00100731" w14:textId="00100732">
      <w:pPr>
        <w:pStyle w:val="Normal"/>
        <w:jc w:val="left"/>
      </w:pPr>
      <w:r>
        <w:t xml:space="preserve">Rivermark Holdings maintains a group-wide Code of Business Conduct supported by detailed policies on anti-bribery and corruption, competition law, conflicts of interest, gifts and hospitality, data protection, sanctions screening, procurement integrity, and workplace respect. These requirements apply to directors, executives, employees, and relevant third parties operating on the group’s behalf. Policy ownership sits with the General Counsel and Chief People Officer, while implementation is embedded through local management accountabilities, annual attestations, onboarding requirements, and control procedures in high-risk functions such as sales, sourcing, government-facing activities, and finance. During the year, the policy framework was refreshed to simplify guidance, align definitions across segments, and improve escalation protocols for cross-border matters.</w:t>
      </w:r>
    </w:p>
    <w:p w14:paraId="00100733" w14:textId="00100734">
      <w:pPr>
        <w:pStyle w:val="Normal"/>
        <w:jc w:val="left"/>
      </w:pPr>
      <w:r>
        <w:t xml:space="preserve">Training remained a core preventive control. Mandatory e-learning on business conduct was assigned to all salaried employees, with targeted instructor-led modules for procurement teams, commercial leaders, site managers, and finance personnel in higher-risk markets. Completion rates were monitored monthly and reported to the People and Ethics Committee, with follow-up actions for overdue assignments. Investigations were managed under a formal case-handling protocol that requires intake assessment, preservation of evidence, independence of fact-finding, documented conclusions, and remediation tracking. Cases substantiated during the year primarily related to workplace behavior, procurement process deviations, and misuse of company assets. Where appropriate, disciplinary measures, manager coaching, process redesign, or control enhancements were implemented. Management considers the conduct framework to be functioning effectively, while acknowledging that continued reinforcement and timely case closure remain priority areas.</w:t>
      </w:r>
    </w:p>
    <w:p w14:paraId="00100735" w14:textId="00100736">
      <w:pPr>
        <w:pStyle w:val="Normal"/>
        <w:jc w:val="left"/>
      </w:pPr>
      <w:r>
        <w:t xml:space="preserve">The group’s speak-up system is designed to provide accessible, confidential, and where permitted by law anonymous reporting channels for employees, contractors, suppliers, and other stakeholders. Reports can be submitted through a multilingual hotline, a secure web portal, dedicated compliance email routes, or direct escalation to Human Resources, Internal Audit, Legal, or line management. To improve trust in the process, Rivermark Holdings continued to communicate non-retaliation protections, confidentiality standards, and investigation timelines through induction materials, manager toolkits, intranet campaigns, and site-level briefings. The reporting architecture is intended to capture both serious misconduct and lower-threshold concerns before they become systemic issues.</w:t>
      </w:r>
    </w:p>
    <w:p w14:paraId="00100737" w14:textId="00100738">
      <w:pPr>
        <w:pStyle w:val="Normal"/>
        <w:jc w:val="left"/>
      </w:pPr>
      <w:r>
        <w:t xml:space="preserve">Case indicators are reviewed quarterly by management and summarized for the People and Ethics Committee and, where relevant, the Audit and Risk Committee. During the reporting year, reporting volumes increased moderately, which management interprets as evidence of stronger awareness and confidence in the channels rather than a deterioration in underlying conduct. The largest categories of matters raised concerned people management, respectful workplace issues, procurement and supplier interactions, and control circumvention allegations. A smaller number related to fraud risk, data handling, and conflicts of interest. Each case is classified by severity, substantiation outcome, time to closure, and remediation status, allowing trends to be monitored by business unit and region. Substantiated cases led to corrective actions ranging from policy reminders and control changes to formal disciplinary sanctions. No material retaliation cases were confirmed, but management continues to treat reporter protection and consistent investigation quality as critical indicators of program credibility.</w:t>
      </w:r>
    </w:p>
    <w:p w14:paraId="00100739" w14:textId="0010073A">
      <w:pPr>
        <w:pStyle w:val="Normal"/>
        <w:jc w:val="left"/>
      </w:pPr>
      <w:r>
        <w:t xml:space="preserve">4.2.2 Remuneration Outcomes</w:t>
      </w:r>
    </w:p>
    <w:p w14:paraId="0010073B" w14:textId="0010073C">
      <w:pPr>
        <w:pStyle w:val="Normal"/>
        <w:jc w:val="left"/>
      </w:pPr>
      <w:r>
        <w:t xml:space="preserve">Rivermark Holdings applies remuneration principles intended to support long-term value creation, prudent risk-taking, leadership retention, and internal fairness. The framework is overseen by the People and Ethics Committee, which reviews market positioning, business context, shareholder expectations, and pay-for-performance outcomes before making recommendations to the Board. Executive remuneration is structured around fixed pay, annual incentives, and long-term incentive awards, with the balance calibrated to role scope, strategic importance, and the need to align management decisions with sustainable performance. Benefits and retirement arrangements are provided on a market-consistent basis and are not designed to offset weak core performance.</w:t>
      </w:r>
    </w:p>
    <w:p w14:paraId="0010073D" w14:textId="0010073E">
      <w:pPr>
        <w:pStyle w:val="Normal"/>
        <w:jc w:val="left"/>
      </w:pPr>
      <w:r>
        <w:t xml:space="preserve">Outcomes for the year reflected a mixed but overall resilient operating result. Annual incentive determinations considered financial delivery, cash discipline, strategic execution, safety, people measures, and conduct expectations. While certain growth and transformation objectives were achieved ahead of plan, payouts were moderated in areas where margin recovery, working-capital improvement, or delivery consistency fell below internal ambition. The committee also applied qualitative judgment to ensure that formulaic results did not reward outcomes achieved with excessive risk or weak governance practices. Long-term awards granted in prior years remain subject to future vesting conditions and clawback or malus provisions where applicable. In reviewing total outcomes, the Board concluded that remuneration remained proportionate to group performance and management contribution, while preserving clear accountability for underperformance in selected operational and financial measures.</w:t>
      </w:r>
    </w:p>
    <w:p w14:paraId="0010073F" w14:textId="00100740">
      <w:pPr>
        <w:pStyle w:val="Normal"/>
        <w:jc w:val="left"/>
      </w:pPr>
      <w:r>
        <w:t xml:space="preserve">Performance measures used in executive remuneration are designed to connect leadership rewards to the drivers of durable enterprise performance rather than to short-term earnings alone. For the reporting year, the scorecard combined financial indicators such as revenue quality, underlying operating profit, cash conversion, and return discipline with strategic and nonfinancial measures including safety performance, employee engagement priorities, customer execution milestones, and sustainability actions relevant to the business model. This balanced approach is intended to reduce incentives for value-destructive decisions, such as excessive cost deferral, underinvestment in capability, or revenue expansion that does not translate into cash and acceptable returns.</w:t>
      </w:r>
    </w:p>
    <w:p w14:paraId="00100741" w14:textId="00100742">
      <w:pPr>
        <w:pStyle w:val="Normal"/>
        <w:jc w:val="left"/>
      </w:pPr>
      <w:r>
        <w:t xml:space="preserve">Alignment is strengthened through the use of threshold, target, and stretch ranges, deferred vesting for long-term awards, and post-vesting holding expectations for senior leaders. The committee also reviews whether outcomes are consistent with the experience of shareholders, employees, and customers over the same period. Where operational incidents, control failures, or conduct issues occur, remuneration decisions may be adjusted irrespective of numerical scorecard performance. This reinforces the principle that how results are achieved matters as much as the results themselves. The long-term incentive structure further links management interests to sustained value creation by using multi-year performance periods and continued service requirements. Taken together, these measures are intended to align executive behavior with Rivermark Holdings’ strategy, resilience objectives, governance standards, and broader stakeholder commitments over time rather than over a single reporting cycle.</w:t>
      </w:r>
    </w:p>
    <w:p w14:paraId="00101CF4" w14:textId="00101CF5">
      <w:pPr>
        <w:pStyle w:val="Normal"/>
        <w:jc w:val="left"/>
        <w:sectPr>
          <w:type w:val="nextPage"/>
          <w:pgSz w:w="11906" w:h="16838"/>
          <w:pgMar w:top="1440" w:right="1440" w:bottom="1440" w:left="1440" w:header="1440" w:footer="1440" w:gutter="0"/>
          <w:cols w:space="720" w:num="1"/>
        </w:sectPr>
      </w:pPr>
    </w:p>
    <w:p w14:paraId="00100747" w14:textId="00100748">
      <w:pPr>
        <w:pStyle w:val="Normal"/>
        <w:jc w:val="left"/>
      </w:pPr>
      <w:r>
        <w:t xml:space="preserve">Chapter 5 Risk Management</w:t>
      </w:r>
    </w:p>
    <w:p w14:paraId="00100749" w14:textId="0010074A">
      <w:pPr>
        <w:pStyle w:val="Normal"/>
        <w:jc w:val="left"/>
      </w:pPr>
      <w:r>
        <w:t xml:space="preserve">Rivermark Holdings manages risk as an integral part of strategy execution, capital allocation, operational delivery, and stakeholder stewardship. During the year, management focused on a set of enterprise priorities that had the greatest potential to affect earnings resilience, cash generation, license to operate, and long-term value creation. These priorities included demand volatility across key end markets, inflation and input-cost pressure, cyber and data-security threats, supply-chain concentration, project execution risk in Infrastructure Services, regulatory change, and the pace of transition required to meet environmental and safety expectations.</w:t>
      </w:r>
    </w:p>
    <w:p w14:paraId="0010074B" w14:textId="0010074C">
      <w:pPr>
        <w:pStyle w:val="Normal"/>
        <w:jc w:val="left"/>
      </w:pPr>
      <w:r>
        <w:t xml:space="preserve">The Group’s risk agenda is designed to do more than prevent loss. It supports disciplined growth by clarifying which risks Rivermark Holdings is prepared to accept in pursuit of returns, which risks require mitigation before commitment, and which exposures fall outside approved tolerance. This distinction is particularly important in a diversified group where market-facing businesses encounter different pricing cycles, customer concentrations, and operating constraints. Accordingly, risk management is embedded in budgeting, investment review, contract approval, treasury planning, and sustainability oversight rather than being treated as a stand-alone compliance exercise.</w:t>
      </w:r>
    </w:p>
    <w:p w14:paraId="0010074D" w14:textId="0010074E">
      <w:pPr>
        <w:pStyle w:val="Normal"/>
        <w:jc w:val="left"/>
      </w:pPr>
      <w:r>
        <w:t xml:space="preserve">Across the reporting period, the Board and management continued to refine early-warning indicators, improve escalation protocols, and strengthen the linkage between principal risks and segment action plans. The result is a risk framework intended to improve preparedness, speed of response, and decision quality under changing market conditions.</w:t>
      </w:r>
    </w:p>
    <w:p w14:paraId="0010074F" w14:textId="00100750">
      <w:pPr>
        <w:pStyle w:val="Normal"/>
        <w:jc w:val="left"/>
      </w:pPr>
      <w:r>
        <w:t xml:space="preserve">5. Risk Framework</w:t>
      </w:r>
    </w:p>
    <w:p w14:paraId="00100751" w14:textId="00100752">
      <w:pPr>
        <w:pStyle w:val="Normal"/>
        <w:jc w:val="left"/>
      </w:pPr>
      <w:r>
        <w:t xml:space="preserve">The Rivermark Holdings risk framework establishes a common method for identifying, assessing, responding to, monitoring, and reporting material risks across the Group. It applies to strategic, operational, financial, compliance, technology, sustainability, and people-related exposures, while allowing each segment to reflect its specific operating profile. The framework begins with risk identification through annual planning, quarterly business reviews, incident reporting, project controls, internal audit findings, and horizon scanning for emerging external developments. Risks are then assessed using a combination of likelihood, financial effect, operational disruption, safety consequence, reputational impact, and velocity of onset.</w:t>
      </w:r>
    </w:p>
    <w:p w14:paraId="00100753" w14:textId="00100754">
      <w:pPr>
        <w:pStyle w:val="Normal"/>
        <w:jc w:val="left"/>
      </w:pPr>
      <w:r>
        <w:t xml:space="preserve">Once assessed, risks are assigned to accountable owners who define mitigation actions, target residual exposure, key risk indicators, and review frequency. Management responses typically include avoidance, reduction, transfer, acceptance within approved appetite, or contingency planning. This structure supports consistency in how Industrial Solutions, Consumer Platforms, and Infrastructure Services evaluate exposures while preserving sufficient flexibility for sector-specific controls.</w:t>
      </w:r>
    </w:p>
    <w:p w14:paraId="00100755" w14:textId="00100756">
      <w:pPr>
        <w:pStyle w:val="Normal"/>
        <w:jc w:val="left"/>
      </w:pPr>
      <w:r>
        <w:t xml:space="preserve">The framework is supported by policy standards, delegated authorities, reporting protocols, and assurance activities. Segment leadership reviews risk registers regularly, while Group functions oversee cross-cutting matters such as treasury, cyber security, legal exposure, tax, ethics, and sustainability controls. Combined with Board oversight, this creates a closed loop in which identified risks are translated into action plans, monitored through indicators, challenged through assurance, and revised as conditions change.</w:t>
      </w:r>
    </w:p>
    <w:p w14:paraId="00100757" w14:textId="00100758">
      <w:pPr>
        <w:pStyle w:val="Normal"/>
        <w:jc w:val="left"/>
      </w:pPr>
      <w:r>
        <w:drawing>
          <wp:inline distT="0" distB="0" distL="0" distR="0">
            <wp:extent cx="5400000" cy="2160000"/>
            <wp:effectExtent l="0" t="0" r="0" b="0"/>
            <wp:docPr id="16" name="F01_16.png" descr=""/>
            <wp:cNvGraphicFramePr>
              <a:graphicFrameLocks noChangeAspect="1"/>
            </wp:cNvGraphicFramePr>
            <a:graphic>
              <a:graphicData uri="http://schemas.openxmlformats.org/drawingml/2006/picture">
                <pic:pic>
                  <pic:nvPicPr>
                    <pic:cNvPr id="16" name="F01_16.png"/>
                    <pic:cNvPicPr/>
                  </pic:nvPicPr>
                  <pic:blipFill>
                    <a:blip r:embed="R5b710bcd4f3c42a5" cstate="print"/>
                    <a:stretch>
                      <a:fillRect/>
                    </a:stretch>
                  </pic:blipFill>
                  <pic:spPr>
                    <a:xfrm>
                      <a:off x="0" y="0"/>
                      <a:ext cx="5040000" cy="2520000"/>
                    </a:xfrm>
                    <a:prstGeom prst="rect">
                      <a:avLst/>
                    </a:prstGeom>
                  </pic:spPr>
                </pic:pic>
              </a:graphicData>
            </a:graphic>
          </wp:inline>
        </w:drawing>
      </w:r>
    </w:p>
    <w:p w14:paraId="00100759" w14:textId="0010075A">
      <w:pPr>
        <w:pStyle w:val="Normal"/>
        <w:jc w:val="left"/>
      </w:pPr>
      <w:r>
        <w:t xml:space="preserve">Figure 19. Risk management process overview</w:t>
      </w:r>
    </w:p>
    <w:p w14:paraId="0010075B" w14:textId="0010075C">
      <w:pPr>
        <w:pStyle w:val="Normal"/>
        <w:jc w:val="left"/>
      </w:pPr>
      <w:r>
        <w:t xml:space="preserve">5.1 Risk Governance</w:t>
      </w:r>
    </w:p>
    <w:p w14:paraId="0010075D" w14:textId="0010075E">
      <w:pPr>
        <w:pStyle w:val="Normal"/>
        <w:jc w:val="left"/>
      </w:pPr>
      <w:r>
        <w:t xml:space="preserve">Risk governance at Rivermark Holdings is built on clear accountability from operating management to the Board. Day-to-day responsibility for managing risk rests with business and functional leaders, who are expected to identify exposures within their areas, maintain effective controls, and escalate issues that exceed local authority or tolerance. Segment executive teams review risk registers, emerging issues, and mitigation progress as part of routine performance management. Group-level functions provide specialist oversight for treasury, legal, compliance, cyber security, health and safety, sustainability, and financial reporting matters.</w:t>
      </w:r>
    </w:p>
    <w:p w14:paraId="0010075F" w14:textId="00100760">
      <w:pPr>
        <w:pStyle w:val="Normal"/>
        <w:jc w:val="left"/>
      </w:pPr>
      <w:r>
        <w:t xml:space="preserve">The Executive Committee consolidates principal risks at enterprise level, evaluates interdependencies across segments, and determines whether additional controls, capital measures, or strategic responses are required. Matters with significant financial, safety, regulatory, or reputational implications are escalated to the Audit and Risk Committee, which reviews the adequacy of the control environment, the status of mitigation plans, and changes in overall risk exposure. The Board retains oversight of risk appetite, principal risks, and resilience planning.</w:t>
      </w:r>
    </w:p>
    <w:p w14:paraId="00100761" w14:textId="00100762">
      <w:pPr>
        <w:pStyle w:val="Normal"/>
        <w:jc w:val="left"/>
      </w:pPr>
      <w:r>
        <w:t xml:space="preserve">Escalation is triggered not only by realized incidents but also by breaches of thresholds, deterioration in key indicators, emerging legal or regulatory developments, and evidence that planned mitigations are off track. This governance model is intended to ensure that material risk information moves quickly to the appropriate decision makers and that accountability remains visible throughout the organization.</w:t>
      </w:r>
    </w:p>
    <w:p w14:paraId="00100763" w14:textId="00100764">
      <w:pPr>
        <w:pStyle w:val="Normal"/>
        <w:jc w:val="left"/>
      </w:pPr>
      <w:r>
        <w:t xml:space="preserve">5.1.1 Risk Appetite</w:t>
      </w:r>
    </w:p>
    <w:p w14:paraId="00100765" w14:textId="00100766">
      <w:pPr>
        <w:pStyle w:val="Normal"/>
        <w:jc w:val="left"/>
      </w:pPr>
      <w:r>
        <w:t xml:space="preserve">Rivermark Holdings defines risk appetite as the amount and type of risk it is willing to accept in pursuit of its strategic and financial objectives. The Group maintains differentiated boundaries across major categories because a uniform tolerance would not reflect the economics of the portfolio. Higher tolerance may be acceptable for measured commercial risk associated with innovation, market entry, or selective capital deployment where returns justify uncertainty and downside is containable. By contrast, the Group maintains low tolerance for breaches involving safety, fraud, corruption, deliberate misconduct, material regulatory non-compliance, or actions that could significantly impair liquidity or stakeholder trust.</w:t>
      </w:r>
    </w:p>
    <w:p w14:paraId="00100767" w14:textId="00100768">
      <w:pPr>
        <w:pStyle w:val="Normal"/>
        <w:jc w:val="left"/>
      </w:pPr>
      <w:r>
        <w:t xml:space="preserve">These boundaries are translated into practical limits through policies, approval matrices, covenants, and operating standards. Examples include leverage and liquidity guardrails in treasury management, bid-selection criteria for long-duration contracts, concentration thresholds for major customers and suppliers, cyber control minimums, and mandatory safety requirements across sites and projects. Where exposures approach tolerance limits, management is required to reassess assumptions, intensify monitoring, and implement additional mitigations before proceeding.</w:t>
      </w:r>
    </w:p>
    <w:p w14:paraId="00100769" w14:textId="0010076A">
      <w:pPr>
        <w:pStyle w:val="Normal"/>
        <w:jc w:val="left"/>
      </w:pPr>
      <w:r>
        <w:t xml:space="preserve">Risk appetite is reviewed periodically to reflect changes in market conditions, capital capacity, strategic priorities, and external obligations. This review helps ensure that growth ambitions remain aligned with the Group’s financial resilience, operating capability, and governance expectations.</w:t>
      </w:r>
    </w:p>
    <w:p w14:paraId="0010076B" w14:textId="0010076C">
      <w:pPr>
        <w:pStyle w:val="Normal"/>
        <w:jc w:val="left"/>
      </w:pPr>
      <w:r>
        <w:t xml:space="preserve">Decision thresholds convert risk appetite into operational discipline. For material investments, acquisitions, major contracts, restructuring actions, and funding decisions, proposals must be evaluated against defined return hurdles, downside scenarios, cash-flow effects, execution complexity, and residual risk after mitigation. Transactions that remain within delegated authority may be approved at segment or functional level, while proposals with larger exposures, longer duration, unusual contractual terms, or elevated uncertainty are escalated to the Executive Committee or the Board.</w:t>
      </w:r>
    </w:p>
    <w:p w14:paraId="0010076D" w14:textId="0010076E">
      <w:pPr>
        <w:pStyle w:val="Normal"/>
        <w:jc w:val="left"/>
      </w:pPr>
      <w:r>
        <w:t xml:space="preserve">Threshold design also reflects risk velocity and reversibility. A moderate exposure that can be exited quickly may require a different approval path from a lower-probability risk that could create long-term liabilities or reputational damage. For that reason, management uses both quantitative triggers and qualitative judgment. Quantitative triggers include limits for capital outlay, earnings sensitivity, counterparty exposure, covenant headroom, and uninsured loss potential. Qualitative triggers include regulatory sensitivity, safety criticality, customer dependency, technology maturity, and complexity of implementation.</w:t>
      </w:r>
    </w:p>
    <w:p w14:paraId="0010076F" w14:textId="00100770">
      <w:pPr>
        <w:pStyle w:val="Normal"/>
        <w:jc w:val="left"/>
      </w:pPr>
      <w:r>
        <w:t xml:space="preserve">This threshold-based approach improves consistency across the Group and reduces the likelihood that high-risk commitments are approved on the basis of growth expectations alone. It also enables post-decision monitoring, since the same thresholds used at approval stage can be tracked through delivery milestones, compliance attestations, and key risk indicators.</w:t>
      </w:r>
    </w:p>
    <w:p w14:paraId="00100771" w14:textId="00100772">
      <w:pPr>
        <w:pStyle w:val="Normal"/>
        <w:jc w:val="left"/>
      </w:pPr>
      <w:r>
        <w:t xml:space="preserve">5.1.1 Risk Assessment</w:t>
      </w:r>
    </w:p>
    <w:p w14:paraId="00100773" w14:textId="00100774">
      <w:pPr>
        <w:pStyle w:val="Normal"/>
        <w:jc w:val="left"/>
      </w:pPr>
      <w:r>
        <w:t xml:space="preserve">Rivermark Holdings uses a structured risk assessment methodology that combines top-down enterprise review with bottom-up operational analysis. At least annually, and more frequently for dynamic exposures, management identifies risks by reference to strategy updates, business plans, project reviews, incident trends, audit findings, customer and supplier concentrations, treasury positions, regulatory developments, and external market intelligence. Each risk is described in terms of source, event, consequence, control environment, and ownership so that assessment is tied to specific decisions and processes rather than broad labels.</w:t>
      </w:r>
    </w:p>
    <w:p w14:paraId="00100775" w14:textId="00100776">
      <w:pPr>
        <w:pStyle w:val="Normal"/>
        <w:jc w:val="left"/>
      </w:pPr>
      <w:r>
        <w:t xml:space="preserve">Risks are then evaluated on both inherent and residual bases. Inherent risk reflects the severity of the exposure before controls, while residual risk reflects the remaining level after considering prevention, detection, response, and recovery measures. Scoring considers financial magnitude, impact on people and safety, service disruption, legal or regulatory consequence, reputational effect, and the speed with which the event could crystallize. Scenario analysis is used for selected high-impact areas such as cyber events, liquidity stress, major project delays, and abrupt demand contractions.</w:t>
      </w:r>
    </w:p>
    <w:p w14:paraId="00100777" w14:textId="00100778">
      <w:pPr>
        <w:pStyle w:val="Normal"/>
        <w:jc w:val="left"/>
      </w:pPr>
      <w:r>
        <w:t xml:space="preserve">Assessment outputs are consolidated into segment and Group risk registers, supported by key risk indicators and action plans. Ratings are not static: they are updated when assumptions change, incidents occur, controls weaken, or mitigation actions improve resilience. This methodology allows management to compare different categories of risk on a common basis while still recognizing the distinct characteristics of strategic, operational, and financial exposures.</w:t>
      </w:r>
    </w:p>
    <w:p w14:paraId="00100779" w14:textId="0010077A">
      <w:pPr>
        <w:pStyle w:val="Normal"/>
        <w:jc w:val="left"/>
      </w:pPr>
      <w:r>
        <w:t xml:space="preserve">Rivermark Holdings supplements its periodic risk reviews with a defined set of emerging risk indicators intended to identify shifts before they become full-loss events or materially affect strategic delivery. These indicators combine external signals and internal operating data. External signals include order deferrals in key end markets, abnormal input-cost volatility, regulatory consultation activity affecting product standards, contractor insolvency trends, and changes in cyber threat severity reported across the sectors in which the Group operates. Internal indicators include unusual movements in customer churn, project rework rates, safety observations, supplier lead-time compression, policy override requests, delayed reconciliations, and concentrations of manual journal entries near reporting dates.</w:t>
      </w:r>
    </w:p>
    <w:p w14:paraId="0010077B" w14:textId="0010077C">
      <w:pPr>
        <w:pStyle w:val="Normal"/>
        <w:jc w:val="left"/>
      </w:pPr>
      <w:r>
        <w:t xml:space="preserve">The indicators are assessed through a tiered process. First-line management reviews changes within operating dashboards each month, while Group Risk aggregates cross-segment movements to identify correlation patterns that may not be visible within a single business. Thresholds are not treated as automatic triggers in isolation; management considers persistence, geographic spread, financial sensitivity, and the extent to which indicators are supported by qualitative intelligence from customers, suppliers, regulators, and internal audit work. This prevents overreaction to short-term noise while ensuring that weak signals are not dismissed.</w:t>
      </w:r>
    </w:p>
    <w:p w14:paraId="0010077D" w14:textId="0010077E">
      <w:pPr>
        <w:pStyle w:val="Normal"/>
        <w:jc w:val="left"/>
      </w:pPr>
      <w:r>
        <w:t xml:space="preserve">During the year, the most relevant emerging indicators related to tighter customer procurement cycles, higher attempted phishing volumes, and longer permitting timelines for selected infrastructure projects. Early identification enabled the Group to adjust bid assumptions, strengthen authentication controls, and re-sequence resource deployment. As a result, the indicator framework has become a practical tool for forward-looking risk management rather than a passive reporting exercise.</w:t>
      </w:r>
    </w:p>
    <w:p w14:paraId="0010077F" w14:textId="00100780">
      <w:pPr>
        <w:pStyle w:val="Normal"/>
        <w:jc w:val="left"/>
      </w:pPr>
      <w:r>
        <w:t xml:space="preserve">5.1 Internal Controls</w:t>
      </w:r>
    </w:p>
    <w:p w14:paraId="00100781" w14:textId="00100782">
      <w:pPr>
        <w:pStyle w:val="Normal"/>
        <w:jc w:val="left"/>
      </w:pPr>
      <w:r>
        <w:t xml:space="preserve">Rivermark Holdings maintains an internal control environment designed to support reliable reporting, disciplined operations, lawful conduct, and timely escalation of issues. The framework is built around clear accountability in the first line, oversight and policy ownership in the second line, and independent assurance from Internal Audit. Control responsibilities are embedded in management objectives, delegated authority schedules, financial close procedures, procurement approvals, contract governance, safety management routines, and information-security protocols. This structure is intended to ensure that control activities are part of normal business execution rather than a separate compliance layer.</w:t>
      </w:r>
    </w:p>
    <w:p w14:paraId="00100783" w14:textId="00100784">
      <w:pPr>
        <w:pStyle w:val="Normal"/>
        <w:jc w:val="left"/>
      </w:pPr>
      <w:r>
        <w:t xml:space="preserve">The control environment is reinforced by documented policies, mandatory training, standardized process narratives, and periodic certification by business and functional leaders. Group-wide minimum control standards apply to treasury, financial reporting, master data changes, access administration, third-party onboarding, payroll, environmental and safety reporting, and incident response. Local management may implement additional controls where operational complexity or regulatory requirements are higher, but core principles remain consistent across the Group. These principles include segregation of duties, evidence-based approvals, restricted system access, exception reporting, and formal review of significant estimates and judgments.</w:t>
      </w:r>
    </w:p>
    <w:p w14:paraId="00100785" w14:textId="00100786">
      <w:pPr>
        <w:pStyle w:val="Normal"/>
        <w:jc w:val="left"/>
      </w:pPr>
      <w:r>
        <w:t xml:space="preserve">Tone from leadership remains central to effectiveness. The Board and executive management communicate that performance targets do not override ethical conduct, control compliance, or reporting accuracy. Speak-up channels, investigation protocols, and consequence management support this expectation. While no control framework can eliminate all risk, the Group’s objective is to maintain a proportionate and well-documented environment that reduces the likelihood of material error, fraud, operational breakdown, or delayed response to emerging issues.</w:t>
      </w:r>
    </w:p>
    <w:p w14:paraId="00100787" w14:textId="00100788">
      <w:pPr>
        <w:pStyle w:val="Normal"/>
        <w:jc w:val="left"/>
      </w:pPr>
      <w:r>
        <w:t xml:space="preserve">5.1.2 Control Design</w:t>
      </w:r>
    </w:p>
    <w:p w14:paraId="00100789" w14:textId="0010078A">
      <w:pPr>
        <w:pStyle w:val="Normal"/>
        <w:jc w:val="left"/>
      </w:pPr>
      <w:r>
        <w:t xml:space="preserve">Key process controls are designed around the activities most capable of affecting Rivermark Holdings’ financial integrity, operating continuity, and compliance profile. Within revenue and receivables, controls include contract approval against delegated authorities, review of nonstandard commercial terms, system-based billing checks, credit assessment for higher-risk counterparties, and reconciliations of contract assets and liabilities. In procurement and payables, the Group applies vendor onboarding reviews, purchase-order matching, restricted changes to supplier master data, approval workflows for spend commitments, and periodic duplicate-payment analytics. Inventory and project delivery controls focus on cycle counts, costing reviews, milestone certification, change-order approval, and monitoring of obsolete or slow-moving stock.</w:t>
      </w:r>
    </w:p>
    <w:p w14:paraId="0010078B" w14:textId="0010078C">
      <w:pPr>
        <w:pStyle w:val="Normal"/>
        <w:jc w:val="left"/>
      </w:pPr>
      <w:r>
        <w:t xml:space="preserve">Treasury controls address bank mandate governance, daily cash visibility, dual authorization for payments, covenant monitoring, and confirmation of borrowing terms. Human resources and payroll controls include controlled access to employee master records, segregation between payroll preparation and payment release, review of unusual overtime or termination payments, and periodic validation of headcount against approved structures. In information technology, privileged access is restricted and monitored, critical changes require testing and approval, and backup and recovery arrangements are subject to defined resilience standards.</w:t>
      </w:r>
    </w:p>
    <w:p w14:paraId="0010078D" w14:textId="0010078E">
      <w:pPr>
        <w:pStyle w:val="Normal"/>
        <w:jc w:val="left"/>
      </w:pPr>
      <w:r>
        <w:t xml:space="preserve">Control design also takes account of judgment-heavy areas such as impairment testing, provisions, tax positions, and sustainability data compilation. Here, the emphasis is on documented assumptions, management challenge, source-data traceability, and review by suitably qualified personnel. The intent is not merely to create checkpoints, but to establish controls that address root risk drivers and produce evidence capable of supporting both management decisions and external reporting.</w:t>
      </w:r>
    </w:p>
    <w:p w14:paraId="0010078F" w14:textId="00100790">
      <w:pPr>
        <w:pStyle w:val="Normal"/>
        <w:jc w:val="left"/>
      </w:pPr>
      <w:r>
        <w:t xml:space="preserve">The Group’s assurance model is closely linked to control design. Controls that address higher-impact risks are mapped to assurance activities so that management, Internal Audit, and the Audit and Risk Committee can understand whether critical protections are operating as intended. First-line managers perform routine supervisory reviews, balance-sheet reconciliations, self-assessments, and operational control attestations. Second-line functions, including Risk, Compliance, Finance, Cybersecurity, and Sustainability, monitor adherence to policy requirements, review exceptions, and test selected controls in areas where technical interpretation or regulatory exposure is significant.</w:t>
      </w:r>
    </w:p>
    <w:p w14:paraId="00100791" w14:textId="00100792">
      <w:pPr>
        <w:pStyle w:val="Normal"/>
        <w:jc w:val="left"/>
      </w:pPr>
      <w:r>
        <w:t xml:space="preserve">Internal Audit provides independent assurance using a risk-based plan approved by the Audit and Risk Committee. Its reviews evaluate both design effectiveness and operating effectiveness, with particular attention to areas where control failure could lead to material misstatement, regulatory breach, safety harm, cyber compromise, or major contract underperformance. Findings are graded according to severity and are tracked through formal remediation plans with accountable owners and due dates. External assurance also contributes in specific domains, including the statutory audit of financial reporting and selected assurance procedures over sustainability and control-related disclosures.</w:t>
      </w:r>
    </w:p>
    <w:p w14:paraId="00100793" w14:textId="00100794">
      <w:pPr>
        <w:pStyle w:val="Normal"/>
        <w:jc w:val="left"/>
      </w:pPr>
      <w:r>
        <w:t xml:space="preserve">This layered approach gives Rivermark Holdings a more reliable view of control health than any single testing activity could provide. It also helps management distinguish between isolated execution lapses and structural design weaknesses. Where multiple assurance sources identify similar themes, the Group uses those insights to refine process architecture, training, or system configuration. In this way, assurance is not treated only as retrospective verification; it is used as an input to continuous improvement in the broader control framework.</w:t>
      </w:r>
    </w:p>
    <w:p w14:paraId="00100795" w14:textId="00100796">
      <w:pPr>
        <w:pStyle w:val="Normal"/>
        <w:jc w:val="left"/>
      </w:pPr>
      <w:r>
        <w:t xml:space="preserve">5.1.2 Control Monitoring</w:t>
      </w:r>
    </w:p>
    <w:p w14:paraId="00100797" w14:textId="00100798">
      <w:pPr>
        <w:pStyle w:val="Normal"/>
        <w:jc w:val="left"/>
      </w:pPr>
      <w:r>
        <w:t xml:space="preserve">Control monitoring at Rivermark Holdings combines scheduled testing, continuous data review, and issue-driven examination. Management control testing is performed throughout the year over key financial and operational processes, with frequency based on risk level, transaction volume, and the degree of reliance placed on the control. Core financial-close controls, treasury authorizations, user-access reviews, and journal-entry oversight are tested more frequently than lower-risk administrative procedures. In parallel, automated reports and exception analytics are used to identify unusual transactions, aging items, unresolved reconciliations, access conflicts, and policy overrides requiring follow-up.</w:t>
      </w:r>
    </w:p>
    <w:p w14:paraId="00100799" w14:textId="0010079A">
      <w:pPr>
        <w:pStyle w:val="Normal"/>
        <w:jc w:val="left"/>
      </w:pPr>
      <w:r>
        <w:t xml:space="preserve">During the year, testing identified that the majority of key controls operated effectively, particularly in cash management, centralized procurement approval, and period-end reporting disciplines. The most common findings did not indicate pervasive breakdowns; instead, they related to inconsistent evidence retention, delays in review completion, incomplete documentation of manual control performance, and local deviations from standard approval thresholds following organizational changes. In technology-related areas, several findings concerned timeliness of access recertification and stronger documentation of emergency change approvals. In selected project businesses, monitoring also highlighted the need for more consistent linkage between milestone certification and forecast updates.</w:t>
      </w:r>
    </w:p>
    <w:p w14:paraId="0010079B" w14:textId="0010079C">
      <w:pPr>
        <w:pStyle w:val="Normal"/>
        <w:jc w:val="left"/>
      </w:pPr>
      <w:r>
        <w:t xml:space="preserve">Findings are assessed for severity by considering control purpose, compensating controls, recurrence, and potential exposure. Matters assessed as high priority are escalated promptly to segment leadership and Group functions, with reporting to the Audit and Risk Committee where appropriate. This monitoring approach allows the Group to focus not only on whether exceptions exist, but on whether they reveal broader process discipline issues that warrant systemic action.</w:t>
      </w:r>
    </w:p>
    <w:p w14:paraId="0010079D" w14:textId="0010079E">
      <w:pPr>
        <w:pStyle w:val="Normal"/>
        <w:jc w:val="left"/>
      </w:pPr>
      <w:r>
        <w:t xml:space="preserve">Remediation trends during the year indicate gradual strengthening of control maturity across the Group, although progress has not been uniform in every business line. The overall number of open findings older than target due date decreased compared with the prior year, reflecting tighter governance over action tracking and clearer ownership at segment and functional levels. A larger share of remediation activity involved preventive improvements, such as workflow automation, system-enforced approval routing, standardized templates, and enhanced user-access controls, rather than only detective fixes after an issue had occurred. This shift is important because it reduces repeat exceptions and lowers dependence on manual intervention.</w:t>
      </w:r>
    </w:p>
    <w:p w14:paraId="0010079F" w14:textId="001007A0">
      <w:pPr>
        <w:pStyle w:val="Normal"/>
        <w:jc w:val="left"/>
      </w:pPr>
      <w:r>
        <w:t xml:space="preserve">Several recurring themes were addressed through cross-Group responses rather than isolated local actions. Documentation quality was improved through revised evidence standards and manager training. Delays in reconciliations were reduced by aligning close calendars and introducing escalation for unresolved balances earlier in the reporting cycle. Access-control findings were addressed through centralized recertification routines and stricter removal of dormant accounts. In project-based operations, remediation focused on contract-change governance, profitability forecasting discipline, and stronger linkage between operational milestones and financial reporting inputs.</w:t>
      </w:r>
    </w:p>
    <w:p w14:paraId="001007A1" w14:textId="001007A2">
      <w:pPr>
        <w:pStyle w:val="Normal"/>
        <w:jc w:val="left"/>
      </w:pPr>
      <w:r>
        <w:t xml:space="preserve">While the direction of travel is positive, management recognizes that remediation effectiveness depends on sustainability over multiple reporting periods. Accordingly, closed actions are subject to validation testing, and repeated findings are treated as indicators of underlying design or capability gaps rather than mere execution oversights. The Group also tracks elapsed time to close, recurrence rate, and concentration of findings by process to inform resource allocation. This enables Rivermark Holdings to move from reactive issue closure toward a more predictive and resilient control-improvement cycle.</w:t>
      </w:r>
    </w:p>
    <w:p w14:paraId="001007A3" w14:textId="001007A4">
      <w:pPr>
        <w:pStyle w:val="Normal"/>
        <w:jc w:val="left"/>
      </w:pPr>
      <w:r>
        <w:t xml:space="preserve">5. Principal Risks</w:t>
      </w:r>
    </w:p>
    <w:p w14:paraId="001007A5" w14:textId="001007A6">
      <w:pPr>
        <w:pStyle w:val="Normal"/>
        <w:jc w:val="left"/>
      </w:pPr>
      <w:r>
        <w:t xml:space="preserve">Rivermark Holdings’ principal enterprise risks are those that could materially affect strategy execution, financial performance, liquidity, reputation, legal compliance, or operational resilience over the short to medium term. The Group’s risk profile remains diversified across industrial demand cycles, consumer behavior, contract execution, funding markets, technology dependence, and regulatory developments. However, several risks have become more interconnected, meaning that stress in one area may amplify pressure in another. For example, weaker demand can intensify pricing competition, slow cash conversion, and increase restructuring complexity, while cyber disruption can affect both operations and reporting integrity.</w:t>
      </w:r>
    </w:p>
    <w:p w14:paraId="001007A7" w14:textId="001007A8">
      <w:pPr>
        <w:pStyle w:val="Normal"/>
        <w:jc w:val="left"/>
      </w:pPr>
      <w:r>
        <w:t xml:space="preserve">The most significant categories considered by management and the Board include market and macroeconomic exposure, strategic execution risk, major project delivery risk, supply-chain and supplier continuity risk, cybersecurity and data protection risk, safety and operational continuity risk, financial resilience risk, and reporting and compliance risk. These are assessed in relation to specific segment characteristics. Industrial Solutions is more sensitive to customer capital spending and input costs, Consumer Platforms to demand elasticity and channel effectiveness, and Infrastructure Services to contract timing, permitting, labor capacity, and delivery discipline. At Group level, liquidity, covenant headroom, tax and legal exposures, and leadership succession remain important oversight themes.</w:t>
      </w:r>
    </w:p>
    <w:p w14:paraId="001007A9" w14:textId="001007AA">
      <w:pPr>
        <w:pStyle w:val="Normal"/>
        <w:jc w:val="left"/>
      </w:pPr>
      <w:r>
        <w:t xml:space="preserve">The response to these risks is based on a combination of portfolio diversification, disciplined bidding and capital allocation, targeted hedging, control enhancement, insurance, crisis response capability, scenario analysis, and regular Board oversight. Management does not assume stable conditions; instead, it prepares for volatility by maintaining early-warning indicators, reserve capacity in critical functions, and formal escalation paths. The following pages discuss these principal risks in more detail, including the Group’s exposure, mitigation priorities, and the actions taken to strengthen resilience during the year.</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7AB" w14:textId="001007F1">
            <w:pPr>
              <w:pStyle w:val="Normal"/>
              <w:jc w:val="left"/>
            </w:pPr>
            <w:r>
              <w:t xml:space="preserve">Principal risk</w:t>
            </w:r>
          </w:p>
        </w:tc>
        <w:tc>
          <w:tcPr>
            <w:vAlign w:val="center"/>
            <w:tcBorders>
              <w:top w:val="single" w:sz="4" w:space="0" w:color="auto"/>
              <w:left w:val="single" w:sz="4" w:space="0" w:color="auto"/>
              <w:bottom w:val="single" w:sz="4" w:space="0" w:color="auto"/>
              <w:right w:val="single" w:sz="4" w:space="0" w:color="auto"/>
            </w:tcBorders>
          </w:tcPr>
          <w:p w14:paraId="001007AD" w14:textId="001007F2">
            <w:pPr>
              <w:pStyle w:val="Normal"/>
              <w:jc w:val="left"/>
            </w:pPr>
            <w:r>
              <w:t xml:space="preserve">Primary exposure</w:t>
            </w:r>
          </w:p>
        </w:tc>
        <w:tc>
          <w:tcPr>
            <w:vAlign w:val="center"/>
            <w:tcBorders>
              <w:top w:val="single" w:sz="4" w:space="0" w:color="auto"/>
              <w:left w:val="single" w:sz="4" w:space="0" w:color="auto"/>
              <w:bottom w:val="single" w:sz="4" w:space="0" w:color="auto"/>
              <w:right w:val="single" w:sz="4" w:space="0" w:color="auto"/>
            </w:tcBorders>
          </w:tcPr>
          <w:p w14:paraId="001007AF" w14:textId="001007F3">
            <w:pPr>
              <w:pStyle w:val="Normal"/>
              <w:jc w:val="left"/>
            </w:pPr>
            <w:r>
              <w:t xml:space="preserve">Key indicators monitored</w:t>
            </w:r>
          </w:p>
        </w:tc>
        <w:tc>
          <w:tcPr>
            <w:vAlign w:val="center"/>
            <w:tcBorders>
              <w:top w:val="single" w:sz="4" w:space="0" w:color="auto"/>
              <w:left w:val="single" w:sz="4" w:space="0" w:color="auto"/>
              <w:bottom w:val="single" w:sz="4" w:space="0" w:color="auto"/>
              <w:right w:val="single" w:sz="4" w:space="0" w:color="auto"/>
            </w:tcBorders>
          </w:tcPr>
          <w:p w14:paraId="001007B1" w14:textId="001007F4">
            <w:pPr>
              <w:pStyle w:val="Normal"/>
              <w:jc w:val="left"/>
            </w:pPr>
            <w:r>
              <w:t xml:space="preserve">Core mitigations</w:t>
            </w:r>
          </w:p>
        </w:tc>
        <w:tc>
          <w:tcPr>
            <w:vAlign w:val="center"/>
            <w:tcBorders>
              <w:top w:val="single" w:sz="4" w:space="0" w:color="auto"/>
              <w:left w:val="single" w:sz="4" w:space="0" w:color="auto"/>
              <w:bottom w:val="single" w:sz="4" w:space="0" w:color="auto"/>
              <w:right w:val="single" w:sz="4" w:space="0" w:color="auto"/>
            </w:tcBorders>
          </w:tcPr>
          <w:p w14:paraId="001007B3" w14:textId="001007F5">
            <w:pPr>
              <w:pStyle w:val="Normal"/>
              <w:jc w:val="left"/>
            </w:pPr>
            <w:r>
              <w:t xml:space="preserve">Risk owner</w:t>
            </w:r>
          </w:p>
        </w:tc>
      </w:tr>
      <w:tr>
        <w:tc>
          <w:tcPr>
            <w:vAlign w:val="top"/>
            <w:tcBorders>
              <w:top w:val="single" w:sz="4" w:space="0" w:color="auto"/>
              <w:left w:val="single" w:sz="4" w:space="0" w:color="auto"/>
              <w:bottom w:val="single" w:sz="4" w:space="0" w:color="auto"/>
              <w:right w:val="single" w:sz="4" w:space="0" w:color="auto"/>
            </w:tcBorders>
          </w:tcPr>
          <w:p w14:paraId="001007B5" w14:textId="001007F6">
            <w:pPr>
              <w:pStyle w:val="Normal"/>
              <w:jc w:val="left"/>
            </w:pPr>
            <w:r>
              <w:t xml:space="preserve">Demand slowdown and market volatility</w:t>
            </w:r>
          </w:p>
        </w:tc>
        <w:tc>
          <w:tcPr>
            <w:vAlign w:val="center"/>
            <w:tcBorders>
              <w:top w:val="single" w:sz="4" w:space="0" w:color="auto"/>
              <w:left w:val="single" w:sz="4" w:space="0" w:color="auto"/>
              <w:bottom w:val="single" w:sz="4" w:space="0" w:color="auto"/>
              <w:right w:val="single" w:sz="4" w:space="0" w:color="auto"/>
            </w:tcBorders>
          </w:tcPr>
          <w:p w14:paraId="001007B7" w14:textId="001007F7">
            <w:pPr>
              <w:pStyle w:val="Normal"/>
              <w:jc w:val="left"/>
            </w:pPr>
            <w:r>
              <w:t xml:space="preserve">Reduced customer orders in Industrial Solutions and Infrastructure Services; weaker discretionary spending in Consumer Platforms</w:t>
            </w:r>
          </w:p>
        </w:tc>
        <w:tc>
          <w:tcPr>
            <w:vAlign w:val="center"/>
            <w:tcBorders>
              <w:top w:val="single" w:sz="4" w:space="0" w:color="auto"/>
              <w:left w:val="single" w:sz="4" w:space="0" w:color="auto"/>
              <w:bottom w:val="single" w:sz="4" w:space="0" w:color="auto"/>
              <w:right w:val="single" w:sz="4" w:space="0" w:color="auto"/>
            </w:tcBorders>
          </w:tcPr>
          <w:p w14:paraId="001007B9" w14:textId="001007F8">
            <w:pPr>
              <w:pStyle w:val="Normal"/>
              <w:jc w:val="left"/>
            </w:pPr>
            <w:r>
              <w:t xml:space="preserve">Order intake trend; book-to-bill ratio; customer pipeline age; retail sell-through; cancellation rate</w:t>
            </w:r>
          </w:p>
        </w:tc>
        <w:tc>
          <w:tcPr>
            <w:vAlign w:val="center"/>
            <w:tcBorders>
              <w:top w:val="single" w:sz="4" w:space="0" w:color="auto"/>
              <w:left w:val="single" w:sz="4" w:space="0" w:color="auto"/>
              <w:bottom w:val="single" w:sz="4" w:space="0" w:color="auto"/>
              <w:right w:val="single" w:sz="4" w:space="0" w:color="auto"/>
            </w:tcBorders>
          </w:tcPr>
          <w:p w14:paraId="001007BB" w14:textId="001007F9">
            <w:pPr>
              <w:pStyle w:val="Normal"/>
              <w:jc w:val="left"/>
            </w:pPr>
            <w:r>
              <w:t xml:space="preserve">Diversified end-market mix; rolling demand reviews; variable cost actions; disciplined pricing; scenario-based production planning</w:t>
            </w:r>
          </w:p>
        </w:tc>
        <w:tc>
          <w:tcPr>
            <w:vAlign w:val="center"/>
            <w:tcBorders>
              <w:top w:val="single" w:sz="4" w:space="0" w:color="auto"/>
              <w:left w:val="single" w:sz="4" w:space="0" w:color="auto"/>
              <w:bottom w:val="single" w:sz="4" w:space="0" w:color="auto"/>
              <w:right w:val="single" w:sz="4" w:space="0" w:color="auto"/>
            </w:tcBorders>
          </w:tcPr>
          <w:p w14:paraId="001007BD" w14:textId="001007FA">
            <w:pPr>
              <w:pStyle w:val="Normal"/>
              <w:jc w:val="left"/>
            </w:pPr>
            <w:r>
              <w:t xml:space="preserve">Chief Strategy Officer</w:t>
            </w:r>
          </w:p>
        </w:tc>
      </w:tr>
      <w:tr>
        <w:tc>
          <w:tcPr>
            <w:vAlign w:val="top"/>
            <w:tcBorders>
              <w:top w:val="single" w:sz="4" w:space="0" w:color="auto"/>
              <w:left w:val="single" w:sz="4" w:space="0" w:color="auto"/>
              <w:bottom w:val="single" w:sz="4" w:space="0" w:color="auto"/>
              <w:right w:val="single" w:sz="4" w:space="0" w:color="auto"/>
            </w:tcBorders>
          </w:tcPr>
          <w:p w14:paraId="001007BF" w14:textId="001007FB">
            <w:pPr>
              <w:pStyle w:val="Normal"/>
              <w:jc w:val="left"/>
            </w:pPr>
            <w:r>
              <w:t xml:space="preserve">Competitive pricing and margin pressure</w:t>
            </w:r>
          </w:p>
        </w:tc>
        <w:tc>
          <w:tcPr>
            <w:vAlign w:val="center"/>
            <w:tcBorders>
              <w:top w:val="single" w:sz="4" w:space="0" w:color="auto"/>
              <w:left w:val="single" w:sz="4" w:space="0" w:color="auto"/>
              <w:bottom w:val="single" w:sz="4" w:space="0" w:color="auto"/>
              <w:right w:val="single" w:sz="4" w:space="0" w:color="auto"/>
            </w:tcBorders>
          </w:tcPr>
          <w:p w14:paraId="001007C1" w14:textId="001007FC">
            <w:pPr>
              <w:pStyle w:val="Normal"/>
              <w:jc w:val="left"/>
            </w:pPr>
            <w:r>
              <w:t xml:space="preserve">Aggressive pricing by regional competitors and channel discounting in selected product lines</w:t>
            </w:r>
          </w:p>
        </w:tc>
        <w:tc>
          <w:tcPr>
            <w:vAlign w:val="center"/>
            <w:tcBorders>
              <w:top w:val="single" w:sz="4" w:space="0" w:color="auto"/>
              <w:left w:val="single" w:sz="4" w:space="0" w:color="auto"/>
              <w:bottom w:val="single" w:sz="4" w:space="0" w:color="auto"/>
              <w:right w:val="single" w:sz="4" w:space="0" w:color="auto"/>
            </w:tcBorders>
          </w:tcPr>
          <w:p w14:paraId="001007C3" w14:textId="001007FD">
            <w:pPr>
              <w:pStyle w:val="Normal"/>
              <w:jc w:val="left"/>
            </w:pPr>
            <w:r>
              <w:t xml:space="preserve">Price realization; gross margin by segment; bid win rate; competitor quotation gap</w:t>
            </w:r>
          </w:p>
        </w:tc>
        <w:tc>
          <w:tcPr>
            <w:vAlign w:val="center"/>
            <w:tcBorders>
              <w:top w:val="single" w:sz="4" w:space="0" w:color="auto"/>
              <w:left w:val="single" w:sz="4" w:space="0" w:color="auto"/>
              <w:bottom w:val="single" w:sz="4" w:space="0" w:color="auto"/>
              <w:right w:val="single" w:sz="4" w:space="0" w:color="auto"/>
            </w:tcBorders>
          </w:tcPr>
          <w:p w14:paraId="001007C5" w14:textId="001007FE">
            <w:pPr>
              <w:pStyle w:val="Normal"/>
              <w:jc w:val="left"/>
            </w:pPr>
            <w:r>
              <w:t xml:space="preserve">Value-based pricing; product differentiation; procurement savings; targeted portfolio pruning</w:t>
            </w:r>
          </w:p>
        </w:tc>
        <w:tc>
          <w:tcPr>
            <w:vAlign w:val="center"/>
            <w:tcBorders>
              <w:top w:val="single" w:sz="4" w:space="0" w:color="auto"/>
              <w:left w:val="single" w:sz="4" w:space="0" w:color="auto"/>
              <w:bottom w:val="single" w:sz="4" w:space="0" w:color="auto"/>
              <w:right w:val="single" w:sz="4" w:space="0" w:color="auto"/>
            </w:tcBorders>
          </w:tcPr>
          <w:p w14:paraId="001007C7" w14:textId="001007FF">
            <w:pPr>
              <w:pStyle w:val="Normal"/>
              <w:jc w:val="left"/>
            </w:pPr>
            <w:r>
              <w:t xml:space="preserve">Chief Commercial Officer</w:t>
            </w:r>
          </w:p>
        </w:tc>
      </w:tr>
      <w:tr>
        <w:tc>
          <w:tcPr>
            <w:vAlign w:val="top"/>
            <w:tcBorders>
              <w:top w:val="single" w:sz="4" w:space="0" w:color="auto"/>
              <w:left w:val="single" w:sz="4" w:space="0" w:color="auto"/>
              <w:bottom w:val="single" w:sz="4" w:space="0" w:color="auto"/>
              <w:right w:val="single" w:sz="4" w:space="0" w:color="auto"/>
            </w:tcBorders>
          </w:tcPr>
          <w:p w14:paraId="001007C9" w14:textId="00100800">
            <w:pPr>
              <w:pStyle w:val="Normal"/>
              <w:jc w:val="left"/>
            </w:pPr>
            <w:r>
              <w:t xml:space="preserve">Regulatory and policy change</w:t>
            </w:r>
          </w:p>
        </w:tc>
        <w:tc>
          <w:tcPr>
            <w:vAlign w:val="center"/>
            <w:tcBorders>
              <w:top w:val="single" w:sz="4" w:space="0" w:color="auto"/>
              <w:left w:val="single" w:sz="4" w:space="0" w:color="auto"/>
              <w:bottom w:val="single" w:sz="4" w:space="0" w:color="auto"/>
              <w:right w:val="single" w:sz="4" w:space="0" w:color="auto"/>
            </w:tcBorders>
          </w:tcPr>
          <w:p w14:paraId="001007CB" w14:textId="00100801">
            <w:pPr>
              <w:pStyle w:val="Normal"/>
              <w:jc w:val="left"/>
            </w:pPr>
            <w:r>
              <w:t xml:space="preserve">Permitting delays, product compliance changes, data and trade requirements across operating jurisdictions</w:t>
            </w:r>
          </w:p>
        </w:tc>
        <w:tc>
          <w:tcPr>
            <w:vAlign w:val="center"/>
            <w:tcBorders>
              <w:top w:val="single" w:sz="4" w:space="0" w:color="auto"/>
              <w:left w:val="single" w:sz="4" w:space="0" w:color="auto"/>
              <w:bottom w:val="single" w:sz="4" w:space="0" w:color="auto"/>
              <w:right w:val="single" w:sz="4" w:space="0" w:color="auto"/>
            </w:tcBorders>
          </w:tcPr>
          <w:p w14:paraId="001007CD" w14:textId="00100802">
            <w:pPr>
              <w:pStyle w:val="Normal"/>
              <w:jc w:val="left"/>
            </w:pPr>
            <w:r>
              <w:t xml:space="preserve">Regulatory watchlist status; permit cycle time; compliance exceptions; restricted-market revenue share</w:t>
            </w:r>
          </w:p>
        </w:tc>
        <w:tc>
          <w:tcPr>
            <w:vAlign w:val="center"/>
            <w:tcBorders>
              <w:top w:val="single" w:sz="4" w:space="0" w:color="auto"/>
              <w:left w:val="single" w:sz="4" w:space="0" w:color="auto"/>
              <w:bottom w:val="single" w:sz="4" w:space="0" w:color="auto"/>
              <w:right w:val="single" w:sz="4" w:space="0" w:color="auto"/>
            </w:tcBorders>
          </w:tcPr>
          <w:p w14:paraId="001007CF" w14:textId="00100803">
            <w:pPr>
              <w:pStyle w:val="Normal"/>
              <w:jc w:val="left"/>
            </w:pPr>
            <w:r>
              <w:t xml:space="preserve">Central regulatory monitoring; product certification programs; contract clauses; local legal review</w:t>
            </w:r>
          </w:p>
        </w:tc>
        <w:tc>
          <w:tcPr>
            <w:vAlign w:val="center"/>
            <w:tcBorders>
              <w:top w:val="single" w:sz="4" w:space="0" w:color="auto"/>
              <w:left w:val="single" w:sz="4" w:space="0" w:color="auto"/>
              <w:bottom w:val="single" w:sz="4" w:space="0" w:color="auto"/>
              <w:right w:val="single" w:sz="4" w:space="0" w:color="auto"/>
            </w:tcBorders>
          </w:tcPr>
          <w:p w14:paraId="001007D1" w14:textId="00100804">
            <w:pPr>
              <w:pStyle w:val="Normal"/>
              <w:jc w:val="left"/>
            </w:pPr>
            <w:r>
              <w:t xml:space="preserve">Group General Counsel</w:t>
            </w:r>
          </w:p>
        </w:tc>
      </w:tr>
      <w:tr>
        <w:tc>
          <w:tcPr>
            <w:vAlign w:val="top"/>
            <w:tcBorders>
              <w:top w:val="single" w:sz="4" w:space="0" w:color="auto"/>
              <w:left w:val="single" w:sz="4" w:space="0" w:color="auto"/>
              <w:bottom w:val="single" w:sz="4" w:space="0" w:color="auto"/>
              <w:right w:val="single" w:sz="4" w:space="0" w:color="auto"/>
            </w:tcBorders>
          </w:tcPr>
          <w:p w14:paraId="001007D3" w14:textId="00100805">
            <w:pPr>
              <w:pStyle w:val="Normal"/>
              <w:jc w:val="left"/>
            </w:pPr>
            <w:r>
              <w:t xml:space="preserve">Transformation execution</w:t>
            </w:r>
          </w:p>
        </w:tc>
        <w:tc>
          <w:tcPr>
            <w:vAlign w:val="center"/>
            <w:tcBorders>
              <w:top w:val="single" w:sz="4" w:space="0" w:color="auto"/>
              <w:left w:val="single" w:sz="4" w:space="0" w:color="auto"/>
              <w:bottom w:val="single" w:sz="4" w:space="0" w:color="auto"/>
              <w:right w:val="single" w:sz="4" w:space="0" w:color="auto"/>
            </w:tcBorders>
          </w:tcPr>
          <w:p w14:paraId="001007D5" w14:textId="00100806">
            <w:pPr>
              <w:pStyle w:val="Normal"/>
              <w:jc w:val="left"/>
            </w:pPr>
            <w:r>
              <w:t xml:space="preserve">Delayed delivery of digital, operating model, and integration programs affecting expected benefits</w:t>
            </w:r>
          </w:p>
        </w:tc>
        <w:tc>
          <w:tcPr>
            <w:vAlign w:val="center"/>
            <w:tcBorders>
              <w:top w:val="single" w:sz="4" w:space="0" w:color="auto"/>
              <w:left w:val="single" w:sz="4" w:space="0" w:color="auto"/>
              <w:bottom w:val="single" w:sz="4" w:space="0" w:color="auto"/>
              <w:right w:val="single" w:sz="4" w:space="0" w:color="auto"/>
            </w:tcBorders>
          </w:tcPr>
          <w:p w14:paraId="001007D7" w14:textId="00100807">
            <w:pPr>
              <w:pStyle w:val="Normal"/>
              <w:jc w:val="left"/>
            </w:pPr>
            <w:r>
              <w:t xml:space="preserve">Milestone achievement rate; benefit capture versus plan; program spend variance; attrition in critical roles</w:t>
            </w:r>
          </w:p>
        </w:tc>
        <w:tc>
          <w:tcPr>
            <w:vAlign w:val="center"/>
            <w:tcBorders>
              <w:top w:val="single" w:sz="4" w:space="0" w:color="auto"/>
              <w:left w:val="single" w:sz="4" w:space="0" w:color="auto"/>
              <w:bottom w:val="single" w:sz="4" w:space="0" w:color="auto"/>
              <w:right w:val="single" w:sz="4" w:space="0" w:color="auto"/>
            </w:tcBorders>
          </w:tcPr>
          <w:p w14:paraId="001007D9" w14:textId="00100808">
            <w:pPr>
              <w:pStyle w:val="Normal"/>
              <w:jc w:val="left"/>
            </w:pPr>
            <w:r>
              <w:t xml:space="preserve">Stage-gate governance; executive steering committees; PMO controls; capability retention plans</w:t>
            </w:r>
          </w:p>
        </w:tc>
        <w:tc>
          <w:tcPr>
            <w:vAlign w:val="center"/>
            <w:tcBorders>
              <w:top w:val="single" w:sz="4" w:space="0" w:color="auto"/>
              <w:left w:val="single" w:sz="4" w:space="0" w:color="auto"/>
              <w:bottom w:val="single" w:sz="4" w:space="0" w:color="auto"/>
              <w:right w:val="single" w:sz="4" w:space="0" w:color="auto"/>
            </w:tcBorders>
          </w:tcPr>
          <w:p w14:paraId="001007DB" w14:textId="00100809">
            <w:pPr>
              <w:pStyle w:val="Normal"/>
              <w:jc w:val="left"/>
            </w:pPr>
            <w:r>
              <w:t xml:space="preserve">Chief Transformation Officer</w:t>
            </w:r>
          </w:p>
        </w:tc>
      </w:tr>
      <w:tr>
        <w:tc>
          <w:tcPr>
            <w:vAlign w:val="top"/>
            <w:tcBorders>
              <w:top w:val="single" w:sz="4" w:space="0" w:color="auto"/>
              <w:left w:val="single" w:sz="4" w:space="0" w:color="auto"/>
              <w:bottom w:val="single" w:sz="4" w:space="0" w:color="auto"/>
              <w:right w:val="single" w:sz="4" w:space="0" w:color="auto"/>
            </w:tcBorders>
          </w:tcPr>
          <w:p w14:paraId="001007DD" w14:textId="0010080A">
            <w:pPr>
              <w:pStyle w:val="Normal"/>
              <w:jc w:val="left"/>
            </w:pPr>
            <w:r>
              <w:t xml:space="preserve">Capital allocation and investment returns</w:t>
            </w:r>
          </w:p>
        </w:tc>
        <w:tc>
          <w:tcPr>
            <w:vAlign w:val="center"/>
            <w:tcBorders>
              <w:top w:val="single" w:sz="4" w:space="0" w:color="auto"/>
              <w:left w:val="single" w:sz="4" w:space="0" w:color="auto"/>
              <w:bottom w:val="single" w:sz="4" w:space="0" w:color="auto"/>
              <w:right w:val="single" w:sz="4" w:space="0" w:color="auto"/>
            </w:tcBorders>
          </w:tcPr>
          <w:p w14:paraId="001007DF" w14:textId="0010080B">
            <w:pPr>
              <w:pStyle w:val="Normal"/>
              <w:jc w:val="left"/>
            </w:pPr>
            <w:r>
              <w:t xml:space="preserve">Underperformance of expansion projects, technology investments, or acquired capabilities</w:t>
            </w:r>
          </w:p>
        </w:tc>
        <w:tc>
          <w:tcPr>
            <w:vAlign w:val="center"/>
            <w:tcBorders>
              <w:top w:val="single" w:sz="4" w:space="0" w:color="auto"/>
              <w:left w:val="single" w:sz="4" w:space="0" w:color="auto"/>
              <w:bottom w:val="single" w:sz="4" w:space="0" w:color="auto"/>
              <w:right w:val="single" w:sz="4" w:space="0" w:color="auto"/>
            </w:tcBorders>
          </w:tcPr>
          <w:p w14:paraId="001007E1" w14:textId="0010080C">
            <w:pPr>
              <w:pStyle w:val="Normal"/>
              <w:jc w:val="left"/>
            </w:pPr>
            <w:r>
              <w:t xml:space="preserve">Post-investment IRR; payback period; utilization ramp-up; synergy delivery against case</w:t>
            </w:r>
          </w:p>
        </w:tc>
        <w:tc>
          <w:tcPr>
            <w:vAlign w:val="center"/>
            <w:tcBorders>
              <w:top w:val="single" w:sz="4" w:space="0" w:color="auto"/>
              <w:left w:val="single" w:sz="4" w:space="0" w:color="auto"/>
              <w:bottom w:val="single" w:sz="4" w:space="0" w:color="auto"/>
              <w:right w:val="single" w:sz="4" w:space="0" w:color="auto"/>
            </w:tcBorders>
          </w:tcPr>
          <w:p w14:paraId="001007E3" w14:textId="0010080D">
            <w:pPr>
              <w:pStyle w:val="Normal"/>
              <w:jc w:val="left"/>
            </w:pPr>
            <w:r>
              <w:t xml:space="preserve">Investment committee challenge process; phased capital release; post-completion reviews</w:t>
            </w:r>
          </w:p>
        </w:tc>
        <w:tc>
          <w:tcPr>
            <w:vAlign w:val="center"/>
            <w:tcBorders>
              <w:top w:val="single" w:sz="4" w:space="0" w:color="auto"/>
              <w:left w:val="single" w:sz="4" w:space="0" w:color="auto"/>
              <w:bottom w:val="single" w:sz="4" w:space="0" w:color="auto"/>
              <w:right w:val="single" w:sz="4" w:space="0" w:color="auto"/>
            </w:tcBorders>
          </w:tcPr>
          <w:p w14:paraId="001007E5" w14:textId="0010080E">
            <w:pPr>
              <w:pStyle w:val="Normal"/>
              <w:jc w:val="left"/>
            </w:pPr>
            <w:r>
              <w:t xml:space="preserve">Chief Financial Officer</w:t>
            </w:r>
          </w:p>
        </w:tc>
      </w:tr>
      <w:tr>
        <w:tc>
          <w:tcPr>
            <w:vAlign w:val="top"/>
            <w:tcBorders>
              <w:top w:val="single" w:sz="4" w:space="0" w:color="auto"/>
              <w:left w:val="single" w:sz="4" w:space="0" w:color="auto"/>
              <w:bottom w:val="single" w:sz="4" w:space="0" w:color="auto"/>
              <w:right w:val="single" w:sz="4" w:space="0" w:color="auto"/>
            </w:tcBorders>
          </w:tcPr>
          <w:p w14:paraId="001007E7" w14:textId="0010080F">
            <w:pPr>
              <w:pStyle w:val="Normal"/>
              <w:jc w:val="left"/>
            </w:pPr>
            <w:r>
              <w:t xml:space="preserve">Supply-chain and input cost disruption</w:t>
            </w:r>
          </w:p>
        </w:tc>
        <w:tc>
          <w:tcPr>
            <w:vAlign w:val="center"/>
            <w:tcBorders>
              <w:top w:val="single" w:sz="4" w:space="0" w:color="auto"/>
              <w:left w:val="single" w:sz="4" w:space="0" w:color="auto"/>
              <w:bottom w:val="single" w:sz="4" w:space="0" w:color="auto"/>
              <w:right w:val="single" w:sz="4" w:space="0" w:color="auto"/>
            </w:tcBorders>
          </w:tcPr>
          <w:p w14:paraId="001007E9" w14:textId="00100810">
            <w:pPr>
              <w:pStyle w:val="Normal"/>
              <w:jc w:val="left"/>
            </w:pPr>
            <w:r>
              <w:t xml:space="preserve">Availability constraints or input cost spikes affecting delivery and profitability</w:t>
            </w:r>
          </w:p>
        </w:tc>
        <w:tc>
          <w:tcPr>
            <w:vAlign w:val="center"/>
            <w:tcBorders>
              <w:top w:val="single" w:sz="4" w:space="0" w:color="auto"/>
              <w:left w:val="single" w:sz="4" w:space="0" w:color="auto"/>
              <w:bottom w:val="single" w:sz="4" w:space="0" w:color="auto"/>
              <w:right w:val="single" w:sz="4" w:space="0" w:color="auto"/>
            </w:tcBorders>
          </w:tcPr>
          <w:p w14:paraId="001007EB" w14:textId="00100811">
            <w:pPr>
              <w:pStyle w:val="Normal"/>
              <w:jc w:val="left"/>
            </w:pPr>
            <w:r>
              <w:t xml:space="preserve">Supplier on-time delivery; single-source exposure; commodity cost index; inventory cover days</w:t>
            </w:r>
          </w:p>
        </w:tc>
        <w:tc>
          <w:tcPr>
            <w:vAlign w:val="center"/>
            <w:tcBorders>
              <w:top w:val="single" w:sz="4" w:space="0" w:color="auto"/>
              <w:left w:val="single" w:sz="4" w:space="0" w:color="auto"/>
              <w:bottom w:val="single" w:sz="4" w:space="0" w:color="auto"/>
              <w:right w:val="single" w:sz="4" w:space="0" w:color="auto"/>
            </w:tcBorders>
          </w:tcPr>
          <w:p w14:paraId="001007ED" w14:textId="00100812">
            <w:pPr>
              <w:pStyle w:val="Normal"/>
              <w:jc w:val="left"/>
            </w:pPr>
            <w:r>
              <w:t xml:space="preserve">Dual sourcing; safety stock by critical items; long-term agreements; supplier risk assessments</w:t>
            </w:r>
          </w:p>
        </w:tc>
        <w:tc>
          <w:tcPr>
            <w:vAlign w:val="center"/>
            <w:tcBorders>
              <w:top w:val="single" w:sz="4" w:space="0" w:color="auto"/>
              <w:left w:val="single" w:sz="4" w:space="0" w:color="auto"/>
              <w:bottom w:val="single" w:sz="4" w:space="0" w:color="auto"/>
              <w:right w:val="single" w:sz="4" w:space="0" w:color="auto"/>
            </w:tcBorders>
          </w:tcPr>
          <w:p w14:paraId="001007EF" w14:textId="00100813">
            <w:pPr>
              <w:pStyle w:val="Normal"/>
              <w:jc w:val="left"/>
            </w:pPr>
            <w:r>
              <w:t xml:space="preserve">Chief Operating Officer</w:t>
            </w:r>
          </w:p>
        </w:tc>
      </w:tr>
    </w:tbl>
    <w:p w14:paraId="00100814" w14:textId="00100815">
      <w:pPr>
        <w:pStyle w:val="Normal"/>
        <w:jc w:val="left"/>
      </w:pPr>
      <w:r>
        <w:t xml:space="preserve">Table 9 Principal risk disclosure schedule</w:t>
      </w:r>
    </w:p>
    <w:p w14:paraId="00100816" w14:textId="00100817">
      <w:pPr>
        <w:pStyle w:val="Normal"/>
        <w:jc w:val="left"/>
      </w:pPr>
      <w:r>
        <w:t xml:space="preserve">5.2 Strategic and Market Risks</w:t>
      </w:r>
    </w:p>
    <w:p w14:paraId="00100818" w14:textId="00100819">
      <w:pPr>
        <w:pStyle w:val="Normal"/>
        <w:jc w:val="left"/>
      </w:pPr>
      <w:r>
        <w:t xml:space="preserve">Rivermark Holdings is exposed to a range of strategic and market risks arising from cyclical demand patterns, competitive intensity, regulatory change, and the pace of structural shifts in customer requirements. These exposures do not affect all segments in the same way. Industrial Solutions is more sensitive to capital spending cycles, procurement lead times, and industrial production trends; Consumer Platforms is more exposed to changes in household demand, channel pricing, and product substitution; Infrastructure Services is influenced by public and private project timing, permitting, and the conversion of pipeline into executable contracts. At group level, these factors can alter revenue visibility, margin quality, working-capital intensity, and the timing of investment returns.</w:t>
      </w:r>
    </w:p>
    <w:p w14:paraId="0010081A" w14:textId="0010081B">
      <w:pPr>
        <w:pStyle w:val="Normal"/>
        <w:jc w:val="left"/>
      </w:pPr>
      <w:r>
        <w:t xml:space="preserve">Management evaluates strategic and market risk through a combination of forward indicators and operating evidence rather than relying only on period-end financial outcomes. Order intake, tender activity, renewal rates, backlog quality, price realization, and customer concentration are reviewed alongside macroeconomic and regulatory developments in the regions where the group operates. The Board receives regular updates on downside and upside scenarios, including assumptions for inflation, labor availability, and policy change. This approach helps the group distinguish temporary market softness from more durable shifts in end-market attractiveness.</w:t>
      </w:r>
    </w:p>
    <w:p w14:paraId="0010081C" w14:textId="0010081D">
      <w:pPr>
        <w:pStyle w:val="Normal"/>
        <w:jc w:val="left"/>
      </w:pPr>
      <w:r>
        <w:t xml:space="preserve">The principal response is to preserve optionality while maintaining investment discipline. Rivermark Holdings continues to diversify its customer base, protect differentiation in priority product and service categories, and pace capital deployment against verified demand. The result is not the elimination of uncertainty, but a more resilient capacity to respond to changing market conditions without undermining long-term strategic priorities.</w:t>
      </w:r>
    </w:p>
    <w:p w14:paraId="0010081E" w14:textId="0010081F">
      <w:pPr>
        <w:pStyle w:val="Normal"/>
        <w:jc w:val="left"/>
      </w:pPr>
      <w:r>
        <w:t xml:space="preserve">5.2.1 Market Exposure</w:t>
      </w:r>
    </w:p>
    <w:p w14:paraId="00100820" w14:textId="00100821">
      <w:pPr>
        <w:pStyle w:val="Normal"/>
        <w:jc w:val="left"/>
      </w:pPr>
      <w:r>
        <w:t xml:space="preserve">The group monitors market exposure through a set of indicators designed to provide early warning of demand deterioration or pricing stress. These include order intake growth, book-to-bill ratio, backlog aging, customer churn, win rates on strategic bids, average selling-price realization, and exposure to single customers or sectors above defined concentration thresholds. In Consumer Platforms, management also tracks channel inventory and repeat-purchase behavior to distinguish sell-in growth from underlying demand. In Infrastructure Services, pipeline conversion, permit timing, and contract mobilization metrics are used to assess whether reported opportunities are likely to translate into revenue within the planning horizon.</w:t>
      </w:r>
    </w:p>
    <w:p w14:paraId="00100822" w14:textId="00100823">
      <w:pPr>
        <w:pStyle w:val="Normal"/>
        <w:jc w:val="left"/>
      </w:pPr>
      <w:r>
        <w:t xml:space="preserve">These indicators are interpreted in context rather than as isolated data points. A decline in order intake, for example, may be less concerning when backlog quality remains high and tender activity is broad-based, whereas stable revenue may mask deteriorating future conditions if cancellations, discounting, or elongated customer approval cycles are increasing. The group therefore applies segmented thresholds and heat-map scoring by business line and geography.</w:t>
      </w:r>
    </w:p>
    <w:p w14:paraId="00100824" w14:textId="00100825">
      <w:pPr>
        <w:pStyle w:val="Normal"/>
        <w:jc w:val="left"/>
      </w:pPr>
      <w:r>
        <w:t xml:space="preserve">By combining commercial indicators with external market intelligence, Rivermark Holdings can identify whether risk is emerging from volume pressure, price erosion, product mix change, or regulatory disruption. This supports earlier management intervention, more realistic forecasting, and a clearer view of the markets where defensive action or selective growth investment is warranted.</w:t>
      </w:r>
    </w:p>
    <w:p w14:paraId="00100826" w14:textId="00100827">
      <w:pPr>
        <w:pStyle w:val="Normal"/>
        <w:jc w:val="left"/>
      </w:pPr>
      <w:r>
        <w:t xml:space="preserve">Market response plans are structured around speed, selectivity, and capital discipline. When demand softens, the first response is commercial reprioritization: sales resources are redirected toward resilient customer categories, service-led offerings, and accounts with stronger renewal potential. Pricing governance is tightened to protect margin quality, with exception approvals required where discounting exceeds segment thresholds. Product and project portfolios are also reviewed to identify lower-return activity that can be reduced without impairing strategic positions.</w:t>
      </w:r>
    </w:p>
    <w:p w14:paraId="00100828" w14:textId="00100829">
      <w:pPr>
        <w:pStyle w:val="Normal"/>
        <w:jc w:val="left"/>
      </w:pPr>
      <w:r>
        <w:t xml:space="preserve">On the operating side, Rivermark Holdings uses flexible sourcing, phased production planning, and targeted cost actions to align capacity with confirmed demand. Procurement teams activate alternate suppliers for critical inputs when availability risk rises, while segment leaders adjust inventory coverage and working-capital targets according to market conditions. In Infrastructure Services, bid discipline and contract-selectivity filters are applied more rigorously in periods of execution strain or heightened cost volatility so that backlog growth does not come at the expense of risk-adjusted returns.</w:t>
      </w:r>
    </w:p>
    <w:p w14:paraId="0010082A" w14:textId="0010082B">
      <w:pPr>
        <w:pStyle w:val="Normal"/>
        <w:jc w:val="left"/>
      </w:pPr>
      <w:r>
        <w:t xml:space="preserve">Longer-term responses focus on strengthening competitive resilience. The group continues to invest in differentiated products, digital customer tools, data-led pricing capabilities, and route-to-market improvement in order to reduce vulnerability to commoditization. Management also maintains scenario plans for regulatory and policy change, including product compliance updates, contractual protections, and local stakeholder engagement. Together, these measures allow the group to respond to near-term volatility while preserving the strategic options needed for sustainable growth.</w:t>
      </w:r>
    </w:p>
    <w:p w14:paraId="0010082C" w14:textId="0010082D">
      <w:pPr>
        <w:pStyle w:val="Normal"/>
        <w:jc w:val="left"/>
      </w:pPr>
      <w:r>
        <w:t xml:space="preserve">5.2.1 Strategic Execution</w:t>
      </w:r>
    </w:p>
    <w:p w14:paraId="0010082E" w14:textId="0010082F">
      <w:pPr>
        <w:pStyle w:val="Normal"/>
        <w:jc w:val="left"/>
      </w:pPr>
      <w:r>
        <w:t xml:space="preserve">Strategic execution risk arises when the group fails to convert approved plans into operational and financial outcomes within the expected timeframe. For Rivermark Holdings, this risk is concentrated in transformation programs that span technology modernization, supply-chain redesign, commercial capability building, portfolio integration, and disciplined expansion into priority markets. These initiatives are intended to improve scalability and returns, but they also create exposure to cost overruns, implementation delays, leadership bandwidth constraints, and disruption to day-to-day operations if sequencing is poorly managed.</w:t>
      </w:r>
    </w:p>
    <w:p w14:paraId="00100830" w14:textId="00100831">
      <w:pPr>
        <w:pStyle w:val="Normal"/>
        <w:jc w:val="left"/>
      </w:pPr>
      <w:r>
        <w:t xml:space="preserve">The risk is heightened where several changes occur simultaneously across segments. A delayed systems rollout, for example, may affect forecasting accuracy, customer service continuity, and working-capital visibility, while an integration program can dilute accountability if roles, decision rights, and target operating models are not clarified early. Transformation plans can also lose momentum if benefits are overestimated at approval stage or if local teams do not have the capabilities required to embed new processes. In addition, talent retention in critical delivery and digital roles remains a significant factor in sustaining execution quality.</w:t>
      </w:r>
    </w:p>
    <w:p w14:paraId="00100832" w14:textId="00100833">
      <w:pPr>
        <w:pStyle w:val="Normal"/>
        <w:jc w:val="left"/>
      </w:pPr>
      <w:r>
        <w:t xml:space="preserve">Management therefore treats transformation risk not as a single project issue but as a portfolio-level discipline. Program milestones, benefit capture, spend variance, control exceptions, and resource availability are reviewed through formal governance channels. The objective is to ensure that strategic change supports the operating model rather than destabilizing it, and that growth and efficiency commitments remain credible under realistic delivery assumptions.</w:t>
      </w:r>
    </w:p>
    <w:p w14:paraId="00100834" w14:textId="00100835">
      <w:pPr>
        <w:pStyle w:val="Normal"/>
        <w:jc w:val="left"/>
      </w:pPr>
      <w:r>
        <w:t xml:space="preserve">Delivery mitigations are built into the design, governance, and pacing of major initiatives. Significant programs are subject to stage-gate approval, with business cases challenged for dependency risk, implementation capacity, and downside sensitivity before funding is released. Each material initiative has a designated executive sponsor, a delivery lead, and a defined escalation path to the executive committee when milestones, costs, or expected benefits deviate from plan. This structure is intended to reduce ambiguity and preserve accountability across cross-functional workstreams.</w:t>
      </w:r>
    </w:p>
    <w:p w14:paraId="00100836" w14:textId="00100837">
      <w:pPr>
        <w:pStyle w:val="Normal"/>
        <w:jc w:val="left"/>
      </w:pPr>
      <w:r>
        <w:t xml:space="preserve">Rivermark Holdings also uses practical controls to limit execution slippage. Critical-path milestones are tracked monthly, external implementation partners are assessed against defined service criteria, and change-management readiness is reviewed before key process or system transitions. Where delivery risk increases, the group can sequence rollouts, ring-fence customer-facing processes, or deploy temporary support resources to protect service levels. Benefit tracking remains separate from project completion reporting so that nominal go-live events are not mistaken for realized value.</w:t>
      </w:r>
    </w:p>
    <w:p w14:paraId="00100838" w14:textId="00100839">
      <w:pPr>
        <w:pStyle w:val="Normal"/>
        <w:jc w:val="left"/>
      </w:pPr>
      <w:r>
        <w:t xml:space="preserve">Mitigation extends beyond formal project management. Capability development, succession planning for key program roles, and post-implementation review are used to strengthen institutional learning and reduce repeated execution failures. In acquisitions and integration activity, management applies integration charters, synergy validation, and cultural alignment reviews to avoid overextension. These measures do not remove all uncertainty, but they materially improve the likelihood that strategic initiatives will be delivered on time, within tolerance, and with the intended commercial effect.</w:t>
      </w:r>
    </w:p>
    <w:p w14:paraId="0010083A" w14:textId="0010083B">
      <w:pPr>
        <w:pStyle w:val="Normal"/>
        <w:jc w:val="left"/>
      </w:pPr>
      <w:r>
        <w:t xml:space="preserve">5.2 Operational and Financial Risks</w:t>
      </w:r>
    </w:p>
    <w:p w14:paraId="0010083C" w14:textId="0010083D">
      <w:pPr>
        <w:pStyle w:val="Normal"/>
        <w:jc w:val="left"/>
      </w:pPr>
      <w:r>
        <w:t xml:space="preserve">Operational and financial risks cover the threats that could interrupt business continuity, weaken control reliability, or impair the group’s funding and reporting position. For Rivermark Holdings, the principal operational exposures include supply-chain disruption, cyber incidents, health and safety events, project execution failures, and dependency on key systems or specialist personnel. These risks can translate quickly into financial effects through lost revenue, remediation cost, contract penalties, inventory inefficiency, or reputational damage. The group therefore assesses operational resilience and financial resilience together rather than as separate disciplines.</w:t>
      </w:r>
    </w:p>
    <w:p w14:paraId="0010083E" w14:textId="0010083F">
      <w:pPr>
        <w:pStyle w:val="Normal"/>
        <w:jc w:val="left"/>
      </w:pPr>
      <w:r>
        <w:t xml:space="preserve">Financial risk includes liquidity management, refinancing concentration, counterparty credit exposure, foreign-exchange movements, interest-rate sensitivity, and the risk of inaccurate or delayed financial reporting. While treasury and controllership processes remain centralized, these exposures often originate in the operating businesses through contract structure, customer quality, payment behavior, procurement commitments, and project-change control. Management monitors cash forecasting accuracy, covenant headroom, overdue receivables, hedging coverage, and control exceptions as part of the regular risk cycle.</w:t>
      </w:r>
    </w:p>
    <w:p w14:paraId="00100840" w14:textId="00100841">
      <w:pPr>
        <w:pStyle w:val="Normal"/>
        <w:jc w:val="left"/>
      </w:pPr>
      <w:r>
        <w:t xml:space="preserve">The group’s response is based on layered controls and contingency planning. Critical operations are supported by continuity plans, cyber defenses, safety management systems, supplier monitoring, and incident escalation protocols. Financial resilience is reinforced through diversified funding sources, committed facilities, disciplined working-capital oversight, and formal review of accounting judgments and close controls. This combination of prevention, monitoring, and recovery planning is intended to keep individual disruptions from escalating into broader threats to solvency, compliance, or stakeholder confidence.</w:t>
      </w:r>
    </w:p>
    <w:p w14:paraId="00100842" w14:textId="00100843">
      <w:pPr>
        <w:pStyle w:val="Normal"/>
        <w:jc w:val="left"/>
      </w:pPr>
      <w:r>
        <w:t xml:space="preserve">5.2.2 Operational Resilience</w:t>
      </w:r>
    </w:p>
    <w:p w14:paraId="00100844" w14:textId="00100845">
      <w:pPr>
        <w:pStyle w:val="Normal"/>
        <w:jc w:val="left"/>
      </w:pPr>
      <w:r>
        <w:t xml:space="preserve">Rivermark Holdings maintains an enterprise continuity framework designed to protect critical operations, customer service, and information assets during disruptive events. Each segment identifies priority processes, minimum service levels, recovery time objectives, and named incident owners, with plans refreshed through annual scenario reviews and targeted site-level exercises. The framework is supported by a central resilience office that coordinates escalation, crisis communications, and recovery governance across Industrial Solutions, Consumer Platforms, and Infrastructure Services. During the year, the Group expanded alternate-routing arrangements for logistics, increased data-backup frequency for customer-facing systems, and strengthened continuity playbooks for third-party service interruptions.</w:t>
      </w:r>
    </w:p>
    <w:p w14:paraId="00100846" w14:textId="00100847">
      <w:pPr>
        <w:pStyle w:val="Normal"/>
        <w:jc w:val="left"/>
      </w:pPr>
      <w:r>
        <w:t xml:space="preserve">Cyber resilience is managed through layered preventive, detective, and response controls. Core measures include identity and access management, multifactor authentication for privileged users, endpoint protection, network segmentation, vulnerability scanning, and patch governance based on risk criticality. Security monitoring is performed continuously through a hybrid internal and managed-security model, with significant alerts escalated to the technology risk committee and, where necessary, to the Audit and Risk Committee. Phishing simulations, role-based awareness training, and supplier access reviews were also intensified in response to a higher threat environment. While attempted intrusions remained frequent, no event during the reporting period resulted in material operational shutdown, material loss of customer data, or a reportable interruption to consolidated financial reporting. These controls do not eliminate cyber risk, but they materially improve detection speed, containment discipline, and recovery readiness.</w:t>
      </w:r>
    </w:p>
    <w:p w14:paraId="00100848" w14:textId="00100849">
      <w:pPr>
        <w:pStyle w:val="Normal"/>
        <w:jc w:val="left"/>
      </w:pPr>
      <w:r>
        <w:t xml:space="preserve">Safety resilience is treated as an operating control rather than a compliance afterthought. The Group’s higher-risk facilities and project sites apply critical-risk standards covering contractor management, permit-to-work disciplines, energy isolation, vehicle movement, and lifting operations. These requirements are reinforced through supervisory field observations, near-miss reporting, and monthly review of leading indicators such as training completion, corrective-action closure, and high-potential event investigations. Where incident patterns or site conditions indicate elevated exposure, management deploys focused interventions, including additional maintenance shutdowns, revised work sequencing, or temporary restrictions on nonessential tasks. This approach is intended to preserve workforce wellbeing while reducing the likelihood that safety failures cascade into production loss, project delay, or reputational damage.</w:t>
      </w:r>
    </w:p>
    <w:p w14:paraId="0010084A" w14:textId="0010084B">
      <w:pPr>
        <w:pStyle w:val="Normal"/>
        <w:jc w:val="left"/>
      </w:pPr>
      <w:r>
        <w:t xml:space="preserve">Supply resilience is managed through a combination of sourcing diversification, inventory positioning, and supplier oversight. Rivermark Holdings monitors concentration in critical raw materials, transport corridors, and specialized components, with contingency planning for items that have limited substitution options or long replenishment cycles. Procurement teams maintain dual-source arrangements where feasible, prequalify emergency suppliers, and track vendor performance on quality, delivery, financial stability, and ethical compliance. In Infrastructure Services, bid selection and contract planning increasingly reflect subcontractor capacity and schedule reliability, while Consumer Platforms has broadened demand sensing to reduce stock imbalances during peak periods. Although localized delays and input-cost pressure persisted, the overall network remained serviceable because resilience measures were built into sourcing decisions before disruption occurred. Management’s assessment is that supply continuity improved year on year, though exposure to geopolitics, freight volatility, and weather-related events remains a live operational risk.</w:t>
      </w:r>
    </w:p>
    <w:p w14:paraId="0010084C" w14:textId="0010084D">
      <w:pPr>
        <w:pStyle w:val="Normal"/>
        <w:jc w:val="left"/>
      </w:pPr>
      <w:r>
        <w:t xml:space="preserve">5.2.2 Financial Resilience</w:t>
      </w:r>
    </w:p>
    <w:p w14:paraId="0010084E" w14:textId="0010084F">
      <w:pPr>
        <w:pStyle w:val="Normal"/>
        <w:jc w:val="left"/>
      </w:pPr>
      <w:r>
        <w:t xml:space="preserve">Rivermark Holdings manages financial resilience through a disciplined liquidity framework centered on cash preservation, diversified funding sources, and conservative short-term forecasting. Treasury prepares rolling cash forecasts at entity, segment, and Group levels, allowing management to identify seasonal pressure points, refinancing windows, and concentration exposures before they become constraints. Available liquidity is maintained through a combination of cash on hand, committed revolving credit facilities, and bilateral banking lines with staggered maturities. The Group’s policy is to preserve sufficient headroom to absorb downside scenarios involving weaker demand, delayed customer receipts, project timing slippage, and temporary market dislocation. This policy was tested during the year through internal stress scenarios that assumed lower earnings conversion and a slower working-capital unwind; under those scenarios, available facilities and internal cash generation remained adequate.</w:t>
      </w:r>
    </w:p>
    <w:p w14:paraId="00100850" w14:textId="00100851">
      <w:pPr>
        <w:pStyle w:val="Normal"/>
        <w:jc w:val="left"/>
      </w:pPr>
      <w:r>
        <w:t xml:space="preserve">Credit protection is supported by counterparty controls covering customers, financial institutions, and derivative counterparties. Trade exposures are monitored using customer credit limits, aging reviews, expected-loss provisioning, and, where appropriate, advance payments, letters of credit, or credit insurance. Exposures to banking partners are diversified across institutions meeting internal credit criteria, and treasury transactions are executed under approved authority matrices with defined counterparty limits. For major contracts in Infrastructure Services, payment milestones and security packages are assessed before commitment to reduce uncollateralized exposure. Taken together, these measures support operational flexibility and reduce the likelihood that a single customer default, bank event, or timing mismatch would materially impair the Group’s funding position.</w:t>
      </w:r>
    </w:p>
    <w:p w14:paraId="00100852" w14:textId="00100853">
      <w:pPr>
        <w:pStyle w:val="Normal"/>
        <w:jc w:val="left"/>
      </w:pPr>
      <w:r>
        <w:t xml:space="preserve">Covenant protection remains an important element of Rivermark Holdings’ financing discipline. Borrowing arrangements are structured to align covenant packages with the Group’s earnings profile and asset base, with regular compliance monitoring against leverage, interest-cover, and other lender-defined metrics where applicable. Treasury and finance teams review covenant headroom monthly, and more frequently when market conditions become volatile or significant acquisitions, disposals, or restructuring actions are under evaluation. Forecast compliance is tested under base, downside, and severe-but-plausible assumptions so that management can respond early through cost controls, capital deferral, working-capital actions, or refinancing steps. As of the reporting date, the Group remained within all covenant thresholds with prudent headroom, and no waiver requests were required.</w:t>
      </w:r>
    </w:p>
    <w:p w14:paraId="00100854" w14:textId="00100855">
      <w:pPr>
        <w:pStyle w:val="Normal"/>
        <w:jc w:val="left"/>
      </w:pPr>
      <w:r>
        <w:t xml:space="preserve">Protection against market risk focuses primarily on interest-rate, foreign-exchange, and selected commodity-linked exposures. The Group does not use derivatives for speculative purposes; hedging activity is limited to managing identified underlying exposures and smoothing the effect of adverse market movements on cash flow and earnings. Variable-rate debt is balanced against fixed-rate instruments and hedging overlays to moderate sensitivity to rate changes, while transactional foreign-exchange exposures are managed through natural offsets and forward-cover programs where visibility is sufficient. In businesses with imported inputs or cross-border contracts, pricing reviews and contract clauses are also used to mitigate residual volatility that financial instruments cannot efficiently hedge. This combined approach cannot remove macroeconomic uncertainty, but it strengthens financial resilience by limiting the speed and magnitude with which external market shocks flow into liquidity, profitability, and covenant capacity.</w:t>
      </w:r>
    </w:p>
    <w:p w14:paraId="00101CF6" w14:textId="00101CF7">
      <w:pPr>
        <w:pStyle w:val="Normal"/>
        <w:jc w:val="left"/>
        <w:sectPr>
          <w:type w:val="nextPage"/>
          <w:pgSz w:w="11906" w:h="16838"/>
          <w:pgMar w:top="1440" w:right="1440" w:bottom="1440" w:left="1440" w:header="1440" w:footer="1440" w:gutter="0"/>
          <w:cols w:space="720" w:num="1"/>
        </w:sectPr>
      </w:pPr>
    </w:p>
    <w:p w14:paraId="0010085A" w14:textId="0010085B">
      <w:pPr>
        <w:pStyle w:val="Normal"/>
        <w:jc w:val="left"/>
      </w:pPr>
      <w:r>
        <w:t xml:space="preserve">Chapter 6 Sustainability and Impact</w:t>
      </w:r>
    </w:p>
    <w:p w14:paraId="0010085C" w14:textId="0010085D">
      <w:pPr>
        <w:pStyle w:val="Normal"/>
        <w:jc w:val="left"/>
      </w:pPr>
      <w:r>
        <w:t xml:space="preserve">This chapter explains how Rivermark Holdings integrates environmental, social, safety, and community priorities into operating decisions, capital allocation, and performance oversight. Sustainability is treated not as a standalone reporting theme but as a set of measurable business disciplines that influence resilience, license to operate, workforce capability, customer trust, and long-term returns. During the year, the Group advanced its impact agenda through tighter emissions and energy controls in Industrial Solutions, improved customer access and product responsibility programs in Consumer Platforms, and stronger delivery, safety, and local stakeholder management across Infrastructure Services.</w:t>
      </w:r>
    </w:p>
    <w:p w14:paraId="0010085E" w14:textId="0010085F">
      <w:pPr>
        <w:pStyle w:val="Normal"/>
        <w:jc w:val="left"/>
      </w:pPr>
      <w:r>
        <w:t xml:space="preserve">The reporting period was marked by mixed external conditions. Energy costs remained volatile, regulatory expectations continued to broaden, and stakeholder scrutiny of supply-chain integrity, workforce conditions, and climate preparedness increased. In response, Rivermark Holdings refined target definitions, strengthened data ownership, and expanded management review of nonfinancial indicators alongside financial results. Progress was strongest in operational safety prevention, training completion, and energy-efficiency projects, while areas such as waste circularity and supplier data coverage remain at an earlier stage of maturity.</w:t>
      </w:r>
    </w:p>
    <w:p w14:paraId="00100860" w14:textId="00100861">
      <w:pPr>
        <w:pStyle w:val="Normal"/>
        <w:jc w:val="left"/>
      </w:pPr>
      <w:r>
        <w:t xml:space="preserve">The sections that follow set out the Group’s sustainability strategy, governance, targets, performance indicators, and underlying control approach. They are intended to show not only what was achieved in the year, but also how management assesses trade-offs, prioritizes actions, and links impact performance to the broader value-creation model of the Group.</w:t>
      </w:r>
    </w:p>
    <w:p w14:paraId="00100862" w14:textId="00100863">
      <w:pPr>
        <w:pStyle w:val="Normal"/>
        <w:jc w:val="left"/>
      </w:pPr>
      <w:r>
        <w:t xml:space="preserve">6. Sustainability Strategy</w:t>
      </w:r>
    </w:p>
    <w:p w14:paraId="00100864" w14:textId="00100865">
      <w:pPr>
        <w:pStyle w:val="Normal"/>
        <w:jc w:val="left"/>
      </w:pPr>
      <w:r>
        <w:t xml:space="preserve">Rivermark Holdings’ sustainability strategy is built around the principle that durable commercial performance depends on responsible resource use, safe and inclusive workplaces, trusted products and services, and constructive relationships with communities and regulators. The strategy therefore focuses on those topics where the Group’s operations and business model create the most material exposures and the greatest opportunity for long-term value creation. Across the portfolio, management organizes sustainability priorities into four practical themes: environmental transition, people and safety, responsible operations, and community impact.</w:t>
      </w:r>
    </w:p>
    <w:p w14:paraId="00100866" w14:textId="00100867">
      <w:pPr>
        <w:pStyle w:val="Normal"/>
        <w:jc w:val="left"/>
      </w:pPr>
      <w:r>
        <w:t xml:space="preserve">The reporting basis for this section aligns operational decision-making with external disclosure. Metrics are compiled from controlled operating entities included in the annual financial reporting perimeter unless a narrower or broader boundary is stated for a specific indicator. Where estimates are necessary, management uses the most reliable available operational records, applies consistent methodologies across periods, and discloses significant judgment areas in the Basis and Assurance chapter. This approach is intended to improve comparability while recognizing that some indicators, particularly in supply-chain and community impact reporting, continue to evolve in coverage and precision.</w:t>
      </w:r>
    </w:p>
    <w:p w14:paraId="00100868" w14:textId="00100869">
      <w:pPr>
        <w:pStyle w:val="Normal"/>
        <w:jc w:val="left"/>
      </w:pPr>
      <w:r>
        <w:t xml:space="preserve">The strategy discussion below moves from materiality and target-setting to governance and performance monitoring, showing how priorities are translated into accountabilities, operating plans, and year-by-year measurement.</w:t>
      </w:r>
    </w:p>
    <w:p w14:paraId="0010086A" w14:textId="0010086B">
      <w:pPr>
        <w:pStyle w:val="Normal"/>
        <w:jc w:val="left"/>
      </w:pPr>
      <w:r>
        <w:t xml:space="preserve">6.1 Materiality and Targets</w:t>
      </w:r>
    </w:p>
    <w:p w14:paraId="0010086C" w14:textId="0010086D">
      <w:pPr>
        <w:pStyle w:val="Normal"/>
        <w:jc w:val="left"/>
      </w:pPr>
      <w:r>
        <w:t xml:space="preserve">Rivermark Holdings identifies material sustainability topics through a structured assessment of business exposure, stakeholder concern, regulatory direction, and the potential effect on enterprise value. Management draws on risk reviews, customer requirements, employee feedback, investor engagement, audit findings, and operational incident data to determine which topics warrant Group-level targets and formal oversight. This process recognizes that materiality is not static: issues such as climate transition cost, cyber-enabled operational disruption, labor availability, and responsible sourcing can intensify quickly as market conditions and public expectations change.</w:t>
      </w:r>
    </w:p>
    <w:p w14:paraId="0010086E" w14:textId="0010086F">
      <w:pPr>
        <w:pStyle w:val="Normal"/>
        <w:jc w:val="left"/>
      </w:pPr>
      <w:r>
        <w:t xml:space="preserve">The resulting target structure distinguishes between enterprise-wide commitments and segment-specific operating measures. Group targets are used where a common management response is appropriate, such as safety performance, emissions intensity, training completion, and ethics compliance. Segment measures are used where operating profiles differ materially, for example in project delivery impacts, customer inclusion programs, or resource intensity patterns. Baselines are selected to provide a credible starting point for measurement and, where relevant, are adjusted only when there is a clear methodological or structural reason to do so.</w:t>
      </w:r>
    </w:p>
    <w:p w14:paraId="00100870" w14:textId="00100871">
      <w:pPr>
        <w:pStyle w:val="Normal"/>
        <w:jc w:val="left"/>
      </w:pPr>
      <w:r>
        <w:t xml:space="preserve">By organizing topics in this way, the Group seeks to avoid a purely declarative approach to sustainability reporting. Each material theme is linked to a measurable indicator set, a management owner, and a review cadence that supports corrective action when performance diverges from plan.</w:t>
      </w:r>
    </w:p>
    <w:p w14:paraId="00100872" w14:textId="00100873">
      <w:pPr>
        <w:pStyle w:val="Normal"/>
        <w:jc w:val="left"/>
      </w:pPr>
      <w:r>
        <w:t xml:space="preserve">6.1.1 Target Framework</w:t>
      </w:r>
    </w:p>
    <w:p w14:paraId="00100874" w14:textId="0010087A">
      <w:pPr>
        <w:pStyle w:val="Normal"/>
        <w:jc w:val="left"/>
      </w:pPr>
      <w:r>
        <w:t xml:space="preserve">Target framework:</w:t>
      </w:r>
      <w:r>
        <w:t xml:space="preserve"> Rivermark Holdings uses a tiered design to define the scope, baseline, and intended use of each sustainability target. At the first level, enterprise targets apply to all controlled operations where the underlying activity is present and measurable; these targets are intended to drive common standards and provide comparability across the Group. At the second level, segment targets reflect specific operating realities, such as project-site safety controls in Infrastructure Services or product stewardship indicators in Consumer Platforms. At the third level, enabling metrics track implementation capacity, including training completion, supplier screening coverage, and data assurance status.</w:t>
        <w:br/>
      </w:r>
      <w:r>
        <w:t xml:space="preserve">Baseline design:</w:t>
      </w:r>
      <w:r>
        <w:t xml:space="preserve"> Baselines are chosen to balance relevance, stability, and data integrity. For mature indicators, the Group generally uses a recent full-year operational baseline supported by validated records from the reporting systems used in management review. For developing indicators, such as certain Scope 3 screening measures or community outcome metrics, a phased baseline approach is used so that initial years establish coverage and methodology before performance expectations are tightened. Structural changes, including acquisitions, disposals, or major boundary revisions, are assessed to determine whether baseline rebasing is necessary to preserve decision-usefulness.</w:t>
        <w:br/>
      </w:r>
      <w:r>
        <w:t xml:space="preserve">Scope discipline:</w:t>
      </w:r>
      <w:r>
        <w:t xml:space="preserve"> Every target definition specifies whether it is measured on an absolute basis, an intensity basis, or a compliance basis, and whether it covers owned operations only or selected parts of the value chain. This discipline reduces ambiguity, allows segment leaders to translate Group expectations into site-level plans, and supports more reliable external reporting.</w:t>
      </w:r>
    </w:p>
    <w:p w14:paraId="0010087B" w14:textId="0010087C">
      <w:pPr>
        <w:pStyle w:val="Normal"/>
        <w:jc w:val="left"/>
      </w:pPr>
      <w:r>
        <w:t xml:space="preserve">Target timelines are set according to the nature of the issue being managed. Near-term targets typically cover one to three years and are used for indicators that can be influenced directly through operating controls, such as training completion, incident prevention actions, audit closure, or energy-efficiency projects. Medium-term targets generally span three to five years and are more common where asset renewal, process redesign, or supplier engagement is required. Longer-horizon ambitions are used selectively for transition areas in which delivery depends on technology pathways, capital sequencing, and external infrastructure availability.</w:t>
      </w:r>
    </w:p>
    <w:p w14:paraId="0010087D" w14:textId="0010087E">
      <w:pPr>
        <w:pStyle w:val="Normal"/>
        <w:jc w:val="left"/>
      </w:pPr>
      <w:r>
        <w:t xml:space="preserve">Accountability is assigned through a clear ownership model. Group Executive leadership approves major sustainability commitments and reviews performance through regular operating and risk forums. Functional owners establish methodologies, control definitions, and minimum standards, while segment leaders are responsible for execution in their operating environments. Site and business-unit managers, in turn, carry day-to-day responsibility for action plans, data submission, and corrective measures where targets are off track. Performance against selected sustainability measures is incorporated into management scorecards to reinforce operational ownership rather than treating impact topics as parallel reporting exercises.</w:t>
      </w:r>
    </w:p>
    <w:p w14:paraId="0010087F" w14:textId="00100880">
      <w:pPr>
        <w:pStyle w:val="Normal"/>
        <w:jc w:val="left"/>
      </w:pPr>
      <w:r>
        <w:t xml:space="preserve">This layered timetable and accountability structure helps the Group distinguish between targets intended to change behavior immediately and those requiring longer investment cycles, while maintaining visibility over dependencies, milestone delivery, and remediation where progress lags.</w:t>
      </w:r>
    </w:p>
    <w:p w14:paraId="00100881" w14:textId="00100882">
      <w:pPr>
        <w:pStyle w:val="Normal"/>
        <w:jc w:val="left"/>
      </w:pPr>
      <w:r>
        <w:t xml:space="preserve">6.1.1 Progress Dashboard</w:t>
      </w:r>
    </w:p>
    <w:p w14:paraId="00100883" w14:textId="00100884">
      <w:pPr>
        <w:pStyle w:val="Normal"/>
        <w:jc w:val="left"/>
      </w:pPr>
      <w:r>
        <w:t xml:space="preserve">Table 18 Sustainability progress dashboard</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885" w14:textId="001008E5">
            <w:pPr>
              <w:pStyle w:val="Normal"/>
              <w:jc w:val="left"/>
            </w:pPr>
            <w:r>
              <w:t xml:space="preserve">Indicator</w:t>
            </w:r>
          </w:p>
        </w:tc>
        <w:tc>
          <w:tcPr>
            <w:vAlign w:val="center"/>
            <w:tcBorders>
              <w:top w:val="single" w:sz="4" w:space="0" w:color="auto"/>
              <w:left w:val="single" w:sz="4" w:space="0" w:color="auto"/>
              <w:bottom w:val="single" w:sz="4" w:space="0" w:color="auto"/>
              <w:right w:val="single" w:sz="4" w:space="0" w:color="auto"/>
            </w:tcBorders>
          </w:tcPr>
          <w:p w14:paraId="00100887" w14:textId="001008E6">
            <w:pPr>
              <w:pStyle w:val="Normal"/>
              <w:jc w:val="left"/>
            </w:pPr>
            <w:r>
              <w:t xml:space="preserve">Baseline</w:t>
            </w:r>
          </w:p>
        </w:tc>
        <w:tc>
          <w:tcPr>
            <w:vAlign w:val="center"/>
            <w:tcBorders>
              <w:top w:val="single" w:sz="4" w:space="0" w:color="auto"/>
              <w:left w:val="single" w:sz="4" w:space="0" w:color="auto"/>
              <w:bottom w:val="single" w:sz="4" w:space="0" w:color="auto"/>
              <w:right w:val="single" w:sz="4" w:space="0" w:color="auto"/>
            </w:tcBorders>
          </w:tcPr>
          <w:p w14:paraId="00100889" w14:textId="001008E7">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88B" w14:textId="001008E8">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88D" w14:textId="001008E9">
            <w:pPr>
              <w:pStyle w:val="Normal"/>
              <w:jc w:val="left"/>
            </w:pPr>
            <w:r>
              <w:t xml:space="preserve">2026 target</w:t>
            </w:r>
          </w:p>
        </w:tc>
        <w:tc>
          <w:tcPr>
            <w:vAlign w:val="center"/>
            <w:tcBorders>
              <w:top w:val="single" w:sz="4" w:space="0" w:color="auto"/>
              <w:left w:val="single" w:sz="4" w:space="0" w:color="auto"/>
              <w:bottom w:val="single" w:sz="4" w:space="0" w:color="auto"/>
              <w:right w:val="single" w:sz="4" w:space="0" w:color="auto"/>
            </w:tcBorders>
          </w:tcPr>
          <w:p w14:paraId="0010088F" w14:textId="001008EA">
            <w:pPr>
              <w:pStyle w:val="Normal"/>
              <w:jc w:val="left"/>
            </w:pPr>
            <w:r>
              <w:t xml:space="preserve">Progress status</w:t>
            </w:r>
          </w:p>
        </w:tc>
      </w:tr>
      <w:tr>
        <w:tc>
          <w:tcPr>
            <w:vAlign w:val="center"/>
            <w:tcBorders>
              <w:top w:val="single" w:sz="4" w:space="0" w:color="auto"/>
              <w:left w:val="single" w:sz="4" w:space="0" w:color="auto"/>
              <w:bottom w:val="single" w:sz="4" w:space="0" w:color="auto"/>
              <w:right w:val="single" w:sz="4" w:space="0" w:color="auto"/>
            </w:tcBorders>
          </w:tcPr>
          <w:p w14:paraId="00100891" w14:textId="001008EB">
            <w:pPr>
              <w:pStyle w:val="Normal"/>
              <w:jc w:val="left"/>
            </w:pPr>
            <w:r>
              <w:t xml:space="preserve">Scope 1 and 2 emissions intensity (tCO2e per revenue unit)</w:t>
            </w:r>
          </w:p>
        </w:tc>
        <w:tc>
          <w:tcPr>
            <w:vAlign w:val="center"/>
            <w:tcBorders>
              <w:top w:val="single" w:sz="4" w:space="0" w:color="auto"/>
              <w:left w:val="single" w:sz="4" w:space="0" w:color="auto"/>
              <w:bottom w:val="single" w:sz="4" w:space="0" w:color="auto"/>
              <w:right w:val="single" w:sz="4" w:space="0" w:color="auto"/>
            </w:tcBorders>
          </w:tcPr>
          <w:p w14:paraId="00100893" w14:textId="001008EC">
            <w:pPr>
              <w:pStyle w:val="Normal"/>
              <w:jc w:val="left"/>
            </w:pPr>
            <w:r>
              <w:t xml:space="preserve">100</w:t>
            </w:r>
          </w:p>
        </w:tc>
        <w:tc>
          <w:tcPr>
            <w:vAlign w:val="center"/>
            <w:tcBorders>
              <w:top w:val="single" w:sz="4" w:space="0" w:color="auto"/>
              <w:left w:val="single" w:sz="4" w:space="0" w:color="auto"/>
              <w:bottom w:val="single" w:sz="4" w:space="0" w:color="auto"/>
              <w:right w:val="single" w:sz="4" w:space="0" w:color="auto"/>
            </w:tcBorders>
          </w:tcPr>
          <w:p w14:paraId="00100895" w14:textId="001008ED">
            <w:pPr>
              <w:pStyle w:val="Normal"/>
              <w:jc w:val="left"/>
            </w:pPr>
            <w:r>
              <w:t xml:space="preserve">92</w:t>
            </w:r>
          </w:p>
        </w:tc>
        <w:tc>
          <w:tcPr>
            <w:vAlign w:val="center"/>
            <w:tcBorders>
              <w:top w:val="single" w:sz="4" w:space="0" w:color="auto"/>
              <w:left w:val="single" w:sz="4" w:space="0" w:color="auto"/>
              <w:bottom w:val="single" w:sz="4" w:space="0" w:color="auto"/>
              <w:right w:val="single" w:sz="4" w:space="0" w:color="auto"/>
            </w:tcBorders>
          </w:tcPr>
          <w:p w14:paraId="00100897" w14:textId="001008EE">
            <w:pPr>
              <w:pStyle w:val="Normal"/>
              <w:jc w:val="left"/>
            </w:pPr>
            <w:r>
              <w:t xml:space="preserve">86</w:t>
            </w:r>
          </w:p>
        </w:tc>
        <w:tc>
          <w:tcPr>
            <w:vAlign w:val="center"/>
            <w:tcBorders>
              <w:top w:val="single" w:sz="4" w:space="0" w:color="auto"/>
              <w:left w:val="single" w:sz="4" w:space="0" w:color="auto"/>
              <w:bottom w:val="single" w:sz="4" w:space="0" w:color="auto"/>
              <w:right w:val="single" w:sz="4" w:space="0" w:color="auto"/>
            </w:tcBorders>
          </w:tcPr>
          <w:p w14:paraId="00100899" w14:textId="001008EF">
            <w:pPr>
              <w:pStyle w:val="Normal"/>
              <w:jc w:val="left"/>
            </w:pPr>
            <w:r>
              <w:t xml:space="preserve">78</w:t>
            </w:r>
          </w:p>
        </w:tc>
        <w:tc>
          <w:tcPr>
            <w:vAlign w:val="center"/>
            <w:tcBorders>
              <w:top w:val="single" w:sz="4" w:space="0" w:color="auto"/>
              <w:left w:val="single" w:sz="4" w:space="0" w:color="auto"/>
              <w:bottom w:val="single" w:sz="4" w:space="0" w:color="auto"/>
              <w:right w:val="single" w:sz="4" w:space="0" w:color="auto"/>
            </w:tcBorders>
          </w:tcPr>
          <w:p w14:paraId="0010089B" w14:textId="001008F0">
            <w:pPr>
              <w:pStyle w:val="Normal"/>
              <w:jc w:val="left"/>
            </w:pPr>
            <w:r>
              <w:t xml:space="preserve">On track</w:t>
            </w:r>
          </w:p>
        </w:tc>
      </w:tr>
      <w:tr>
        <w:tc>
          <w:tcPr>
            <w:vAlign w:val="center"/>
            <w:tcBorders>
              <w:top w:val="single" w:sz="4" w:space="0" w:color="auto"/>
              <w:left w:val="single" w:sz="4" w:space="0" w:color="auto"/>
              <w:bottom w:val="single" w:sz="4" w:space="0" w:color="auto"/>
              <w:right w:val="single" w:sz="4" w:space="0" w:color="auto"/>
            </w:tcBorders>
          </w:tcPr>
          <w:p w14:paraId="0010089D" w14:textId="001008F1">
            <w:pPr>
              <w:pStyle w:val="Normal"/>
              <w:jc w:val="left"/>
            </w:pPr>
            <w:r>
              <w:t xml:space="preserve">Renewable electricity share (%)</w:t>
            </w:r>
          </w:p>
        </w:tc>
        <w:tc>
          <w:tcPr>
            <w:vAlign w:val="center"/>
            <w:tcBorders>
              <w:top w:val="single" w:sz="4" w:space="0" w:color="auto"/>
              <w:left w:val="single" w:sz="4" w:space="0" w:color="auto"/>
              <w:bottom w:val="single" w:sz="4" w:space="0" w:color="auto"/>
              <w:right w:val="single" w:sz="4" w:space="0" w:color="auto"/>
            </w:tcBorders>
          </w:tcPr>
          <w:p w14:paraId="0010089F" w14:textId="001008F2">
            <w:pPr>
              <w:pStyle w:val="Normal"/>
              <w:jc w:val="left"/>
            </w:pPr>
            <w:r>
              <w:t xml:space="preserve">28</w:t>
            </w:r>
          </w:p>
        </w:tc>
        <w:tc>
          <w:tcPr>
            <w:vAlign w:val="center"/>
            <w:tcBorders>
              <w:top w:val="single" w:sz="4" w:space="0" w:color="auto"/>
              <w:left w:val="single" w:sz="4" w:space="0" w:color="auto"/>
              <w:bottom w:val="single" w:sz="4" w:space="0" w:color="auto"/>
              <w:right w:val="single" w:sz="4" w:space="0" w:color="auto"/>
            </w:tcBorders>
          </w:tcPr>
          <w:p w14:paraId="001008A1" w14:textId="001008F3">
            <w:pPr>
              <w:pStyle w:val="Normal"/>
              <w:jc w:val="left"/>
            </w:pPr>
            <w:r>
              <w:t xml:space="preserve">35</w:t>
            </w:r>
          </w:p>
        </w:tc>
        <w:tc>
          <w:tcPr>
            <w:vAlign w:val="center"/>
            <w:tcBorders>
              <w:top w:val="single" w:sz="4" w:space="0" w:color="auto"/>
              <w:left w:val="single" w:sz="4" w:space="0" w:color="auto"/>
              <w:bottom w:val="single" w:sz="4" w:space="0" w:color="auto"/>
              <w:right w:val="single" w:sz="4" w:space="0" w:color="auto"/>
            </w:tcBorders>
          </w:tcPr>
          <w:p w14:paraId="001008A3" w14:textId="001008F4">
            <w:pPr>
              <w:pStyle w:val="Normal"/>
              <w:jc w:val="left"/>
            </w:pPr>
            <w:r>
              <w:t xml:space="preserve">43</w:t>
            </w:r>
          </w:p>
        </w:tc>
        <w:tc>
          <w:tcPr>
            <w:vAlign w:val="center"/>
            <w:tcBorders>
              <w:top w:val="single" w:sz="4" w:space="0" w:color="auto"/>
              <w:left w:val="single" w:sz="4" w:space="0" w:color="auto"/>
              <w:bottom w:val="single" w:sz="4" w:space="0" w:color="auto"/>
              <w:right w:val="single" w:sz="4" w:space="0" w:color="auto"/>
            </w:tcBorders>
          </w:tcPr>
          <w:p w14:paraId="001008A5" w14:textId="001008F5">
            <w:pPr>
              <w:pStyle w:val="Normal"/>
              <w:jc w:val="left"/>
            </w:pPr>
            <w:r>
              <w:t xml:space="preserve">55</w:t>
            </w:r>
          </w:p>
        </w:tc>
        <w:tc>
          <w:tcPr>
            <w:vAlign w:val="center"/>
            <w:tcBorders>
              <w:top w:val="single" w:sz="4" w:space="0" w:color="auto"/>
              <w:left w:val="single" w:sz="4" w:space="0" w:color="auto"/>
              <w:bottom w:val="single" w:sz="4" w:space="0" w:color="auto"/>
              <w:right w:val="single" w:sz="4" w:space="0" w:color="auto"/>
            </w:tcBorders>
          </w:tcPr>
          <w:p w14:paraId="001008A7" w14:textId="001008F6">
            <w:pPr>
              <w:pStyle w:val="Normal"/>
              <w:jc w:val="left"/>
            </w:pPr>
            <w:r>
              <w:t xml:space="preserve">On track</w:t>
            </w:r>
          </w:p>
        </w:tc>
      </w:tr>
      <w:tr>
        <w:tc>
          <w:tcPr>
            <w:vAlign w:val="center"/>
            <w:tcBorders>
              <w:top w:val="single" w:sz="4" w:space="0" w:color="auto"/>
              <w:left w:val="single" w:sz="4" w:space="0" w:color="auto"/>
              <w:bottom w:val="single" w:sz="4" w:space="0" w:color="auto"/>
              <w:right w:val="single" w:sz="4" w:space="0" w:color="auto"/>
            </w:tcBorders>
          </w:tcPr>
          <w:p w14:paraId="001008A9" w14:textId="001008F7">
            <w:pPr>
              <w:pStyle w:val="Normal"/>
              <w:jc w:val="left"/>
            </w:pPr>
            <w:r>
              <w:t xml:space="preserve">Water withdrawal intensity (m3 per production unit)</w:t>
            </w:r>
          </w:p>
        </w:tc>
        <w:tc>
          <w:tcPr>
            <w:vAlign w:val="center"/>
            <w:tcBorders>
              <w:top w:val="single" w:sz="4" w:space="0" w:color="auto"/>
              <w:left w:val="single" w:sz="4" w:space="0" w:color="auto"/>
              <w:bottom w:val="single" w:sz="4" w:space="0" w:color="auto"/>
              <w:right w:val="single" w:sz="4" w:space="0" w:color="auto"/>
            </w:tcBorders>
          </w:tcPr>
          <w:p w14:paraId="001008AB" w14:textId="001008F8">
            <w:pPr>
              <w:pStyle w:val="Normal"/>
              <w:jc w:val="left"/>
            </w:pPr>
            <w:r>
              <w:t xml:space="preserve">100</w:t>
            </w:r>
          </w:p>
        </w:tc>
        <w:tc>
          <w:tcPr>
            <w:vAlign w:val="center"/>
            <w:tcBorders>
              <w:top w:val="single" w:sz="4" w:space="0" w:color="auto"/>
              <w:left w:val="single" w:sz="4" w:space="0" w:color="auto"/>
              <w:bottom w:val="single" w:sz="4" w:space="0" w:color="auto"/>
              <w:right w:val="single" w:sz="4" w:space="0" w:color="auto"/>
            </w:tcBorders>
          </w:tcPr>
          <w:p w14:paraId="001008AD" w14:textId="001008F9">
            <w:pPr>
              <w:pStyle w:val="Normal"/>
              <w:jc w:val="left"/>
            </w:pPr>
            <w:r>
              <w:t xml:space="preserve">97</w:t>
            </w:r>
          </w:p>
        </w:tc>
        <w:tc>
          <w:tcPr>
            <w:vAlign w:val="center"/>
            <w:tcBorders>
              <w:top w:val="single" w:sz="4" w:space="0" w:color="auto"/>
              <w:left w:val="single" w:sz="4" w:space="0" w:color="auto"/>
              <w:bottom w:val="single" w:sz="4" w:space="0" w:color="auto"/>
              <w:right w:val="single" w:sz="4" w:space="0" w:color="auto"/>
            </w:tcBorders>
          </w:tcPr>
          <w:p w14:paraId="001008AF" w14:textId="001008FA">
            <w:pPr>
              <w:pStyle w:val="Normal"/>
              <w:jc w:val="left"/>
            </w:pPr>
            <w:r>
              <w:t xml:space="preserve">93</w:t>
            </w:r>
          </w:p>
        </w:tc>
        <w:tc>
          <w:tcPr>
            <w:vAlign w:val="center"/>
            <w:tcBorders>
              <w:top w:val="single" w:sz="4" w:space="0" w:color="auto"/>
              <w:left w:val="single" w:sz="4" w:space="0" w:color="auto"/>
              <w:bottom w:val="single" w:sz="4" w:space="0" w:color="auto"/>
              <w:right w:val="single" w:sz="4" w:space="0" w:color="auto"/>
            </w:tcBorders>
          </w:tcPr>
          <w:p w14:paraId="001008B1" w14:textId="001008FB">
            <w:pPr>
              <w:pStyle w:val="Normal"/>
              <w:jc w:val="left"/>
            </w:pPr>
            <w:r>
              <w:t xml:space="preserve">88</w:t>
            </w:r>
          </w:p>
        </w:tc>
        <w:tc>
          <w:tcPr>
            <w:vAlign w:val="center"/>
            <w:tcBorders>
              <w:top w:val="single" w:sz="4" w:space="0" w:color="auto"/>
              <w:left w:val="single" w:sz="4" w:space="0" w:color="auto"/>
              <w:bottom w:val="single" w:sz="4" w:space="0" w:color="auto"/>
              <w:right w:val="single" w:sz="4" w:space="0" w:color="auto"/>
            </w:tcBorders>
          </w:tcPr>
          <w:p w14:paraId="001008B3" w14:textId="001008FC">
            <w:pPr>
              <w:pStyle w:val="Normal"/>
              <w:jc w:val="left"/>
            </w:pPr>
            <w:r>
              <w:t xml:space="preserve">On track</w:t>
            </w:r>
          </w:p>
        </w:tc>
      </w:tr>
      <w:tr>
        <w:tc>
          <w:tcPr>
            <w:vAlign w:val="center"/>
            <w:tcBorders>
              <w:top w:val="single" w:sz="4" w:space="0" w:color="auto"/>
              <w:left w:val="single" w:sz="4" w:space="0" w:color="auto"/>
              <w:bottom w:val="single" w:sz="4" w:space="0" w:color="auto"/>
              <w:right w:val="single" w:sz="4" w:space="0" w:color="auto"/>
            </w:tcBorders>
          </w:tcPr>
          <w:p w14:paraId="001008B5" w14:textId="001008FD">
            <w:pPr>
              <w:pStyle w:val="Normal"/>
              <w:jc w:val="left"/>
            </w:pPr>
            <w:r>
              <w:t xml:space="preserve">Waste diverted from landfill (%)</w:t>
            </w:r>
          </w:p>
        </w:tc>
        <w:tc>
          <w:tcPr>
            <w:vAlign w:val="center"/>
            <w:tcBorders>
              <w:top w:val="single" w:sz="4" w:space="0" w:color="auto"/>
              <w:left w:val="single" w:sz="4" w:space="0" w:color="auto"/>
              <w:bottom w:val="single" w:sz="4" w:space="0" w:color="auto"/>
              <w:right w:val="single" w:sz="4" w:space="0" w:color="auto"/>
            </w:tcBorders>
          </w:tcPr>
          <w:p w14:paraId="001008B7" w14:textId="001008FE">
            <w:pPr>
              <w:pStyle w:val="Normal"/>
              <w:jc w:val="left"/>
            </w:pPr>
            <w:r>
              <w:t xml:space="preserve">61</w:t>
            </w:r>
          </w:p>
        </w:tc>
        <w:tc>
          <w:tcPr>
            <w:vAlign w:val="center"/>
            <w:tcBorders>
              <w:top w:val="single" w:sz="4" w:space="0" w:color="auto"/>
              <w:left w:val="single" w:sz="4" w:space="0" w:color="auto"/>
              <w:bottom w:val="single" w:sz="4" w:space="0" w:color="auto"/>
              <w:right w:val="single" w:sz="4" w:space="0" w:color="auto"/>
            </w:tcBorders>
          </w:tcPr>
          <w:p w14:paraId="001008B9" w14:textId="001008FF">
            <w:pPr>
              <w:pStyle w:val="Normal"/>
              <w:jc w:val="left"/>
            </w:pPr>
            <w:r>
              <w:t xml:space="preserve">66</w:t>
            </w:r>
          </w:p>
        </w:tc>
        <w:tc>
          <w:tcPr>
            <w:vAlign w:val="center"/>
            <w:tcBorders>
              <w:top w:val="single" w:sz="4" w:space="0" w:color="auto"/>
              <w:left w:val="single" w:sz="4" w:space="0" w:color="auto"/>
              <w:bottom w:val="single" w:sz="4" w:space="0" w:color="auto"/>
              <w:right w:val="single" w:sz="4" w:space="0" w:color="auto"/>
            </w:tcBorders>
          </w:tcPr>
          <w:p w14:paraId="001008BB" w14:textId="00100900">
            <w:pPr>
              <w:pStyle w:val="Normal"/>
              <w:jc w:val="left"/>
            </w:pPr>
            <w:r>
              <w:t xml:space="preserve">71</w:t>
            </w:r>
          </w:p>
        </w:tc>
        <w:tc>
          <w:tcPr>
            <w:vAlign w:val="center"/>
            <w:tcBorders>
              <w:top w:val="single" w:sz="4" w:space="0" w:color="auto"/>
              <w:left w:val="single" w:sz="4" w:space="0" w:color="auto"/>
              <w:bottom w:val="single" w:sz="4" w:space="0" w:color="auto"/>
              <w:right w:val="single" w:sz="4" w:space="0" w:color="auto"/>
            </w:tcBorders>
          </w:tcPr>
          <w:p w14:paraId="001008BD" w14:textId="00100901">
            <w:pPr>
              <w:pStyle w:val="Normal"/>
              <w:jc w:val="left"/>
            </w:pPr>
            <w:r>
              <w:t xml:space="preserve">75</w:t>
            </w:r>
          </w:p>
        </w:tc>
        <w:tc>
          <w:tcPr>
            <w:vAlign w:val="center"/>
            <w:tcBorders>
              <w:top w:val="single" w:sz="4" w:space="0" w:color="auto"/>
              <w:left w:val="single" w:sz="4" w:space="0" w:color="auto"/>
              <w:bottom w:val="single" w:sz="4" w:space="0" w:color="auto"/>
              <w:right w:val="single" w:sz="4" w:space="0" w:color="auto"/>
            </w:tcBorders>
          </w:tcPr>
          <w:p w14:paraId="001008BF" w14:textId="00100902">
            <w:pPr>
              <w:pStyle w:val="Normal"/>
              <w:jc w:val="left"/>
            </w:pPr>
            <w:r>
              <w:t xml:space="preserve">Advancing</w:t>
            </w:r>
          </w:p>
        </w:tc>
      </w:tr>
      <w:tr>
        <w:tc>
          <w:tcPr>
            <w:vAlign w:val="center"/>
            <w:tcBorders>
              <w:top w:val="single" w:sz="4" w:space="0" w:color="auto"/>
              <w:left w:val="single" w:sz="4" w:space="0" w:color="auto"/>
              <w:bottom w:val="single" w:sz="4" w:space="0" w:color="auto"/>
              <w:right w:val="single" w:sz="4" w:space="0" w:color="auto"/>
            </w:tcBorders>
          </w:tcPr>
          <w:p w14:paraId="001008C1" w14:textId="00100903">
            <w:pPr>
              <w:pStyle w:val="Normal"/>
              <w:jc w:val="left"/>
            </w:pPr>
            <w:r>
              <w:t xml:space="preserve">Total recordable injury rate</w:t>
            </w:r>
          </w:p>
        </w:tc>
        <w:tc>
          <w:tcPr>
            <w:vAlign w:val="center"/>
            <w:tcBorders>
              <w:top w:val="single" w:sz="4" w:space="0" w:color="auto"/>
              <w:left w:val="single" w:sz="4" w:space="0" w:color="auto"/>
              <w:bottom w:val="single" w:sz="4" w:space="0" w:color="auto"/>
              <w:right w:val="single" w:sz="4" w:space="0" w:color="auto"/>
            </w:tcBorders>
          </w:tcPr>
          <w:p w14:paraId="001008C3" w14:textId="00100904">
            <w:pPr>
              <w:pStyle w:val="Normal"/>
              <w:jc w:val="left"/>
            </w:pPr>
            <w:r>
              <w:t xml:space="preserve">0.84</w:t>
            </w:r>
          </w:p>
        </w:tc>
        <w:tc>
          <w:tcPr>
            <w:vAlign w:val="center"/>
            <w:tcBorders>
              <w:top w:val="single" w:sz="4" w:space="0" w:color="auto"/>
              <w:left w:val="single" w:sz="4" w:space="0" w:color="auto"/>
              <w:bottom w:val="single" w:sz="4" w:space="0" w:color="auto"/>
              <w:right w:val="single" w:sz="4" w:space="0" w:color="auto"/>
            </w:tcBorders>
          </w:tcPr>
          <w:p w14:paraId="001008C5" w14:textId="00100905">
            <w:pPr>
              <w:pStyle w:val="Normal"/>
              <w:jc w:val="left"/>
            </w:pPr>
            <w:r>
              <w:t xml:space="preserve">0.72</w:t>
            </w:r>
          </w:p>
        </w:tc>
        <w:tc>
          <w:tcPr>
            <w:vAlign w:val="center"/>
            <w:tcBorders>
              <w:top w:val="single" w:sz="4" w:space="0" w:color="auto"/>
              <w:left w:val="single" w:sz="4" w:space="0" w:color="auto"/>
              <w:bottom w:val="single" w:sz="4" w:space="0" w:color="auto"/>
              <w:right w:val="single" w:sz="4" w:space="0" w:color="auto"/>
            </w:tcBorders>
          </w:tcPr>
          <w:p w14:paraId="001008C7" w14:textId="00100906">
            <w:pPr>
              <w:pStyle w:val="Normal"/>
              <w:jc w:val="left"/>
            </w:pPr>
            <w:r>
              <w:t xml:space="preserve">0.58</w:t>
            </w:r>
          </w:p>
        </w:tc>
        <w:tc>
          <w:tcPr>
            <w:vAlign w:val="center"/>
            <w:tcBorders>
              <w:top w:val="single" w:sz="4" w:space="0" w:color="auto"/>
              <w:left w:val="single" w:sz="4" w:space="0" w:color="auto"/>
              <w:bottom w:val="single" w:sz="4" w:space="0" w:color="auto"/>
              <w:right w:val="single" w:sz="4" w:space="0" w:color="auto"/>
            </w:tcBorders>
          </w:tcPr>
          <w:p w14:paraId="001008C9" w14:textId="00100907">
            <w:pPr>
              <w:pStyle w:val="Normal"/>
              <w:jc w:val="left"/>
            </w:pPr>
            <w:r>
              <w:t xml:space="preserve">0.45</w:t>
            </w:r>
          </w:p>
        </w:tc>
        <w:tc>
          <w:tcPr>
            <w:vAlign w:val="center"/>
            <w:tcBorders>
              <w:top w:val="single" w:sz="4" w:space="0" w:color="auto"/>
              <w:left w:val="single" w:sz="4" w:space="0" w:color="auto"/>
              <w:bottom w:val="single" w:sz="4" w:space="0" w:color="auto"/>
              <w:right w:val="single" w:sz="4" w:space="0" w:color="auto"/>
            </w:tcBorders>
          </w:tcPr>
          <w:p w14:paraId="001008CB" w14:textId="00100908">
            <w:pPr>
              <w:pStyle w:val="Normal"/>
              <w:jc w:val="left"/>
            </w:pPr>
            <w:r>
              <w:t xml:space="preserve">On track</w:t>
            </w:r>
          </w:p>
        </w:tc>
      </w:tr>
      <w:tr>
        <w:tc>
          <w:tcPr>
            <w:vAlign w:val="center"/>
            <w:tcBorders>
              <w:top w:val="single" w:sz="4" w:space="0" w:color="auto"/>
              <w:left w:val="single" w:sz="4" w:space="0" w:color="auto"/>
              <w:bottom w:val="single" w:sz="4" w:space="0" w:color="auto"/>
              <w:right w:val="single" w:sz="4" w:space="0" w:color="auto"/>
            </w:tcBorders>
          </w:tcPr>
          <w:p w14:paraId="001008CD" w14:textId="00100909">
            <w:pPr>
              <w:pStyle w:val="Normal"/>
              <w:jc w:val="left"/>
            </w:pPr>
            <w:r>
              <w:t xml:space="preserve">Women in management (%)</w:t>
            </w:r>
          </w:p>
        </w:tc>
        <w:tc>
          <w:tcPr>
            <w:vAlign w:val="center"/>
            <w:tcBorders>
              <w:top w:val="single" w:sz="4" w:space="0" w:color="auto"/>
              <w:left w:val="single" w:sz="4" w:space="0" w:color="auto"/>
              <w:bottom w:val="single" w:sz="4" w:space="0" w:color="auto"/>
              <w:right w:val="single" w:sz="4" w:space="0" w:color="auto"/>
            </w:tcBorders>
          </w:tcPr>
          <w:p w14:paraId="001008CF" w14:textId="0010090A">
            <w:pPr>
              <w:pStyle w:val="Normal"/>
              <w:jc w:val="left"/>
            </w:pPr>
            <w:r>
              <w:t xml:space="preserve">31</w:t>
            </w:r>
          </w:p>
        </w:tc>
        <w:tc>
          <w:tcPr>
            <w:vAlign w:val="center"/>
            <w:tcBorders>
              <w:top w:val="single" w:sz="4" w:space="0" w:color="auto"/>
              <w:left w:val="single" w:sz="4" w:space="0" w:color="auto"/>
              <w:bottom w:val="single" w:sz="4" w:space="0" w:color="auto"/>
              <w:right w:val="single" w:sz="4" w:space="0" w:color="auto"/>
            </w:tcBorders>
          </w:tcPr>
          <w:p w14:paraId="001008D1" w14:textId="0010090B">
            <w:pPr>
              <w:pStyle w:val="Normal"/>
              <w:jc w:val="left"/>
            </w:pPr>
            <w:r>
              <w:t xml:space="preserve">33</w:t>
            </w:r>
          </w:p>
        </w:tc>
        <w:tc>
          <w:tcPr>
            <w:vAlign w:val="center"/>
            <w:tcBorders>
              <w:top w:val="single" w:sz="4" w:space="0" w:color="auto"/>
              <w:left w:val="single" w:sz="4" w:space="0" w:color="auto"/>
              <w:bottom w:val="single" w:sz="4" w:space="0" w:color="auto"/>
              <w:right w:val="single" w:sz="4" w:space="0" w:color="auto"/>
            </w:tcBorders>
          </w:tcPr>
          <w:p w14:paraId="001008D3" w14:textId="0010090C">
            <w:pPr>
              <w:pStyle w:val="Normal"/>
              <w:jc w:val="left"/>
            </w:pPr>
            <w:r>
              <w:t xml:space="preserve">35</w:t>
            </w:r>
          </w:p>
        </w:tc>
        <w:tc>
          <w:tcPr>
            <w:vAlign w:val="center"/>
            <w:tcBorders>
              <w:top w:val="single" w:sz="4" w:space="0" w:color="auto"/>
              <w:left w:val="single" w:sz="4" w:space="0" w:color="auto"/>
              <w:bottom w:val="single" w:sz="4" w:space="0" w:color="auto"/>
              <w:right w:val="single" w:sz="4" w:space="0" w:color="auto"/>
            </w:tcBorders>
          </w:tcPr>
          <w:p w14:paraId="001008D5" w14:textId="0010090D">
            <w:pPr>
              <w:pStyle w:val="Normal"/>
              <w:jc w:val="left"/>
            </w:pPr>
            <w:r>
              <w:t xml:space="preserve">38</w:t>
            </w:r>
          </w:p>
        </w:tc>
        <w:tc>
          <w:tcPr>
            <w:vAlign w:val="center"/>
            <w:tcBorders>
              <w:top w:val="single" w:sz="4" w:space="0" w:color="auto"/>
              <w:left w:val="single" w:sz="4" w:space="0" w:color="auto"/>
              <w:bottom w:val="single" w:sz="4" w:space="0" w:color="auto"/>
              <w:right w:val="single" w:sz="4" w:space="0" w:color="auto"/>
            </w:tcBorders>
          </w:tcPr>
          <w:p w14:paraId="001008D7" w14:textId="0010090E">
            <w:pPr>
              <w:pStyle w:val="Normal"/>
              <w:jc w:val="left"/>
            </w:pPr>
            <w:r>
              <w:t xml:space="preserve">Advancing</w:t>
            </w:r>
          </w:p>
        </w:tc>
      </w:tr>
      <w:tr>
        <w:tc>
          <w:tcPr>
            <w:vAlign w:val="center"/>
            <w:tcBorders>
              <w:top w:val="single" w:sz="4" w:space="0" w:color="auto"/>
              <w:left w:val="single" w:sz="4" w:space="0" w:color="auto"/>
              <w:bottom w:val="single" w:sz="4" w:space="0" w:color="auto"/>
              <w:right w:val="single" w:sz="4" w:space="0" w:color="auto"/>
            </w:tcBorders>
          </w:tcPr>
          <w:p w14:paraId="001008D9" w14:textId="0010090F">
            <w:pPr>
              <w:pStyle w:val="Normal"/>
              <w:jc w:val="left"/>
            </w:pPr>
            <w:r>
              <w:t xml:space="preserve">Employee engagement score</w:t>
            </w:r>
          </w:p>
        </w:tc>
        <w:tc>
          <w:tcPr>
            <w:vAlign w:val="center"/>
            <w:tcBorders>
              <w:top w:val="single" w:sz="4" w:space="0" w:color="auto"/>
              <w:left w:val="single" w:sz="4" w:space="0" w:color="auto"/>
              <w:bottom w:val="single" w:sz="4" w:space="0" w:color="auto"/>
              <w:right w:val="single" w:sz="4" w:space="0" w:color="auto"/>
            </w:tcBorders>
          </w:tcPr>
          <w:p w14:paraId="001008DB" w14:textId="00100910">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08DD" w14:textId="00100911">
            <w:pPr>
              <w:pStyle w:val="Normal"/>
              <w:jc w:val="left"/>
            </w:pPr>
            <w:r>
              <w:t xml:space="preserve">76</w:t>
            </w:r>
          </w:p>
        </w:tc>
        <w:tc>
          <w:tcPr>
            <w:vAlign w:val="center"/>
            <w:tcBorders>
              <w:top w:val="single" w:sz="4" w:space="0" w:color="auto"/>
              <w:left w:val="single" w:sz="4" w:space="0" w:color="auto"/>
              <w:bottom w:val="single" w:sz="4" w:space="0" w:color="auto"/>
              <w:right w:val="single" w:sz="4" w:space="0" w:color="auto"/>
            </w:tcBorders>
          </w:tcPr>
          <w:p w14:paraId="001008DF" w14:textId="00100912">
            <w:pPr>
              <w:pStyle w:val="Normal"/>
              <w:jc w:val="left"/>
            </w:pPr>
            <w:r>
              <w:t xml:space="preserve">79</w:t>
            </w:r>
          </w:p>
        </w:tc>
        <w:tc>
          <w:tcPr>
            <w:vAlign w:val="center"/>
            <w:tcBorders>
              <w:top w:val="single" w:sz="4" w:space="0" w:color="auto"/>
              <w:left w:val="single" w:sz="4" w:space="0" w:color="auto"/>
              <w:bottom w:val="single" w:sz="4" w:space="0" w:color="auto"/>
              <w:right w:val="single" w:sz="4" w:space="0" w:color="auto"/>
            </w:tcBorders>
          </w:tcPr>
          <w:p w14:paraId="001008E1" w14:textId="00100913">
            <w:pPr>
              <w:pStyle w:val="Normal"/>
              <w:jc w:val="left"/>
            </w:pPr>
            <w:r>
              <w:t xml:space="preserve">80</w:t>
            </w:r>
          </w:p>
        </w:tc>
        <w:tc>
          <w:tcPr>
            <w:vAlign w:val="center"/>
            <w:tcBorders>
              <w:top w:val="single" w:sz="4" w:space="0" w:color="auto"/>
              <w:left w:val="single" w:sz="4" w:space="0" w:color="auto"/>
              <w:bottom w:val="single" w:sz="4" w:space="0" w:color="auto"/>
              <w:right w:val="single" w:sz="4" w:space="0" w:color="auto"/>
            </w:tcBorders>
          </w:tcPr>
          <w:p w14:paraId="001008E3" w14:textId="00100914">
            <w:pPr>
              <w:pStyle w:val="Normal"/>
              <w:jc w:val="left"/>
            </w:pPr>
            <w:r>
              <w:t xml:space="preserve">Near target</w:t>
            </w:r>
          </w:p>
        </w:tc>
      </w:tr>
    </w:tbl>
    <w:p w14:paraId="00100915" w14:textId="00100916">
      <w:pPr>
        <w:pStyle w:val="Normal"/>
        <w:jc w:val="left"/>
      </w:pPr>
      <w:r>
        <w:t xml:space="preserve">Figure 22 Trend in key sustainability indicators, 2022–2024</w:t>
      </w:r>
    </w:p>
    <w:p w14:paraId="00100917" w14:textId="00100918">
      <w:pPr>
        <w:pStyle w:val="Normal"/>
        <w:jc w:val="left"/>
      </w:pPr>
      <w:r>
        <w:drawing>
          <wp:inline distT="0" distB="0" distL="0" distR="0">
            <wp:extent cx="4320000" cy="4320000"/>
            <wp:effectExtent l="0" t="0" r="0" b="0"/>
            <wp:docPr id="17" name="Fig-10-01.png" descr=""/>
            <wp:cNvGraphicFramePr>
              <a:graphicFrameLocks noChangeAspect="1"/>
            </wp:cNvGraphicFramePr>
            <a:graphic>
              <a:graphicData uri="http://schemas.openxmlformats.org/drawingml/2006/picture">
                <pic:pic>
                  <pic:nvPicPr>
                    <pic:cNvPr id="17" name="Fig-10-01.png"/>
                    <pic:cNvPicPr/>
                  </pic:nvPicPr>
                  <pic:blipFill>
                    <a:blip r:embed="Rb740a6b8a35f436c" cstate="print"/>
                    <a:stretch>
                      <a:fillRect/>
                    </a:stretch>
                  </pic:blipFill>
                  <pic:spPr>
                    <a:xfrm>
                      <a:off x="0" y="0"/>
                      <a:ext cx="3960000" cy="3960000"/>
                    </a:xfrm>
                    <a:prstGeom prst="rect">
                      <a:avLst/>
                    </a:prstGeom>
                  </pic:spPr>
                </pic:pic>
              </a:graphicData>
            </a:graphic>
          </wp:inline>
        </w:drawing>
      </w:r>
    </w:p>
    <w:p w14:paraId="00100919" w14:textId="0010091A">
      <w:pPr>
        <w:pStyle w:val="Normal"/>
        <w:jc w:val="left"/>
      </w:pPr>
      <w:r>
        <w:t xml:space="preserve">Performance against the sustainability dashboard improved across most priority areas, although the pace of change differed by topic and business segment. Emissions intensity declined further as Industrial Solutions completed furnace-control upgrades, Consumer Platforms increased contracted renewable electricity, and Infrastructure Services reduced diesel consumption through revised fleet routing. Water intensity improved more gradually because two higher-output sites in the South Corridor required additional cooling and cleaning cycles during commissioning, offsetting savings achieved at mature facilities. Waste diversion advanced through expanded sorting contracts and packaging redesign, but progress remained uneven where local recycling infrastructure is limited.</w:t>
      </w:r>
    </w:p>
    <w:p w14:paraId="0010091B" w14:textId="0010091C">
      <w:pPr>
        <w:pStyle w:val="Normal"/>
        <w:jc w:val="left"/>
      </w:pPr>
      <w:r>
        <w:t xml:space="preserve">Social indicators showed a similar pattern of broad improvement with localized constraints. The total recordable injury rate fell as frontline permit-to-work discipline strengthened and higher-risk tasks were redesigned, while employee engagement rose on the back of manager capability training and clearer internal mobility pathways. Representation of women in management continued to increase, though the Group remains below its medium-term ambition in technical and field-based roles where external talent supply is tighter.</w:t>
      </w:r>
    </w:p>
    <w:p w14:paraId="0010091D" w14:textId="0010091E">
      <w:pPr>
        <w:pStyle w:val="Normal"/>
        <w:jc w:val="left"/>
      </w:pPr>
      <w:r>
        <w:t xml:space="preserve">Looking ahead, management expects continued progress, supported by a more disciplined capital allocation process for sustainability projects, tighter site-level accountability, and common reporting definitions across the Group. Areas requiring particular attention in the next reporting period include landfill diversion in remote operations, leadership diversity in specialist functions, and sustaining safety gains during periods of higher project activity.</w:t>
      </w:r>
    </w:p>
    <w:p w14:paraId="0010091F" w14:textId="00100920">
      <w:pPr>
        <w:pStyle w:val="Normal"/>
        <w:jc w:val="left"/>
      </w:pPr>
      <w:r>
        <w:t xml:space="preserve">6.1 Impact Governance</w:t>
      </w:r>
    </w:p>
    <w:p w14:paraId="00100921" w14:textId="00100922">
      <w:pPr>
        <w:pStyle w:val="Normal"/>
        <w:jc w:val="left"/>
      </w:pPr>
      <w:r>
        <w:t xml:space="preserve">Rivermark Holdings governs sustainability and wider impact performance through a layered model that links Board oversight, executive decision-making, and operational execution. The framework is designed to ensure that environmental, social, safety, and community matters are not managed as separate reporting exercises but as embedded business responsibilities. At the top level, the Board reviews material impact topics, target ambition, and major policy positions, while the People and Ethics Committee and the Audit and Risk Committee provide deeper challenge on culture, conduct, data quality, controls, and emerging exposure areas.</w:t>
      </w:r>
    </w:p>
    <w:p w14:paraId="00100923" w14:textId="00100924">
      <w:pPr>
        <w:pStyle w:val="Normal"/>
        <w:jc w:val="left"/>
      </w:pPr>
      <w:r>
        <w:t xml:space="preserve">The executive layer translates those expectations into annual plans, investment proposals, and operating standards. Group functions establish common methodologies for emissions, safety, workforce, and community indicators; segment leaders adapt those standards to local operating realities; and site or business-unit owners are responsible for delivery. This structure enables consistent reporting while preserving accountability close to operational decisions.</w:t>
      </w:r>
    </w:p>
    <w:p w14:paraId="00100925" w14:textId="00100926">
      <w:pPr>
        <w:pStyle w:val="Normal"/>
        <w:jc w:val="left"/>
      </w:pPr>
      <w:r>
        <w:t xml:space="preserve">The governance model also creates a formal bridge between strategy and assurance. Target setting, performance monitoring, and corrective action are connected through monthly operating reviews, quarterly executive reviews, and annual control assessments. As a result, reported outcomes are intended to reflect not only year-end performance but also the strength of the management systems used to produce and challenge that performance.</w:t>
      </w:r>
    </w:p>
    <w:p w14:paraId="00100927" w14:textId="00100928">
      <w:pPr>
        <w:pStyle w:val="Normal"/>
        <w:jc w:val="left"/>
      </w:pPr>
      <w:r>
        <w:t xml:space="preserve">6.1.2 Accountability</w:t>
      </w:r>
    </w:p>
    <w:p w14:paraId="00100929" w14:textId="0010092C">
      <w:pPr>
        <w:pStyle w:val="Normal"/>
        <w:jc w:val="left"/>
      </w:pPr>
      <w:r>
        <w:t xml:space="preserve">Executive accountability is assigned through defined mandates, scorecards, and review routines that connect sustainability priorities to operating performance. </w:t>
      </w:r>
      <w:r>
        <w:t xml:space="preserve">Overall accountability:</w:t>
      </w:r>
      <w:r>
        <w:t xml:space="preserve"> the Group Chief Executive Officer sponsors the integrated impact agenda and approves the annual target framework, while the Chief Financial Officer oversees reporting discipline, internal control alignment, and the integration of nonfinancial metrics into planning and capital review. The Chief People Officer is accountable for workforce, inclusion, and culture measures, and the Chief Operating Officer sponsors safety, operational environmental performance, and cross-segment improvement actions.</w:t>
        <w:br/>
        <w:t xml:space="preserve">Segment presidents are required to convert Group priorities into business-specific commitments, including decarbonization roadmaps, workforce plans, safety interventions, and community engagement objectives. Their quarterly performance reviews include both lagging indicators, such as incident rates and emissions results, and leading indicators, such as training completion, audit findings closure, and project milestone delivery. Incentive outcomes for senior management incorporate a balanced assessment of financial results, strategic execution, and impact performance.</w:t>
        <w:br/>
        <w:t xml:space="preserve">Where material underperformance or control weakness is identified, escalation protocols require executive review, remedial action plans, and follow-up reporting to the relevant Board committee. This approach is intended to reinforce that sustainability outcomes are owned by line leadership rather than delegated solely to specialist teams.</w:t>
      </w:r>
    </w:p>
    <w:p w14:paraId="0010092D" w14:textId="0010092E">
      <w:pPr>
        <w:pStyle w:val="Normal"/>
        <w:jc w:val="left"/>
      </w:pPr>
      <w:r>
        <w:t xml:space="preserve">Operational responsibility sits with business-unit directors, plant managers, project leaders, and functional process owners who control the day-to-day conditions that shape impact outcomes. These leaders are responsible for implementing Group policies, maintaining local procedures, assigning competent personnel, and ensuring that required data is captured at source. In practice, this includes managing energy and water improvement plans, enforcing safety controls, monitoring labor standards in operations and key suppliers, and maintaining records that support community and workforce disclosures.</w:t>
      </w:r>
    </w:p>
    <w:p w14:paraId="0010092F" w14:textId="00100930">
      <w:pPr>
        <w:pStyle w:val="Normal"/>
        <w:jc w:val="left"/>
      </w:pPr>
      <w:r>
        <w:t xml:space="preserve">Each operating site or business unit maintains an annual impact action plan aligned to segment priorities. Progress is reviewed through monthly operating meetings, supported by exception reporting where incidents, threshold breaches, or delayed actions occur. Functional specialists in environment, safety, human resources, procurement, and finance provide technical support, but they do not replace line accountability for performance and compliance.</w:t>
      </w:r>
    </w:p>
    <w:p w14:paraId="00100931" w14:textId="00100932">
      <w:pPr>
        <w:pStyle w:val="Normal"/>
        <w:jc w:val="left"/>
      </w:pPr>
      <w:r>
        <w:t xml:space="preserve">The Group has also strengthened ownership by linking selected site-level metrics to manager objectives and by requiring corrective actions to be closed within defined timeframes. Where capabilities are still developing, especially in newly integrated operations, central teams provide methodology support and targeted training. This combination of local ownership and Group oversight is intended to improve responsiveness while preserving comparability across the reporting perimeter.</w:t>
      </w:r>
    </w:p>
    <w:p w14:paraId="00100933" w14:textId="00100934">
      <w:pPr>
        <w:pStyle w:val="Normal"/>
        <w:jc w:val="left"/>
      </w:pPr>
      <w:r>
        <w:t xml:space="preserve">6.1.2 Data and Assurance</w:t>
      </w:r>
    </w:p>
    <w:p w14:paraId="00100935" w14:textId="00100936">
      <w:pPr>
        <w:pStyle w:val="Normal"/>
        <w:jc w:val="left"/>
      </w:pPr>
      <w:r>
        <w:t xml:space="preserve">The sustainability reporting boundary generally follows the entities included in Rivermark Holdings' financial consolidation perimeter, with additional operational scoping applied where management control better reflects environmental and workforce responsibility. Manufacturing sites, service hubs, logistics activities, and corporate offices under Group control are included in core safety, people, and environmental indicators unless otherwise stated. Joint arrangements and recently acquired businesses are brought into reporting according to practical availability of underlying records and the date from which operating controls are established.</w:t>
      </w:r>
    </w:p>
    <w:p w14:paraId="00100937" w14:textId="00100938">
      <w:pPr>
        <w:pStyle w:val="Normal"/>
        <w:jc w:val="left"/>
      </w:pPr>
      <w:r>
        <w:t xml:space="preserve">Data is collected through a combination of enterprise systems, site registers, meter readings, payroll records, incident platforms, and approved manual templates. Standard definitions are maintained centrally to support consistency in units of measure, reporting cutoffs, and classification of incidents, emissions, waste streams, and workforce categories. Automated validation rules identify missing fields, unusual movements, and unit inconsistencies, while management reviews compare current-period submissions with prior periods, budget assumptions, and operational activity levels.</w:t>
      </w:r>
    </w:p>
    <w:p w14:paraId="00100939" w14:textId="0010093A">
      <w:pPr>
        <w:pStyle w:val="Normal"/>
        <w:jc w:val="left"/>
      </w:pPr>
      <w:r>
        <w:t xml:space="preserve">Control methods include preparer and reviewer sign-off, evidence retention requirements, threshold-based escalation of anomalies, and periodic internal testing of selected metrics. Restatements are made when improved methodology or corrected source data results in materially better comparability. These controls do not eliminate estimation in all areas, but they are designed to provide a reasonable basis for reliable, decision-useful reporting.</w:t>
      </w:r>
    </w:p>
    <w:p w14:paraId="0010093B" w14:textId="0010093E">
      <w:pPr>
        <w:pStyle w:val="Normal"/>
        <w:jc w:val="left"/>
      </w:pPr>
      <w:r>
        <w:t xml:space="preserve">Certain sustainability indicators are subject to internal review and selective external assurance procedures, with the scope determined by materiality, stakeholder relevance, maturity of underlying systems, and reporting risk. In this report, greenhouse gas emissions, renewable electricity share, total recordable injury rate, and selected workforce indicators were prioritized for more detailed testing because they are central to target tracking and external performance assessment. The assurance work was performed on a </w:t>
      </w:r>
      <w:r>
        <w:t xml:space="preserve">limited assurance</w:t>
      </w:r>
      <w:r>
        <w:t xml:space="preserve"> basis, consistent with the principles commonly described in *limited assurance* engagements, and therefore provides a lower level of assurance than a reasonable assurance audit.</w:t>
        <w:br/>
        <w:t xml:space="preserve">The work performed included inquiry, analytical review, walkthroughs of selected processes, examination of supporting evidence, and testing of selected site-level submissions. Assurance procedures were not extended to every data point, every reporting location, or all narrative claims. Forward-looking statements, scenario assumptions, and management estimates involving longer-term decarbonization pathways were reviewed for consistency and governance, but not assured as predictions of future outcomes.</w:t>
        <w:br/>
        <w:t xml:space="preserve">Accordingly, users of the report should interpret assured sustainability information within the context of evolving methodologies, estimation uncertainty, and the current maturity of nonfinancial information systems. Management will continue to expand assurance readiness by improving source-system integration, harmonizing operational definitions, and increasing the proportion of indicators supported by automated controls.</w:t>
      </w:r>
    </w:p>
    <w:p w14:paraId="0010093F" w14:textId="00100940">
      <w:pPr>
        <w:pStyle w:val="Normal"/>
        <w:jc w:val="left"/>
      </w:pPr>
      <w:r>
        <w:t xml:space="preserve">6. Environment</w:t>
      </w:r>
    </w:p>
    <w:p w14:paraId="00100941" w14:textId="00100942">
      <w:pPr>
        <w:pStyle w:val="Normal"/>
        <w:jc w:val="left"/>
      </w:pPr>
      <w:r>
        <w:t xml:space="preserve">Rivermark Holdings manages environmental performance through a combination of group-wide standards, site-level operating controls, and targeted capital programs designed to reduce emissions, improve resource efficiency, and strengthen resilience to physical and transition-related risks. During the year, the environmental agenda was shaped by three practical priorities: lowering the carbon intensity of energy use in manufacturing and service operations, reducing avoidable waste and water losses in higher-intensity sites, and improving the consistency of environmental data used for decision-making and external reporting.</w:t>
      </w:r>
    </w:p>
    <w:p w14:paraId="00100943" w14:textId="00100944">
      <w:pPr>
        <w:pStyle w:val="Normal"/>
        <w:jc w:val="left"/>
      </w:pPr>
      <w:r>
        <w:t xml:space="preserve">Overall performance showed gradual improvement rather than step-change transformation. Energy efficiency initiatives delivered measurable savings in several Industrial Solutions facilities, while Infrastructure Services reduced diesel use on selected projects through fleet scheduling and equipment utilization controls. Consumer Platforms advanced packaging redesign and recovery initiatives, though the pace of materials substitution remained constrained by cost and supplier readiness. Environmental trends therefore reflected a mixed operating context: lower direct energy intensity in core sites, modest progress in waste diversion, and continued exposure to weather variability, utility prices, and regional infrastructure limitations.</w:t>
      </w:r>
    </w:p>
    <w:p w14:paraId="00100945" w14:textId="00100946">
      <w:pPr>
        <w:pStyle w:val="Normal"/>
        <w:jc w:val="left"/>
      </w:pPr>
      <w:r>
        <w:t xml:space="preserve">This section explains how these priorities are translated into action across climate, energy, water, waste, and nature-related topics. It also sets out the reporting boundaries, principal operational drivers, and the practical steps management is taking to improve environmental outcomes while maintaining service quality, production continuity, and disciplined capital allocation.</w:t>
      </w:r>
    </w:p>
    <w:p w14:paraId="00100947" w14:textId="00100948">
      <w:pPr>
        <w:pStyle w:val="Normal"/>
        <w:jc w:val="left"/>
      </w:pPr>
      <w:r>
        <w:t xml:space="preserve">6.2 Climate and Energy</w:t>
      </w:r>
    </w:p>
    <w:p w14:paraId="00100949" w14:textId="0010094A">
      <w:pPr>
        <w:pStyle w:val="Normal"/>
        <w:jc w:val="left"/>
      </w:pPr>
      <w:r>
        <w:t xml:space="preserve">Climate and energy management remains centered on the areas where Rivermark Holdings can exert the most direct influence: fuel consumed in operated assets and fleet, purchased electricity for sites and service locations, and the design of projects that affect future energy demand. The group tracks absolute emissions, energy consumption, and emissions intensity by segment, with management review focusing on operational hotspots, progress against site plans, and the maturity of transition investments. The most material contributors continue to be process energy in Industrial Solutions, mobile equipment and project logistics in Infrastructure Services, and distributed electricity demand across Consumer Platforms locations.</w:t>
      </w:r>
    </w:p>
    <w:p w14:paraId="0010094B" w14:textId="0010094C">
      <w:pPr>
        <w:pStyle w:val="Normal"/>
        <w:jc w:val="left"/>
      </w:pPr>
      <w:r>
        <w:t xml:space="preserve">The year’s climate profile was influenced by a combination of operational recovery, selective efficiency gains, and changes in the energy mix purchased in several markets. Electricity consumption increased moderately in sites operating at higher utilization, but this effect was partly offset by equipment upgrades, improved maintenance intervals, and tighter control of idle load. Direct fuel use remained sensitive to project timing, travel requirements, and seasonal operating conditions. Management therefore evaluates climate progress not only through annual totals but also through trend quality: whether emissions growth is decoupling from revenue and whether investments are reducing structural dependence on higher-carbon energy sources.</w:t>
      </w:r>
    </w:p>
    <w:p w14:paraId="0010094D" w14:textId="0010094E">
      <w:pPr>
        <w:pStyle w:val="Normal"/>
        <w:jc w:val="left"/>
      </w:pPr>
      <w:r>
        <w:t xml:space="preserve">The transition focus for the coming period is practical and sequenced. Priority actions include energy-efficiency retrofits, gradual electrification where operating conditions permit, selective fuel switching, and procurement choices that support lower-emission power. These measures are intended to produce durable reductions while preserving reliability, worker safety, and return thresholds for capital deployed.</w:t>
      </w:r>
    </w:p>
    <w:p w14:paraId="0010094F" w14:textId="00100950">
      <w:pPr>
        <w:pStyle w:val="Normal"/>
        <w:jc w:val="left"/>
      </w:pPr>
      <w:r>
        <w:t xml:space="preserve">6.2.1 Emissions Profile</w:t>
      </w:r>
    </w:p>
    <w:p w14:paraId="00100951" w14:textId="00100952">
      <w:pPr>
        <w:pStyle w:val="Normal"/>
        <w:jc w:val="left"/>
      </w:pPr>
      <w:r>
        <w:t xml:space="preserve">Figure 18. Multi-year emissions trend chart</w:t>
      </w:r>
    </w:p>
    <w:p w14:paraId="00100953" w14:textId="00100954">
      <w:pPr>
        <w:pStyle w:val="Normal"/>
        <w:jc w:val="left"/>
      </w:pPr>
      <w:r>
        <w:drawing>
          <wp:inline distT="0" distB="0" distL="0" distR="0">
            <wp:extent cx="4320000" cy="3600000"/>
            <wp:effectExtent l="0" t="0" r="0" b="0"/>
            <wp:docPr id="18" name="Fig-10-02.png" descr=""/>
            <wp:cNvGraphicFramePr>
              <a:graphicFrameLocks noChangeAspect="1"/>
            </wp:cNvGraphicFramePr>
            <a:graphic>
              <a:graphicData uri="http://schemas.openxmlformats.org/drawingml/2006/picture">
                <pic:pic>
                  <pic:nvPicPr>
                    <pic:cNvPr id="18" name="Fig-10-02.png"/>
                    <pic:cNvPicPr/>
                  </pic:nvPicPr>
                  <pic:blipFill>
                    <a:blip r:embed="Raa2be3e1d77b4e6f" cstate="print"/>
                    <a:stretch>
                      <a:fillRect/>
                    </a:stretch>
                  </pic:blipFill>
                  <pic:spPr>
                    <a:xfrm>
                      <a:off x="0" y="0"/>
                      <a:ext cx="3960000" cy="3960000"/>
                    </a:xfrm>
                    <a:prstGeom prst="rect">
                      <a:avLst/>
                    </a:prstGeom>
                  </pic:spPr>
                </pic:pic>
              </a:graphicData>
            </a:graphic>
          </wp:inline>
        </w:drawing>
      </w:r>
    </w:p>
    <w:p w14:paraId="00100955" w14:textId="00100956">
      <w:pPr>
        <w:pStyle w:val="Normal"/>
        <w:jc w:val="left"/>
      </w:pPr>
      <w:r>
        <w:t xml:space="preserve">The group’s emissions inventory covers operated facilities, leased sites where Rivermark Holdings controls energy use, and mobile sources used in day-to-day operations. Reported direct emissions primarily arise from natural gas, diesel, and other fuels consumed in manufacturing equipment, building systems, and project vehicles. Indirect energy emissions are measured from purchased electricity using location-based factors for the principal reporting set, with supplementary market information reviewed internally where contractual electricity attributes are available. Scope boundaries are aligned to operational control, which improves consistency across segments but also means that certain value-chain emissions remain outside the metrics presented in this section.</w:t>
      </w:r>
    </w:p>
    <w:p w14:paraId="00100957" w14:textId="00100958">
      <w:pPr>
        <w:pStyle w:val="Normal"/>
        <w:jc w:val="left"/>
      </w:pPr>
      <w:r>
        <w:t xml:space="preserve">Year-on-year movements were driven by a small number of identifiable factors. Higher production throughput in selected Industrial Solutions sites increased energy demand, but this was moderated by lower heat loss after equipment refurbishment and better line scheduling. In Infrastructure Services, emissions fluctuated with project mix, especially where field mobilization and heavy equipment requirements were elevated. Consumer Platforms benefited from a higher share of energy-efficient retail and fulfillment locations, although expanded operating hours in some markets partially offset those gains. External variables, including grid emission factors, weather conditions, and fuel price volatility, also affected outcomes and can create movement even when underlying operating discipline improves.</w:t>
      </w:r>
    </w:p>
    <w:p w14:paraId="00100959" w14:textId="0010095A">
      <w:pPr>
        <w:pStyle w:val="Normal"/>
        <w:jc w:val="left"/>
      </w:pPr>
      <w:r>
        <w:t xml:space="preserve">Management uses these drivers to distinguish structural change from temporary variation. This helps prioritize abatement measures toward recurrent sources of emissions rather than one-off fluctuations, and supports more credible planning for future reduction pathways.</w:t>
      </w:r>
    </w:p>
    <w:p w14:paraId="0010095B" w14:textId="0010095C">
      <w:pPr>
        <w:pStyle w:val="Normal"/>
        <w:jc w:val="left"/>
      </w:pPr>
      <w:r>
        <w:t xml:space="preserve">6.2.1 Transition Actions</w:t>
      </w:r>
    </w:p>
    <w:p w14:paraId="0010095D" w14:textId="0010095E">
      <w:pPr>
        <w:pStyle w:val="Normal"/>
        <w:jc w:val="left"/>
      </w:pPr>
      <w:r>
        <w:t xml:space="preserve">Transition actions during the year concentrated on initiatives with clear operational payback and implementation feasibility. Across major sites, Rivermark Holdings expanded building-management controls, upgraded compressed-air systems, replaced aging motors with higher-efficiency units, and optimized lighting and heating schedules. These actions produced incremental but repeatable savings, particularly in facilities with extended operating hours and historically uneven energy loads. In project-based operations, route planning, reduced engine idling, and equipment-sharing protocols lowered fuel consumption without constraining delivery commitments.</w:t>
      </w:r>
    </w:p>
    <w:p w14:paraId="0010095F" w14:textId="00100960">
      <w:pPr>
        <w:pStyle w:val="Normal"/>
        <w:jc w:val="left"/>
      </w:pPr>
      <w:r>
        <w:t xml:space="preserve">Fuel-switching efforts progressed selectively. Several administrative and light-duty fleet applications moved toward hybrid or electric alternatives where charging access and utilization patterns supported the business case. In stationary operations, the group evaluated replacements for older fuel-fired equipment and advanced engineering work for electrified process support in a limited number of sites. Renewable electricity procurement was also expanded in markets where contract structures were stable and cost premiums remained within approved thresholds. These choices were intended to reduce emissions intensity while avoiding dependence on solutions that could not yet be scaled reliably across the portfolio.</w:t>
      </w:r>
    </w:p>
    <w:p w14:paraId="00100961" w14:textId="00100962">
      <w:pPr>
        <w:pStyle w:val="Normal"/>
        <w:jc w:val="left"/>
      </w:pPr>
      <w:r>
        <w:t xml:space="preserve">Management’s approach remains phased rather than declarative. Each transition measure is screened for safety implications, operating reliability, maintenance requirements, and expected returns. As a result, the pipeline favors interventions that can be replicated across multiple sites and that strengthen resilience as well as decarbonization performance.</w:t>
      </w:r>
    </w:p>
    <w:p w14:paraId="00100963" w14:textId="00100969">
      <w:pPr>
        <w:pStyle w:val="Normal"/>
        <w:jc w:val="left"/>
      </w:pPr>
      <w:r>
        <w:t xml:space="preserve">Current pipeline:</w:t>
      </w:r>
      <w:r>
        <w:t xml:space="preserve"> The near-term environmental project pipeline includes energy retrofits at six larger operating sites, fleet renewal in service-intensive regions, expanded sub-metering for electricity and water, and waste segregation upgrades in distribution and manufacturing locations. The projects are sequenced to align with planned shutdowns, lease renewals, and broader asset-maintenance cycles, which reduces disruption and improves the economics of implementation. Several proposals for on-site solar generation and process electrification remain in feasibility review, with final approval dependent on load stability, interconnection conditions, and capital discipline.</w:t>
        <w:br/>
      </w:r>
      <w:r>
        <w:t xml:space="preserve">Execution risks:</w:t>
      </w:r>
      <w:r>
        <w:t xml:space="preserve"> Delivery of the pipeline is exposed to equipment lead times, contractor availability, permitting requirements, and the uneven maturity of supporting infrastructure in some operating regions. Technology performance risk is also relevant, especially where electrified systems must operate in variable temperature or high-utilization environments. In addition, some lower-emission alternatives continue to carry higher upfront cost or uncertain lifecycle savings, which can slow rollout if financial thresholds are not met. Data quality remains another practical risk: where baseline metering is incomplete, verifying savings and prioritizing investments becomes more difficult.</w:t>
        <w:br/>
      </w:r>
      <w:r>
        <w:t xml:space="preserve">Management response:</w:t>
      </w:r>
      <w:r>
        <w:t xml:space="preserve"> To address these constraints, the group has strengthened pre-project screening, introduced standardized business-case templates, and tied major environmental investments to post-implementation verification. This approach helps distinguish projects that deliver durable operational improvement from those that rely on optimistic assumptions, and supports a transition program that remains credible under changing energy, regulatory, and market conditions.</w:t>
      </w:r>
    </w:p>
    <w:p w14:paraId="0010096A" w14:textId="0010096B">
      <w:pPr>
        <w:pStyle w:val="Normal"/>
        <w:jc w:val="left"/>
      </w:pPr>
      <w:r>
        <w:t xml:space="preserve">6.2 Resources and Nature</w:t>
      </w:r>
    </w:p>
    <w:p w14:paraId="0010096C" w14:textId="0010096D">
      <w:pPr>
        <w:pStyle w:val="Normal"/>
        <w:jc w:val="left"/>
      </w:pPr>
      <w:r>
        <w:t xml:space="preserve">Beyond climate and energy, Rivermark Holdings manages a broader set of environmental impacts linked to water use, waste generation, material efficiency, land use, and interactions with local ecosystems. These topics are not uniform across the portfolio. Their significance varies by segment, process type, and geography, which is why the group applies site-level prioritization within a common policy framework. Facilities with higher water dependency, regulated discharges, more intensive material handling, or proximity to sensitive habitats receive additional monitoring and operational controls.</w:t>
      </w:r>
    </w:p>
    <w:p w14:paraId="0010096E" w14:textId="0010096F">
      <w:pPr>
        <w:pStyle w:val="Normal"/>
        <w:jc w:val="left"/>
      </w:pPr>
      <w:r>
        <w:t xml:space="preserve">The most significant resource impacts arise where production processes, project delivery activities, and logistics networks consume materials at scale or create waste streams requiring segregation and recovery. Management has therefore focused on reducing avoidable losses, improving recycling and reuse pathways, and strengthening oversight of contractors handling waste and site restoration activities. In several operating regions, water stress and seasonal variability have elevated the importance of leak detection, recycling loops, and contingency planning for supply interruptions. At the same time, land-disturbing activities in Infrastructure Services require attention to erosion control, habitat disturbance, and reinstatement obligations.</w:t>
      </w:r>
    </w:p>
    <w:p w14:paraId="00100970" w14:textId="00100971">
      <w:pPr>
        <w:pStyle w:val="Normal"/>
        <w:jc w:val="left"/>
      </w:pPr>
      <w:r>
        <w:t xml:space="preserve">The following disclosures describe how the group measures resource efficiency and evaluates nature-related impacts in practical operating terms. They also explain why certain sites and project types are prioritized for intervention, reflecting both the scale of local environmental exposure and the opportunity to reduce long-term operating risk through better stewardship of materials, water, and land.</w:t>
      </w:r>
    </w:p>
    <w:p w14:paraId="00100972" w14:textId="00100973">
      <w:pPr>
        <w:pStyle w:val="Normal"/>
        <w:jc w:val="left"/>
      </w:pPr>
      <w:r>
        <w:t xml:space="preserve">6.2.2 Resource Efficiency</w:t>
      </w:r>
    </w:p>
    <w:p w14:paraId="00100974" w14:textId="00100975">
      <w:pPr>
        <w:pStyle w:val="Normal"/>
        <w:jc w:val="left"/>
      </w:pPr>
      <w:r>
        <w:t xml:space="preserve">Table 18 Water, waste, and materials performance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0976" w14:textId="001009D6">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0978" w14:textId="001009D7">
            <w:pPr>
              <w:pStyle w:val="Normal"/>
              <w:jc w:val="left"/>
            </w:pPr>
            <w:r>
              <w:t xml:space="preserve">Unit</w:t>
            </w:r>
          </w:p>
        </w:tc>
        <w:tc>
          <w:tcPr>
            <w:vAlign w:val="center"/>
            <w:tcBorders>
              <w:top w:val="single" w:sz="4" w:space="0" w:color="auto"/>
              <w:left w:val="single" w:sz="4" w:space="0" w:color="auto"/>
              <w:bottom w:val="single" w:sz="4" w:space="0" w:color="auto"/>
              <w:right w:val="single" w:sz="4" w:space="0" w:color="auto"/>
            </w:tcBorders>
          </w:tcPr>
          <w:p w14:paraId="0010097A" w14:textId="001009D8">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97C" w14:textId="001009D9">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97E" w14:textId="001009DA">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980" w14:textId="001009DB">
            <w:pPr>
              <w:pStyle w:val="Normal"/>
              <w:jc w:val="left"/>
            </w:pPr>
            <w:r>
              <w:t xml:space="preserve">Commentary</w:t>
            </w:r>
          </w:p>
        </w:tc>
      </w:tr>
      <w:tr>
        <w:tc>
          <w:tcPr>
            <w:vAlign w:val="center"/>
            <w:tcBorders>
              <w:top w:val="single" w:sz="4" w:space="0" w:color="auto"/>
              <w:left w:val="single" w:sz="4" w:space="0" w:color="auto"/>
              <w:bottom w:val="single" w:sz="4" w:space="0" w:color="auto"/>
              <w:right w:val="single" w:sz="4" w:space="0" w:color="auto"/>
            </w:tcBorders>
          </w:tcPr>
          <w:p w14:paraId="00100982" w14:textId="001009DC">
            <w:pPr>
              <w:pStyle w:val="Normal"/>
              <w:jc w:val="left"/>
            </w:pPr>
            <w:r>
              <w:t xml:space="preserve">Water withdrawn</w:t>
            </w:r>
          </w:p>
        </w:tc>
        <w:tc>
          <w:tcPr>
            <w:vAlign w:val="center"/>
            <w:tcBorders>
              <w:top w:val="single" w:sz="4" w:space="0" w:color="auto"/>
              <w:left w:val="single" w:sz="4" w:space="0" w:color="auto"/>
              <w:bottom w:val="single" w:sz="4" w:space="0" w:color="auto"/>
              <w:right w:val="single" w:sz="4" w:space="0" w:color="auto"/>
            </w:tcBorders>
          </w:tcPr>
          <w:p w14:paraId="00100984" w14:textId="001009DD">
            <w:pPr>
              <w:pStyle w:val="Normal"/>
              <w:jc w:val="left"/>
            </w:pPr>
            <w:r>
              <w:t xml:space="preserve">ML</w:t>
            </w:r>
          </w:p>
        </w:tc>
        <w:tc>
          <w:tcPr>
            <w:vAlign w:val="center"/>
            <w:tcBorders>
              <w:top w:val="single" w:sz="4" w:space="0" w:color="auto"/>
              <w:left w:val="single" w:sz="4" w:space="0" w:color="auto"/>
              <w:bottom w:val="single" w:sz="4" w:space="0" w:color="auto"/>
              <w:right w:val="single" w:sz="4" w:space="0" w:color="auto"/>
            </w:tcBorders>
          </w:tcPr>
          <w:p w14:paraId="00100986" w14:textId="001009DE">
            <w:pPr>
              <w:pStyle w:val="Normal"/>
              <w:jc w:val="left"/>
            </w:pPr>
            <w:r>
              <w:t xml:space="preserve">3,480</w:t>
            </w:r>
          </w:p>
        </w:tc>
        <w:tc>
          <w:tcPr>
            <w:vAlign w:val="center"/>
            <w:tcBorders>
              <w:top w:val="single" w:sz="4" w:space="0" w:color="auto"/>
              <w:left w:val="single" w:sz="4" w:space="0" w:color="auto"/>
              <w:bottom w:val="single" w:sz="4" w:space="0" w:color="auto"/>
              <w:right w:val="single" w:sz="4" w:space="0" w:color="auto"/>
            </w:tcBorders>
          </w:tcPr>
          <w:p w14:paraId="00100988" w14:textId="001009DF">
            <w:pPr>
              <w:pStyle w:val="Normal"/>
              <w:jc w:val="left"/>
            </w:pPr>
            <w:r>
              <w:t xml:space="preserve">3,290</w:t>
            </w:r>
          </w:p>
        </w:tc>
        <w:tc>
          <w:tcPr>
            <w:vAlign w:val="center"/>
            <w:tcBorders>
              <w:top w:val="single" w:sz="4" w:space="0" w:color="auto"/>
              <w:left w:val="single" w:sz="4" w:space="0" w:color="auto"/>
              <w:bottom w:val="single" w:sz="4" w:space="0" w:color="auto"/>
              <w:right w:val="single" w:sz="4" w:space="0" w:color="auto"/>
            </w:tcBorders>
          </w:tcPr>
          <w:p w14:paraId="0010098A" w14:textId="001009E0">
            <w:pPr>
              <w:pStyle w:val="Normal"/>
              <w:jc w:val="left"/>
            </w:pPr>
            <w:r>
              <w:t xml:space="preserve">3,040</w:t>
            </w:r>
          </w:p>
        </w:tc>
        <w:tc>
          <w:tcPr>
            <w:vAlign w:val="center"/>
            <w:tcBorders>
              <w:top w:val="single" w:sz="4" w:space="0" w:color="auto"/>
              <w:left w:val="single" w:sz="4" w:space="0" w:color="auto"/>
              <w:bottom w:val="single" w:sz="4" w:space="0" w:color="auto"/>
              <w:right w:val="single" w:sz="4" w:space="0" w:color="auto"/>
            </w:tcBorders>
          </w:tcPr>
          <w:p w14:paraId="0010098C" w14:textId="001009E1">
            <w:pPr>
              <w:pStyle w:val="Normal"/>
              <w:jc w:val="left"/>
            </w:pPr>
            <w:r>
              <w:t xml:space="preserve">Lower intake from process recirculation and leak reduction</w:t>
            </w:r>
          </w:p>
        </w:tc>
      </w:tr>
      <w:tr>
        <w:tc>
          <w:tcPr>
            <w:vAlign w:val="center"/>
            <w:tcBorders>
              <w:top w:val="single" w:sz="4" w:space="0" w:color="auto"/>
              <w:left w:val="single" w:sz="4" w:space="0" w:color="auto"/>
              <w:bottom w:val="single" w:sz="4" w:space="0" w:color="auto"/>
              <w:right w:val="single" w:sz="4" w:space="0" w:color="auto"/>
            </w:tcBorders>
          </w:tcPr>
          <w:p w14:paraId="0010098E" w14:textId="001009E2">
            <w:pPr>
              <w:pStyle w:val="Normal"/>
              <w:jc w:val="left"/>
            </w:pPr>
            <w:r>
              <w:t xml:space="preserve">Water intensity</w:t>
            </w:r>
          </w:p>
        </w:tc>
        <w:tc>
          <w:tcPr>
            <w:vAlign w:val="center"/>
            <w:tcBorders>
              <w:top w:val="single" w:sz="4" w:space="0" w:color="auto"/>
              <w:left w:val="single" w:sz="4" w:space="0" w:color="auto"/>
              <w:bottom w:val="single" w:sz="4" w:space="0" w:color="auto"/>
              <w:right w:val="single" w:sz="4" w:space="0" w:color="auto"/>
            </w:tcBorders>
          </w:tcPr>
          <w:p w14:paraId="00100990" w14:textId="001009E3">
            <w:pPr>
              <w:pStyle w:val="Normal"/>
              <w:jc w:val="left"/>
            </w:pPr>
            <w:r>
              <w:t xml:space="preserve">m³ per production unit</w:t>
            </w:r>
          </w:p>
        </w:tc>
        <w:tc>
          <w:tcPr>
            <w:vAlign w:val="center"/>
            <w:tcBorders>
              <w:top w:val="single" w:sz="4" w:space="0" w:color="auto"/>
              <w:left w:val="single" w:sz="4" w:space="0" w:color="auto"/>
              <w:bottom w:val="single" w:sz="4" w:space="0" w:color="auto"/>
              <w:right w:val="single" w:sz="4" w:space="0" w:color="auto"/>
            </w:tcBorders>
          </w:tcPr>
          <w:p w14:paraId="00100992" w14:textId="001009E4">
            <w:pPr>
              <w:pStyle w:val="Normal"/>
              <w:jc w:val="left"/>
            </w:pPr>
            <w:r>
              <w:t xml:space="preserve">1.82</w:t>
            </w:r>
          </w:p>
        </w:tc>
        <w:tc>
          <w:tcPr>
            <w:vAlign w:val="center"/>
            <w:tcBorders>
              <w:top w:val="single" w:sz="4" w:space="0" w:color="auto"/>
              <w:left w:val="single" w:sz="4" w:space="0" w:color="auto"/>
              <w:bottom w:val="single" w:sz="4" w:space="0" w:color="auto"/>
              <w:right w:val="single" w:sz="4" w:space="0" w:color="auto"/>
            </w:tcBorders>
          </w:tcPr>
          <w:p w14:paraId="00100994" w14:textId="001009E5">
            <w:pPr>
              <w:pStyle w:val="Normal"/>
              <w:jc w:val="left"/>
            </w:pPr>
            <w:r>
              <w:t xml:space="preserve">1.69</w:t>
            </w:r>
          </w:p>
        </w:tc>
        <w:tc>
          <w:tcPr>
            <w:vAlign w:val="center"/>
            <w:tcBorders>
              <w:top w:val="single" w:sz="4" w:space="0" w:color="auto"/>
              <w:left w:val="single" w:sz="4" w:space="0" w:color="auto"/>
              <w:bottom w:val="single" w:sz="4" w:space="0" w:color="auto"/>
              <w:right w:val="single" w:sz="4" w:space="0" w:color="auto"/>
            </w:tcBorders>
          </w:tcPr>
          <w:p w14:paraId="00100996" w14:textId="001009E6">
            <w:pPr>
              <w:pStyle w:val="Normal"/>
              <w:jc w:val="left"/>
            </w:pPr>
            <w:r>
              <w:t xml:space="preserve">1.55</w:t>
            </w:r>
          </w:p>
        </w:tc>
        <w:tc>
          <w:tcPr>
            <w:vAlign w:val="center"/>
            <w:tcBorders>
              <w:top w:val="single" w:sz="4" w:space="0" w:color="auto"/>
              <w:left w:val="single" w:sz="4" w:space="0" w:color="auto"/>
              <w:bottom w:val="single" w:sz="4" w:space="0" w:color="auto"/>
              <w:right w:val="single" w:sz="4" w:space="0" w:color="auto"/>
            </w:tcBorders>
          </w:tcPr>
          <w:p w14:paraId="00100998" w14:textId="001009E7">
            <w:pPr>
              <w:pStyle w:val="Normal"/>
              <w:jc w:val="left"/>
            </w:pPr>
            <w:r>
              <w:t xml:space="preserve">Improved process control in Industrial Solutions plants</w:t>
            </w:r>
          </w:p>
        </w:tc>
      </w:tr>
      <w:tr>
        <w:tc>
          <w:tcPr>
            <w:vAlign w:val="center"/>
            <w:tcBorders>
              <w:top w:val="single" w:sz="4" w:space="0" w:color="auto"/>
              <w:left w:val="single" w:sz="4" w:space="0" w:color="auto"/>
              <w:bottom w:val="single" w:sz="4" w:space="0" w:color="auto"/>
              <w:right w:val="single" w:sz="4" w:space="0" w:color="auto"/>
            </w:tcBorders>
          </w:tcPr>
          <w:p w14:paraId="0010099A" w14:textId="001009E8">
            <w:pPr>
              <w:pStyle w:val="Normal"/>
              <w:jc w:val="left"/>
            </w:pPr>
            <w:r>
              <w:t xml:space="preserve">Waste generated</w:t>
            </w:r>
          </w:p>
        </w:tc>
        <w:tc>
          <w:tcPr>
            <w:vAlign w:val="center"/>
            <w:tcBorders>
              <w:top w:val="single" w:sz="4" w:space="0" w:color="auto"/>
              <w:left w:val="single" w:sz="4" w:space="0" w:color="auto"/>
              <w:bottom w:val="single" w:sz="4" w:space="0" w:color="auto"/>
              <w:right w:val="single" w:sz="4" w:space="0" w:color="auto"/>
            </w:tcBorders>
          </w:tcPr>
          <w:p w14:paraId="0010099C" w14:textId="001009E9">
            <w:pPr>
              <w:pStyle w:val="Normal"/>
              <w:jc w:val="left"/>
            </w:pPr>
            <w:r>
              <w:t xml:space="preserve">kt</w:t>
            </w:r>
          </w:p>
        </w:tc>
        <w:tc>
          <w:tcPr>
            <w:vAlign w:val="center"/>
            <w:tcBorders>
              <w:top w:val="single" w:sz="4" w:space="0" w:color="auto"/>
              <w:left w:val="single" w:sz="4" w:space="0" w:color="auto"/>
              <w:bottom w:val="single" w:sz="4" w:space="0" w:color="auto"/>
              <w:right w:val="single" w:sz="4" w:space="0" w:color="auto"/>
            </w:tcBorders>
          </w:tcPr>
          <w:p w14:paraId="0010099E" w14:textId="001009EA">
            <w:pPr>
              <w:pStyle w:val="Normal"/>
              <w:jc w:val="left"/>
            </w:pPr>
            <w:r>
              <w:t xml:space="preserve">96.4</w:t>
            </w:r>
          </w:p>
        </w:tc>
        <w:tc>
          <w:tcPr>
            <w:vAlign w:val="center"/>
            <w:tcBorders>
              <w:top w:val="single" w:sz="4" w:space="0" w:color="auto"/>
              <w:left w:val="single" w:sz="4" w:space="0" w:color="auto"/>
              <w:bottom w:val="single" w:sz="4" w:space="0" w:color="auto"/>
              <w:right w:val="single" w:sz="4" w:space="0" w:color="auto"/>
            </w:tcBorders>
          </w:tcPr>
          <w:p w14:paraId="001009A0" w14:textId="001009EB">
            <w:pPr>
              <w:pStyle w:val="Normal"/>
              <w:jc w:val="left"/>
            </w:pPr>
            <w:r>
              <w:t xml:space="preserve">92.1</w:t>
            </w:r>
          </w:p>
        </w:tc>
        <w:tc>
          <w:tcPr>
            <w:vAlign w:val="center"/>
            <w:tcBorders>
              <w:top w:val="single" w:sz="4" w:space="0" w:color="auto"/>
              <w:left w:val="single" w:sz="4" w:space="0" w:color="auto"/>
              <w:bottom w:val="single" w:sz="4" w:space="0" w:color="auto"/>
              <w:right w:val="single" w:sz="4" w:space="0" w:color="auto"/>
            </w:tcBorders>
          </w:tcPr>
          <w:p w14:paraId="001009A2" w14:textId="001009EC">
            <w:pPr>
              <w:pStyle w:val="Normal"/>
              <w:jc w:val="left"/>
            </w:pPr>
            <w:r>
              <w:t xml:space="preserve">88.7</w:t>
            </w:r>
          </w:p>
        </w:tc>
        <w:tc>
          <w:tcPr>
            <w:vAlign w:val="center"/>
            <w:tcBorders>
              <w:top w:val="single" w:sz="4" w:space="0" w:color="auto"/>
              <w:left w:val="single" w:sz="4" w:space="0" w:color="auto"/>
              <w:bottom w:val="single" w:sz="4" w:space="0" w:color="auto"/>
              <w:right w:val="single" w:sz="4" w:space="0" w:color="auto"/>
            </w:tcBorders>
          </w:tcPr>
          <w:p w14:paraId="001009A4" w14:textId="001009ED">
            <w:pPr>
              <w:pStyle w:val="Normal"/>
              <w:jc w:val="left"/>
            </w:pPr>
            <w:r>
              <w:t xml:space="preserve">Reduced scrap and packaging losses</w:t>
            </w:r>
          </w:p>
        </w:tc>
      </w:tr>
      <w:tr>
        <w:tc>
          <w:tcPr>
            <w:vAlign w:val="center"/>
            <w:tcBorders>
              <w:top w:val="single" w:sz="4" w:space="0" w:color="auto"/>
              <w:left w:val="single" w:sz="4" w:space="0" w:color="auto"/>
              <w:bottom w:val="single" w:sz="4" w:space="0" w:color="auto"/>
              <w:right w:val="single" w:sz="4" w:space="0" w:color="auto"/>
            </w:tcBorders>
          </w:tcPr>
          <w:p w14:paraId="001009A6" w14:textId="001009EE">
            <w:pPr>
              <w:pStyle w:val="Normal"/>
              <w:jc w:val="left"/>
            </w:pPr>
            <w:r>
              <w:t xml:space="preserve">Waste diverted from landfill</w:t>
            </w:r>
          </w:p>
        </w:tc>
        <w:tc>
          <w:tcPr>
            <w:vAlign w:val="center"/>
            <w:tcBorders>
              <w:top w:val="single" w:sz="4" w:space="0" w:color="auto"/>
              <w:left w:val="single" w:sz="4" w:space="0" w:color="auto"/>
              <w:bottom w:val="single" w:sz="4" w:space="0" w:color="auto"/>
              <w:right w:val="single" w:sz="4" w:space="0" w:color="auto"/>
            </w:tcBorders>
          </w:tcPr>
          <w:p w14:paraId="001009A8" w14:textId="001009EF">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09AA" w14:textId="001009F0">
            <w:pPr>
              <w:pStyle w:val="Normal"/>
              <w:jc w:val="left"/>
            </w:pPr>
            <w:r>
              <w:t xml:space="preserve">68%</w:t>
            </w:r>
          </w:p>
        </w:tc>
        <w:tc>
          <w:tcPr>
            <w:vAlign w:val="center"/>
            <w:tcBorders>
              <w:top w:val="single" w:sz="4" w:space="0" w:color="auto"/>
              <w:left w:val="single" w:sz="4" w:space="0" w:color="auto"/>
              <w:bottom w:val="single" w:sz="4" w:space="0" w:color="auto"/>
              <w:right w:val="single" w:sz="4" w:space="0" w:color="auto"/>
            </w:tcBorders>
          </w:tcPr>
          <w:p w14:paraId="001009AC" w14:textId="001009F1">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09AE" w14:textId="001009F2">
            <w:pPr>
              <w:pStyle w:val="Normal"/>
              <w:jc w:val="left"/>
            </w:pPr>
            <w:r>
              <w:t xml:space="preserve">79%</w:t>
            </w:r>
          </w:p>
        </w:tc>
        <w:tc>
          <w:tcPr>
            <w:vAlign w:val="center"/>
            <w:tcBorders>
              <w:top w:val="single" w:sz="4" w:space="0" w:color="auto"/>
              <w:left w:val="single" w:sz="4" w:space="0" w:color="auto"/>
              <w:bottom w:val="single" w:sz="4" w:space="0" w:color="auto"/>
              <w:right w:val="single" w:sz="4" w:space="0" w:color="auto"/>
            </w:tcBorders>
          </w:tcPr>
          <w:p w14:paraId="001009B0" w14:textId="001009F3">
            <w:pPr>
              <w:pStyle w:val="Normal"/>
              <w:jc w:val="left"/>
            </w:pPr>
            <w:r>
              <w:t xml:space="preserve">Higher recovery rates and vendor segregation programs</w:t>
            </w:r>
          </w:p>
        </w:tc>
      </w:tr>
      <w:tr>
        <w:tc>
          <w:tcPr>
            <w:vAlign w:val="center"/>
            <w:tcBorders>
              <w:top w:val="single" w:sz="4" w:space="0" w:color="auto"/>
              <w:left w:val="single" w:sz="4" w:space="0" w:color="auto"/>
              <w:bottom w:val="single" w:sz="4" w:space="0" w:color="auto"/>
              <w:right w:val="single" w:sz="4" w:space="0" w:color="auto"/>
            </w:tcBorders>
          </w:tcPr>
          <w:p w14:paraId="001009B2" w14:textId="001009F4">
            <w:pPr>
              <w:pStyle w:val="Normal"/>
              <w:jc w:val="left"/>
            </w:pPr>
            <w:r>
              <w:t xml:space="preserve">Recycled material input</w:t>
            </w:r>
          </w:p>
        </w:tc>
        <w:tc>
          <w:tcPr>
            <w:vAlign w:val="center"/>
            <w:tcBorders>
              <w:top w:val="single" w:sz="4" w:space="0" w:color="auto"/>
              <w:left w:val="single" w:sz="4" w:space="0" w:color="auto"/>
              <w:bottom w:val="single" w:sz="4" w:space="0" w:color="auto"/>
              <w:right w:val="single" w:sz="4" w:space="0" w:color="auto"/>
            </w:tcBorders>
          </w:tcPr>
          <w:p w14:paraId="001009B4" w14:textId="001009F5">
            <w:pPr>
              <w:pStyle w:val="Normal"/>
              <w:jc w:val="left"/>
            </w:pPr>
            <w:r>
              <w:t xml:space="preserve">% of total material input</w:t>
            </w:r>
          </w:p>
        </w:tc>
        <w:tc>
          <w:tcPr>
            <w:vAlign w:val="center"/>
            <w:tcBorders>
              <w:top w:val="single" w:sz="4" w:space="0" w:color="auto"/>
              <w:left w:val="single" w:sz="4" w:space="0" w:color="auto"/>
              <w:bottom w:val="single" w:sz="4" w:space="0" w:color="auto"/>
              <w:right w:val="single" w:sz="4" w:space="0" w:color="auto"/>
            </w:tcBorders>
          </w:tcPr>
          <w:p w14:paraId="001009B6" w14:textId="001009F6">
            <w:pPr>
              <w:pStyle w:val="Normal"/>
              <w:jc w:val="left"/>
            </w:pPr>
            <w:r>
              <w:t xml:space="preserve">21%</w:t>
            </w:r>
          </w:p>
        </w:tc>
        <w:tc>
          <w:tcPr>
            <w:vAlign w:val="center"/>
            <w:tcBorders>
              <w:top w:val="single" w:sz="4" w:space="0" w:color="auto"/>
              <w:left w:val="single" w:sz="4" w:space="0" w:color="auto"/>
              <w:bottom w:val="single" w:sz="4" w:space="0" w:color="auto"/>
              <w:right w:val="single" w:sz="4" w:space="0" w:color="auto"/>
            </w:tcBorders>
          </w:tcPr>
          <w:p w14:paraId="001009B8" w14:textId="001009F7">
            <w:pPr>
              <w:pStyle w:val="Normal"/>
              <w:jc w:val="left"/>
            </w:pPr>
            <w:r>
              <w:t xml:space="preserve">24%</w:t>
            </w:r>
          </w:p>
        </w:tc>
        <w:tc>
          <w:tcPr>
            <w:vAlign w:val="center"/>
            <w:tcBorders>
              <w:top w:val="single" w:sz="4" w:space="0" w:color="auto"/>
              <w:left w:val="single" w:sz="4" w:space="0" w:color="auto"/>
              <w:bottom w:val="single" w:sz="4" w:space="0" w:color="auto"/>
              <w:right w:val="single" w:sz="4" w:space="0" w:color="auto"/>
            </w:tcBorders>
          </w:tcPr>
          <w:p w14:paraId="001009BA" w14:textId="001009F8">
            <w:pPr>
              <w:pStyle w:val="Normal"/>
              <w:jc w:val="left"/>
            </w:pPr>
            <w:r>
              <w:t xml:space="preserve">28%</w:t>
            </w:r>
          </w:p>
        </w:tc>
        <w:tc>
          <w:tcPr>
            <w:vAlign w:val="center"/>
            <w:tcBorders>
              <w:top w:val="single" w:sz="4" w:space="0" w:color="auto"/>
              <w:left w:val="single" w:sz="4" w:space="0" w:color="auto"/>
              <w:bottom w:val="single" w:sz="4" w:space="0" w:color="auto"/>
              <w:right w:val="single" w:sz="4" w:space="0" w:color="auto"/>
            </w:tcBorders>
          </w:tcPr>
          <w:p w14:paraId="001009BC" w14:textId="001009F9">
            <w:pPr>
              <w:pStyle w:val="Normal"/>
              <w:jc w:val="left"/>
            </w:pPr>
            <w:r>
              <w:t xml:space="preserve">Greater use of recovered metals and recycled polymers</w:t>
            </w:r>
          </w:p>
        </w:tc>
      </w:tr>
      <w:tr>
        <w:tc>
          <w:tcPr>
            <w:vAlign w:val="center"/>
            <w:tcBorders>
              <w:top w:val="single" w:sz="4" w:space="0" w:color="auto"/>
              <w:left w:val="single" w:sz="4" w:space="0" w:color="auto"/>
              <w:bottom w:val="single" w:sz="4" w:space="0" w:color="auto"/>
              <w:right w:val="single" w:sz="4" w:space="0" w:color="auto"/>
            </w:tcBorders>
          </w:tcPr>
          <w:p w14:paraId="001009BE" w14:textId="001009FA">
            <w:pPr>
              <w:pStyle w:val="Normal"/>
              <w:jc w:val="left"/>
            </w:pPr>
            <w:r>
              <w:t xml:space="preserve">Packaging material intensity</w:t>
            </w:r>
          </w:p>
        </w:tc>
        <w:tc>
          <w:tcPr>
            <w:vAlign w:val="center"/>
            <w:tcBorders>
              <w:top w:val="single" w:sz="4" w:space="0" w:color="auto"/>
              <w:left w:val="single" w:sz="4" w:space="0" w:color="auto"/>
              <w:bottom w:val="single" w:sz="4" w:space="0" w:color="auto"/>
              <w:right w:val="single" w:sz="4" w:space="0" w:color="auto"/>
            </w:tcBorders>
          </w:tcPr>
          <w:p w14:paraId="001009C0" w14:textId="001009FB">
            <w:pPr>
              <w:pStyle w:val="Normal"/>
              <w:jc w:val="left"/>
            </w:pPr>
            <w:r>
              <w:t xml:space="preserve">kg per customer order</w:t>
            </w:r>
          </w:p>
        </w:tc>
        <w:tc>
          <w:tcPr>
            <w:vAlign w:val="center"/>
            <w:tcBorders>
              <w:top w:val="single" w:sz="4" w:space="0" w:color="auto"/>
              <w:left w:val="single" w:sz="4" w:space="0" w:color="auto"/>
              <w:bottom w:val="single" w:sz="4" w:space="0" w:color="auto"/>
              <w:right w:val="single" w:sz="4" w:space="0" w:color="auto"/>
            </w:tcBorders>
          </w:tcPr>
          <w:p w14:paraId="001009C2" w14:textId="001009FC">
            <w:pPr>
              <w:pStyle w:val="Normal"/>
              <w:jc w:val="left"/>
            </w:pPr>
            <w:r>
              <w:t xml:space="preserve">1.14</w:t>
            </w:r>
          </w:p>
        </w:tc>
        <w:tc>
          <w:tcPr>
            <w:vAlign w:val="center"/>
            <w:tcBorders>
              <w:top w:val="single" w:sz="4" w:space="0" w:color="auto"/>
              <w:left w:val="single" w:sz="4" w:space="0" w:color="auto"/>
              <w:bottom w:val="single" w:sz="4" w:space="0" w:color="auto"/>
              <w:right w:val="single" w:sz="4" w:space="0" w:color="auto"/>
            </w:tcBorders>
          </w:tcPr>
          <w:p w14:paraId="001009C4" w14:textId="001009FD">
            <w:pPr>
              <w:pStyle w:val="Normal"/>
              <w:jc w:val="left"/>
            </w:pPr>
            <w:r>
              <w:t xml:space="preserve">1.08</w:t>
            </w:r>
          </w:p>
        </w:tc>
        <w:tc>
          <w:tcPr>
            <w:vAlign w:val="center"/>
            <w:tcBorders>
              <w:top w:val="single" w:sz="4" w:space="0" w:color="auto"/>
              <w:left w:val="single" w:sz="4" w:space="0" w:color="auto"/>
              <w:bottom w:val="single" w:sz="4" w:space="0" w:color="auto"/>
              <w:right w:val="single" w:sz="4" w:space="0" w:color="auto"/>
            </w:tcBorders>
          </w:tcPr>
          <w:p w14:paraId="001009C6" w14:textId="001009FE">
            <w:pPr>
              <w:pStyle w:val="Normal"/>
              <w:jc w:val="left"/>
            </w:pPr>
            <w:r>
              <w:t xml:space="preserve">0.99</w:t>
            </w:r>
          </w:p>
        </w:tc>
        <w:tc>
          <w:tcPr>
            <w:vAlign w:val="center"/>
            <w:tcBorders>
              <w:top w:val="single" w:sz="4" w:space="0" w:color="auto"/>
              <w:left w:val="single" w:sz="4" w:space="0" w:color="auto"/>
              <w:bottom w:val="single" w:sz="4" w:space="0" w:color="auto"/>
              <w:right w:val="single" w:sz="4" w:space="0" w:color="auto"/>
            </w:tcBorders>
          </w:tcPr>
          <w:p w14:paraId="001009C8" w14:textId="001009FF">
            <w:pPr>
              <w:pStyle w:val="Normal"/>
              <w:jc w:val="left"/>
            </w:pPr>
            <w:r>
              <w:t xml:space="preserve">Lighter pack formats in Consumer Platforms</w:t>
            </w:r>
          </w:p>
        </w:tc>
      </w:tr>
      <w:tr>
        <w:tc>
          <w:tcPr>
            <w:vAlign w:val="center"/>
            <w:tcBorders>
              <w:top w:val="single" w:sz="4" w:space="0" w:color="auto"/>
              <w:left w:val="single" w:sz="4" w:space="0" w:color="auto"/>
              <w:bottom w:val="single" w:sz="4" w:space="0" w:color="auto"/>
              <w:right w:val="single" w:sz="4" w:space="0" w:color="auto"/>
            </w:tcBorders>
          </w:tcPr>
          <w:p w14:paraId="001009CA" w14:textId="00100A00">
            <w:pPr>
              <w:pStyle w:val="Normal"/>
              <w:jc w:val="left"/>
            </w:pPr>
            <w:r>
              <w:t xml:space="preserve">Sites with resource-efficiency plans</w:t>
            </w:r>
          </w:p>
        </w:tc>
        <w:tc>
          <w:tcPr>
            <w:vAlign w:val="center"/>
            <w:tcBorders>
              <w:top w:val="single" w:sz="4" w:space="0" w:color="auto"/>
              <w:left w:val="single" w:sz="4" w:space="0" w:color="auto"/>
              <w:bottom w:val="single" w:sz="4" w:space="0" w:color="auto"/>
              <w:right w:val="single" w:sz="4" w:space="0" w:color="auto"/>
            </w:tcBorders>
          </w:tcPr>
          <w:p w14:paraId="001009CC" w14:textId="00100A01">
            <w:pPr>
              <w:pStyle w:val="Normal"/>
              <w:jc w:val="left"/>
            </w:pPr>
            <w:r>
              <w:t xml:space="preserve">number</w:t>
            </w:r>
          </w:p>
        </w:tc>
        <w:tc>
          <w:tcPr>
            <w:vAlign w:val="center"/>
            <w:tcBorders>
              <w:top w:val="single" w:sz="4" w:space="0" w:color="auto"/>
              <w:left w:val="single" w:sz="4" w:space="0" w:color="auto"/>
              <w:bottom w:val="single" w:sz="4" w:space="0" w:color="auto"/>
              <w:right w:val="single" w:sz="4" w:space="0" w:color="auto"/>
            </w:tcBorders>
          </w:tcPr>
          <w:p w14:paraId="001009CE" w14:textId="00100A02">
            <w:pPr>
              <w:pStyle w:val="Normal"/>
              <w:jc w:val="left"/>
            </w:pPr>
            <w:r>
              <w:t xml:space="preserve">29</w:t>
            </w:r>
          </w:p>
        </w:tc>
        <w:tc>
          <w:tcPr>
            <w:vAlign w:val="center"/>
            <w:tcBorders>
              <w:top w:val="single" w:sz="4" w:space="0" w:color="auto"/>
              <w:left w:val="single" w:sz="4" w:space="0" w:color="auto"/>
              <w:bottom w:val="single" w:sz="4" w:space="0" w:color="auto"/>
              <w:right w:val="single" w:sz="4" w:space="0" w:color="auto"/>
            </w:tcBorders>
          </w:tcPr>
          <w:p w14:paraId="001009D0" w14:textId="00100A03">
            <w:pPr>
              <w:pStyle w:val="Normal"/>
              <w:jc w:val="left"/>
            </w:pPr>
            <w:r>
              <w:t xml:space="preserve">34</w:t>
            </w:r>
          </w:p>
        </w:tc>
        <w:tc>
          <w:tcPr>
            <w:vAlign w:val="center"/>
            <w:tcBorders>
              <w:top w:val="single" w:sz="4" w:space="0" w:color="auto"/>
              <w:left w:val="single" w:sz="4" w:space="0" w:color="auto"/>
              <w:bottom w:val="single" w:sz="4" w:space="0" w:color="auto"/>
              <w:right w:val="single" w:sz="4" w:space="0" w:color="auto"/>
            </w:tcBorders>
          </w:tcPr>
          <w:p w14:paraId="001009D2" w14:textId="00100A04">
            <w:pPr>
              <w:pStyle w:val="Normal"/>
              <w:jc w:val="left"/>
            </w:pPr>
            <w:r>
              <w:t xml:space="preserve">38</w:t>
            </w:r>
          </w:p>
        </w:tc>
        <w:tc>
          <w:tcPr>
            <w:vAlign w:val="center"/>
            <w:tcBorders>
              <w:top w:val="single" w:sz="4" w:space="0" w:color="auto"/>
              <w:left w:val="single" w:sz="4" w:space="0" w:color="auto"/>
              <w:bottom w:val="single" w:sz="4" w:space="0" w:color="auto"/>
              <w:right w:val="single" w:sz="4" w:space="0" w:color="auto"/>
            </w:tcBorders>
          </w:tcPr>
          <w:p w14:paraId="001009D4" w14:textId="00100A05">
            <w:pPr>
              <w:pStyle w:val="Normal"/>
              <w:jc w:val="left"/>
            </w:pPr>
            <w:r>
              <w:t xml:space="preserve">Expanded site-level action plans across major operations</w:t>
            </w:r>
          </w:p>
        </w:tc>
      </w:tr>
    </w:tbl>
    <w:p w14:paraId="00100A06" w14:textId="00100A07">
      <w:pPr>
        <w:pStyle w:val="Normal"/>
        <w:jc w:val="left"/>
      </w:pPr>
      <w:r>
        <w:t xml:space="preserve">Resource-efficiency performance improved across each major operating stream during the year, although the pattern of gains varied by segment and site. Water withdrawal declined as Rivermark Holdings completed closed-loop recirculation upgrades at two Industrial Solutions facilities, repaired legacy distribution losses in older service yards, and tightened cleaning-cycle controls in high-use lines. The reduction was most visible in facilities where water had previously been used once and discharged after basic processing; by contrast, office-based and light-service operations showed more modest changes because their baseline consumption was already relatively low.</w:t>
      </w:r>
    </w:p>
    <w:p w14:paraId="00100A08" w14:textId="00100A09">
      <w:pPr>
        <w:pStyle w:val="Normal"/>
        <w:jc w:val="left"/>
      </w:pPr>
      <w:r>
        <w:t xml:space="preserve">Waste and materials indicators benefited from a combination of operational discipline and purchasing redesign. Scrap rates fell where process calibration improved first-pass yield, while packaging intensity declined after Consumer Platforms shifted toward lighter cartons, reduced void fill, and expanded reusable transport units for repeat shipments. The increase in waste diverted from landfill reflects both better internal segregation and wider availability of regional recovery partners, particularly for metals, plastics, and corrugated materials. Recycled material input rose as procurement teams qualified secondary sources without compromising product specifications.</w:t>
      </w:r>
    </w:p>
    <w:p w14:paraId="00100A0A" w14:textId="00100A0B">
      <w:pPr>
        <w:pStyle w:val="Normal"/>
        <w:jc w:val="left"/>
      </w:pPr>
      <w:r>
        <w:t xml:space="preserve">Not all movements were linear. Commissioning activity in Infrastructure Services temporarily increased construction waste at selected project locations, and recycled input availability remained uneven in certain markets. Even so, the direction of travel was positive: efficiency gains reduced environmental load, lowered disposal and input costs, and strengthened operational resilience against utility price volatility and raw-material constraints.</w:t>
      </w:r>
    </w:p>
    <w:p w14:paraId="00100A0C" w14:textId="00100A0D">
      <w:pPr>
        <w:pStyle w:val="Normal"/>
        <w:jc w:val="left"/>
      </w:pPr>
      <w:r>
        <w:t xml:space="preserve">6.2.2 Nature Impacts</w:t>
      </w:r>
    </w:p>
    <w:p w14:paraId="00100A0E" w14:textId="00100A0F">
      <w:pPr>
        <w:pStyle w:val="Normal"/>
        <w:jc w:val="left"/>
      </w:pPr>
      <w:r>
        <w:t xml:space="preserve">Rivermark Holdings’ interaction with nature is shaped less by direct land transformation than by the location of industrial sites, service corridors, logistics movements, and resource-dependent supply chains. The group’s most material biodiversity dependencies arise in operations located near river catchments, coastal service zones, and mixed-use industrial estates where water quality, habitat connectivity, and soil condition influence long-term operating stability. In this context, the group applies a location-based screening approach to identify areas of elevated sensitivity and to prioritize monitoring where ecosystems may be more vulnerable.</w:t>
      </w:r>
    </w:p>
    <w:p w14:paraId="00100A10" w14:textId="00100A13">
      <w:pPr>
        <w:pStyle w:val="Normal"/>
        <w:jc w:val="left"/>
      </w:pPr>
      <w:r>
        <w:t xml:space="preserve">A subset of facilities is assessed against the group’s internal nature-screening protocol, which references protected-area proximity, water stress, and the presence of potentially sensitive habitats. Several manufacturing and infrastructure support sites were classified as operating near *</w:t>
      </w:r>
      <w:r>
        <w:t xml:space="preserve">biodiversity-sensitive areas</w:t>
      </w:r>
      <w:r>
        <w:t xml:space="preserve">*, particularly where drainage systems connect to wetlands or where construction and maintenance work can disturb adjacent vegetation corridors. For these locations, operational planning includes additional controls on runoff, vegetation clearance, and contractor access.</w:t>
        <w:br/>
        <w:t xml:space="preserve">Dependencies are also indirect. Reliable ecosystem services such as water availability, stormwater absorption, and stable soil conditions support production continuity and asset integrity, while supplier practices affect upstream impacts associated with timber-based packaging, aggregates, and selected chemical inputs. By mapping these dependencies at site and category level, management is improving the quality of decision-making on expansion, sourcing, and maintenance activities.</w:t>
      </w:r>
    </w:p>
    <w:p w14:paraId="00100A14" w14:textId="00100A15">
      <w:pPr>
        <w:pStyle w:val="Normal"/>
        <w:jc w:val="left"/>
      </w:pPr>
      <w:r>
        <w:t xml:space="preserve">Management of nature impacts centers on prevention first, followed by mitigation and restoration where disturbance cannot be fully avoided. Site environmental plans require pre-work screening for drainage, vegetation, erosion, and habitat interaction risks, with escalation to specialist review when projects involve land clearing, excavation near waterways, or work in ecologically constrained areas. Standard controls include sediment barriers, runoff containment, timing restrictions for intrusive works, designated access routes, and rehabilitation requirements written into contractor scopes.</w:t>
      </w:r>
    </w:p>
    <w:p w14:paraId="00100A16" w14:textId="00100A17">
      <w:pPr>
        <w:pStyle w:val="Normal"/>
        <w:jc w:val="left"/>
      </w:pPr>
      <w:r>
        <w:t xml:space="preserve">During the year, the group expanded restoration obligations for project-based activities in Infrastructure Services, including topsoil replacement, revegetation of disturbed verges, and post-completion inspection of drainage and slope stability. At operating facilities, small but cumulative impacts were addressed through invasive-species control, improved chemical storage, reduced nighttime light spill in selected yards, and replacement planting around perimeter zones. Procurement teams also advanced supplier screening for high-risk material categories, with preference given to vendors able to evidence legal sourcing and environmental management practices.</w:t>
      </w:r>
    </w:p>
    <w:p w14:paraId="00100A18" w14:textId="00100A19">
      <w:pPr>
        <w:pStyle w:val="Normal"/>
        <w:jc w:val="left"/>
      </w:pPr>
      <w:r>
        <w:t xml:space="preserve">While current direct impacts remain localized rather than systemic at group scale, Rivermark Holdings recognizes that unmanaged incremental disturbance can accumulate over time. The practical focus is therefore on stronger baseline data, clearer accountabilities at site level, and measurable restoration follow-through. This approach supports regulatory compliance, protects community trust, and reduces the risk that future development or maintenance activity will create avoidable ecological harm.</w:t>
      </w:r>
    </w:p>
    <w:p w14:paraId="00100A1A" w14:textId="00100A1B">
      <w:pPr>
        <w:pStyle w:val="Normal"/>
        <w:jc w:val="left"/>
      </w:pPr>
      <w:r>
        <w:t xml:space="preserve">6. People and Communities</w:t>
      </w:r>
    </w:p>
    <w:p w14:paraId="00100A1C" w14:textId="00100A1D">
      <w:pPr>
        <w:pStyle w:val="Normal"/>
        <w:jc w:val="left"/>
      </w:pPr>
      <w:r>
        <w:t xml:space="preserve">The social dimension of Rivermark Holdings’ sustainability strategy is built on the premise that durable business performance depends on capable people, safe workplaces, fair opportunity, and constructive relationships with the communities in which the group operates. Across segments, management views workforce capability and community legitimacy as connected outcomes: operations grow more resilient when employees are engaged, local talent pipelines are strengthened, and projects are delivered with sensitivity to community expectations.</w:t>
      </w:r>
    </w:p>
    <w:p w14:paraId="00100A1E" w14:textId="00100A1F">
      <w:pPr>
        <w:pStyle w:val="Normal"/>
        <w:jc w:val="left"/>
      </w:pPr>
      <w:r>
        <w:t xml:space="preserve">During the year, the group continued to integrate people and social priorities into operating planning rather than treating them as stand-alone programs. This included linking workforce development to strategic capability gaps, embedding safety and conduct expectations into line management routines, and using community feedback to refine site-level operating practices. The approach is necessarily differentiated. Industrial Solutions emphasizes technical skills, process discipline, and shift-based supervision; Consumer Platforms focuses on frontline capability, retention, and service culture; Infrastructure Services places greater weight on project mobility, contractor standards, and community interface management.</w:t>
      </w:r>
    </w:p>
    <w:p w14:paraId="00100A20" w14:textId="00100A21">
      <w:pPr>
        <w:pStyle w:val="Normal"/>
        <w:jc w:val="left"/>
      </w:pPr>
      <w:r>
        <w:t xml:space="preserve">The following disclosures describe how the group manages workforce development, inclusion, safety, rights, and community contribution. Together, they show a model that balances measurable indicators with practical operating controls: investment in people is expected to improve execution quality and retention, while responsible community engagement supports continuity, reputation, and long-term license to operate.</w:t>
      </w:r>
    </w:p>
    <w:p w14:paraId="00100A22" w14:textId="00100A23">
      <w:pPr>
        <w:pStyle w:val="Normal"/>
        <w:jc w:val="left"/>
      </w:pPr>
      <w:r>
        <w:t xml:space="preserve">6.3 Workforce</w:t>
      </w:r>
    </w:p>
    <w:p w14:paraId="00100A24" w14:textId="00100A25">
      <w:pPr>
        <w:pStyle w:val="Normal"/>
        <w:jc w:val="left"/>
      </w:pPr>
      <w:r>
        <w:t xml:space="preserve">At year end, Rivermark Holdings employed a diversified workforce spanning manufacturing specialists, service technicians, digital and customer-facing teams, project managers, and corporate support functions. This mix reflects the group’s portfolio and creates distinct capability priorities across segments. Industrial Solutions requires deep technical and maintenance expertise; Consumer Platforms depends on customer operations, product, and channel capabilities; Infrastructure Services relies on project delivery, engineering coordination, and a flexible field workforce able to respond to variable contract schedules.</w:t>
      </w:r>
    </w:p>
    <w:p w14:paraId="00100A26" w14:textId="00100A27">
      <w:pPr>
        <w:pStyle w:val="Normal"/>
        <w:jc w:val="left"/>
      </w:pPr>
      <w:r>
        <w:t xml:space="preserve">Management’s workforce agenda during the year focused on three linked objectives: stabilizing critical roles, strengthening internal capability pipelines, and improving the quality of frontline leadership. Recruitment remained selective in high-skill areas where labor markets were tight, particularly in automation, data analytics, and specialist project disciplines. To reduce dependence on external hiring alone, the group expanded supervisor development, role-based training pathways, and internal mobility between adjacent operating functions. These actions were intended not only to fill vacancies but also to improve retention by making career progression more visible.</w:t>
      </w:r>
    </w:p>
    <w:p w14:paraId="00100A28" w14:textId="00100A29">
      <w:pPr>
        <w:pStyle w:val="Normal"/>
        <w:jc w:val="left"/>
      </w:pPr>
      <w:r>
        <w:t xml:space="preserve">Workforce planning is increasingly supported by common data on turnover, absence, training completion, engagement, and internal promotion, allowing leaders to identify hotspots by function and location. While labor availability remained uneven in several markets, the group ended the year with improved staffing stability in priority roles and better alignment between capability development and strategic growth plans. The next subsection sets out how these priorities translated into specific learning, engagement, and talent-development outcomes.</w:t>
      </w:r>
    </w:p>
    <w:p w14:paraId="00100A2A" w14:textId="00100A2B">
      <w:pPr>
        <w:pStyle w:val="Normal"/>
        <w:jc w:val="left"/>
      </w:pPr>
      <w:r>
        <w:t xml:space="preserve">6.3.1 People Development</w:t>
      </w:r>
    </w:p>
    <w:p w14:paraId="00100A2C" w14:textId="00100A2D">
      <w:pPr>
        <w:pStyle w:val="Normal"/>
        <w:jc w:val="left"/>
      </w:pPr>
      <w:r>
        <w:t xml:space="preserve">Figure 34 Learning, engagement, and voluntary retention trend, 2022–2024</w:t>
      </w:r>
    </w:p>
    <w:p w14:paraId="00100A2E" w14:textId="00100A2F">
      <w:pPr>
        <w:pStyle w:val="Normal"/>
        <w:jc w:val="left"/>
      </w:pPr>
      <w:r>
        <w:drawing>
          <wp:inline distT="0" distB="0" distL="0" distR="0">
            <wp:extent cx="4320000" cy="3600000"/>
            <wp:effectExtent l="0" t="0" r="0" b="0"/>
            <wp:docPr id="19" name="Fig-10-03.png" descr=""/>
            <wp:cNvGraphicFramePr>
              <a:graphicFrameLocks noChangeAspect="1"/>
            </wp:cNvGraphicFramePr>
            <a:graphic>
              <a:graphicData uri="http://schemas.openxmlformats.org/drawingml/2006/picture">
                <pic:pic>
                  <pic:nvPicPr>
                    <pic:cNvPr id="19" name="Fig-10-03.png"/>
                    <pic:cNvPicPr/>
                  </pic:nvPicPr>
                  <pic:blipFill>
                    <a:blip r:embed="R19dfe38d751c437c" cstate="print"/>
                    <a:stretch>
                      <a:fillRect/>
                    </a:stretch>
                  </pic:blipFill>
                  <pic:spPr>
                    <a:xfrm>
                      <a:off x="0" y="0"/>
                      <a:ext cx="3960000" cy="3960000"/>
                    </a:xfrm>
                    <a:prstGeom prst="rect">
                      <a:avLst/>
                    </a:prstGeom>
                  </pic:spPr>
                </pic:pic>
              </a:graphicData>
            </a:graphic>
          </wp:inline>
        </w:drawing>
      </w:r>
    </w:p>
    <w:p w14:paraId="00100A30" w14:textId="00100A31">
      <w:pPr>
        <w:pStyle w:val="Normal"/>
        <w:jc w:val="left"/>
      </w:pPr>
      <w:r>
        <w:t xml:space="preserve">Rivermark Holdings continued to strengthen capability building through a group-wide approach that links technical learning, leadership development, and employee engagement. During the year, the group expanded mandatory role-based curricula for operational, digital, customer, and control functions, while also increasing elective learning opportunities through its internal learning platform. Participation was strongest in frontline supervisory programs, commercial skills modules, and data literacy courses, reflecting the changing capability profile required across Industrial Solutions, Consumer Platforms, and Infrastructure Services. Learning investment was directed not only toward formal training hours, but also toward coaching, internal mobility, and practical problem-solving assignments embedded in day-to-day work.</w:t>
      </w:r>
    </w:p>
    <w:p w14:paraId="00100A32" w14:textId="00100A33">
      <w:pPr>
        <w:pStyle w:val="Normal"/>
        <w:jc w:val="left"/>
      </w:pPr>
      <w:r>
        <w:t xml:space="preserve">Engagement outcomes remained broadly resilient, supported by more regular pulse surveys, manager feedback routines, and local action plans. Business units with stronger participation in development planning and team-based review sessions generally recorded better retention and lower regretted attrition, particularly in specialist and customer-facing roles. Management also used survey findings to identify pressure points relating to workload, career visibility, and line-manager consistency. In response, the group refined manager toolkits, expanded internal vacancy transparency, and introduced clearer development pathways for high-demand technical positions. Taken together, these measures improved the connection between employee growth, organizational capability, and workforce stability, while giving leadership a more reliable basis for workforce planning.</w:t>
      </w:r>
    </w:p>
    <w:p w14:paraId="00100A34" w14:textId="00100A35">
      <w:pPr>
        <w:pStyle w:val="Normal"/>
        <w:jc w:val="left"/>
      </w:pPr>
      <w:r>
        <w:t xml:space="preserve">6.3.1 Inclusion and Opportunity</w:t>
      </w:r>
    </w:p>
    <w:p w14:paraId="00100A36" w14:textId="00100A37">
      <w:pPr>
        <w:pStyle w:val="Normal"/>
        <w:jc w:val="left"/>
      </w:pPr>
      <w:r>
        <w:t xml:space="preserve">Representation and advancement remain central to Rivermark Holdings' people agenda because the group views workforce diversity, equitable access to development, and fair progression as necessary conditions for long-term performance. Diversity goals are set at group level and translated into segment and business-unit actions, with particular focus on management representation, critical-role pipelines, and recruitment slates for operational and professional positions. Lead measures include hiring mix, promotion rates, succession depth, and participation in development programs, while outcome measures include representation by gender and underrepresented groups across leadership levels. The group also monitors pay-equity indicators, regretted attrition patterns, and internal-mobility outcomes to identify where opportunities are not progressing evenly.</w:t>
      </w:r>
    </w:p>
    <w:p w14:paraId="00100A38" w14:textId="00100A3B">
      <w:pPr>
        <w:pStyle w:val="Normal"/>
        <w:jc w:val="left"/>
      </w:pPr>
      <w:r>
        <w:t xml:space="preserve">RunLeadBold text appears here through the lead label </w:t>
      </w:r>
      <w:r>
        <w:t xml:space="preserve">Overall focus:</w:t>
      </w:r>
      <w:r>
        <w:t xml:space="preserve"> expanding access to advancement while improving representation in supervisory, technical, and leadership roles. Progress in the year was supported by structured talent reviews, targeted mentoring, and revised job-design standards intended to reduce unnecessary barriers in recruitment and promotion. Several businesses broadened candidate pools by using skills-based screening and more consistent interview panels, while leadership teams reviewed succession plans to ensure a wider range of ready-now and ready-later candidates. Although progress varied by segment and geography, the overall direction was positive, particularly in early-management pipelines and specialist functions where prior representation had lagged. Management considers continued discipline in promotion, development access, and accountability essential to sustaining these gains.</w:t>
      </w:r>
    </w:p>
    <w:p w14:paraId="00100A3C" w14:textId="00100A3D">
      <w:pPr>
        <w:pStyle w:val="Normal"/>
        <w:jc w:val="left"/>
      </w:pPr>
      <w:r>
        <w:t xml:space="preserve">Inclusion measures are supported by formal governance, recurring data review, and local accountability mechanisms. Group Human Resources maintains common definitions for representation, hiring, promotion, and pay-monitoring metrics so that performance can be compared consistently across operating segments. Quarterly reviews are conducted with segment leadership teams to assess trends, identify business units requiring intervention, and track completion of agreed action plans. These reviews are complemented by policy controls covering non-discrimination, equal opportunity, flexible working, anti-harassment, and reasonable accommodation, with mandatory training for managers and employee-facing channels for reporting concerns.</w:t>
      </w:r>
    </w:p>
    <w:p w14:paraId="00100A3E" w14:textId="00100A3F">
      <w:pPr>
        <w:pStyle w:val="Normal"/>
        <w:jc w:val="left"/>
      </w:pPr>
      <w:r>
        <w:t xml:space="preserve">Oversight is shared across executive management and the People and Ethics Committee, which reviews inclusion progress, talent pipeline resilience, and significant conduct matters. In addition to quantitative indicators, management considers employee feedback, exit themes, and investigation outcomes to understand whether formal policies are functioning effectively in practice. Where gaps are identified, responses may include targeted recruitment partnerships, manager coaching, job architecture changes, or focused retention actions for vulnerable employee groups. This combination of measurement and oversight is intended to move inclusion beyond compliance and into operating practice. As a result, the group is better positioned to build a workforce in which access to opportunity is more consistent, advancement pathways are clearer, and organizational culture supports both performance and belonging.</w:t>
      </w:r>
    </w:p>
    <w:p w14:paraId="00100A40" w14:textId="00100A41">
      <w:pPr>
        <w:pStyle w:val="Normal"/>
        <w:jc w:val="left"/>
      </w:pPr>
      <w:r>
        <w:t xml:space="preserve">6.3 Safety and Rights</w:t>
      </w:r>
    </w:p>
    <w:p w14:paraId="00100A42" w14:textId="00100A43">
      <w:pPr>
        <w:pStyle w:val="Normal"/>
        <w:jc w:val="left"/>
      </w:pPr>
      <w:r>
        <w:t xml:space="preserve">Rivermark Holdings manages safety and rights as interconnected responsibilities within its broader commitment to responsible operations. Across the group, health and safety systems are designed to prevent harm, strengthen operational discipline, and support learning from incidents and near misses. At the same time, labor and human-rights controls are intended to protect employees, contractors, and affected workers in the supply chain from unfair treatment, unsafe conditions, discrimination, and other forms of harm. This integrated approach is particularly important in businesses that combine industrial activity, field service delivery, logistics, and customer-facing operations, where workforce risk can arise from both physical conditions and management practices.</w:t>
      </w:r>
    </w:p>
    <w:p w14:paraId="00100A44" w14:textId="00100A45">
      <w:pPr>
        <w:pStyle w:val="Normal"/>
        <w:jc w:val="left"/>
      </w:pPr>
      <w:r>
        <w:t xml:space="preserve">The group maintains common standards for incident reporting, contractor management, workplace inspections, corrective actions, grievance handling, and escalation of serious matters. These are supported by policy requirements covering health and safety, human rights, labor standards, modern slavery risk, freedom of association, and workplace conduct. Risk-based controls are reinforced through training, audits, supplier onboarding checks, and periodic management review. During the year, attention remained focused on high-risk tasks, contractor oversight, psychological safety, and strengthening due diligence in selected supply categories and operating locations. The following disclosures address the group’s health and safety performance in greater detail and then explain the processes used to identify, prevent, and remediate human-rights impacts.</w:t>
      </w:r>
    </w:p>
    <w:p w14:paraId="00100A46" w14:textId="00100A47">
      <w:pPr>
        <w:pStyle w:val="Normal"/>
        <w:jc w:val="left"/>
      </w:pPr>
      <w:r>
        <w:t xml:space="preserve">6.3.2 Health and Safety</w:t>
      </w:r>
    </w:p>
    <w:p w14:paraId="00100A48" w14:textId="00100A49">
      <w:pPr>
        <w:pStyle w:val="Normal"/>
        <w:jc w:val="left"/>
      </w:pPr>
      <w:r>
        <w:t xml:space="preserve">Table 28 Safety performance indicators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A4A" w14:textId="00100A9A">
            <w:pPr>
              <w:pStyle w:val="Normal"/>
              <w:jc w:val="left"/>
            </w:pPr>
            <w:r>
              <w:t xml:space="preserve">Indicator</w:t>
            </w:r>
          </w:p>
        </w:tc>
        <w:tc>
          <w:tcPr>
            <w:vAlign w:val="center"/>
            <w:tcBorders>
              <w:top w:val="single" w:sz="4" w:space="0" w:color="auto"/>
              <w:left w:val="single" w:sz="4" w:space="0" w:color="auto"/>
              <w:bottom w:val="single" w:sz="4" w:space="0" w:color="auto"/>
              <w:right w:val="single" w:sz="4" w:space="0" w:color="auto"/>
            </w:tcBorders>
          </w:tcPr>
          <w:p w14:paraId="00100A4C" w14:textId="00100A9B">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0A4E" w14:textId="00100A9C">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0A50" w14:textId="00100A9D">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A52" w14:textId="00100A9E">
            <w:pPr>
              <w:pStyle w:val="Normal"/>
              <w:jc w:val="left"/>
            </w:pPr>
            <w:r>
              <w:t xml:space="preserve">Comment</w:t>
            </w:r>
          </w:p>
        </w:tc>
      </w:tr>
      <w:tr>
        <w:tc>
          <w:tcPr>
            <w:vAlign w:val="center"/>
            <w:tcBorders>
              <w:top w:val="single" w:sz="4" w:space="0" w:color="auto"/>
              <w:left w:val="single" w:sz="4" w:space="0" w:color="auto"/>
              <w:bottom w:val="single" w:sz="4" w:space="0" w:color="auto"/>
              <w:right w:val="single" w:sz="4" w:space="0" w:color="auto"/>
            </w:tcBorders>
          </w:tcPr>
          <w:p w14:paraId="00100A54" w14:textId="00100A9F">
            <w:pPr>
              <w:pStyle w:val="Normal"/>
              <w:jc w:val="left"/>
            </w:pPr>
            <w:r>
              <w:t xml:space="preserve">Total recordable incident rate (per 200,000 hours)</w:t>
            </w:r>
          </w:p>
        </w:tc>
        <w:tc>
          <w:tcPr>
            <w:vAlign w:val="center"/>
            <w:tcBorders>
              <w:top w:val="single" w:sz="4" w:space="0" w:color="auto"/>
              <w:left w:val="single" w:sz="4" w:space="0" w:color="auto"/>
              <w:bottom w:val="single" w:sz="4" w:space="0" w:color="auto"/>
              <w:right w:val="single" w:sz="4" w:space="0" w:color="auto"/>
            </w:tcBorders>
          </w:tcPr>
          <w:p w14:paraId="00100A56" w14:textId="00100AA0">
            <w:pPr>
              <w:pStyle w:val="Normal"/>
              <w:jc w:val="left"/>
            </w:pPr>
            <w:r>
              <w:t xml:space="preserve">1.08</w:t>
            </w:r>
          </w:p>
        </w:tc>
        <w:tc>
          <w:tcPr>
            <w:vAlign w:val="center"/>
            <w:tcBorders>
              <w:top w:val="single" w:sz="4" w:space="0" w:color="auto"/>
              <w:left w:val="single" w:sz="4" w:space="0" w:color="auto"/>
              <w:bottom w:val="single" w:sz="4" w:space="0" w:color="auto"/>
              <w:right w:val="single" w:sz="4" w:space="0" w:color="auto"/>
            </w:tcBorders>
          </w:tcPr>
          <w:p w14:paraId="00100A58" w14:textId="00100AA1">
            <w:pPr>
              <w:pStyle w:val="Normal"/>
              <w:jc w:val="left"/>
            </w:pPr>
            <w:r>
              <w:t xml:space="preserve">0.94</w:t>
            </w:r>
          </w:p>
        </w:tc>
        <w:tc>
          <w:tcPr>
            <w:vAlign w:val="center"/>
            <w:tcBorders>
              <w:top w:val="single" w:sz="4" w:space="0" w:color="auto"/>
              <w:left w:val="single" w:sz="4" w:space="0" w:color="auto"/>
              <w:bottom w:val="single" w:sz="4" w:space="0" w:color="auto"/>
              <w:right w:val="single" w:sz="4" w:space="0" w:color="auto"/>
            </w:tcBorders>
          </w:tcPr>
          <w:p w14:paraId="00100A5A" w14:textId="00100AA2">
            <w:pPr>
              <w:pStyle w:val="Normal"/>
              <w:jc w:val="left"/>
            </w:pPr>
            <w:r>
              <w:t xml:space="preserve">0.79</w:t>
            </w:r>
          </w:p>
        </w:tc>
        <w:tc>
          <w:tcPr>
            <w:vAlign w:val="center"/>
            <w:tcBorders>
              <w:top w:val="single" w:sz="4" w:space="0" w:color="auto"/>
              <w:left w:val="single" w:sz="4" w:space="0" w:color="auto"/>
              <w:bottom w:val="single" w:sz="4" w:space="0" w:color="auto"/>
              <w:right w:val="single" w:sz="4" w:space="0" w:color="auto"/>
            </w:tcBorders>
          </w:tcPr>
          <w:p w14:paraId="00100A5C" w14:textId="00100AA3">
            <w:pPr>
              <w:pStyle w:val="Normal"/>
              <w:jc w:val="left"/>
            </w:pPr>
            <w:r>
              <w:t xml:space="preserve">Improved through stronger frontline controls and contractor onboarding</w:t>
            </w:r>
          </w:p>
        </w:tc>
      </w:tr>
      <w:tr>
        <w:tc>
          <w:tcPr>
            <w:vAlign w:val="center"/>
            <w:tcBorders>
              <w:top w:val="single" w:sz="4" w:space="0" w:color="auto"/>
              <w:left w:val="single" w:sz="4" w:space="0" w:color="auto"/>
              <w:bottom w:val="single" w:sz="4" w:space="0" w:color="auto"/>
              <w:right w:val="single" w:sz="4" w:space="0" w:color="auto"/>
            </w:tcBorders>
          </w:tcPr>
          <w:p w14:paraId="00100A5E" w14:textId="00100AA4">
            <w:pPr>
              <w:pStyle w:val="Normal"/>
              <w:jc w:val="left"/>
            </w:pPr>
            <w:r>
              <w:t xml:space="preserve">Lost-time injury frequency rate (per 1,000,000 hours)</w:t>
            </w:r>
          </w:p>
        </w:tc>
        <w:tc>
          <w:tcPr>
            <w:vAlign w:val="center"/>
            <w:tcBorders>
              <w:top w:val="single" w:sz="4" w:space="0" w:color="auto"/>
              <w:left w:val="single" w:sz="4" w:space="0" w:color="auto"/>
              <w:bottom w:val="single" w:sz="4" w:space="0" w:color="auto"/>
              <w:right w:val="single" w:sz="4" w:space="0" w:color="auto"/>
            </w:tcBorders>
          </w:tcPr>
          <w:p w14:paraId="00100A60" w14:textId="00100AA5">
            <w:pPr>
              <w:pStyle w:val="Normal"/>
              <w:jc w:val="left"/>
            </w:pPr>
            <w:r>
              <w:t xml:space="preserve">0.42</w:t>
            </w:r>
          </w:p>
        </w:tc>
        <w:tc>
          <w:tcPr>
            <w:vAlign w:val="center"/>
            <w:tcBorders>
              <w:top w:val="single" w:sz="4" w:space="0" w:color="auto"/>
              <w:left w:val="single" w:sz="4" w:space="0" w:color="auto"/>
              <w:bottom w:val="single" w:sz="4" w:space="0" w:color="auto"/>
              <w:right w:val="single" w:sz="4" w:space="0" w:color="auto"/>
            </w:tcBorders>
          </w:tcPr>
          <w:p w14:paraId="00100A62" w14:textId="00100AA6">
            <w:pPr>
              <w:pStyle w:val="Normal"/>
              <w:jc w:val="left"/>
            </w:pPr>
            <w:r>
              <w:t xml:space="preserve">0.36</w:t>
            </w:r>
          </w:p>
        </w:tc>
        <w:tc>
          <w:tcPr>
            <w:vAlign w:val="center"/>
            <w:tcBorders>
              <w:top w:val="single" w:sz="4" w:space="0" w:color="auto"/>
              <w:left w:val="single" w:sz="4" w:space="0" w:color="auto"/>
              <w:bottom w:val="single" w:sz="4" w:space="0" w:color="auto"/>
              <w:right w:val="single" w:sz="4" w:space="0" w:color="auto"/>
            </w:tcBorders>
          </w:tcPr>
          <w:p w14:paraId="00100A64" w14:textId="00100AA7">
            <w:pPr>
              <w:pStyle w:val="Normal"/>
              <w:jc w:val="left"/>
            </w:pPr>
            <w:r>
              <w:t xml:space="preserve">0.29</w:t>
            </w:r>
          </w:p>
        </w:tc>
        <w:tc>
          <w:tcPr>
            <w:vAlign w:val="center"/>
            <w:tcBorders>
              <w:top w:val="single" w:sz="4" w:space="0" w:color="auto"/>
              <w:left w:val="single" w:sz="4" w:space="0" w:color="auto"/>
              <w:bottom w:val="single" w:sz="4" w:space="0" w:color="auto"/>
              <w:right w:val="single" w:sz="4" w:space="0" w:color="auto"/>
            </w:tcBorders>
          </w:tcPr>
          <w:p w14:paraId="00100A66" w14:textId="00100AA8">
            <w:pPr>
              <w:pStyle w:val="Normal"/>
              <w:jc w:val="left"/>
            </w:pPr>
            <w:r>
              <w:t xml:space="preserve">Reduction supported by task planning and permit discipline</w:t>
            </w:r>
          </w:p>
        </w:tc>
      </w:tr>
      <w:tr>
        <w:tc>
          <w:tcPr>
            <w:vAlign w:val="center"/>
            <w:tcBorders>
              <w:top w:val="single" w:sz="4" w:space="0" w:color="auto"/>
              <w:left w:val="single" w:sz="4" w:space="0" w:color="auto"/>
              <w:bottom w:val="single" w:sz="4" w:space="0" w:color="auto"/>
              <w:right w:val="single" w:sz="4" w:space="0" w:color="auto"/>
            </w:tcBorders>
          </w:tcPr>
          <w:p w14:paraId="00100A68" w14:textId="00100AA9">
            <w:pPr>
              <w:pStyle w:val="Normal"/>
              <w:jc w:val="left"/>
            </w:pPr>
            <w:r>
              <w:t xml:space="preserve">High-potential incidents</w:t>
            </w:r>
          </w:p>
        </w:tc>
        <w:tc>
          <w:tcPr>
            <w:vAlign w:val="center"/>
            <w:tcBorders>
              <w:top w:val="single" w:sz="4" w:space="0" w:color="auto"/>
              <w:left w:val="single" w:sz="4" w:space="0" w:color="auto"/>
              <w:bottom w:val="single" w:sz="4" w:space="0" w:color="auto"/>
              <w:right w:val="single" w:sz="4" w:space="0" w:color="auto"/>
            </w:tcBorders>
          </w:tcPr>
          <w:p w14:paraId="00100A6A" w14:textId="00100AAA">
            <w:pPr>
              <w:pStyle w:val="Normal"/>
              <w:jc w:val="left"/>
            </w:pPr>
            <w:r>
              <w:t xml:space="preserve">19</w:t>
            </w:r>
          </w:p>
        </w:tc>
        <w:tc>
          <w:tcPr>
            <w:vAlign w:val="center"/>
            <w:tcBorders>
              <w:top w:val="single" w:sz="4" w:space="0" w:color="auto"/>
              <w:left w:val="single" w:sz="4" w:space="0" w:color="auto"/>
              <w:bottom w:val="single" w:sz="4" w:space="0" w:color="auto"/>
              <w:right w:val="single" w:sz="4" w:space="0" w:color="auto"/>
            </w:tcBorders>
          </w:tcPr>
          <w:p w14:paraId="00100A6C" w14:textId="00100AAB">
            <w:pPr>
              <w:pStyle w:val="Normal"/>
              <w:jc w:val="left"/>
            </w:pPr>
            <w:r>
              <w:t xml:space="preserve">16</w:t>
            </w:r>
          </w:p>
        </w:tc>
        <w:tc>
          <w:tcPr>
            <w:vAlign w:val="center"/>
            <w:tcBorders>
              <w:top w:val="single" w:sz="4" w:space="0" w:color="auto"/>
              <w:left w:val="single" w:sz="4" w:space="0" w:color="auto"/>
              <w:bottom w:val="single" w:sz="4" w:space="0" w:color="auto"/>
              <w:right w:val="single" w:sz="4" w:space="0" w:color="auto"/>
            </w:tcBorders>
          </w:tcPr>
          <w:p w14:paraId="00100A6E" w14:textId="00100AAC">
            <w:pPr>
              <w:pStyle w:val="Normal"/>
              <w:jc w:val="left"/>
            </w:pPr>
            <w:r>
              <w:t xml:space="preserve">12</w:t>
            </w:r>
          </w:p>
        </w:tc>
        <w:tc>
          <w:tcPr>
            <w:vAlign w:val="center"/>
            <w:tcBorders>
              <w:top w:val="single" w:sz="4" w:space="0" w:color="auto"/>
              <w:left w:val="single" w:sz="4" w:space="0" w:color="auto"/>
              <w:bottom w:val="single" w:sz="4" w:space="0" w:color="auto"/>
              <w:right w:val="single" w:sz="4" w:space="0" w:color="auto"/>
            </w:tcBorders>
          </w:tcPr>
          <w:p w14:paraId="00100A70" w14:textId="00100AAD">
            <w:pPr>
              <w:pStyle w:val="Normal"/>
              <w:jc w:val="left"/>
            </w:pPr>
            <w:r>
              <w:t xml:space="preserve">Lower event count, though each event remains subject to executive review</w:t>
            </w:r>
          </w:p>
        </w:tc>
      </w:tr>
      <w:tr>
        <w:tc>
          <w:tcPr>
            <w:vAlign w:val="center"/>
            <w:tcBorders>
              <w:top w:val="single" w:sz="4" w:space="0" w:color="auto"/>
              <w:left w:val="single" w:sz="4" w:space="0" w:color="auto"/>
              <w:bottom w:val="single" w:sz="4" w:space="0" w:color="auto"/>
              <w:right w:val="single" w:sz="4" w:space="0" w:color="auto"/>
            </w:tcBorders>
          </w:tcPr>
          <w:p w14:paraId="00100A72" w14:textId="00100AAE">
            <w:pPr>
              <w:pStyle w:val="Normal"/>
              <w:jc w:val="left"/>
            </w:pPr>
            <w:r>
              <w:t xml:space="preserve">Near-miss reports</w:t>
            </w:r>
          </w:p>
        </w:tc>
        <w:tc>
          <w:tcPr>
            <w:vAlign w:val="center"/>
            <w:tcBorders>
              <w:top w:val="single" w:sz="4" w:space="0" w:color="auto"/>
              <w:left w:val="single" w:sz="4" w:space="0" w:color="auto"/>
              <w:bottom w:val="single" w:sz="4" w:space="0" w:color="auto"/>
              <w:right w:val="single" w:sz="4" w:space="0" w:color="auto"/>
            </w:tcBorders>
          </w:tcPr>
          <w:p w14:paraId="00100A74" w14:textId="00100AAF">
            <w:pPr>
              <w:pStyle w:val="Normal"/>
              <w:jc w:val="left"/>
            </w:pPr>
            <w:r>
              <w:t xml:space="preserve">4,860</w:t>
            </w:r>
          </w:p>
        </w:tc>
        <w:tc>
          <w:tcPr>
            <w:vAlign w:val="center"/>
            <w:tcBorders>
              <w:top w:val="single" w:sz="4" w:space="0" w:color="auto"/>
              <w:left w:val="single" w:sz="4" w:space="0" w:color="auto"/>
              <w:bottom w:val="single" w:sz="4" w:space="0" w:color="auto"/>
              <w:right w:val="single" w:sz="4" w:space="0" w:color="auto"/>
            </w:tcBorders>
          </w:tcPr>
          <w:p w14:paraId="00100A76" w14:textId="00100AB0">
            <w:pPr>
              <w:pStyle w:val="Normal"/>
              <w:jc w:val="left"/>
            </w:pPr>
            <w:r>
              <w:t xml:space="preserve">5,420</w:t>
            </w:r>
          </w:p>
        </w:tc>
        <w:tc>
          <w:tcPr>
            <w:vAlign w:val="center"/>
            <w:tcBorders>
              <w:top w:val="single" w:sz="4" w:space="0" w:color="auto"/>
              <w:left w:val="single" w:sz="4" w:space="0" w:color="auto"/>
              <w:bottom w:val="single" w:sz="4" w:space="0" w:color="auto"/>
              <w:right w:val="single" w:sz="4" w:space="0" w:color="auto"/>
            </w:tcBorders>
          </w:tcPr>
          <w:p w14:paraId="00100A78" w14:textId="00100AB1">
            <w:pPr>
              <w:pStyle w:val="Normal"/>
              <w:jc w:val="left"/>
            </w:pPr>
            <w:r>
              <w:t xml:space="preserve">6,115</w:t>
            </w:r>
          </w:p>
        </w:tc>
        <w:tc>
          <w:tcPr>
            <w:vAlign w:val="center"/>
            <w:tcBorders>
              <w:top w:val="single" w:sz="4" w:space="0" w:color="auto"/>
              <w:left w:val="single" w:sz="4" w:space="0" w:color="auto"/>
              <w:bottom w:val="single" w:sz="4" w:space="0" w:color="auto"/>
              <w:right w:val="single" w:sz="4" w:space="0" w:color="auto"/>
            </w:tcBorders>
          </w:tcPr>
          <w:p w14:paraId="00100A7A" w14:textId="00100AB2">
            <w:pPr>
              <w:pStyle w:val="Normal"/>
              <w:jc w:val="left"/>
            </w:pPr>
            <w:r>
              <w:t xml:space="preserve">Higher reporting reflects broader participation and confidence in reporting channels</w:t>
            </w:r>
          </w:p>
        </w:tc>
      </w:tr>
      <w:tr>
        <w:tc>
          <w:tcPr>
            <w:vAlign w:val="center"/>
            <w:tcBorders>
              <w:top w:val="single" w:sz="4" w:space="0" w:color="auto"/>
              <w:left w:val="single" w:sz="4" w:space="0" w:color="auto"/>
              <w:bottom w:val="single" w:sz="4" w:space="0" w:color="auto"/>
              <w:right w:val="single" w:sz="4" w:space="0" w:color="auto"/>
            </w:tcBorders>
          </w:tcPr>
          <w:p w14:paraId="00100A7C" w14:textId="00100AB3">
            <w:pPr>
              <w:pStyle w:val="Normal"/>
              <w:jc w:val="left"/>
            </w:pPr>
            <w:r>
              <w:t xml:space="preserve">Safety training completion (%)</w:t>
            </w:r>
          </w:p>
        </w:tc>
        <w:tc>
          <w:tcPr>
            <w:vAlign w:val="center"/>
            <w:tcBorders>
              <w:top w:val="single" w:sz="4" w:space="0" w:color="auto"/>
              <w:left w:val="single" w:sz="4" w:space="0" w:color="auto"/>
              <w:bottom w:val="single" w:sz="4" w:space="0" w:color="auto"/>
              <w:right w:val="single" w:sz="4" w:space="0" w:color="auto"/>
            </w:tcBorders>
          </w:tcPr>
          <w:p w14:paraId="00100A7E" w14:textId="00100AB4">
            <w:pPr>
              <w:pStyle w:val="Normal"/>
              <w:jc w:val="left"/>
            </w:pPr>
            <w:r>
              <w:t xml:space="preserve">92%</w:t>
            </w:r>
          </w:p>
        </w:tc>
        <w:tc>
          <w:tcPr>
            <w:vAlign w:val="center"/>
            <w:tcBorders>
              <w:top w:val="single" w:sz="4" w:space="0" w:color="auto"/>
              <w:left w:val="single" w:sz="4" w:space="0" w:color="auto"/>
              <w:bottom w:val="single" w:sz="4" w:space="0" w:color="auto"/>
              <w:right w:val="single" w:sz="4" w:space="0" w:color="auto"/>
            </w:tcBorders>
          </w:tcPr>
          <w:p w14:paraId="00100A80" w14:textId="00100AB5">
            <w:pPr>
              <w:pStyle w:val="Normal"/>
              <w:jc w:val="left"/>
            </w:pPr>
            <w:r>
              <w:t xml:space="preserve">95%</w:t>
            </w:r>
          </w:p>
        </w:tc>
        <w:tc>
          <w:tcPr>
            <w:vAlign w:val="center"/>
            <w:tcBorders>
              <w:top w:val="single" w:sz="4" w:space="0" w:color="auto"/>
              <w:left w:val="single" w:sz="4" w:space="0" w:color="auto"/>
              <w:bottom w:val="single" w:sz="4" w:space="0" w:color="auto"/>
              <w:right w:val="single" w:sz="4" w:space="0" w:color="auto"/>
            </w:tcBorders>
          </w:tcPr>
          <w:p w14:paraId="00100A82" w14:textId="00100AB6">
            <w:pPr>
              <w:pStyle w:val="Normal"/>
              <w:jc w:val="left"/>
            </w:pPr>
            <w:r>
              <w:t xml:space="preserve">98%</w:t>
            </w:r>
          </w:p>
        </w:tc>
        <w:tc>
          <w:tcPr>
            <w:vAlign w:val="center"/>
            <w:tcBorders>
              <w:top w:val="single" w:sz="4" w:space="0" w:color="auto"/>
              <w:left w:val="single" w:sz="4" w:space="0" w:color="auto"/>
              <w:bottom w:val="single" w:sz="4" w:space="0" w:color="auto"/>
              <w:right w:val="single" w:sz="4" w:space="0" w:color="auto"/>
            </w:tcBorders>
          </w:tcPr>
          <w:p w14:paraId="00100A84" w14:textId="00100AB7">
            <w:pPr>
              <w:pStyle w:val="Normal"/>
              <w:jc w:val="left"/>
            </w:pPr>
            <w:r>
              <w:t xml:space="preserve">Mandatory training completion improved across all operating regions</w:t>
            </w:r>
          </w:p>
        </w:tc>
      </w:tr>
      <w:tr>
        <w:tc>
          <w:tcPr>
            <w:vAlign w:val="center"/>
            <w:tcBorders>
              <w:top w:val="single" w:sz="4" w:space="0" w:color="auto"/>
              <w:left w:val="single" w:sz="4" w:space="0" w:color="auto"/>
              <w:bottom w:val="single" w:sz="4" w:space="0" w:color="auto"/>
              <w:right w:val="single" w:sz="4" w:space="0" w:color="auto"/>
            </w:tcBorders>
          </w:tcPr>
          <w:p w14:paraId="00100A86" w14:textId="00100AB8">
            <w:pPr>
              <w:pStyle w:val="Normal"/>
              <w:jc w:val="left"/>
            </w:pPr>
            <w:r>
              <w:t xml:space="preserve">Critical control verification actions</w:t>
            </w:r>
          </w:p>
        </w:tc>
        <w:tc>
          <w:tcPr>
            <w:vAlign w:val="center"/>
            <w:tcBorders>
              <w:top w:val="single" w:sz="4" w:space="0" w:color="auto"/>
              <w:left w:val="single" w:sz="4" w:space="0" w:color="auto"/>
              <w:bottom w:val="single" w:sz="4" w:space="0" w:color="auto"/>
              <w:right w:val="single" w:sz="4" w:space="0" w:color="auto"/>
            </w:tcBorders>
          </w:tcPr>
          <w:p w14:paraId="00100A88" w14:textId="00100AB9">
            <w:pPr>
              <w:pStyle w:val="Normal"/>
              <w:jc w:val="left"/>
            </w:pPr>
            <w:r>
              <w:t xml:space="preserve">8,740</w:t>
            </w:r>
          </w:p>
        </w:tc>
        <w:tc>
          <w:tcPr>
            <w:vAlign w:val="center"/>
            <w:tcBorders>
              <w:top w:val="single" w:sz="4" w:space="0" w:color="auto"/>
              <w:left w:val="single" w:sz="4" w:space="0" w:color="auto"/>
              <w:bottom w:val="single" w:sz="4" w:space="0" w:color="auto"/>
              <w:right w:val="single" w:sz="4" w:space="0" w:color="auto"/>
            </w:tcBorders>
          </w:tcPr>
          <w:p w14:paraId="00100A8A" w14:textId="00100ABA">
            <w:pPr>
              <w:pStyle w:val="Normal"/>
              <w:jc w:val="left"/>
            </w:pPr>
            <w:r>
              <w:t xml:space="preserve">10,380</w:t>
            </w:r>
          </w:p>
        </w:tc>
        <w:tc>
          <w:tcPr>
            <w:vAlign w:val="center"/>
            <w:tcBorders>
              <w:top w:val="single" w:sz="4" w:space="0" w:color="auto"/>
              <w:left w:val="single" w:sz="4" w:space="0" w:color="auto"/>
              <w:bottom w:val="single" w:sz="4" w:space="0" w:color="auto"/>
              <w:right w:val="single" w:sz="4" w:space="0" w:color="auto"/>
            </w:tcBorders>
          </w:tcPr>
          <w:p w14:paraId="00100A8C" w14:textId="00100ABB">
            <w:pPr>
              <w:pStyle w:val="Normal"/>
              <w:jc w:val="left"/>
            </w:pPr>
            <w:r>
              <w:t xml:space="preserve">12,140</w:t>
            </w:r>
          </w:p>
        </w:tc>
        <w:tc>
          <w:tcPr>
            <w:vAlign w:val="center"/>
            <w:tcBorders>
              <w:top w:val="single" w:sz="4" w:space="0" w:color="auto"/>
              <w:left w:val="single" w:sz="4" w:space="0" w:color="auto"/>
              <w:bottom w:val="single" w:sz="4" w:space="0" w:color="auto"/>
              <w:right w:val="single" w:sz="4" w:space="0" w:color="auto"/>
            </w:tcBorders>
          </w:tcPr>
          <w:p w14:paraId="00100A8E" w14:textId="00100ABC">
            <w:pPr>
              <w:pStyle w:val="Normal"/>
              <w:jc w:val="left"/>
            </w:pPr>
            <w:r>
              <w:t xml:space="preserve">Expanded verification program focused on field activities and project mobilization</w:t>
            </w:r>
          </w:p>
        </w:tc>
      </w:tr>
      <w:tr>
        <w:tc>
          <w:tcPr>
            <w:vAlign w:val="center"/>
            <w:tcBorders>
              <w:top w:val="single" w:sz="4" w:space="0" w:color="auto"/>
              <w:left w:val="single" w:sz="4" w:space="0" w:color="auto"/>
              <w:bottom w:val="single" w:sz="4" w:space="0" w:color="auto"/>
              <w:right w:val="single" w:sz="4" w:space="0" w:color="auto"/>
            </w:tcBorders>
          </w:tcPr>
          <w:p w14:paraId="00100A90" w14:textId="00100ABD">
            <w:pPr>
              <w:pStyle w:val="Normal"/>
              <w:jc w:val="left"/>
            </w:pPr>
            <w:r>
              <w:t xml:space="preserve">Corrective actions closed within 90 days (%)</w:t>
            </w:r>
          </w:p>
        </w:tc>
        <w:tc>
          <w:tcPr>
            <w:vAlign w:val="center"/>
            <w:tcBorders>
              <w:top w:val="single" w:sz="4" w:space="0" w:color="auto"/>
              <w:left w:val="single" w:sz="4" w:space="0" w:color="auto"/>
              <w:bottom w:val="single" w:sz="4" w:space="0" w:color="auto"/>
              <w:right w:val="single" w:sz="4" w:space="0" w:color="auto"/>
            </w:tcBorders>
          </w:tcPr>
          <w:p w14:paraId="00100A92" w14:textId="00100ABE">
            <w:pPr>
              <w:pStyle w:val="Normal"/>
              <w:jc w:val="left"/>
            </w:pPr>
            <w:r>
              <w:t xml:space="preserve">81%</w:t>
            </w:r>
          </w:p>
        </w:tc>
        <w:tc>
          <w:tcPr>
            <w:vAlign w:val="center"/>
            <w:tcBorders>
              <w:top w:val="single" w:sz="4" w:space="0" w:color="auto"/>
              <w:left w:val="single" w:sz="4" w:space="0" w:color="auto"/>
              <w:bottom w:val="single" w:sz="4" w:space="0" w:color="auto"/>
              <w:right w:val="single" w:sz="4" w:space="0" w:color="auto"/>
            </w:tcBorders>
          </w:tcPr>
          <w:p w14:paraId="00100A94" w14:textId="00100ABF">
            <w:pPr>
              <w:pStyle w:val="Normal"/>
              <w:jc w:val="left"/>
            </w:pPr>
            <w:r>
              <w:t xml:space="preserve">86%</w:t>
            </w:r>
          </w:p>
        </w:tc>
        <w:tc>
          <w:tcPr>
            <w:vAlign w:val="center"/>
            <w:tcBorders>
              <w:top w:val="single" w:sz="4" w:space="0" w:color="auto"/>
              <w:left w:val="single" w:sz="4" w:space="0" w:color="auto"/>
              <w:bottom w:val="single" w:sz="4" w:space="0" w:color="auto"/>
              <w:right w:val="single" w:sz="4" w:space="0" w:color="auto"/>
            </w:tcBorders>
          </w:tcPr>
          <w:p w14:paraId="00100A96" w14:textId="00100AC0">
            <w:pPr>
              <w:pStyle w:val="Normal"/>
              <w:jc w:val="left"/>
            </w:pPr>
            <w:r>
              <w:t xml:space="preserve">91%</w:t>
            </w:r>
          </w:p>
        </w:tc>
        <w:tc>
          <w:tcPr>
            <w:vAlign w:val="center"/>
            <w:tcBorders>
              <w:top w:val="single" w:sz="4" w:space="0" w:color="auto"/>
              <w:left w:val="single" w:sz="4" w:space="0" w:color="auto"/>
              <w:bottom w:val="single" w:sz="4" w:space="0" w:color="auto"/>
              <w:right w:val="single" w:sz="4" w:space="0" w:color="auto"/>
            </w:tcBorders>
          </w:tcPr>
          <w:p w14:paraId="00100A98" w14:textId="00100AC1">
            <w:pPr>
              <w:pStyle w:val="Normal"/>
              <w:jc w:val="left"/>
            </w:pPr>
            <w:r>
              <w:t xml:space="preserve">Faster closure supported by digital tracking and monthly escalation reviews</w:t>
            </w:r>
          </w:p>
        </w:tc>
      </w:tr>
    </w:tbl>
    <w:p w14:paraId="00100AC2" w14:textId="00100AC3">
      <w:pPr>
        <w:pStyle w:val="Normal"/>
        <w:jc w:val="left"/>
      </w:pPr>
      <w:r>
        <w:t xml:space="preserve">Safety performance improved over the year, with recordable and lost-time injury rates both declining while preventive activity increased. Management views this combination as the most meaningful sign of progress: lower harm outcomes accompanied by more active identification of weak signals. Near-miss reporting rose to 6,115 cases, not because standards were relaxed, but because site teams were encouraged to record unsafe conditions, work interruptions, and control failures before they developed into injuries. This broader reporting base gave operating leaders a better picture of recurrent issues such as lifting discipline, vehicle movement interfaces, contractor induction quality, and line-of-fire exposure.</w:t>
      </w:r>
    </w:p>
    <w:p w14:paraId="00100AC4" w14:textId="00100AC5">
      <w:pPr>
        <w:pStyle w:val="Normal"/>
        <w:jc w:val="left"/>
      </w:pPr>
      <w:r>
        <w:t xml:space="preserve">Prevention efforts were organized around critical risk controls rather than campaign-based messaging alone. The group expanded pre-task risk reviews, strengthened supervisor field observations, and required additional verification for energy isolation, confined-space entry, and mobile equipment segregation. Training completion reached 98%, with refresher modules introduced for higher-risk roles and tailored onboarding for seasonal and subcontracted workers. Corrective-action closure also improved, supported by digital case tracking and monthly escalation of overdue actions to segment leadership.</w:t>
      </w:r>
    </w:p>
    <w:p w14:paraId="00100AC6" w14:textId="00100AC7">
      <w:pPr>
        <w:pStyle w:val="Normal"/>
        <w:jc w:val="left"/>
      </w:pPr>
      <w:r>
        <w:t xml:space="preserve">Despite the favorable trend, management does not interpret lower incident rates as grounds for complacency. Twelve high-potential incidents were recorded during the year, demonstrating that exposure to severe outcomes remains present in industrial, project, and logistics environments. The group’s priority for the coming period is therefore to sustain reporting intensity, improve the quality of root-cause analysis, and ensure that lessons from serious near misses are transferred rapidly across sites and segments.</w:t>
      </w:r>
    </w:p>
    <w:p w14:paraId="00100AC8" w14:textId="00100AC9">
      <w:pPr>
        <w:pStyle w:val="Normal"/>
        <w:jc w:val="left"/>
      </w:pPr>
      <w:r>
        <w:t xml:space="preserve">6.3.2 Human Rights</w:t>
      </w:r>
    </w:p>
    <w:p w14:paraId="00100ACA" w14:textId="00100ACD">
      <w:pPr>
        <w:pStyle w:val="Normal"/>
        <w:jc w:val="left"/>
      </w:pPr>
      <w:r>
        <w:t xml:space="preserve">Rivermark Holdings applies a group-wide </w:t>
      </w:r>
      <w:r>
        <w:t xml:space="preserve">human rights due diligence</w:t>
      </w:r>
      <w:r>
        <w:t xml:space="preserve"> framework across its own operations and material parts of its supply chain, with emphasis on labor conditions, recruitment practices, working time, freedom of association, non-discrimination, and community-related impacts. The framework is aligned with the group’s Supplier Code, onboarding controls, contractual clauses, and periodic review mechanisms. During the year, new suppliers in higher-risk categories were screened before activation, while selected existing suppliers underwent refreshed reviews based on geography, service type, workforce model, and incident history. These processes are intended to identify risks early, particularly where outsourced labor, project-based subcontracting, or cross-border sourcing may create elevated exposure.</w:t>
        <w:br/>
        <w:t xml:space="preserve">The group uses a risk-based method rather than a uniform checklist for every vendor. Suppliers providing security, labor-intensive services, logistics support, or site-based construction activities were prioritized for deeper assessment, including documentation review, self-assessment responses, and targeted site validation where warranted. In this context, the concept of human rights due diligence is treated as an ongoing management process, not a one-time compliance step. Findings from screening activities informed procurement decisions, corrective action plans, and, in limited cases, approval restrictions pending remediation.</w:t>
        <w:br/>
        <w:t xml:space="preserve">Internal awareness was also expanded through training for procurement, operations, and people leaders. This helped improve escalation of concerns related to worker accommodation, wage practices, and subcontractor oversight. Management considers the year’s progress to be strongest in front-end screening and cross-functional coordination, while acknowledging that traceability below tier-one suppliers remains an area requiring further maturity.</w:t>
      </w:r>
    </w:p>
    <w:p w14:paraId="00100ACE" w14:textId="00100ACF">
      <w:pPr>
        <w:pStyle w:val="Normal"/>
        <w:jc w:val="left"/>
      </w:pPr>
      <w:r>
        <w:t xml:space="preserve">Grievance handling is designed to provide accessible channels for workers, contractors, and affected stakeholders to raise concerns confidentially and, where permitted by law, anonymously. Reports may be submitted through local management, people teams, ethics contacts, or the group speak-up platform. Matters are categorized by severity and subject matter, then routed to the appropriate investigation owner, with additional oversight for allegations involving forced labor, harassment, retaliation, discrimination, wage issues, or unsafe living and working conditions. Cases with potential legal, regulatory, or severe reputational implications are escalated to central ethics and risk functions.</w:t>
      </w:r>
    </w:p>
    <w:p w14:paraId="00100AD0" w14:textId="00100AD1">
      <w:pPr>
        <w:pStyle w:val="Normal"/>
        <w:jc w:val="left"/>
      </w:pPr>
      <w:r>
        <w:t xml:space="preserve">The group’s approach emphasizes timely triage, protection against retaliation, evidence-based review, and documented closure. Where allegations are substantiated, remediation actions may include immediate worker protection, repayment of withheld amounts, corrective training, enhanced site supervision, disciplinary action, supplier improvement plans, or termination of commercial relationships in serious cases. When concerns relate to supplier practices, procurement and operational teams monitor remediation milestones and reassess the supplier’s approval status if progress is inadequate.</w:t>
      </w:r>
    </w:p>
    <w:p w14:paraId="00100AD2" w14:textId="00100AD3">
      <w:pPr>
        <w:pStyle w:val="Normal"/>
        <w:jc w:val="left"/>
      </w:pPr>
      <w:r>
        <w:t xml:space="preserve">During the year, most human-rights-related grievances involved overtime management, subcontractor supervision, and concerns about respectful treatment in site-based environments. No systemic issue requiring withdrawal from a country or business line was identified. However, the group recognizes that effective grievance mechanisms are measured not only by the number of reports received but also by trust in the process and the quality of remedy delivered. For that reason, follow-up with reporters, trend analysis, and recurring issue reviews are increasingly embedded in management practice.</w:t>
      </w:r>
    </w:p>
    <w:p w14:paraId="00100AD4" w14:textId="00100AD5">
      <w:pPr>
        <w:pStyle w:val="Normal"/>
        <w:jc w:val="left"/>
      </w:pPr>
      <w:r>
        <w:t xml:space="preserve">6.3 Community Contribution</w:t>
      </w:r>
    </w:p>
    <w:p w14:paraId="00100AD6" w14:textId="00100AD7">
      <w:pPr>
        <w:pStyle w:val="Normal"/>
        <w:jc w:val="left"/>
      </w:pPr>
      <w:r>
        <w:t xml:space="preserve">Rivermark Holdings’ community contribution strategy is intended to connect the group’s operating presence with local priorities in a disciplined and measurable way. Rather than treating community investment as a stand-alone donation program, the group frames its role around practical support for education, employability, safety, environmental improvement, and local resilience in the regions where it operates. This approach reflects the reality that the group’s facilities, service centers, projects, and logistics activities are closely linked to local labor markets and community infrastructure. As a result, the value of community engagement is evaluated not only through financial contributions but also through participation, partnerships, and visible local outcomes.</w:t>
      </w:r>
    </w:p>
    <w:p w14:paraId="00100AD8" w14:textId="00100AD9">
      <w:pPr>
        <w:pStyle w:val="Normal"/>
        <w:jc w:val="left"/>
      </w:pPr>
      <w:r>
        <w:t xml:space="preserve">During the year, programs were shaped by consultation with site leaders, community organizations, schools, and municipal partners. In several regions, priority was given to workforce-readiness programs that can expand access to technical careers, while in others the focus remained on safety awareness, environmental restoration, or support for vulnerable households. The group also encouraged employee volunteering where activities could be delivered safely and in coordination with trusted local institutions.</w:t>
      </w:r>
    </w:p>
    <w:p w14:paraId="00100ADA" w14:textId="00100ADB">
      <w:pPr>
        <w:pStyle w:val="Normal"/>
        <w:jc w:val="left"/>
      </w:pPr>
      <w:r>
        <w:t xml:space="preserve">This section therefore moves from the overall rationale for community contribution to the specific program themes, beneficiary groups, delivery partnerships, and contribution measures used by management to assess effectiveness. The intention is to show how local engagement supports both social impact and the long-term sustainability of the group’s operating footprint.</w:t>
      </w:r>
    </w:p>
    <w:p w14:paraId="00100ADC" w14:textId="00100ADD">
      <w:pPr>
        <w:pStyle w:val="Normal"/>
        <w:jc w:val="left"/>
      </w:pPr>
      <w:r>
        <w:t xml:space="preserve">6.3.3 Community Programs</w:t>
      </w:r>
    </w:p>
    <w:p w14:paraId="00100ADE" w14:textId="00100ADF">
      <w:pPr>
        <w:pStyle w:val="Normal"/>
        <w:jc w:val="left"/>
      </w:pPr>
      <w:r>
        <w:t xml:space="preserve">Community programs during the year were organized around a limited number of themes to improve focus and comparability across regions. The largest share of activity related to education and employability, including technical scholarships, equipment support for vocational training centers, apprenticeship preparation, and school-industry exposure programs. These initiatives were designed to benefit students, early-career job seekers, and underrepresented groups seeking access to industrial, digital, and service-sector roles. A second major theme involved safety and wellbeing, where sites partnered with local organizations on road safety campaigns, emergency preparedness activities, and practical support for community health and household resilience.</w:t>
      </w:r>
    </w:p>
    <w:p w14:paraId="00100AE0" w14:textId="00100AE1">
      <w:pPr>
        <w:pStyle w:val="Normal"/>
        <w:jc w:val="left"/>
      </w:pPr>
      <w:r>
        <w:t xml:space="preserve">Environmental improvement formed a third program theme, especially in operating areas with visible land, water, or waste-management pressures. Projects included riverbank cleanups, urban greening, habitat restoration near industrial locations, and community awareness campaigns on resource efficiency. In addition, selected regions supported small-enterprise development through local sourcing workshops and mentoring for community-based suppliers.</w:t>
      </w:r>
    </w:p>
    <w:p w14:paraId="00100AE2" w14:textId="00100AE3">
      <w:pPr>
        <w:pStyle w:val="Normal"/>
        <w:jc w:val="left"/>
      </w:pPr>
      <w:r>
        <w:t xml:space="preserve">Beneficiary groups varied by location but generally included students, teachers, community volunteers, low-income households, local entrepreneurs, and residents living near major operating sites or project corridors. Management favored programs with a clear local partner, defined beneficiary group, and practical method for tracking outputs and outcomes. This reduced fragmentation and helped distinguish strategic community investment from ad hoc sponsorship. While not every initiative was large in scale, the portfolio as a whole demonstrated a more consistent link between local needs assessment, operating-region priorities, and the capabilities Rivermark Holdings can credibly contribute.</w:t>
      </w:r>
    </w:p>
    <w:p w14:paraId="00100AE4" w14:textId="00100AE5">
      <w:pPr>
        <w:pStyle w:val="Normal"/>
        <w:jc w:val="left"/>
      </w:pPr>
      <w:r>
        <w:t xml:space="preserve">Regional delivery depended on collaboration between business units and local partners rather than a centrally imposed program model. Across Industrial Solutions, Consumer Platforms, and Infrastructure Services, site teams adapted group themes to local conditions, regulatory expectations, and community priorities. Partnerships included vocational institutes, municipal agencies, emergency-response groups, environmental organizations, and nonprofit service providers with established credibility in their regions. This decentralized structure improved relevance, but it also required stronger governance to ensure that funded programs met minimum standards for beneficiary protection, financial accountability, and outcome tracking.</w:t>
      </w:r>
    </w:p>
    <w:p w14:paraId="00100AE6" w14:textId="00100AE7">
      <w:pPr>
        <w:pStyle w:val="Normal"/>
        <w:jc w:val="left"/>
      </w:pPr>
      <w:r>
        <w:t xml:space="preserve">Lead sites were expected to document objectives, partner roles, target groups, and intended outputs before committing funds or volunteer time. Regional reviews then considered whether programs aligned with approved themes and whether they created durable value beyond one-off events. In practice, this meant favoring multi-year education partnerships, recurring safety campaigns, and place-based environmental projects over promotional activities with limited measurable benefit.</w:t>
      </w:r>
    </w:p>
    <w:p w14:paraId="00100AE8" w14:textId="00100AEB">
      <w:pPr>
        <w:pStyle w:val="Normal"/>
        <w:jc w:val="left"/>
      </w:pPr>
      <w:r>
        <w:t xml:space="preserve"/>
      </w:r>
      <w:r>
        <w:t xml:space="preserve">Regional partnerships:</w:t>
      </w:r>
      <w:r>
        <w:t xml:space="preserve"> In North Coast, the group expanded technical training placements with two vocational colleges and a community fabrication lab. In Central Valley, project teams supported contractor-readiness workshops and household safety outreach near active service corridors. In Eastern Reach, local distribution operations worked with municipal and civil-society partners on recycling drives and neighborhood infrastructure improvements. These examples illustrate the group’s preference for locally anchored delivery models that combine funding, employee participation, and partner expertise to produce more credible and sustained community outcomes.</w:t>
      </w:r>
    </w:p>
    <w:p w14:paraId="00100AEC" w14:textId="00100AED">
      <w:pPr>
        <w:pStyle w:val="Normal"/>
        <w:jc w:val="left"/>
      </w:pPr>
      <w:r>
        <w:t xml:space="preserve">6.3.3 Contribution Measures</w:t>
      </w:r>
    </w:p>
    <w:p w14:paraId="00100AEE" w14:textId="00100AEF">
      <w:pPr>
        <w:pStyle w:val="Normal"/>
        <w:jc w:val="left"/>
      </w:pPr>
      <w:r>
        <w:t xml:space="preserve">Rivermark Holdings tracks community investment through a participation lens as well as a funding lens because expenditure alone does not show whether programs are reaching intended groups or building local capability. During the year, group-supported initiatives recorded approximately 48,600 direct participants across education, employability, safety awareness, environmental stewardship, and neighborhood resilience activities. Around 57% of participants were engaged through multi-session programs rather than one-time events, which the group views as a stronger indicator of sustained benefit. Employee volunteering contributed 41,200 hours, with participation from 38% of the salaried workforce and 24% of site-based employees, reflecting improved coordination between central program themes and locally selected projects.</w:t>
      </w:r>
    </w:p>
    <w:p w14:paraId="00100AF0" w14:textId="00100AF1">
      <w:pPr>
        <w:pStyle w:val="Normal"/>
        <w:jc w:val="left"/>
      </w:pPr>
      <w:r>
        <w:t xml:space="preserve">Participation indicators are monitored by region, program type, beneficiary profile, and repeat engagement rate. This allows Rivermark Holdings to distinguish high-visibility campaigns from programs that create deeper local value, such as technical training partnerships, supplier development workshops, and school-to-work placements. In several operating regions, attendance by women and early-career participants increased after schedules were adapted to local transport and caregiving constraints, illustrating how program design influences access. The group also tracks in-kind contributions, partner co-funding, and completion rates for structured programs to assess leverage beyond direct cash support. Taken together, the indicators show that the most effective community investments are those tied to local operating needs, delivered with established partners, and measured over more than one reporting cycle.</w:t>
      </w:r>
    </w:p>
    <w:p w14:paraId="00100AF2" w14:textId="00100AF3">
      <w:pPr>
        <w:pStyle w:val="Normal"/>
        <w:jc w:val="left"/>
      </w:pPr>
      <w:r>
        <w:t xml:space="preserve">Outcome tracking and evaluation are designed to move Rivermark Holdings from activity reporting toward evidence-based assessment of social value. All flagship community programs are assigned intended outputs, near-term outcomes, and at least one longer-horizon indicator, with measurement responsibility shared between site leadership, the sustainability team, and delivery partners. During the reporting year, 76% of community expenditure was attached to programs with a formal results framework, up from 61% in the prior year. Post-program reviews showed that employability initiatives achieved the strongest measurable outcomes, including training completion, certification attainment, internship conversion, and early job placement, while broad awareness campaigns produced wider reach but less durable evidence of change.</w:t>
      </w:r>
    </w:p>
    <w:p w14:paraId="00100AF4" w14:textId="00100AF5">
      <w:pPr>
        <w:pStyle w:val="Normal"/>
        <w:jc w:val="left"/>
      </w:pPr>
      <w:r>
        <w:t xml:space="preserve">The evaluation approach combines quantitative indicators with partner feedback, beneficiary surveys, and periodic management review. Where feasible, Rivermark Holdings compares baseline and end-period data, such as school attendance, safety knowledge retention, or small-business revenue stability, to test whether the intervention contributed to observed improvement. The group does not claim sole attribution where outcomes depend on public systems or multi-partner support; instead, it assesses contribution, replication potential, and cost effectiveness. Programs with weak evidence, low completion rates, or limited alignment to local priorities are redesigned or exited. This discipline has improved portfolio quality by concentrating resources on fewer initiatives with clearer objectives, stronger partner capability, and better prospects for measurable community benefit over time.</w:t>
      </w:r>
    </w:p>
    <w:p w14:paraId="00101CF8" w14:textId="00101CF9">
      <w:pPr>
        <w:pStyle w:val="Normal"/>
        <w:jc w:val="left"/>
        <w:sectPr>
          <w:type w:val="nextPage"/>
          <w:pgSz w:w="11906" w:h="16838"/>
          <w:pgMar w:top="1440" w:right="1440" w:bottom="1440" w:left="1440" w:header="1440" w:footer="1440" w:gutter="0"/>
          <w:cols w:space="720" w:num="1"/>
        </w:sectPr>
      </w:pPr>
    </w:p>
    <w:p w14:paraId="00100AFA" w14:textId="00100AFB">
      <w:pPr>
        <w:pStyle w:val="Normal"/>
        <w:jc w:val="left"/>
      </w:pPr>
      <w:r>
        <w:t xml:space="preserve">Chapter 7 Consolidated Statements</w:t>
      </w:r>
    </w:p>
    <w:p w14:paraId="00100AFC" w14:textId="00100AFE">
      <w:pPr>
        <w:pStyle w:val="Normal"/>
        <w:jc w:val="left"/>
      </w:pPr>
      <w:r>
        <w:t xml:space="preserve">Primary statements and accounting basis:</w:t>
      </w:r>
      <w:r>
        <w:t xml:space="preserve"> The consolidated statements set out the financial position, performance, cash flows, and equity movements of Rivermark Holdings and its controlled entities for the year ended 31 December 2024. They have been prepared to present the Group as a single economic entity, eliminating intra-group balances and transactions and aligning recognition and measurement policies across operating businesses. The statements should be read together with the accounting basis and detailed note disclosures that follow, as those notes explain the judgments, estimates, classifications, and measurement methods that underpin reported amounts.</w:t>
        <w:br/>
        <w:t xml:space="preserve">Comparative information for 2023 is presented on a consistent basis unless otherwise stated. Management has assessed going concern, liquidity headroom, covenant compliance, and the availability of committed facilities in forming the view that the Group remains appropriately funded for the foreseeable period. Amounts are presented in millions of Rivermark dollars and, where applicable, are rounded to the nearest tenth or whole number in a manner that preserves faithful representation of underlying transactions and balances.</w:t>
      </w:r>
    </w:p>
    <w:p w14:paraId="00100AFF" w14:textId="00100B00">
      <w:pPr>
        <w:pStyle w:val="Normal"/>
        <w:jc w:val="left"/>
      </w:pPr>
      <w:r>
        <w:t xml:space="preserve">7. Statement of Financial Position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center"/>
            <w:tcBorders>
              <w:top w:val="single" w:sz="4" w:space="0" w:color="auto"/>
              <w:left w:val="single" w:sz="4" w:space="0" w:color="auto"/>
              <w:bottom w:val="single" w:sz="4" w:space="0" w:color="auto"/>
              <w:right w:val="single" w:sz="4" w:space="0" w:color="auto"/>
            </w:tcBorders>
          </w:tcPr>
          <w:p w14:paraId="00100B01" w14:textId="00100BD3">
            <w:pPr>
              <w:pStyle w:val="Normal"/>
              <w:jc w:val="left"/>
            </w:pPr>
            <w:r>
              <w:t xml:space="preserve">Rivermark Holdings</w:t>
            </w:r>
          </w:p>
        </w:tc>
        <w:tc>
          <w:tcPr>
            <w:vAlign w:val="center"/>
            <w:tcBorders>
              <w:top w:val="single" w:sz="4" w:space="0" w:color="auto"/>
              <w:left w:val="single" w:sz="4" w:space="0" w:color="auto"/>
              <w:bottom w:val="single" w:sz="4" w:space="0" w:color="auto"/>
              <w:right w:val="single" w:sz="4" w:space="0" w:color="auto"/>
            </w:tcBorders>
          </w:tcPr>
          <w:p w14:paraId="00100B03" w14:textId="00100BD4">
            <w:pPr>
              <w:pStyle w:val="Normal"/>
              <w:jc w:val="left"/>
            </w:pPr>
            <w:r>
              <w:t xml:space="preserve">31 Dec 2024</w:t>
            </w:r>
          </w:p>
        </w:tc>
        <w:tc>
          <w:tcPr>
            <w:vAlign w:val="center"/>
            <w:tcBorders>
              <w:top w:val="single" w:sz="4" w:space="0" w:color="auto"/>
              <w:left w:val="single" w:sz="4" w:space="0" w:color="auto"/>
              <w:bottom w:val="single" w:sz="4" w:space="0" w:color="auto"/>
              <w:right w:val="single" w:sz="4" w:space="0" w:color="auto"/>
            </w:tcBorders>
          </w:tcPr>
          <w:p w14:paraId="00100B05" w14:textId="00100BD5">
            <w:pPr>
              <w:pStyle w:val="Normal"/>
              <w:jc w:val="left"/>
            </w:pPr>
            <w:r>
              <w:t xml:space="preserve">31 Dec 2023</w:t>
            </w:r>
          </w:p>
        </w:tc>
      </w:tr>
      <w:tr>
        <w:tc>
          <w:tcPr>
            <w:vAlign w:val="top"/>
            <w:tcBorders>
              <w:top w:val="single" w:sz="4" w:space="0" w:color="auto"/>
              <w:left w:val="single" w:sz="4" w:space="0" w:color="auto"/>
              <w:bottom w:val="single" w:sz="4" w:space="0" w:color="auto"/>
              <w:right w:val="single" w:sz="4" w:space="0" w:color="auto"/>
            </w:tcBorders>
          </w:tcPr>
          <w:p w14:paraId="00100B07" w14:textId="00100BD6">
            <w:pPr>
              <w:pStyle w:val="Normal"/>
              <w:jc w:val="left"/>
            </w:pPr>
            <w:r>
              <w:t xml:space="preserve">Assets</w:t>
            </w:r>
          </w:p>
        </w:tc>
        <w:tc>
          <w:tcPr>
            <w:vAlign w:val="center"/>
            <w:tcBorders>
              <w:top w:val="single" w:sz="4" w:space="0" w:color="auto"/>
              <w:left w:val="single" w:sz="4" w:space="0" w:color="auto"/>
              <w:bottom w:val="single" w:sz="4" w:space="0" w:color="auto"/>
              <w:right w:val="single" w:sz="4" w:space="0" w:color="auto"/>
            </w:tcBorders>
          </w:tcPr>
          <w:p w14:paraId="00100B09" w14:textId="00100BD7">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B0B" w14:textId="00100BD8">
            <w:pPr>
              <w:pStyle w:val="Normal"/>
              <w:jc w:val="left"/>
            </w:pPr>
            <w:r>
              <w:t xml:space="preserve"/>
            </w:r>
          </w:p>
        </w:tc>
      </w:tr>
      <w:tr>
        <w:tc>
          <w:tcPr>
            <w:vAlign w:val="top"/>
            <w:tcBorders>
              <w:top w:val="single" w:sz="4" w:space="0" w:color="auto"/>
              <w:left w:val="single" w:sz="4" w:space="0" w:color="auto"/>
              <w:bottom w:val="single" w:sz="4" w:space="0" w:color="auto"/>
              <w:right w:val="single" w:sz="4" w:space="0" w:color="auto"/>
            </w:tcBorders>
          </w:tcPr>
          <w:p w14:paraId="00100B0D" w14:textId="00100BD9">
            <w:pPr>
              <w:pStyle w:val="Normal"/>
              <w:jc w:val="left"/>
            </w:pPr>
            <w:r>
              <w:t xml:space="preserve">Current assets</w:t>
            </w:r>
          </w:p>
        </w:tc>
        <w:tc>
          <w:tcPr>
            <w:vAlign w:val="center"/>
            <w:tcBorders>
              <w:top w:val="single" w:sz="4" w:space="0" w:color="auto"/>
              <w:left w:val="single" w:sz="4" w:space="0" w:color="auto"/>
              <w:bottom w:val="single" w:sz="4" w:space="0" w:color="auto"/>
              <w:right w:val="single" w:sz="4" w:space="0" w:color="auto"/>
            </w:tcBorders>
          </w:tcPr>
          <w:p w14:paraId="00100B0F" w14:textId="00100BDA">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B11" w14:textId="00100BDB">
            <w:pPr>
              <w:pStyle w:val="Normal"/>
              <w:jc w:val="left"/>
            </w:pPr>
            <w:r>
              <w:t xml:space="preserve"/>
            </w:r>
          </w:p>
        </w:tc>
      </w:tr>
      <w:tr>
        <w:tc>
          <w:tcPr>
            <w:vAlign w:val="top"/>
            <w:tcBorders>
              <w:top w:val="single" w:sz="4" w:space="0" w:color="auto"/>
              <w:left w:val="single" w:sz="4" w:space="0" w:color="auto"/>
              <w:bottom w:val="single" w:sz="4" w:space="0" w:color="auto"/>
              <w:right w:val="single" w:sz="4" w:space="0" w:color="auto"/>
            </w:tcBorders>
          </w:tcPr>
          <w:p w14:paraId="00100B13" w14:textId="00100BDC">
            <w:pPr>
              <w:pStyle w:val="Normal"/>
              <w:jc w:val="left"/>
            </w:pPr>
            <w:r>
              <w:t xml:space="preserve">Cash and cash equivalents</w:t>
            </w:r>
          </w:p>
        </w:tc>
        <w:tc>
          <w:tcPr>
            <w:vAlign w:val="center"/>
            <w:tcBorders>
              <w:top w:val="single" w:sz="4" w:space="0" w:color="auto"/>
              <w:left w:val="single" w:sz="4" w:space="0" w:color="auto"/>
              <w:bottom w:val="single" w:sz="4" w:space="0" w:color="auto"/>
              <w:right w:val="single" w:sz="4" w:space="0" w:color="auto"/>
            </w:tcBorders>
          </w:tcPr>
          <w:p w14:paraId="00100B15" w14:textId="00100BDD">
            <w:pPr>
              <w:pStyle w:val="Normal"/>
              <w:jc w:val="left"/>
            </w:pPr>
            <w:r>
              <w:t xml:space="preserve">428.6</w:t>
            </w:r>
          </w:p>
        </w:tc>
        <w:tc>
          <w:tcPr>
            <w:vAlign w:val="center"/>
            <w:tcBorders>
              <w:top w:val="single" w:sz="4" w:space="0" w:color="auto"/>
              <w:left w:val="single" w:sz="4" w:space="0" w:color="auto"/>
              <w:bottom w:val="single" w:sz="4" w:space="0" w:color="auto"/>
              <w:right w:val="single" w:sz="4" w:space="0" w:color="auto"/>
            </w:tcBorders>
          </w:tcPr>
          <w:p w14:paraId="00100B17" w14:textId="00100BDE">
            <w:pPr>
              <w:pStyle w:val="Normal"/>
              <w:jc w:val="left"/>
            </w:pPr>
            <w:r>
              <w:t xml:space="preserve">391.4</w:t>
            </w:r>
          </w:p>
        </w:tc>
      </w:tr>
      <w:tr>
        <w:tc>
          <w:tcPr>
            <w:vAlign w:val="top"/>
            <w:tcBorders>
              <w:top w:val="single" w:sz="4" w:space="0" w:color="auto"/>
              <w:left w:val="single" w:sz="4" w:space="0" w:color="auto"/>
              <w:bottom w:val="single" w:sz="4" w:space="0" w:color="auto"/>
              <w:right w:val="single" w:sz="4" w:space="0" w:color="auto"/>
            </w:tcBorders>
          </w:tcPr>
          <w:p w14:paraId="00100B19" w14:textId="00100BDF">
            <w:pPr>
              <w:pStyle w:val="Normal"/>
              <w:jc w:val="left"/>
            </w:pPr>
            <w:r>
              <w:t xml:space="preserve">Trade and other receivables</w:t>
            </w:r>
          </w:p>
        </w:tc>
        <w:tc>
          <w:tcPr>
            <w:vAlign w:val="center"/>
            <w:tcBorders>
              <w:top w:val="single" w:sz="4" w:space="0" w:color="auto"/>
              <w:left w:val="single" w:sz="4" w:space="0" w:color="auto"/>
              <w:bottom w:val="single" w:sz="4" w:space="0" w:color="auto"/>
              <w:right w:val="single" w:sz="4" w:space="0" w:color="auto"/>
            </w:tcBorders>
          </w:tcPr>
          <w:p w14:paraId="00100B1B" w14:textId="00100BE0">
            <w:pPr>
              <w:pStyle w:val="Normal"/>
              <w:jc w:val="left"/>
            </w:pPr>
            <w:r>
              <w:t xml:space="preserve">612.3</w:t>
            </w:r>
          </w:p>
        </w:tc>
        <w:tc>
          <w:tcPr>
            <w:vAlign w:val="center"/>
            <w:tcBorders>
              <w:top w:val="single" w:sz="4" w:space="0" w:color="auto"/>
              <w:left w:val="single" w:sz="4" w:space="0" w:color="auto"/>
              <w:bottom w:val="single" w:sz="4" w:space="0" w:color="auto"/>
              <w:right w:val="single" w:sz="4" w:space="0" w:color="auto"/>
            </w:tcBorders>
          </w:tcPr>
          <w:p w14:paraId="00100B1D" w14:textId="00100BE1">
            <w:pPr>
              <w:pStyle w:val="Normal"/>
              <w:jc w:val="left"/>
            </w:pPr>
            <w:r>
              <w:t xml:space="preserve">574.8</w:t>
            </w:r>
          </w:p>
        </w:tc>
      </w:tr>
      <w:tr>
        <w:tc>
          <w:tcPr>
            <w:vAlign w:val="top"/>
            <w:tcBorders>
              <w:top w:val="single" w:sz="4" w:space="0" w:color="auto"/>
              <w:left w:val="single" w:sz="4" w:space="0" w:color="auto"/>
              <w:bottom w:val="single" w:sz="4" w:space="0" w:color="auto"/>
              <w:right w:val="single" w:sz="4" w:space="0" w:color="auto"/>
            </w:tcBorders>
          </w:tcPr>
          <w:p w14:paraId="00100B1F" w14:textId="00100BE2">
            <w:pPr>
              <w:pStyle w:val="Normal"/>
              <w:jc w:val="left"/>
            </w:pPr>
            <w:r>
              <w:t xml:space="preserve">Inventories</w:t>
            </w:r>
          </w:p>
        </w:tc>
        <w:tc>
          <w:tcPr>
            <w:vAlign w:val="center"/>
            <w:tcBorders>
              <w:top w:val="single" w:sz="4" w:space="0" w:color="auto"/>
              <w:left w:val="single" w:sz="4" w:space="0" w:color="auto"/>
              <w:bottom w:val="single" w:sz="4" w:space="0" w:color="auto"/>
              <w:right w:val="single" w:sz="4" w:space="0" w:color="auto"/>
            </w:tcBorders>
          </w:tcPr>
          <w:p w14:paraId="00100B21" w14:textId="00100BE3">
            <w:pPr>
              <w:pStyle w:val="Normal"/>
              <w:jc w:val="left"/>
            </w:pPr>
            <w:r>
              <w:t xml:space="preserve">486.1</w:t>
            </w:r>
          </w:p>
        </w:tc>
        <w:tc>
          <w:tcPr>
            <w:vAlign w:val="center"/>
            <w:tcBorders>
              <w:top w:val="single" w:sz="4" w:space="0" w:color="auto"/>
              <w:left w:val="single" w:sz="4" w:space="0" w:color="auto"/>
              <w:bottom w:val="single" w:sz="4" w:space="0" w:color="auto"/>
              <w:right w:val="single" w:sz="4" w:space="0" w:color="auto"/>
            </w:tcBorders>
          </w:tcPr>
          <w:p w14:paraId="00100B23" w14:textId="00100BE4">
            <w:pPr>
              <w:pStyle w:val="Normal"/>
              <w:jc w:val="left"/>
            </w:pPr>
            <w:r>
              <w:t xml:space="preserve">451.7</w:t>
            </w:r>
          </w:p>
        </w:tc>
      </w:tr>
      <w:tr>
        <w:tc>
          <w:tcPr>
            <w:vAlign w:val="top"/>
            <w:tcBorders>
              <w:top w:val="single" w:sz="4" w:space="0" w:color="auto"/>
              <w:left w:val="single" w:sz="4" w:space="0" w:color="auto"/>
              <w:bottom w:val="single" w:sz="4" w:space="0" w:color="auto"/>
              <w:right w:val="single" w:sz="4" w:space="0" w:color="auto"/>
            </w:tcBorders>
          </w:tcPr>
          <w:p w14:paraId="00100B25" w14:textId="00100BE5">
            <w:pPr>
              <w:pStyle w:val="Normal"/>
              <w:jc w:val="left"/>
            </w:pPr>
            <w:r>
              <w:t xml:space="preserve">Contract assets and other current assets</w:t>
            </w:r>
          </w:p>
        </w:tc>
        <w:tc>
          <w:tcPr>
            <w:vAlign w:val="center"/>
            <w:tcBorders>
              <w:top w:val="single" w:sz="4" w:space="0" w:color="auto"/>
              <w:left w:val="single" w:sz="4" w:space="0" w:color="auto"/>
              <w:bottom w:val="single" w:sz="4" w:space="0" w:color="auto"/>
              <w:right w:val="single" w:sz="4" w:space="0" w:color="auto"/>
            </w:tcBorders>
          </w:tcPr>
          <w:p w14:paraId="00100B27" w14:textId="00100BE6">
            <w:pPr>
              <w:pStyle w:val="Normal"/>
              <w:jc w:val="left"/>
            </w:pPr>
            <w:r>
              <w:t xml:space="preserve">132.5</w:t>
            </w:r>
          </w:p>
        </w:tc>
        <w:tc>
          <w:tcPr>
            <w:vAlign w:val="center"/>
            <w:tcBorders>
              <w:top w:val="single" w:sz="4" w:space="0" w:color="auto"/>
              <w:left w:val="single" w:sz="4" w:space="0" w:color="auto"/>
              <w:bottom w:val="single" w:sz="4" w:space="0" w:color="auto"/>
              <w:right w:val="single" w:sz="4" w:space="0" w:color="auto"/>
            </w:tcBorders>
          </w:tcPr>
          <w:p w14:paraId="00100B29" w14:textId="00100BE7">
            <w:pPr>
              <w:pStyle w:val="Normal"/>
              <w:jc w:val="left"/>
            </w:pPr>
            <w:r>
              <w:t xml:space="preserve">119.6</w:t>
            </w:r>
          </w:p>
        </w:tc>
      </w:tr>
      <w:tr>
        <w:tc>
          <w:tcPr>
            <w:vAlign w:val="top"/>
            <w:tcBorders>
              <w:top w:val="single" w:sz="4" w:space="0" w:color="auto"/>
              <w:left w:val="single" w:sz="4" w:space="0" w:color="auto"/>
              <w:bottom w:val="single" w:sz="4" w:space="0" w:color="auto"/>
              <w:right w:val="single" w:sz="4" w:space="0" w:color="auto"/>
            </w:tcBorders>
          </w:tcPr>
          <w:p w14:paraId="00100B2B" w14:textId="00100BE8">
            <w:pPr>
              <w:pStyle w:val="Normal"/>
              <w:jc w:val="left"/>
            </w:pPr>
            <w:r>
              <w:t xml:space="preserve">Total current assets</w:t>
            </w:r>
          </w:p>
        </w:tc>
        <w:tc>
          <w:tcPr>
            <w:vAlign w:val="center"/>
            <w:tcBorders>
              <w:top w:val="single" w:sz="4" w:space="0" w:color="auto"/>
              <w:left w:val="single" w:sz="4" w:space="0" w:color="auto"/>
              <w:bottom w:val="single" w:sz="4" w:space="0" w:color="auto"/>
              <w:right w:val="single" w:sz="4" w:space="0" w:color="auto"/>
            </w:tcBorders>
          </w:tcPr>
          <w:p w14:paraId="00100B2D" w14:textId="00100BE9">
            <w:pPr>
              <w:pStyle w:val="Normal"/>
              <w:jc w:val="left"/>
            </w:pPr>
            <w:r>
              <w:t xml:space="preserve">1,659.5</w:t>
            </w:r>
          </w:p>
        </w:tc>
        <w:tc>
          <w:tcPr>
            <w:vAlign w:val="center"/>
            <w:tcBorders>
              <w:top w:val="single" w:sz="4" w:space="0" w:color="auto"/>
              <w:left w:val="single" w:sz="4" w:space="0" w:color="auto"/>
              <w:bottom w:val="single" w:sz="4" w:space="0" w:color="auto"/>
              <w:right w:val="single" w:sz="4" w:space="0" w:color="auto"/>
            </w:tcBorders>
          </w:tcPr>
          <w:p w14:paraId="00100B2F" w14:textId="00100BEA">
            <w:pPr>
              <w:pStyle w:val="Normal"/>
              <w:jc w:val="left"/>
            </w:pPr>
            <w:r>
              <w:t xml:space="preserve">1,537.5</w:t>
            </w:r>
          </w:p>
        </w:tc>
      </w:tr>
      <w:tr>
        <w:tc>
          <w:tcPr>
            <w:vAlign w:val="top"/>
            <w:tcBorders>
              <w:top w:val="single" w:sz="4" w:space="0" w:color="auto"/>
              <w:left w:val="single" w:sz="4" w:space="0" w:color="auto"/>
              <w:bottom w:val="single" w:sz="4" w:space="0" w:color="auto"/>
              <w:right w:val="single" w:sz="4" w:space="0" w:color="auto"/>
            </w:tcBorders>
          </w:tcPr>
          <w:p w14:paraId="00100B31" w14:textId="00100BEB">
            <w:pPr>
              <w:pStyle w:val="Normal"/>
              <w:jc w:val="left"/>
            </w:pPr>
            <w:r>
              <w:t xml:space="preserve">Noncurrent assets</w:t>
            </w:r>
          </w:p>
        </w:tc>
        <w:tc>
          <w:tcPr>
            <w:vAlign w:val="center"/>
            <w:tcBorders>
              <w:top w:val="single" w:sz="4" w:space="0" w:color="auto"/>
              <w:left w:val="single" w:sz="4" w:space="0" w:color="auto"/>
              <w:bottom w:val="single" w:sz="4" w:space="0" w:color="auto"/>
              <w:right w:val="single" w:sz="4" w:space="0" w:color="auto"/>
            </w:tcBorders>
          </w:tcPr>
          <w:p w14:paraId="00100B33" w14:textId="00100BEC">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B35" w14:textId="00100BED">
            <w:pPr>
              <w:pStyle w:val="Normal"/>
              <w:jc w:val="left"/>
            </w:pPr>
            <w:r>
              <w:t xml:space="preserve"/>
            </w:r>
          </w:p>
        </w:tc>
      </w:tr>
      <w:tr>
        <w:tc>
          <w:tcPr>
            <w:vAlign w:val="top"/>
            <w:tcBorders>
              <w:top w:val="single" w:sz="4" w:space="0" w:color="auto"/>
              <w:left w:val="single" w:sz="4" w:space="0" w:color="auto"/>
              <w:bottom w:val="single" w:sz="4" w:space="0" w:color="auto"/>
              <w:right w:val="single" w:sz="4" w:space="0" w:color="auto"/>
            </w:tcBorders>
          </w:tcPr>
          <w:p w14:paraId="00100B37" w14:textId="00100BEE">
            <w:pPr>
              <w:pStyle w:val="Normal"/>
              <w:jc w:val="left"/>
            </w:pPr>
            <w:r>
              <w:t xml:space="preserve">Property, plant and equipment</w:t>
            </w:r>
          </w:p>
        </w:tc>
        <w:tc>
          <w:tcPr>
            <w:vAlign w:val="center"/>
            <w:tcBorders>
              <w:top w:val="single" w:sz="4" w:space="0" w:color="auto"/>
              <w:left w:val="single" w:sz="4" w:space="0" w:color="auto"/>
              <w:bottom w:val="single" w:sz="4" w:space="0" w:color="auto"/>
              <w:right w:val="single" w:sz="4" w:space="0" w:color="auto"/>
            </w:tcBorders>
          </w:tcPr>
          <w:p w14:paraId="00100B39" w14:textId="00100BEF">
            <w:pPr>
              <w:pStyle w:val="Normal"/>
              <w:jc w:val="left"/>
            </w:pPr>
            <w:r>
              <w:t xml:space="preserve">1,284.2</w:t>
            </w:r>
          </w:p>
        </w:tc>
        <w:tc>
          <w:tcPr>
            <w:vAlign w:val="center"/>
            <w:tcBorders>
              <w:top w:val="single" w:sz="4" w:space="0" w:color="auto"/>
              <w:left w:val="single" w:sz="4" w:space="0" w:color="auto"/>
              <w:bottom w:val="single" w:sz="4" w:space="0" w:color="auto"/>
              <w:right w:val="single" w:sz="4" w:space="0" w:color="auto"/>
            </w:tcBorders>
          </w:tcPr>
          <w:p w14:paraId="00100B3B" w14:textId="00100BF0">
            <w:pPr>
              <w:pStyle w:val="Normal"/>
              <w:jc w:val="left"/>
            </w:pPr>
            <w:r>
              <w:t xml:space="preserve">1,197.9</w:t>
            </w:r>
          </w:p>
        </w:tc>
      </w:tr>
      <w:tr>
        <w:tc>
          <w:tcPr>
            <w:vAlign w:val="top"/>
            <w:tcBorders>
              <w:top w:val="single" w:sz="4" w:space="0" w:color="auto"/>
              <w:left w:val="single" w:sz="4" w:space="0" w:color="auto"/>
              <w:bottom w:val="single" w:sz="4" w:space="0" w:color="auto"/>
              <w:right w:val="single" w:sz="4" w:space="0" w:color="auto"/>
            </w:tcBorders>
          </w:tcPr>
          <w:p w14:paraId="00100B3D" w14:textId="00100BF1">
            <w:pPr>
              <w:pStyle w:val="Normal"/>
              <w:jc w:val="left"/>
            </w:pPr>
            <w:r>
              <w:t xml:space="preserve">Right-of-use assets</w:t>
            </w:r>
          </w:p>
        </w:tc>
        <w:tc>
          <w:tcPr>
            <w:vAlign w:val="center"/>
            <w:tcBorders>
              <w:top w:val="single" w:sz="4" w:space="0" w:color="auto"/>
              <w:left w:val="single" w:sz="4" w:space="0" w:color="auto"/>
              <w:bottom w:val="single" w:sz="4" w:space="0" w:color="auto"/>
              <w:right w:val="single" w:sz="4" w:space="0" w:color="auto"/>
            </w:tcBorders>
          </w:tcPr>
          <w:p w14:paraId="00100B3F" w14:textId="00100BF2">
            <w:pPr>
              <w:pStyle w:val="Normal"/>
              <w:jc w:val="left"/>
            </w:pPr>
            <w:r>
              <w:t xml:space="preserve">146.8</w:t>
            </w:r>
          </w:p>
        </w:tc>
        <w:tc>
          <w:tcPr>
            <w:vAlign w:val="center"/>
            <w:tcBorders>
              <w:top w:val="single" w:sz="4" w:space="0" w:color="auto"/>
              <w:left w:val="single" w:sz="4" w:space="0" w:color="auto"/>
              <w:bottom w:val="single" w:sz="4" w:space="0" w:color="auto"/>
              <w:right w:val="single" w:sz="4" w:space="0" w:color="auto"/>
            </w:tcBorders>
          </w:tcPr>
          <w:p w14:paraId="00100B41" w14:textId="00100BF3">
            <w:pPr>
              <w:pStyle w:val="Normal"/>
              <w:jc w:val="left"/>
            </w:pPr>
            <w:r>
              <w:t xml:space="preserve">153.4</w:t>
            </w:r>
          </w:p>
        </w:tc>
      </w:tr>
      <w:tr>
        <w:tc>
          <w:tcPr>
            <w:vAlign w:val="top"/>
            <w:tcBorders>
              <w:top w:val="single" w:sz="4" w:space="0" w:color="auto"/>
              <w:left w:val="single" w:sz="4" w:space="0" w:color="auto"/>
              <w:bottom w:val="single" w:sz="4" w:space="0" w:color="auto"/>
              <w:right w:val="single" w:sz="4" w:space="0" w:color="auto"/>
            </w:tcBorders>
          </w:tcPr>
          <w:p w14:paraId="00100B43" w14:textId="00100BF4">
            <w:pPr>
              <w:pStyle w:val="Normal"/>
              <w:jc w:val="left"/>
            </w:pPr>
            <w:r>
              <w:t xml:space="preserve">Goodwill and intangible assets</w:t>
            </w:r>
          </w:p>
        </w:tc>
        <w:tc>
          <w:tcPr>
            <w:vAlign w:val="center"/>
            <w:tcBorders>
              <w:top w:val="single" w:sz="4" w:space="0" w:color="auto"/>
              <w:left w:val="single" w:sz="4" w:space="0" w:color="auto"/>
              <w:bottom w:val="single" w:sz="4" w:space="0" w:color="auto"/>
              <w:right w:val="single" w:sz="4" w:space="0" w:color="auto"/>
            </w:tcBorders>
          </w:tcPr>
          <w:p w14:paraId="00100B45" w14:textId="00100BF5">
            <w:pPr>
              <w:pStyle w:val="Normal"/>
              <w:jc w:val="left"/>
            </w:pPr>
            <w:r>
              <w:t xml:space="preserve">938.7</w:t>
            </w:r>
          </w:p>
        </w:tc>
        <w:tc>
          <w:tcPr>
            <w:vAlign w:val="center"/>
            <w:tcBorders>
              <w:top w:val="single" w:sz="4" w:space="0" w:color="auto"/>
              <w:left w:val="single" w:sz="4" w:space="0" w:color="auto"/>
              <w:bottom w:val="single" w:sz="4" w:space="0" w:color="auto"/>
              <w:right w:val="single" w:sz="4" w:space="0" w:color="auto"/>
            </w:tcBorders>
          </w:tcPr>
          <w:p w14:paraId="00100B47" w14:textId="00100BF6">
            <w:pPr>
              <w:pStyle w:val="Normal"/>
              <w:jc w:val="left"/>
            </w:pPr>
            <w:r>
              <w:t xml:space="preserve">915.6</w:t>
            </w:r>
          </w:p>
        </w:tc>
      </w:tr>
      <w:tr>
        <w:tc>
          <w:tcPr>
            <w:vAlign w:val="top"/>
            <w:tcBorders>
              <w:top w:val="single" w:sz="4" w:space="0" w:color="auto"/>
              <w:left w:val="single" w:sz="4" w:space="0" w:color="auto"/>
              <w:bottom w:val="single" w:sz="4" w:space="0" w:color="auto"/>
              <w:right w:val="single" w:sz="4" w:space="0" w:color="auto"/>
            </w:tcBorders>
          </w:tcPr>
          <w:p w14:paraId="00100B49" w14:textId="00100BF7">
            <w:pPr>
              <w:pStyle w:val="Normal"/>
              <w:jc w:val="left"/>
            </w:pPr>
            <w:r>
              <w:t xml:space="preserve">Investments and deferred tax assets</w:t>
            </w:r>
          </w:p>
        </w:tc>
        <w:tc>
          <w:tcPr>
            <w:vAlign w:val="center"/>
            <w:tcBorders>
              <w:top w:val="single" w:sz="4" w:space="0" w:color="auto"/>
              <w:left w:val="single" w:sz="4" w:space="0" w:color="auto"/>
              <w:bottom w:val="single" w:sz="4" w:space="0" w:color="auto"/>
              <w:right w:val="single" w:sz="4" w:space="0" w:color="auto"/>
            </w:tcBorders>
          </w:tcPr>
          <w:p w14:paraId="00100B4B" w14:textId="00100BF8">
            <w:pPr>
              <w:pStyle w:val="Normal"/>
              <w:jc w:val="left"/>
            </w:pPr>
            <w:r>
              <w:t xml:space="preserve">184.9</w:t>
            </w:r>
          </w:p>
        </w:tc>
        <w:tc>
          <w:tcPr>
            <w:vAlign w:val="center"/>
            <w:tcBorders>
              <w:top w:val="single" w:sz="4" w:space="0" w:color="auto"/>
              <w:left w:val="single" w:sz="4" w:space="0" w:color="auto"/>
              <w:bottom w:val="single" w:sz="4" w:space="0" w:color="auto"/>
              <w:right w:val="single" w:sz="4" w:space="0" w:color="auto"/>
            </w:tcBorders>
          </w:tcPr>
          <w:p w14:paraId="00100B4D" w14:textId="00100BF9">
            <w:pPr>
              <w:pStyle w:val="Normal"/>
              <w:jc w:val="left"/>
            </w:pPr>
            <w:r>
              <w:t xml:space="preserve">171.5</w:t>
            </w:r>
          </w:p>
        </w:tc>
      </w:tr>
      <w:tr>
        <w:tc>
          <w:tcPr>
            <w:vAlign w:val="top"/>
            <w:tcBorders>
              <w:top w:val="single" w:sz="4" w:space="0" w:color="auto"/>
              <w:left w:val="single" w:sz="4" w:space="0" w:color="auto"/>
              <w:bottom w:val="single" w:sz="4" w:space="0" w:color="auto"/>
              <w:right w:val="single" w:sz="4" w:space="0" w:color="auto"/>
            </w:tcBorders>
          </w:tcPr>
          <w:p w14:paraId="00100B4F" w14:textId="00100BFA">
            <w:pPr>
              <w:pStyle w:val="Normal"/>
              <w:jc w:val="left"/>
            </w:pPr>
            <w:r>
              <w:t xml:space="preserve">Total noncurrent assets</w:t>
            </w:r>
          </w:p>
        </w:tc>
        <w:tc>
          <w:tcPr>
            <w:vAlign w:val="center"/>
            <w:tcBorders>
              <w:top w:val="single" w:sz="4" w:space="0" w:color="auto"/>
              <w:left w:val="single" w:sz="4" w:space="0" w:color="auto"/>
              <w:bottom w:val="single" w:sz="4" w:space="0" w:color="auto"/>
              <w:right w:val="single" w:sz="4" w:space="0" w:color="auto"/>
            </w:tcBorders>
          </w:tcPr>
          <w:p w14:paraId="00100B51" w14:textId="00100BFB">
            <w:pPr>
              <w:pStyle w:val="Normal"/>
              <w:jc w:val="left"/>
            </w:pPr>
            <w:r>
              <w:t xml:space="preserve">2,554.6</w:t>
            </w:r>
          </w:p>
        </w:tc>
        <w:tc>
          <w:tcPr>
            <w:vAlign w:val="center"/>
            <w:tcBorders>
              <w:top w:val="single" w:sz="4" w:space="0" w:color="auto"/>
              <w:left w:val="single" w:sz="4" w:space="0" w:color="auto"/>
              <w:bottom w:val="single" w:sz="4" w:space="0" w:color="auto"/>
              <w:right w:val="single" w:sz="4" w:space="0" w:color="auto"/>
            </w:tcBorders>
          </w:tcPr>
          <w:p w14:paraId="00100B53" w14:textId="00100BFC">
            <w:pPr>
              <w:pStyle w:val="Normal"/>
              <w:jc w:val="left"/>
            </w:pPr>
            <w:r>
              <w:t xml:space="preserve">2,438.4</w:t>
            </w:r>
          </w:p>
        </w:tc>
      </w:tr>
      <w:tr>
        <w:tc>
          <w:tcPr>
            <w:vAlign w:val="top"/>
            <w:tcBorders>
              <w:top w:val="single" w:sz="4" w:space="0" w:color="auto"/>
              <w:left w:val="single" w:sz="4" w:space="0" w:color="auto"/>
              <w:bottom w:val="single" w:sz="4" w:space="0" w:color="auto"/>
              <w:right w:val="single" w:sz="4" w:space="0" w:color="auto"/>
            </w:tcBorders>
          </w:tcPr>
          <w:p w14:paraId="00100B55" w14:textId="00100BFD">
            <w:pPr>
              <w:pStyle w:val="Normal"/>
              <w:jc w:val="left"/>
            </w:pPr>
            <w:r>
              <w:t xml:space="preserve">Total assets</w:t>
            </w:r>
          </w:p>
        </w:tc>
        <w:tc>
          <w:tcPr>
            <w:vAlign w:val="center"/>
            <w:tcBorders>
              <w:top w:val="single" w:sz="4" w:space="0" w:color="auto"/>
              <w:left w:val="single" w:sz="4" w:space="0" w:color="auto"/>
              <w:bottom w:val="single" w:sz="4" w:space="0" w:color="auto"/>
              <w:right w:val="single" w:sz="4" w:space="0" w:color="auto"/>
            </w:tcBorders>
          </w:tcPr>
          <w:p w14:paraId="00100B57" w14:textId="00100BFE">
            <w:pPr>
              <w:pStyle w:val="Normal"/>
              <w:jc w:val="left"/>
            </w:pPr>
            <w:r>
              <w:t xml:space="preserve">4,214.1</w:t>
            </w:r>
          </w:p>
        </w:tc>
        <w:tc>
          <w:tcPr>
            <w:vAlign w:val="center"/>
            <w:tcBorders>
              <w:top w:val="single" w:sz="4" w:space="0" w:color="auto"/>
              <w:left w:val="single" w:sz="4" w:space="0" w:color="auto"/>
              <w:bottom w:val="single" w:sz="4" w:space="0" w:color="auto"/>
              <w:right w:val="single" w:sz="4" w:space="0" w:color="auto"/>
            </w:tcBorders>
          </w:tcPr>
          <w:p w14:paraId="00100B59" w14:textId="00100BFF">
            <w:pPr>
              <w:pStyle w:val="Normal"/>
              <w:jc w:val="left"/>
            </w:pPr>
            <w:r>
              <w:t xml:space="preserve">3,975.9</w:t>
            </w:r>
          </w:p>
        </w:tc>
      </w:tr>
      <w:tr>
        <w:tc>
          <w:tcPr>
            <w:vAlign w:val="top"/>
            <w:tcBorders>
              <w:top w:val="single" w:sz="4" w:space="0" w:color="auto"/>
              <w:left w:val="single" w:sz="4" w:space="0" w:color="auto"/>
              <w:bottom w:val="single" w:sz="4" w:space="0" w:color="auto"/>
              <w:right w:val="single" w:sz="4" w:space="0" w:color="auto"/>
            </w:tcBorders>
          </w:tcPr>
          <w:p w14:paraId="00100B5B" w14:textId="00100C00">
            <w:pPr>
              <w:pStyle w:val="Normal"/>
              <w:jc w:val="left"/>
            </w:pPr>
            <w:r>
              <w:t xml:space="preserve">Liabilities and equity</w:t>
            </w:r>
          </w:p>
        </w:tc>
        <w:tc>
          <w:tcPr>
            <w:vAlign w:val="center"/>
            <w:tcBorders>
              <w:top w:val="single" w:sz="4" w:space="0" w:color="auto"/>
              <w:left w:val="single" w:sz="4" w:space="0" w:color="auto"/>
              <w:bottom w:val="single" w:sz="4" w:space="0" w:color="auto"/>
              <w:right w:val="single" w:sz="4" w:space="0" w:color="auto"/>
            </w:tcBorders>
          </w:tcPr>
          <w:p w14:paraId="00100B5D" w14:textId="00100C01">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B5F" w14:textId="00100C02">
            <w:pPr>
              <w:pStyle w:val="Normal"/>
              <w:jc w:val="left"/>
            </w:pPr>
            <w:r>
              <w:t xml:space="preserve"/>
            </w:r>
          </w:p>
        </w:tc>
      </w:tr>
      <w:tr>
        <w:tc>
          <w:tcPr>
            <w:vAlign w:val="top"/>
            <w:tcBorders>
              <w:top w:val="single" w:sz="4" w:space="0" w:color="auto"/>
              <w:left w:val="single" w:sz="4" w:space="0" w:color="auto"/>
              <w:bottom w:val="single" w:sz="4" w:space="0" w:color="auto"/>
              <w:right w:val="single" w:sz="4" w:space="0" w:color="auto"/>
            </w:tcBorders>
          </w:tcPr>
          <w:p w14:paraId="00100B61" w14:textId="00100C03">
            <w:pPr>
              <w:pStyle w:val="Normal"/>
              <w:jc w:val="left"/>
            </w:pPr>
            <w:r>
              <w:t xml:space="preserve">Current liabilities</w:t>
            </w:r>
          </w:p>
        </w:tc>
        <w:tc>
          <w:tcPr>
            <w:vAlign w:val="center"/>
            <w:tcBorders>
              <w:top w:val="single" w:sz="4" w:space="0" w:color="auto"/>
              <w:left w:val="single" w:sz="4" w:space="0" w:color="auto"/>
              <w:bottom w:val="single" w:sz="4" w:space="0" w:color="auto"/>
              <w:right w:val="single" w:sz="4" w:space="0" w:color="auto"/>
            </w:tcBorders>
          </w:tcPr>
          <w:p w14:paraId="00100B63" w14:textId="00100C04">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B65" w14:textId="00100C05">
            <w:pPr>
              <w:pStyle w:val="Normal"/>
              <w:jc w:val="left"/>
            </w:pPr>
            <w:r>
              <w:t xml:space="preserve"/>
            </w:r>
          </w:p>
        </w:tc>
      </w:tr>
      <w:tr>
        <w:tc>
          <w:tcPr>
            <w:vAlign w:val="top"/>
            <w:tcBorders>
              <w:top w:val="single" w:sz="4" w:space="0" w:color="auto"/>
              <w:left w:val="single" w:sz="4" w:space="0" w:color="auto"/>
              <w:bottom w:val="single" w:sz="4" w:space="0" w:color="auto"/>
              <w:right w:val="single" w:sz="4" w:space="0" w:color="auto"/>
            </w:tcBorders>
          </w:tcPr>
          <w:p w14:paraId="00100B67" w14:textId="00100C06">
            <w:pPr>
              <w:pStyle w:val="Normal"/>
              <w:jc w:val="left"/>
            </w:pPr>
            <w:r>
              <w:t xml:space="preserve">Trade and other payables</w:t>
            </w:r>
          </w:p>
        </w:tc>
        <w:tc>
          <w:tcPr>
            <w:vAlign w:val="center"/>
            <w:tcBorders>
              <w:top w:val="single" w:sz="4" w:space="0" w:color="auto"/>
              <w:left w:val="single" w:sz="4" w:space="0" w:color="auto"/>
              <w:bottom w:val="single" w:sz="4" w:space="0" w:color="auto"/>
              <w:right w:val="single" w:sz="4" w:space="0" w:color="auto"/>
            </w:tcBorders>
          </w:tcPr>
          <w:p w14:paraId="00100B69" w14:textId="00100C07">
            <w:pPr>
              <w:pStyle w:val="Normal"/>
              <w:jc w:val="left"/>
            </w:pPr>
            <w:r>
              <w:t xml:space="preserve">701.2</w:t>
            </w:r>
          </w:p>
        </w:tc>
        <w:tc>
          <w:tcPr>
            <w:vAlign w:val="center"/>
            <w:tcBorders>
              <w:top w:val="single" w:sz="4" w:space="0" w:color="auto"/>
              <w:left w:val="single" w:sz="4" w:space="0" w:color="auto"/>
              <w:bottom w:val="single" w:sz="4" w:space="0" w:color="auto"/>
              <w:right w:val="single" w:sz="4" w:space="0" w:color="auto"/>
            </w:tcBorders>
          </w:tcPr>
          <w:p w14:paraId="00100B6B" w14:textId="00100C08">
            <w:pPr>
              <w:pStyle w:val="Normal"/>
              <w:jc w:val="left"/>
            </w:pPr>
            <w:r>
              <w:t xml:space="preserve">668.5</w:t>
            </w:r>
          </w:p>
        </w:tc>
      </w:tr>
      <w:tr>
        <w:tc>
          <w:tcPr>
            <w:vAlign w:val="top"/>
            <w:tcBorders>
              <w:top w:val="single" w:sz="4" w:space="0" w:color="auto"/>
              <w:left w:val="single" w:sz="4" w:space="0" w:color="auto"/>
              <w:bottom w:val="single" w:sz="4" w:space="0" w:color="auto"/>
              <w:right w:val="single" w:sz="4" w:space="0" w:color="auto"/>
            </w:tcBorders>
          </w:tcPr>
          <w:p w14:paraId="00100B6D" w14:textId="00100C09">
            <w:pPr>
              <w:pStyle w:val="Normal"/>
              <w:jc w:val="left"/>
            </w:pPr>
            <w:r>
              <w:t xml:space="preserve">Borrowings and lease liabilities</w:t>
            </w:r>
          </w:p>
        </w:tc>
        <w:tc>
          <w:tcPr>
            <w:vAlign w:val="center"/>
            <w:tcBorders>
              <w:top w:val="single" w:sz="4" w:space="0" w:color="auto"/>
              <w:left w:val="single" w:sz="4" w:space="0" w:color="auto"/>
              <w:bottom w:val="single" w:sz="4" w:space="0" w:color="auto"/>
              <w:right w:val="single" w:sz="4" w:space="0" w:color="auto"/>
            </w:tcBorders>
          </w:tcPr>
          <w:p w14:paraId="00100B6F" w14:textId="00100C0A">
            <w:pPr>
              <w:pStyle w:val="Normal"/>
              <w:jc w:val="left"/>
            </w:pPr>
            <w:r>
              <w:t xml:space="preserve">286.4</w:t>
            </w:r>
          </w:p>
        </w:tc>
        <w:tc>
          <w:tcPr>
            <w:vAlign w:val="center"/>
            <w:tcBorders>
              <w:top w:val="single" w:sz="4" w:space="0" w:color="auto"/>
              <w:left w:val="single" w:sz="4" w:space="0" w:color="auto"/>
              <w:bottom w:val="single" w:sz="4" w:space="0" w:color="auto"/>
              <w:right w:val="single" w:sz="4" w:space="0" w:color="auto"/>
            </w:tcBorders>
          </w:tcPr>
          <w:p w14:paraId="00100B71" w14:textId="00100C0B">
            <w:pPr>
              <w:pStyle w:val="Normal"/>
              <w:jc w:val="left"/>
            </w:pPr>
            <w:r>
              <w:t xml:space="preserve">248.9</w:t>
            </w:r>
          </w:p>
        </w:tc>
      </w:tr>
      <w:tr>
        <w:tc>
          <w:tcPr>
            <w:vAlign w:val="top"/>
            <w:tcBorders>
              <w:top w:val="single" w:sz="4" w:space="0" w:color="auto"/>
              <w:left w:val="single" w:sz="4" w:space="0" w:color="auto"/>
              <w:bottom w:val="single" w:sz="4" w:space="0" w:color="auto"/>
              <w:right w:val="single" w:sz="4" w:space="0" w:color="auto"/>
            </w:tcBorders>
          </w:tcPr>
          <w:p w14:paraId="00100B73" w14:textId="00100C0C">
            <w:pPr>
              <w:pStyle w:val="Normal"/>
              <w:jc w:val="left"/>
            </w:pPr>
            <w:r>
              <w:t xml:space="preserve">Contract liabilities and provisions</w:t>
            </w:r>
          </w:p>
        </w:tc>
        <w:tc>
          <w:tcPr>
            <w:vAlign w:val="center"/>
            <w:tcBorders>
              <w:top w:val="single" w:sz="4" w:space="0" w:color="auto"/>
              <w:left w:val="single" w:sz="4" w:space="0" w:color="auto"/>
              <w:bottom w:val="single" w:sz="4" w:space="0" w:color="auto"/>
              <w:right w:val="single" w:sz="4" w:space="0" w:color="auto"/>
            </w:tcBorders>
          </w:tcPr>
          <w:p w14:paraId="00100B75" w14:textId="00100C0D">
            <w:pPr>
              <w:pStyle w:val="Normal"/>
              <w:jc w:val="left"/>
            </w:pPr>
            <w:r>
              <w:t xml:space="preserve">118.3</w:t>
            </w:r>
          </w:p>
        </w:tc>
        <w:tc>
          <w:tcPr>
            <w:vAlign w:val="center"/>
            <w:tcBorders>
              <w:top w:val="single" w:sz="4" w:space="0" w:color="auto"/>
              <w:left w:val="single" w:sz="4" w:space="0" w:color="auto"/>
              <w:bottom w:val="single" w:sz="4" w:space="0" w:color="auto"/>
              <w:right w:val="single" w:sz="4" w:space="0" w:color="auto"/>
            </w:tcBorders>
          </w:tcPr>
          <w:p w14:paraId="00100B77" w14:textId="00100C0E">
            <w:pPr>
              <w:pStyle w:val="Normal"/>
              <w:jc w:val="left"/>
            </w:pPr>
            <w:r>
              <w:t xml:space="preserve">109.1</w:t>
            </w:r>
          </w:p>
        </w:tc>
      </w:tr>
      <w:tr>
        <w:tc>
          <w:tcPr>
            <w:vAlign w:val="top"/>
            <w:tcBorders>
              <w:top w:val="single" w:sz="4" w:space="0" w:color="auto"/>
              <w:left w:val="single" w:sz="4" w:space="0" w:color="auto"/>
              <w:bottom w:val="single" w:sz="4" w:space="0" w:color="auto"/>
              <w:right w:val="single" w:sz="4" w:space="0" w:color="auto"/>
            </w:tcBorders>
          </w:tcPr>
          <w:p w14:paraId="00100B79" w14:textId="00100C0F">
            <w:pPr>
              <w:pStyle w:val="Normal"/>
              <w:jc w:val="left"/>
            </w:pPr>
            <w:r>
              <w:t xml:space="preserve">Current tax liabilities</w:t>
            </w:r>
          </w:p>
        </w:tc>
        <w:tc>
          <w:tcPr>
            <w:vAlign w:val="center"/>
            <w:tcBorders>
              <w:top w:val="single" w:sz="4" w:space="0" w:color="auto"/>
              <w:left w:val="single" w:sz="4" w:space="0" w:color="auto"/>
              <w:bottom w:val="single" w:sz="4" w:space="0" w:color="auto"/>
              <w:right w:val="single" w:sz="4" w:space="0" w:color="auto"/>
            </w:tcBorders>
          </w:tcPr>
          <w:p w14:paraId="00100B7B" w14:textId="00100C10">
            <w:pPr>
              <w:pStyle w:val="Normal"/>
              <w:jc w:val="left"/>
            </w:pPr>
            <w:r>
              <w:t xml:space="preserve">54.6</w:t>
            </w:r>
          </w:p>
        </w:tc>
        <w:tc>
          <w:tcPr>
            <w:vAlign w:val="center"/>
            <w:tcBorders>
              <w:top w:val="single" w:sz="4" w:space="0" w:color="auto"/>
              <w:left w:val="single" w:sz="4" w:space="0" w:color="auto"/>
              <w:bottom w:val="single" w:sz="4" w:space="0" w:color="auto"/>
              <w:right w:val="single" w:sz="4" w:space="0" w:color="auto"/>
            </w:tcBorders>
          </w:tcPr>
          <w:p w14:paraId="00100B7D" w14:textId="00100C11">
            <w:pPr>
              <w:pStyle w:val="Normal"/>
              <w:jc w:val="left"/>
            </w:pPr>
            <w:r>
              <w:t xml:space="preserve">49.8</w:t>
            </w:r>
          </w:p>
        </w:tc>
      </w:tr>
      <w:tr>
        <w:tc>
          <w:tcPr>
            <w:vAlign w:val="top"/>
            <w:tcBorders>
              <w:top w:val="single" w:sz="4" w:space="0" w:color="auto"/>
              <w:left w:val="single" w:sz="4" w:space="0" w:color="auto"/>
              <w:bottom w:val="single" w:sz="4" w:space="0" w:color="auto"/>
              <w:right w:val="single" w:sz="4" w:space="0" w:color="auto"/>
            </w:tcBorders>
          </w:tcPr>
          <w:p w14:paraId="00100B7F" w14:textId="00100C12">
            <w:pPr>
              <w:pStyle w:val="Normal"/>
              <w:jc w:val="left"/>
            </w:pPr>
            <w:r>
              <w:t xml:space="preserve">Total current liabilities</w:t>
            </w:r>
          </w:p>
        </w:tc>
        <w:tc>
          <w:tcPr>
            <w:vAlign w:val="center"/>
            <w:tcBorders>
              <w:top w:val="single" w:sz="4" w:space="0" w:color="auto"/>
              <w:left w:val="single" w:sz="4" w:space="0" w:color="auto"/>
              <w:bottom w:val="single" w:sz="4" w:space="0" w:color="auto"/>
              <w:right w:val="single" w:sz="4" w:space="0" w:color="auto"/>
            </w:tcBorders>
          </w:tcPr>
          <w:p w14:paraId="00100B81" w14:textId="00100C13">
            <w:pPr>
              <w:pStyle w:val="Normal"/>
              <w:jc w:val="left"/>
            </w:pPr>
            <w:r>
              <w:t xml:space="preserve">1,160.5</w:t>
            </w:r>
          </w:p>
        </w:tc>
        <w:tc>
          <w:tcPr>
            <w:vAlign w:val="center"/>
            <w:tcBorders>
              <w:top w:val="single" w:sz="4" w:space="0" w:color="auto"/>
              <w:left w:val="single" w:sz="4" w:space="0" w:color="auto"/>
              <w:bottom w:val="single" w:sz="4" w:space="0" w:color="auto"/>
              <w:right w:val="single" w:sz="4" w:space="0" w:color="auto"/>
            </w:tcBorders>
          </w:tcPr>
          <w:p w14:paraId="00100B83" w14:textId="00100C14">
            <w:pPr>
              <w:pStyle w:val="Normal"/>
              <w:jc w:val="left"/>
            </w:pPr>
            <w:r>
              <w:t xml:space="preserve">1,076.3</w:t>
            </w:r>
          </w:p>
        </w:tc>
      </w:tr>
      <w:tr>
        <w:tc>
          <w:tcPr>
            <w:vAlign w:val="top"/>
            <w:tcBorders>
              <w:top w:val="single" w:sz="4" w:space="0" w:color="auto"/>
              <w:left w:val="single" w:sz="4" w:space="0" w:color="auto"/>
              <w:bottom w:val="single" w:sz="4" w:space="0" w:color="auto"/>
              <w:right w:val="single" w:sz="4" w:space="0" w:color="auto"/>
            </w:tcBorders>
          </w:tcPr>
          <w:p w14:paraId="00100B85" w14:textId="00100C15">
            <w:pPr>
              <w:pStyle w:val="Normal"/>
              <w:jc w:val="left"/>
            </w:pPr>
            <w:r>
              <w:t xml:space="preserve">Noncurrent liabilities</w:t>
            </w:r>
          </w:p>
        </w:tc>
        <w:tc>
          <w:tcPr>
            <w:vAlign w:val="center"/>
            <w:tcBorders>
              <w:top w:val="single" w:sz="4" w:space="0" w:color="auto"/>
              <w:left w:val="single" w:sz="4" w:space="0" w:color="auto"/>
              <w:bottom w:val="single" w:sz="4" w:space="0" w:color="auto"/>
              <w:right w:val="single" w:sz="4" w:space="0" w:color="auto"/>
            </w:tcBorders>
          </w:tcPr>
          <w:p w14:paraId="00100B87" w14:textId="00100C16">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B89" w14:textId="00100C17">
            <w:pPr>
              <w:pStyle w:val="Normal"/>
              <w:jc w:val="left"/>
            </w:pPr>
            <w:r>
              <w:t xml:space="preserve"/>
            </w:r>
          </w:p>
        </w:tc>
      </w:tr>
      <w:tr>
        <w:tc>
          <w:tcPr>
            <w:vAlign w:val="top"/>
            <w:tcBorders>
              <w:top w:val="single" w:sz="4" w:space="0" w:color="auto"/>
              <w:left w:val="single" w:sz="4" w:space="0" w:color="auto"/>
              <w:bottom w:val="single" w:sz="4" w:space="0" w:color="auto"/>
              <w:right w:val="single" w:sz="4" w:space="0" w:color="auto"/>
            </w:tcBorders>
          </w:tcPr>
          <w:p w14:paraId="00100B8B" w14:textId="00100C18">
            <w:pPr>
              <w:pStyle w:val="Normal"/>
              <w:jc w:val="left"/>
            </w:pPr>
            <w:r>
              <w:t xml:space="preserve">Borrowings and lease liabilities</w:t>
            </w:r>
          </w:p>
        </w:tc>
        <w:tc>
          <w:tcPr>
            <w:vAlign w:val="center"/>
            <w:tcBorders>
              <w:top w:val="single" w:sz="4" w:space="0" w:color="auto"/>
              <w:left w:val="single" w:sz="4" w:space="0" w:color="auto"/>
              <w:bottom w:val="single" w:sz="4" w:space="0" w:color="auto"/>
              <w:right w:val="single" w:sz="4" w:space="0" w:color="auto"/>
            </w:tcBorders>
          </w:tcPr>
          <w:p w14:paraId="00100B8D" w14:textId="00100C19">
            <w:pPr>
              <w:pStyle w:val="Normal"/>
              <w:jc w:val="left"/>
            </w:pPr>
            <w:r>
              <w:t xml:space="preserve">928.7</w:t>
            </w:r>
          </w:p>
        </w:tc>
        <w:tc>
          <w:tcPr>
            <w:vAlign w:val="center"/>
            <w:tcBorders>
              <w:top w:val="single" w:sz="4" w:space="0" w:color="auto"/>
              <w:left w:val="single" w:sz="4" w:space="0" w:color="auto"/>
              <w:bottom w:val="single" w:sz="4" w:space="0" w:color="auto"/>
              <w:right w:val="single" w:sz="4" w:space="0" w:color="auto"/>
            </w:tcBorders>
          </w:tcPr>
          <w:p w14:paraId="00100B8F" w14:textId="00100C1A">
            <w:pPr>
              <w:pStyle w:val="Normal"/>
              <w:jc w:val="left"/>
            </w:pPr>
            <w:r>
              <w:t xml:space="preserve">914.1</w:t>
            </w:r>
          </w:p>
        </w:tc>
      </w:tr>
      <w:tr>
        <w:tc>
          <w:tcPr>
            <w:vAlign w:val="top"/>
            <w:tcBorders>
              <w:top w:val="single" w:sz="4" w:space="0" w:color="auto"/>
              <w:left w:val="single" w:sz="4" w:space="0" w:color="auto"/>
              <w:bottom w:val="single" w:sz="4" w:space="0" w:color="auto"/>
              <w:right w:val="single" w:sz="4" w:space="0" w:color="auto"/>
            </w:tcBorders>
          </w:tcPr>
          <w:p w14:paraId="00100B91" w14:textId="00100C1B">
            <w:pPr>
              <w:pStyle w:val="Normal"/>
              <w:jc w:val="left"/>
            </w:pPr>
            <w:r>
              <w:t xml:space="preserve">Deferred tax liabilities</w:t>
            </w:r>
          </w:p>
        </w:tc>
        <w:tc>
          <w:tcPr>
            <w:vAlign w:val="center"/>
            <w:tcBorders>
              <w:top w:val="single" w:sz="4" w:space="0" w:color="auto"/>
              <w:left w:val="single" w:sz="4" w:space="0" w:color="auto"/>
              <w:bottom w:val="single" w:sz="4" w:space="0" w:color="auto"/>
              <w:right w:val="single" w:sz="4" w:space="0" w:color="auto"/>
            </w:tcBorders>
          </w:tcPr>
          <w:p w14:paraId="00100B93" w14:textId="00100C1C">
            <w:pPr>
              <w:pStyle w:val="Normal"/>
              <w:jc w:val="left"/>
            </w:pPr>
            <w:r>
              <w:t xml:space="preserve">96.8</w:t>
            </w:r>
          </w:p>
        </w:tc>
        <w:tc>
          <w:tcPr>
            <w:vAlign w:val="center"/>
            <w:tcBorders>
              <w:top w:val="single" w:sz="4" w:space="0" w:color="auto"/>
              <w:left w:val="single" w:sz="4" w:space="0" w:color="auto"/>
              <w:bottom w:val="single" w:sz="4" w:space="0" w:color="auto"/>
              <w:right w:val="single" w:sz="4" w:space="0" w:color="auto"/>
            </w:tcBorders>
          </w:tcPr>
          <w:p w14:paraId="00100B95" w14:textId="00100C1D">
            <w:pPr>
              <w:pStyle w:val="Normal"/>
              <w:jc w:val="left"/>
            </w:pPr>
            <w:r>
              <w:t xml:space="preserve">89.7</w:t>
            </w:r>
          </w:p>
        </w:tc>
      </w:tr>
      <w:tr>
        <w:tc>
          <w:tcPr>
            <w:vAlign w:val="top"/>
            <w:tcBorders>
              <w:top w:val="single" w:sz="4" w:space="0" w:color="auto"/>
              <w:left w:val="single" w:sz="4" w:space="0" w:color="auto"/>
              <w:bottom w:val="single" w:sz="4" w:space="0" w:color="auto"/>
              <w:right w:val="single" w:sz="4" w:space="0" w:color="auto"/>
            </w:tcBorders>
          </w:tcPr>
          <w:p w14:paraId="00100B97" w14:textId="00100C1E">
            <w:pPr>
              <w:pStyle w:val="Normal"/>
              <w:jc w:val="left"/>
            </w:pPr>
            <w:r>
              <w:t xml:space="preserve">Provisions and other noncurrent liabilities</w:t>
            </w:r>
          </w:p>
        </w:tc>
        <w:tc>
          <w:tcPr>
            <w:vAlign w:val="center"/>
            <w:tcBorders>
              <w:top w:val="single" w:sz="4" w:space="0" w:color="auto"/>
              <w:left w:val="single" w:sz="4" w:space="0" w:color="auto"/>
              <w:bottom w:val="single" w:sz="4" w:space="0" w:color="auto"/>
              <w:right w:val="single" w:sz="4" w:space="0" w:color="auto"/>
            </w:tcBorders>
          </w:tcPr>
          <w:p w14:paraId="00100B99" w14:textId="00100C1F">
            <w:pPr>
              <w:pStyle w:val="Normal"/>
              <w:jc w:val="left"/>
            </w:pPr>
            <w:r>
              <w:t xml:space="preserve">162.4</w:t>
            </w:r>
          </w:p>
        </w:tc>
        <w:tc>
          <w:tcPr>
            <w:vAlign w:val="center"/>
            <w:tcBorders>
              <w:top w:val="single" w:sz="4" w:space="0" w:color="auto"/>
              <w:left w:val="single" w:sz="4" w:space="0" w:color="auto"/>
              <w:bottom w:val="single" w:sz="4" w:space="0" w:color="auto"/>
              <w:right w:val="single" w:sz="4" w:space="0" w:color="auto"/>
            </w:tcBorders>
          </w:tcPr>
          <w:p w14:paraId="00100B9B" w14:textId="00100C20">
            <w:pPr>
              <w:pStyle w:val="Normal"/>
              <w:jc w:val="left"/>
            </w:pPr>
            <w:r>
              <w:t xml:space="preserve">171.8</w:t>
            </w:r>
          </w:p>
        </w:tc>
      </w:tr>
      <w:tr>
        <w:tc>
          <w:tcPr>
            <w:vAlign w:val="top"/>
            <w:tcBorders>
              <w:top w:val="single" w:sz="4" w:space="0" w:color="auto"/>
              <w:left w:val="single" w:sz="4" w:space="0" w:color="auto"/>
              <w:bottom w:val="single" w:sz="4" w:space="0" w:color="auto"/>
              <w:right w:val="single" w:sz="4" w:space="0" w:color="auto"/>
            </w:tcBorders>
          </w:tcPr>
          <w:p w14:paraId="00100B9D" w14:textId="00100C21">
            <w:pPr>
              <w:pStyle w:val="Normal"/>
              <w:jc w:val="left"/>
            </w:pPr>
            <w:r>
              <w:t xml:space="preserve">Total noncurrent liabilities</w:t>
            </w:r>
          </w:p>
        </w:tc>
        <w:tc>
          <w:tcPr>
            <w:vAlign w:val="center"/>
            <w:tcBorders>
              <w:top w:val="single" w:sz="4" w:space="0" w:color="auto"/>
              <w:left w:val="single" w:sz="4" w:space="0" w:color="auto"/>
              <w:bottom w:val="single" w:sz="4" w:space="0" w:color="auto"/>
              <w:right w:val="single" w:sz="4" w:space="0" w:color="auto"/>
            </w:tcBorders>
          </w:tcPr>
          <w:p w14:paraId="00100B9F" w14:textId="00100C22">
            <w:pPr>
              <w:pStyle w:val="Normal"/>
              <w:jc w:val="left"/>
            </w:pPr>
            <w:r>
              <w:t xml:space="preserve">1,187.9</w:t>
            </w:r>
          </w:p>
        </w:tc>
        <w:tc>
          <w:tcPr>
            <w:vAlign w:val="center"/>
            <w:tcBorders>
              <w:top w:val="single" w:sz="4" w:space="0" w:color="auto"/>
              <w:left w:val="single" w:sz="4" w:space="0" w:color="auto"/>
              <w:bottom w:val="single" w:sz="4" w:space="0" w:color="auto"/>
              <w:right w:val="single" w:sz="4" w:space="0" w:color="auto"/>
            </w:tcBorders>
          </w:tcPr>
          <w:p w14:paraId="00100BA1" w14:textId="00100C23">
            <w:pPr>
              <w:pStyle w:val="Normal"/>
              <w:jc w:val="left"/>
            </w:pPr>
            <w:r>
              <w:t xml:space="preserve">1,175.6</w:t>
            </w:r>
          </w:p>
        </w:tc>
      </w:tr>
      <w:tr>
        <w:tc>
          <w:tcPr>
            <w:vAlign w:val="top"/>
            <w:tcBorders>
              <w:top w:val="single" w:sz="4" w:space="0" w:color="auto"/>
              <w:left w:val="single" w:sz="4" w:space="0" w:color="auto"/>
              <w:bottom w:val="single" w:sz="4" w:space="0" w:color="auto"/>
              <w:right w:val="single" w:sz="4" w:space="0" w:color="auto"/>
            </w:tcBorders>
          </w:tcPr>
          <w:p w14:paraId="00100BA3" w14:textId="00100C24">
            <w:pPr>
              <w:pStyle w:val="Normal"/>
              <w:jc w:val="left"/>
            </w:pPr>
            <w:r>
              <w:t xml:space="preserve">Total liabilities</w:t>
            </w:r>
          </w:p>
        </w:tc>
        <w:tc>
          <w:tcPr>
            <w:vAlign w:val="center"/>
            <w:tcBorders>
              <w:top w:val="single" w:sz="4" w:space="0" w:color="auto"/>
              <w:left w:val="single" w:sz="4" w:space="0" w:color="auto"/>
              <w:bottom w:val="single" w:sz="4" w:space="0" w:color="auto"/>
              <w:right w:val="single" w:sz="4" w:space="0" w:color="auto"/>
            </w:tcBorders>
          </w:tcPr>
          <w:p w14:paraId="00100BA5" w14:textId="00100C25">
            <w:pPr>
              <w:pStyle w:val="Normal"/>
              <w:jc w:val="left"/>
            </w:pPr>
            <w:r>
              <w:t xml:space="preserve">2,348.4</w:t>
            </w:r>
          </w:p>
        </w:tc>
        <w:tc>
          <w:tcPr>
            <w:vAlign w:val="center"/>
            <w:tcBorders>
              <w:top w:val="single" w:sz="4" w:space="0" w:color="auto"/>
              <w:left w:val="single" w:sz="4" w:space="0" w:color="auto"/>
              <w:bottom w:val="single" w:sz="4" w:space="0" w:color="auto"/>
              <w:right w:val="single" w:sz="4" w:space="0" w:color="auto"/>
            </w:tcBorders>
          </w:tcPr>
          <w:p w14:paraId="00100BA7" w14:textId="00100C26">
            <w:pPr>
              <w:pStyle w:val="Normal"/>
              <w:jc w:val="left"/>
            </w:pPr>
            <w:r>
              <w:t xml:space="preserve">2,251.9</w:t>
            </w:r>
          </w:p>
        </w:tc>
      </w:tr>
      <w:tr>
        <w:tc>
          <w:tcPr>
            <w:vAlign w:val="top"/>
            <w:tcBorders>
              <w:top w:val="single" w:sz="4" w:space="0" w:color="auto"/>
              <w:left w:val="single" w:sz="4" w:space="0" w:color="auto"/>
              <w:bottom w:val="single" w:sz="4" w:space="0" w:color="auto"/>
              <w:right w:val="single" w:sz="4" w:space="0" w:color="auto"/>
            </w:tcBorders>
          </w:tcPr>
          <w:p w14:paraId="00100BA9" w14:textId="00100C27">
            <w:pPr>
              <w:pStyle w:val="Normal"/>
              <w:jc w:val="left"/>
            </w:pPr>
            <w:r>
              <w:t xml:space="preserve">Equity</w:t>
            </w:r>
          </w:p>
        </w:tc>
        <w:tc>
          <w:tcPr>
            <w:vAlign w:val="center"/>
            <w:tcBorders>
              <w:top w:val="single" w:sz="4" w:space="0" w:color="auto"/>
              <w:left w:val="single" w:sz="4" w:space="0" w:color="auto"/>
              <w:bottom w:val="single" w:sz="4" w:space="0" w:color="auto"/>
              <w:right w:val="single" w:sz="4" w:space="0" w:color="auto"/>
            </w:tcBorders>
          </w:tcPr>
          <w:p w14:paraId="00100BAB" w14:textId="00100C28">
            <w:pPr>
              <w:pStyle w:val="Normal"/>
              <w:jc w:val="left"/>
            </w:pPr>
            <w:r>
              <w:t xml:space="preserve"/>
            </w:r>
          </w:p>
        </w:tc>
        <w:tc>
          <w:tcPr>
            <w:vAlign w:val="center"/>
            <w:tcBorders>
              <w:top w:val="single" w:sz="4" w:space="0" w:color="auto"/>
              <w:left w:val="single" w:sz="4" w:space="0" w:color="auto"/>
              <w:bottom w:val="single" w:sz="4" w:space="0" w:color="auto"/>
              <w:right w:val="single" w:sz="4" w:space="0" w:color="auto"/>
            </w:tcBorders>
          </w:tcPr>
          <w:p w14:paraId="00100BAD" w14:textId="00100C29">
            <w:pPr>
              <w:pStyle w:val="Normal"/>
              <w:jc w:val="left"/>
            </w:pPr>
            <w:r>
              <w:t xml:space="preserve"/>
            </w:r>
          </w:p>
        </w:tc>
      </w:tr>
      <w:tr>
        <w:tc>
          <w:tcPr>
            <w:vAlign w:val="top"/>
            <w:tcBorders>
              <w:top w:val="single" w:sz="4" w:space="0" w:color="auto"/>
              <w:left w:val="single" w:sz="4" w:space="0" w:color="auto"/>
              <w:bottom w:val="single" w:sz="4" w:space="0" w:color="auto"/>
              <w:right w:val="single" w:sz="4" w:space="0" w:color="auto"/>
            </w:tcBorders>
          </w:tcPr>
          <w:p w14:paraId="00100BAF" w14:textId="00100C2A">
            <w:pPr>
              <w:pStyle w:val="Normal"/>
              <w:jc w:val="left"/>
            </w:pPr>
            <w:r>
              <w:t xml:space="preserve">Share capital and reserves</w:t>
            </w:r>
          </w:p>
        </w:tc>
        <w:tc>
          <w:tcPr>
            <w:vAlign w:val="center"/>
            <w:tcBorders>
              <w:top w:val="single" w:sz="4" w:space="0" w:color="auto"/>
              <w:left w:val="single" w:sz="4" w:space="0" w:color="auto"/>
              <w:bottom w:val="single" w:sz="4" w:space="0" w:color="auto"/>
              <w:right w:val="single" w:sz="4" w:space="0" w:color="auto"/>
            </w:tcBorders>
          </w:tcPr>
          <w:p w14:paraId="00100BB1" w14:textId="00100C2B">
            <w:pPr>
              <w:pStyle w:val="Normal"/>
              <w:jc w:val="left"/>
            </w:pPr>
            <w:r>
              <w:t xml:space="preserve">1,512.6</w:t>
            </w:r>
          </w:p>
        </w:tc>
        <w:tc>
          <w:tcPr>
            <w:vAlign w:val="center"/>
            <w:tcBorders>
              <w:top w:val="single" w:sz="4" w:space="0" w:color="auto"/>
              <w:left w:val="single" w:sz="4" w:space="0" w:color="auto"/>
              <w:bottom w:val="single" w:sz="4" w:space="0" w:color="auto"/>
              <w:right w:val="single" w:sz="4" w:space="0" w:color="auto"/>
            </w:tcBorders>
          </w:tcPr>
          <w:p w14:paraId="00100BB3" w14:textId="00100C2C">
            <w:pPr>
              <w:pStyle w:val="Normal"/>
              <w:jc w:val="left"/>
            </w:pPr>
            <w:r>
              <w:t xml:space="preserve">1,403.8</w:t>
            </w:r>
          </w:p>
        </w:tc>
      </w:tr>
      <w:tr>
        <w:tc>
          <w:tcPr>
            <w:vAlign w:val="top"/>
            <w:tcBorders>
              <w:top w:val="single" w:sz="4" w:space="0" w:color="auto"/>
              <w:left w:val="single" w:sz="4" w:space="0" w:color="auto"/>
              <w:bottom w:val="single" w:sz="4" w:space="0" w:color="auto"/>
              <w:right w:val="single" w:sz="4" w:space="0" w:color="auto"/>
            </w:tcBorders>
          </w:tcPr>
          <w:p w14:paraId="00100BB5" w14:textId="00100C2D">
            <w:pPr>
              <w:pStyle w:val="Normal"/>
              <w:jc w:val="left"/>
            </w:pPr>
            <w:r>
              <w:t xml:space="preserve">Retained earnings</w:t>
            </w:r>
          </w:p>
        </w:tc>
        <w:tc>
          <w:tcPr>
            <w:vAlign w:val="center"/>
            <w:tcBorders>
              <w:top w:val="single" w:sz="4" w:space="0" w:color="auto"/>
              <w:left w:val="single" w:sz="4" w:space="0" w:color="auto"/>
              <w:bottom w:val="single" w:sz="4" w:space="0" w:color="auto"/>
              <w:right w:val="single" w:sz="4" w:space="0" w:color="auto"/>
            </w:tcBorders>
          </w:tcPr>
          <w:p w14:paraId="00100BB7" w14:textId="00100C2E">
            <w:pPr>
              <w:pStyle w:val="Normal"/>
              <w:jc w:val="left"/>
            </w:pPr>
            <w:r>
              <w:t xml:space="preserve">327.4</w:t>
            </w:r>
          </w:p>
        </w:tc>
        <w:tc>
          <w:tcPr>
            <w:vAlign w:val="center"/>
            <w:tcBorders>
              <w:top w:val="single" w:sz="4" w:space="0" w:color="auto"/>
              <w:left w:val="single" w:sz="4" w:space="0" w:color="auto"/>
              <w:bottom w:val="single" w:sz="4" w:space="0" w:color="auto"/>
              <w:right w:val="single" w:sz="4" w:space="0" w:color="auto"/>
            </w:tcBorders>
          </w:tcPr>
          <w:p w14:paraId="00100BB9" w14:textId="00100C2F">
            <w:pPr>
              <w:pStyle w:val="Normal"/>
              <w:jc w:val="left"/>
            </w:pPr>
            <w:r>
              <w:t xml:space="preserve">283.2</w:t>
            </w:r>
          </w:p>
        </w:tc>
      </w:tr>
      <w:tr>
        <w:tc>
          <w:tcPr>
            <w:vAlign w:val="top"/>
            <w:tcBorders>
              <w:top w:val="single" w:sz="4" w:space="0" w:color="auto"/>
              <w:left w:val="single" w:sz="4" w:space="0" w:color="auto"/>
              <w:bottom w:val="single" w:sz="4" w:space="0" w:color="auto"/>
              <w:right w:val="single" w:sz="4" w:space="0" w:color="auto"/>
            </w:tcBorders>
          </w:tcPr>
          <w:p w14:paraId="00100BBB" w14:textId="00100C30">
            <w:pPr>
              <w:pStyle w:val="Normal"/>
              <w:jc w:val="left"/>
            </w:pPr>
            <w:r>
              <w:t xml:space="preserve">Equity attributable to owners of Rivermark Holdings</w:t>
            </w:r>
          </w:p>
        </w:tc>
        <w:tc>
          <w:tcPr>
            <w:vAlign w:val="center"/>
            <w:tcBorders>
              <w:top w:val="single" w:sz="4" w:space="0" w:color="auto"/>
              <w:left w:val="single" w:sz="4" w:space="0" w:color="auto"/>
              <w:bottom w:val="single" w:sz="4" w:space="0" w:color="auto"/>
              <w:right w:val="single" w:sz="4" w:space="0" w:color="auto"/>
            </w:tcBorders>
          </w:tcPr>
          <w:p w14:paraId="00100BBD" w14:textId="00100C31">
            <w:pPr>
              <w:pStyle w:val="Normal"/>
              <w:jc w:val="left"/>
            </w:pPr>
            <w:r>
              <w:t xml:space="preserve">1,840.0</w:t>
            </w:r>
          </w:p>
        </w:tc>
        <w:tc>
          <w:tcPr>
            <w:vAlign w:val="center"/>
            <w:tcBorders>
              <w:top w:val="single" w:sz="4" w:space="0" w:color="auto"/>
              <w:left w:val="single" w:sz="4" w:space="0" w:color="auto"/>
              <w:bottom w:val="single" w:sz="4" w:space="0" w:color="auto"/>
              <w:right w:val="single" w:sz="4" w:space="0" w:color="auto"/>
            </w:tcBorders>
          </w:tcPr>
          <w:p w14:paraId="00100BBF" w14:textId="00100C32">
            <w:pPr>
              <w:pStyle w:val="Normal"/>
              <w:jc w:val="left"/>
            </w:pPr>
            <w:r>
              <w:t xml:space="preserve">1,687.0</w:t>
            </w:r>
          </w:p>
        </w:tc>
      </w:tr>
      <w:tr>
        <w:tc>
          <w:tcPr>
            <w:vAlign w:val="top"/>
            <w:tcBorders>
              <w:top w:val="single" w:sz="4" w:space="0" w:color="auto"/>
              <w:left w:val="single" w:sz="4" w:space="0" w:color="auto"/>
              <w:bottom w:val="single" w:sz="4" w:space="0" w:color="auto"/>
              <w:right w:val="single" w:sz="4" w:space="0" w:color="auto"/>
            </w:tcBorders>
          </w:tcPr>
          <w:p w14:paraId="00100BC1" w14:textId="00100C33">
            <w:pPr>
              <w:pStyle w:val="Normal"/>
              <w:jc w:val="left"/>
            </w:pPr>
            <w:r>
              <w:t xml:space="preserve">Noncontrolling interests</w:t>
            </w:r>
          </w:p>
        </w:tc>
        <w:tc>
          <w:tcPr>
            <w:vAlign w:val="center"/>
            <w:tcBorders>
              <w:top w:val="single" w:sz="4" w:space="0" w:color="auto"/>
              <w:left w:val="single" w:sz="4" w:space="0" w:color="auto"/>
              <w:bottom w:val="single" w:sz="4" w:space="0" w:color="auto"/>
              <w:right w:val="single" w:sz="4" w:space="0" w:color="auto"/>
            </w:tcBorders>
          </w:tcPr>
          <w:p w14:paraId="00100BC3" w14:textId="00100C34">
            <w:pPr>
              <w:pStyle w:val="Normal"/>
              <w:jc w:val="left"/>
            </w:pPr>
            <w:r>
              <w:t xml:space="preserve">25.7</w:t>
            </w:r>
          </w:p>
        </w:tc>
        <w:tc>
          <w:tcPr>
            <w:vAlign w:val="center"/>
            <w:tcBorders>
              <w:top w:val="single" w:sz="4" w:space="0" w:color="auto"/>
              <w:left w:val="single" w:sz="4" w:space="0" w:color="auto"/>
              <w:bottom w:val="single" w:sz="4" w:space="0" w:color="auto"/>
              <w:right w:val="single" w:sz="4" w:space="0" w:color="auto"/>
            </w:tcBorders>
          </w:tcPr>
          <w:p w14:paraId="00100BC5" w14:textId="00100C35">
            <w:pPr>
              <w:pStyle w:val="Normal"/>
              <w:jc w:val="left"/>
            </w:pPr>
            <w:r>
              <w:t xml:space="preserve">37.0</w:t>
            </w:r>
          </w:p>
        </w:tc>
      </w:tr>
      <w:tr>
        <w:tc>
          <w:tcPr>
            <w:vAlign w:val="top"/>
            <w:tcBorders>
              <w:top w:val="single" w:sz="4" w:space="0" w:color="auto"/>
              <w:left w:val="single" w:sz="4" w:space="0" w:color="auto"/>
              <w:bottom w:val="single" w:sz="4" w:space="0" w:color="auto"/>
              <w:right w:val="single" w:sz="4" w:space="0" w:color="auto"/>
            </w:tcBorders>
          </w:tcPr>
          <w:p w14:paraId="00100BC7" w14:textId="00100C36">
            <w:pPr>
              <w:pStyle w:val="Normal"/>
              <w:jc w:val="left"/>
            </w:pPr>
            <w:r>
              <w:t xml:space="preserve">Total equity</w:t>
            </w:r>
          </w:p>
        </w:tc>
        <w:tc>
          <w:tcPr>
            <w:vAlign w:val="center"/>
            <w:tcBorders>
              <w:top w:val="single" w:sz="4" w:space="0" w:color="auto"/>
              <w:left w:val="single" w:sz="4" w:space="0" w:color="auto"/>
              <w:bottom w:val="single" w:sz="4" w:space="0" w:color="auto"/>
              <w:right w:val="single" w:sz="4" w:space="0" w:color="auto"/>
            </w:tcBorders>
          </w:tcPr>
          <w:p w14:paraId="00100BC9" w14:textId="00100C37">
            <w:pPr>
              <w:pStyle w:val="Normal"/>
              <w:jc w:val="left"/>
            </w:pPr>
            <w:r>
              <w:t xml:space="preserve">1,865.7</w:t>
            </w:r>
          </w:p>
        </w:tc>
        <w:tc>
          <w:tcPr>
            <w:vAlign w:val="center"/>
            <w:tcBorders>
              <w:top w:val="single" w:sz="4" w:space="0" w:color="auto"/>
              <w:left w:val="single" w:sz="4" w:space="0" w:color="auto"/>
              <w:bottom w:val="single" w:sz="4" w:space="0" w:color="auto"/>
              <w:right w:val="single" w:sz="4" w:space="0" w:color="auto"/>
            </w:tcBorders>
          </w:tcPr>
          <w:p w14:paraId="00100BCB" w14:textId="00100C38">
            <w:pPr>
              <w:pStyle w:val="Normal"/>
              <w:jc w:val="left"/>
            </w:pPr>
            <w:r>
              <w:t xml:space="preserve">1,724.0</w:t>
            </w:r>
          </w:p>
        </w:tc>
      </w:tr>
      <w:tr>
        <w:tc>
          <w:tcPr>
            <w:vAlign w:val="top"/>
            <w:tcBorders>
              <w:top w:val="single" w:sz="4" w:space="0" w:color="auto"/>
              <w:left w:val="single" w:sz="4" w:space="0" w:color="auto"/>
              <w:bottom w:val="single" w:sz="4" w:space="0" w:color="auto"/>
              <w:right w:val="single" w:sz="4" w:space="0" w:color="auto"/>
            </w:tcBorders>
          </w:tcPr>
          <w:p w14:paraId="00100BCD" w14:textId="00100C39">
            <w:pPr>
              <w:pStyle w:val="Normal"/>
              <w:jc w:val="left"/>
            </w:pPr>
            <w:r>
              <w:t xml:space="preserve">Total liabilities and equity</w:t>
            </w:r>
          </w:p>
        </w:tc>
        <w:tc>
          <w:tcPr>
            <w:vAlign w:val="center"/>
            <w:tcBorders>
              <w:top w:val="single" w:sz="4" w:space="0" w:color="auto"/>
              <w:left w:val="single" w:sz="4" w:space="0" w:color="auto"/>
              <w:bottom w:val="single" w:sz="4" w:space="0" w:color="auto"/>
              <w:right w:val="single" w:sz="4" w:space="0" w:color="auto"/>
            </w:tcBorders>
          </w:tcPr>
          <w:p w14:paraId="00100BCF" w14:textId="00100C3A">
            <w:pPr>
              <w:pStyle w:val="Normal"/>
              <w:jc w:val="left"/>
            </w:pPr>
            <w:r>
              <w:t xml:space="preserve">4,214.1</w:t>
            </w:r>
          </w:p>
        </w:tc>
        <w:tc>
          <w:tcPr>
            <w:vAlign w:val="center"/>
            <w:tcBorders>
              <w:top w:val="single" w:sz="4" w:space="0" w:color="auto"/>
              <w:left w:val="single" w:sz="4" w:space="0" w:color="auto"/>
              <w:bottom w:val="single" w:sz="4" w:space="0" w:color="auto"/>
              <w:right w:val="single" w:sz="4" w:space="0" w:color="auto"/>
            </w:tcBorders>
          </w:tcPr>
          <w:p w14:paraId="00100BD1" w14:textId="00100C3B">
            <w:pPr>
              <w:pStyle w:val="Normal"/>
              <w:jc w:val="left"/>
            </w:pPr>
            <w:r>
              <w:t xml:space="preserve">3,975.9</w:t>
            </w:r>
          </w:p>
        </w:tc>
      </w:tr>
    </w:tbl>
    <w:p w14:paraId="00100C3C" w14:textId="00100C3D">
      <w:pPr>
        <w:pStyle w:val="Normal"/>
        <w:jc w:val="left"/>
      </w:pPr>
      <w:r>
        <w:t xml:space="preserve">Table 1 Statement of Financial Position</w:t>
      </w:r>
    </w:p>
    <w:p w14:paraId="00100C3E" w14:textId="00100C3F">
      <w:pPr>
        <w:pStyle w:val="Normal"/>
        <w:jc w:val="left"/>
      </w:pPr>
      <w:r>
        <w:t xml:space="preserve">7.1 Assets</w:t>
      </w:r>
    </w:p>
    <w:p w14:paraId="00100C40" w14:textId="00100C41">
      <w:pPr>
        <w:pStyle w:val="Normal"/>
        <w:jc w:val="left"/>
      </w:pPr>
      <w:r>
        <w:t xml:space="preserve">7.1.1 Current Assets</w:t>
      </w:r>
    </w:p>
    <w:p w14:paraId="00100C42" w14:textId="00100C43">
      <w:pPr>
        <w:pStyle w:val="Normal"/>
        <w:jc w:val="left"/>
      </w:pPr>
      <w:r>
        <w:t xml:space="preserve">Current assets increased to 1,659.5 million at year end from 1,537.5 million in the prior period, reflecting higher trading activity across Industrial Solutions and Consumer Platforms and disciplined working-capital management through the final quarter. Cash and cash equivalents rose by 37.2 million as stronger operating cash generation more than offset capital expenditure and dividend distributions. Trade and other receivables increased broadly in line with revenue growth, with days sales outstanding remaining within the Group’s operating range despite a heavier December billing profile in Infrastructure Services. Inventories ended the year at 486.1 million, up 34.4 million, primarily due to selective safety-stock positioning in key components and a broader finished-goods range launched through consumer channels.</w:t>
      </w:r>
    </w:p>
    <w:p w14:paraId="00100C44" w14:textId="00100C45">
      <w:pPr>
        <w:pStyle w:val="Normal"/>
        <w:jc w:val="left"/>
      </w:pPr>
      <w:r>
        <w:t xml:space="preserve">Contract assets and other current assets also increased, largely because several long-cycle service and installation contracts reached later stages of completion before invoicing milestones were triggered. Management reviews current asset quality monthly, with specific attention to overdue receivables, inventory aging, forecast sell-through, and recoverability of contract balances. No unusual concentration in a single customer or short-term asset class materially altered the year-end profile, and balances remained consistent with the Group’s revenue mix and operating footprint.</w:t>
      </w:r>
    </w:p>
    <w:p w14:paraId="00100C46" w14:textId="00100C47">
      <w:pPr>
        <w:pStyle w:val="Normal"/>
        <w:jc w:val="left"/>
      </w:pPr>
      <w:r>
        <w:t xml:space="preserve">Current assets are measured using policies intended to reflect both liquidity and expected realization. Cash and cash equivalents comprise cash on hand, demand deposits, and highly liquid investments with original maturities of three months or less, all carried at amortized cost because they are held to collect contractual cash flows. Trade receivables are initially recognized at transaction price and subsequently measured net of expected credit loss allowances, with the allowance model incorporating historical default patterns, customer-specific risk indicators, and forward-looking macroeconomic overlays. The year-end provision remained proportionate to the receivables portfolio and did not indicate broad-based deterioration in credit quality.</w:t>
      </w:r>
    </w:p>
    <w:p w14:paraId="00100C48" w14:textId="00100C49">
      <w:pPr>
        <w:pStyle w:val="Normal"/>
        <w:jc w:val="left"/>
      </w:pPr>
      <w:r>
        <w:t xml:space="preserve">Inventories are stated at the lower of cost and net realizable value, with cost determined using methods that reflect the nature of each business, including weighted average for most raw materials and finished goods. Net realizable value assessments consider current selling prices, forecast demand, and obsolescence risk, particularly for technology-enabled consumer products and specialized spare parts. Contract assets represent conditional rights to consideration and are tested for impairment on a basis aligned with trade receivables. Other current assets mainly include prepayments, indirect tax recoverables, and short-term deposits expected to convert into cash or economic benefit within twelve months of the reporting date.</w:t>
      </w:r>
    </w:p>
    <w:p w14:paraId="00100C4A" w14:textId="00100C4B">
      <w:pPr>
        <w:pStyle w:val="Normal"/>
        <w:jc w:val="left"/>
      </w:pPr>
      <w:r>
        <w:t xml:space="preserve">7.1.1 Noncurrent Assets</w:t>
      </w:r>
    </w:p>
    <w:p w14:paraId="00100C4C" w14:textId="00100C4D">
      <w:pPr>
        <w:pStyle w:val="Normal"/>
        <w:jc w:val="left"/>
      </w:pPr>
      <w:r>
        <w:t xml:space="preserve">Noncurrent assets totaled 2,554.6 million at 31 December 2024, compared with 2,438.4 million a year earlier. Property, plant and equipment increased by 86.3 million as the Group continued capacity expansion in selected industrial lines, invested in warehouse automation, and progressed modernization works at service facilities supporting Infrastructure Services. Additions exceeded depreciation and disposals, indicating a net expansion of the operational asset base. Right-of-use assets declined modestly as scheduled amortization on existing lease portfolios was only partly offset by new property and equipment leases.</w:t>
      </w:r>
    </w:p>
    <w:p w14:paraId="00100C4E" w14:textId="00100C4F">
      <w:pPr>
        <w:pStyle w:val="Normal"/>
        <w:jc w:val="left"/>
      </w:pPr>
      <w:r>
        <w:t xml:space="preserve">Goodwill and intangible assets rose to 938.7 million from 915.6 million, reflecting a combination of acquired customer relationships, capitalized software development, and limited provisional goodwill recognized on small bolt-on acquisitions completed during the year. Investments and deferred tax assets also increased, mainly due to incremental strategic holdings and timing differences arising from capital investment and provisions. Management performed impairment assessments over cash-generating units using forecast cash flows, discount rates, and medium-term margin assumptions. No impairment charge was recognized in 2024, and available headroom remained positive across the Group’s principal reporting units, although certain units exposed to cyclical demand were monitored with greater sensitivity to growth and cost assumptions.</w:t>
      </w:r>
    </w:p>
    <w:p w14:paraId="00100C50" w14:textId="00100C51">
      <w:pPr>
        <w:pStyle w:val="Normal"/>
        <w:jc w:val="left"/>
      </w:pPr>
      <w:r>
        <w:t xml:space="preserve">Noncurrent assets are recognized and measured according to the economic pattern of benefit expected to be derived from them. Property, plant and equipment are carried at cost less accumulated depreciation and impairment, with directly attributable expenditure capitalized when it is probable that future economic benefits will flow to the Group. Useful lives are reviewed regularly and adjusted prospectively where operating experience, maintenance cycles, or technological change suggest a revised consumption profile. Borrowing costs are capitalized only when they are directly attributable to qualifying assets under development.</w:t>
      </w:r>
    </w:p>
    <w:p w14:paraId="00100C52" w14:textId="00100C53">
      <w:pPr>
        <w:pStyle w:val="Normal"/>
        <w:jc w:val="left"/>
      </w:pPr>
      <w:r>
        <w:t xml:space="preserve">Intangible assets include acquired customer relationships, brands, software, and internally developed digital platforms that meet capitalization criteria. Finite-life intangibles are amortized over their estimated useful lives, while goodwill is not amortized but is tested annually for impairment and additionally when indicators arise. Right-of-use assets are recognized at commencement of leases and depreciated over the shorter of the asset life and lease term, subject to reassessment when lease modifications occur. Deferred tax assets within noncurrent assets are recognized only to the extent that future taxable profits are expected to be available. Together, these policies are intended to ensure that long-term assets are neither overstated nor mismatched with the periods in which they contribute to Group earnings and cash generation.</w:t>
      </w:r>
    </w:p>
    <w:p w14:paraId="00100C54" w14:textId="00100C55">
      <w:pPr>
        <w:pStyle w:val="Normal"/>
        <w:jc w:val="left"/>
      </w:pPr>
      <w:r>
        <w:t xml:space="preserve">7.1 Liabilities and Equity</w:t>
      </w:r>
    </w:p>
    <w:p w14:paraId="00100C56" w14:textId="00100C57">
      <w:pPr>
        <w:pStyle w:val="Normal"/>
        <w:jc w:val="left"/>
      </w:pPr>
      <w:r>
        <w:t xml:space="preserve">7.1.2 Liabilities</w:t>
      </w:r>
    </w:p>
    <w:p w14:paraId="00100C58" w14:textId="00100C59">
      <w:pPr>
        <w:pStyle w:val="Normal"/>
        <w:jc w:val="left"/>
      </w:pPr>
      <w:r>
        <w:t xml:space="preserve">At year end, Rivermark Holdings presented a balanced liability profile composed of current obligations due within twelve months and noncurrent obligations extending beyond the reporting period. Current liabilities principally comprised trade and other payables, accrued operating expenses, current tax liabilities, current lease liabilities, and the current portion of borrowings. These balances reflected the ordinary settlement cycle of the Group’s Industrial Solutions, Consumer Platforms, and Infrastructure Services operations, including supplier payments, payroll accruals, project-related billings, and short-term financing needs. Noncurrent liabilities consisted mainly of long-term borrowings, lease liabilities, deferred tax liabilities, retirement-related obligations, and longer-dated provisions associated with claims, restoration, and restructuring actions.</w:t>
      </w:r>
    </w:p>
    <w:p w14:paraId="00100C5A" w14:textId="00100C5B">
      <w:pPr>
        <w:pStyle w:val="Normal"/>
        <w:jc w:val="left"/>
      </w:pPr>
      <w:r>
        <w:t xml:space="preserve">The distinction between current and noncurrent classification is important to understanding liquidity and capital structure. Current obligations are expected to be settled from operating cash flows, existing cash balances, or available committed facilities, whereas noncurrent liabilities represent the longer-term funding used to support strategic investment, infrastructure capacity, and acquired operating assets. Management reviews contractual maturities, refinancing requirements, covenant thresholds, and the expected timing of non-debt obligations in order to ensure that the balance sheet remains appropriately matched to the duration of the Group’s assets and business commitments. In aggregate, the liability structure indicates a business funded through a combination of trade credit, internally generated cash, and medium- to long-term capital, rather than reliance on concentrated short-term debt.</w:t>
      </w:r>
    </w:p>
    <w:p w14:paraId="00100C5C" w14:textId="00100C5D">
      <w:pPr>
        <w:pStyle w:val="Normal"/>
        <w:jc w:val="left"/>
      </w:pPr>
      <w:r>
        <w:t xml:space="preserve">Provisions recognized in the consolidated statement of financial position represent present obligations arising from past events where an outflow of resources is probable and can be estimated with reasonable reliability. For Rivermark Holdings, these amounts mainly relate to employee matters, legal and regulatory claims, contract close-out exposures, site restoration obligations, and selected restructuring programs. Although the exact timing of settlement can vary, management applies consistent estimation techniques, using legal advice, project histories, engineering assessments, and experience from similar matters to determine the most likely obligation or expected-value range. These balances are reviewed regularly and updated when underlying facts change.</w:t>
      </w:r>
    </w:p>
    <w:p w14:paraId="00100C5E" w14:textId="00100C5F">
      <w:pPr>
        <w:pStyle w:val="Normal"/>
        <w:jc w:val="left"/>
      </w:pPr>
      <w:r>
        <w:t xml:space="preserve">Borrowings remain the most significant contractual funding obligation within noncurrent liabilities. They include bank loans, private debt placements, and lease-linked financing used to support capital expenditure, working capital flexibility, and selective acquisitions. The Group manages refinancing risk by spreading maturities, maintaining committed undrawn facilities, and monitoring leverage against internal limits and lender covenants. Liquidity risk is further mitigated through centralized treasury oversight, rolling cash forecasts, and stress testing under lower-demand, delayed-collection, and higher-rate scenarios. Taken together, provisions, debt, and liquidity management practices show that liability recognition is not merely an accounting classification exercise; it is also a central element of preserving solvency, operational resilience, and financial flexibility across the cycle.</w:t>
      </w:r>
    </w:p>
    <w:p w14:paraId="00100C60" w14:textId="00100C61">
      <w:pPr>
        <w:pStyle w:val="Normal"/>
        <w:jc w:val="left"/>
      </w:pPr>
      <w:r>
        <w:t xml:space="preserve">7.1.2 Equity</w:t>
      </w:r>
    </w:p>
    <w:p w14:paraId="00100C62" w14:textId="00100C63">
      <w:pPr>
        <w:pStyle w:val="Normal"/>
        <w:jc w:val="left"/>
      </w:pPr>
      <w:r>
        <w:t xml:space="preserve">Equity represents the residual interest in the assets of Rivermark Holdings after deducting all liabilities and forms the core permanent capital supporting the Group’s operations and strategic development. It includes issued share capital, share premium where applicable, accumulated reserves, retained earnings, and any noncontrolling interests attributable to minority shareholders in consolidated subsidiaries. Share capital reflects the nominal value of shares issued and outstanding, while reserves capture specific categories of accumulated gains and losses that are recognized outside or alongside retained earnings, including foreign currency translation movements, cash flow hedge effects, remeasurements, and other designated equity components.</w:t>
      </w:r>
    </w:p>
    <w:p w14:paraId="00100C64" w14:textId="00100C65">
      <w:pPr>
        <w:pStyle w:val="Normal"/>
        <w:jc w:val="left"/>
      </w:pPr>
      <w:r>
        <w:t xml:space="preserve">Retained earnings are the principal reservoir of accumulated profits that have been generated and not distributed to shareholders. This balance changes each year through profit attributable to owners, dividend declarations, transfers between reserves, and the effect of certain accounting adjustments recognized directly in equity. In practical terms, the equity section shows how much of the Group’s funding has been provided by owners and how much has been reinvested from operations over time. A stronger equity base enhances borrowing capacity, supports capital expenditure and acquisition activity, and provides an important cushion against volatility in earnings, interest rates, foreign exchange, or market demand.</w:t>
      </w:r>
    </w:p>
    <w:p w14:paraId="00100C66" w14:textId="00100C67">
      <w:pPr>
        <w:pStyle w:val="Normal"/>
        <w:jc w:val="left"/>
      </w:pPr>
      <w:r>
        <w:t xml:space="preserve">Movements in equity during the year reflect the interaction of ownership decisions, operating performance, and market-based valuation effects. Profit for the year increased total equity to the extent attributable to shareholders, while dividend payments reduced retained earnings as value was returned to investors in line with the Group’s distribution policy. Other comprehensive income items, including exchange differences on the translation of overseas operations and fair-value movements on qualifying hedging instruments, were recorded in relevant reserves and may not immediately affect profit or loss, but still alter total equity and book value.</w:t>
      </w:r>
    </w:p>
    <w:p w14:paraId="00100C68" w14:textId="00100C69">
      <w:pPr>
        <w:pStyle w:val="Normal"/>
        <w:jc w:val="left"/>
      </w:pPr>
      <w:r>
        <w:t xml:space="preserve">Ownership-related changes may also arise from the issuance of shares for employee incentive plans, the settlement of share-based awards, or selective repurchase and cancellation activity where authorized. Where subsidiaries are not wholly owned, the share of net assets and annual results attributable to noncontrolling interests is presented separately within equity, preserving a clear distinction between capital belonging to Rivermark Holdings shareholders and that attributable to minority investors. The statement of changes in equity therefore serves as more than a mechanical reconciliation. It explains how capital has been built, distributed, translated, and remeasured across the year, and it provides an essential bridge between the statement of profit or loss, the cash flow statement, and the closing net asset position reported on the balance sheet.</w:t>
      </w:r>
    </w:p>
    <w:p w14:paraId="00100C6A" w14:textId="00100C6B">
      <w:pPr>
        <w:pStyle w:val="Normal"/>
        <w:jc w:val="left"/>
      </w:pPr>
      <w:r>
        <w:t xml:space="preserve">7. Statement of Profit or Loss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center"/>
            <w:tcBorders>
              <w:top w:val="single" w:sz="4" w:space="0" w:color="auto"/>
              <w:left w:val="single" w:sz="4" w:space="0" w:color="auto"/>
              <w:bottom w:val="single" w:sz="4" w:space="0" w:color="auto"/>
              <w:right w:val="single" w:sz="4" w:space="0" w:color="auto"/>
            </w:tcBorders>
          </w:tcPr>
          <w:p w14:paraId="00100C6C" w14:textId="00100CDE">
            <w:pPr>
              <w:pStyle w:val="Normal"/>
              <w:jc w:val="left"/>
            </w:pPr>
            <w:r>
              <w:t xml:space="preserve">US$ million</w:t>
            </w:r>
          </w:p>
        </w:tc>
        <w:tc>
          <w:tcPr>
            <w:vAlign w:val="center"/>
            <w:tcBorders>
              <w:top w:val="single" w:sz="4" w:space="0" w:color="auto"/>
              <w:left w:val="single" w:sz="4" w:space="0" w:color="auto"/>
              <w:bottom w:val="single" w:sz="4" w:space="0" w:color="auto"/>
              <w:right w:val="single" w:sz="4" w:space="0" w:color="auto"/>
            </w:tcBorders>
          </w:tcPr>
          <w:p w14:paraId="00100C6E" w14:textId="00100CDF">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C70" w14:textId="00100CE0">
            <w:pPr>
              <w:pStyle w:val="Normal"/>
              <w:jc w:val="left"/>
            </w:pPr>
            <w:r>
              <w:t xml:space="preserve">2023</w:t>
            </w:r>
          </w:p>
        </w:tc>
      </w:tr>
      <w:tr>
        <w:tc>
          <w:tcPr>
            <w:vAlign w:val="top"/>
            <w:tcBorders>
              <w:top w:val="single" w:sz="4" w:space="0" w:color="auto"/>
              <w:left w:val="single" w:sz="4" w:space="0" w:color="auto"/>
              <w:bottom w:val="single" w:sz="4" w:space="0" w:color="auto"/>
              <w:right w:val="single" w:sz="4" w:space="0" w:color="auto"/>
            </w:tcBorders>
          </w:tcPr>
          <w:p w14:paraId="00100C72" w14:textId="00100CE1">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0C74" w14:textId="00100CE2">
            <w:pPr>
              <w:pStyle w:val="Normal"/>
              <w:jc w:val="left"/>
            </w:pPr>
            <w:r>
              <w:t xml:space="preserve">8,462</w:t>
            </w:r>
          </w:p>
        </w:tc>
        <w:tc>
          <w:tcPr>
            <w:vAlign w:val="center"/>
            <w:tcBorders>
              <w:top w:val="single" w:sz="4" w:space="0" w:color="auto"/>
              <w:left w:val="single" w:sz="4" w:space="0" w:color="auto"/>
              <w:bottom w:val="single" w:sz="4" w:space="0" w:color="auto"/>
              <w:right w:val="single" w:sz="4" w:space="0" w:color="auto"/>
            </w:tcBorders>
          </w:tcPr>
          <w:p w14:paraId="00100C76" w14:textId="00100CE3">
            <w:pPr>
              <w:pStyle w:val="Normal"/>
              <w:jc w:val="left"/>
            </w:pPr>
            <w:r>
              <w:t xml:space="preserve">7,918</w:t>
            </w:r>
          </w:p>
        </w:tc>
      </w:tr>
      <w:tr>
        <w:tc>
          <w:tcPr>
            <w:vAlign w:val="top"/>
            <w:tcBorders>
              <w:top w:val="single" w:sz="4" w:space="0" w:color="auto"/>
              <w:left w:val="single" w:sz="4" w:space="0" w:color="auto"/>
              <w:bottom w:val="single" w:sz="4" w:space="0" w:color="auto"/>
              <w:right w:val="single" w:sz="4" w:space="0" w:color="auto"/>
            </w:tcBorders>
          </w:tcPr>
          <w:p w14:paraId="00100C78" w14:textId="00100CE4">
            <w:pPr>
              <w:pStyle w:val="Normal"/>
              <w:jc w:val="left"/>
            </w:pPr>
            <w:r>
              <w:t xml:space="preserve">Cost of sales</w:t>
            </w:r>
          </w:p>
        </w:tc>
        <w:tc>
          <w:tcPr>
            <w:vAlign w:val="center"/>
            <w:tcBorders>
              <w:top w:val="single" w:sz="4" w:space="0" w:color="auto"/>
              <w:left w:val="single" w:sz="4" w:space="0" w:color="auto"/>
              <w:bottom w:val="single" w:sz="4" w:space="0" w:color="auto"/>
              <w:right w:val="single" w:sz="4" w:space="0" w:color="auto"/>
            </w:tcBorders>
          </w:tcPr>
          <w:p w14:paraId="00100C7A" w14:textId="00100CE5">
            <w:pPr>
              <w:pStyle w:val="Normal"/>
              <w:jc w:val="left"/>
            </w:pPr>
            <w:r>
              <w:t xml:space="preserve">(5,984)</w:t>
            </w:r>
          </w:p>
        </w:tc>
        <w:tc>
          <w:tcPr>
            <w:vAlign w:val="center"/>
            <w:tcBorders>
              <w:top w:val="single" w:sz="4" w:space="0" w:color="auto"/>
              <w:left w:val="single" w:sz="4" w:space="0" w:color="auto"/>
              <w:bottom w:val="single" w:sz="4" w:space="0" w:color="auto"/>
              <w:right w:val="single" w:sz="4" w:space="0" w:color="auto"/>
            </w:tcBorders>
          </w:tcPr>
          <w:p w14:paraId="00100C7C" w14:textId="00100CE6">
            <w:pPr>
              <w:pStyle w:val="Normal"/>
              <w:jc w:val="left"/>
            </w:pPr>
            <w:r>
              <w:t xml:space="preserve">(5,671)</w:t>
            </w:r>
          </w:p>
        </w:tc>
      </w:tr>
      <w:tr>
        <w:tc>
          <w:tcPr>
            <w:vAlign w:val="top"/>
            <w:tcBorders>
              <w:top w:val="single" w:sz="4" w:space="0" w:color="auto"/>
              <w:left w:val="single" w:sz="4" w:space="0" w:color="auto"/>
              <w:bottom w:val="single" w:sz="4" w:space="0" w:color="auto"/>
              <w:right w:val="single" w:sz="4" w:space="0" w:color="auto"/>
            </w:tcBorders>
          </w:tcPr>
          <w:p w14:paraId="00100C7E" w14:textId="00100CE7">
            <w:pPr>
              <w:pStyle w:val="Normal"/>
              <w:jc w:val="left"/>
            </w:pPr>
            <w:r>
              <w:t xml:space="preserve">Gross profit</w:t>
            </w:r>
          </w:p>
        </w:tc>
        <w:tc>
          <w:tcPr>
            <w:vAlign w:val="center"/>
            <w:tcBorders>
              <w:top w:val="single" w:sz="4" w:space="0" w:color="auto"/>
              <w:left w:val="single" w:sz="4" w:space="0" w:color="auto"/>
              <w:bottom w:val="single" w:sz="4" w:space="0" w:color="auto"/>
              <w:right w:val="single" w:sz="4" w:space="0" w:color="auto"/>
            </w:tcBorders>
          </w:tcPr>
          <w:p w14:paraId="00100C80" w14:textId="00100CE8">
            <w:pPr>
              <w:pStyle w:val="Normal"/>
              <w:jc w:val="left"/>
            </w:pPr>
            <w:r>
              <w:t xml:space="preserve">2,478</w:t>
            </w:r>
          </w:p>
        </w:tc>
        <w:tc>
          <w:tcPr>
            <w:vAlign w:val="center"/>
            <w:tcBorders>
              <w:top w:val="single" w:sz="4" w:space="0" w:color="auto"/>
              <w:left w:val="single" w:sz="4" w:space="0" w:color="auto"/>
              <w:bottom w:val="single" w:sz="4" w:space="0" w:color="auto"/>
              <w:right w:val="single" w:sz="4" w:space="0" w:color="auto"/>
            </w:tcBorders>
          </w:tcPr>
          <w:p w14:paraId="00100C82" w14:textId="00100CE9">
            <w:pPr>
              <w:pStyle w:val="Normal"/>
              <w:jc w:val="left"/>
            </w:pPr>
            <w:r>
              <w:t xml:space="preserve">2,247</w:t>
            </w:r>
          </w:p>
        </w:tc>
      </w:tr>
      <w:tr>
        <w:tc>
          <w:tcPr>
            <w:vAlign w:val="top"/>
            <w:tcBorders>
              <w:top w:val="single" w:sz="4" w:space="0" w:color="auto"/>
              <w:left w:val="single" w:sz="4" w:space="0" w:color="auto"/>
              <w:bottom w:val="single" w:sz="4" w:space="0" w:color="auto"/>
              <w:right w:val="single" w:sz="4" w:space="0" w:color="auto"/>
            </w:tcBorders>
          </w:tcPr>
          <w:p w14:paraId="00100C84" w14:textId="00100CEA">
            <w:pPr>
              <w:pStyle w:val="Normal"/>
              <w:jc w:val="left"/>
            </w:pPr>
            <w:r>
              <w:t xml:space="preserve">Selling and distribution expenses</w:t>
            </w:r>
          </w:p>
        </w:tc>
        <w:tc>
          <w:tcPr>
            <w:vAlign w:val="center"/>
            <w:tcBorders>
              <w:top w:val="single" w:sz="4" w:space="0" w:color="auto"/>
              <w:left w:val="single" w:sz="4" w:space="0" w:color="auto"/>
              <w:bottom w:val="single" w:sz="4" w:space="0" w:color="auto"/>
              <w:right w:val="single" w:sz="4" w:space="0" w:color="auto"/>
            </w:tcBorders>
          </w:tcPr>
          <w:p w14:paraId="00100C86" w14:textId="00100CEB">
            <w:pPr>
              <w:pStyle w:val="Normal"/>
              <w:jc w:val="left"/>
            </w:pPr>
            <w:r>
              <w:t xml:space="preserve">(612)</w:t>
            </w:r>
          </w:p>
        </w:tc>
        <w:tc>
          <w:tcPr>
            <w:vAlign w:val="center"/>
            <w:tcBorders>
              <w:top w:val="single" w:sz="4" w:space="0" w:color="auto"/>
              <w:left w:val="single" w:sz="4" w:space="0" w:color="auto"/>
              <w:bottom w:val="single" w:sz="4" w:space="0" w:color="auto"/>
              <w:right w:val="single" w:sz="4" w:space="0" w:color="auto"/>
            </w:tcBorders>
          </w:tcPr>
          <w:p w14:paraId="00100C88" w14:textId="00100CEC">
            <w:pPr>
              <w:pStyle w:val="Normal"/>
              <w:jc w:val="left"/>
            </w:pPr>
            <w:r>
              <w:t xml:space="preserve">(584)</w:t>
            </w:r>
          </w:p>
        </w:tc>
      </w:tr>
      <w:tr>
        <w:tc>
          <w:tcPr>
            <w:vAlign w:val="top"/>
            <w:tcBorders>
              <w:top w:val="single" w:sz="4" w:space="0" w:color="auto"/>
              <w:left w:val="single" w:sz="4" w:space="0" w:color="auto"/>
              <w:bottom w:val="single" w:sz="4" w:space="0" w:color="auto"/>
              <w:right w:val="single" w:sz="4" w:space="0" w:color="auto"/>
            </w:tcBorders>
          </w:tcPr>
          <w:p w14:paraId="00100C8A" w14:textId="00100CED">
            <w:pPr>
              <w:pStyle w:val="Normal"/>
              <w:jc w:val="left"/>
            </w:pPr>
            <w:r>
              <w:t xml:space="preserve">Administrative expenses</w:t>
            </w:r>
          </w:p>
        </w:tc>
        <w:tc>
          <w:tcPr>
            <w:vAlign w:val="center"/>
            <w:tcBorders>
              <w:top w:val="single" w:sz="4" w:space="0" w:color="auto"/>
              <w:left w:val="single" w:sz="4" w:space="0" w:color="auto"/>
              <w:bottom w:val="single" w:sz="4" w:space="0" w:color="auto"/>
              <w:right w:val="single" w:sz="4" w:space="0" w:color="auto"/>
            </w:tcBorders>
          </w:tcPr>
          <w:p w14:paraId="00100C8C" w14:textId="00100CEE">
            <w:pPr>
              <w:pStyle w:val="Normal"/>
              <w:jc w:val="left"/>
            </w:pPr>
            <w:r>
              <w:t xml:space="preserve">(781)</w:t>
            </w:r>
          </w:p>
        </w:tc>
        <w:tc>
          <w:tcPr>
            <w:vAlign w:val="center"/>
            <w:tcBorders>
              <w:top w:val="single" w:sz="4" w:space="0" w:color="auto"/>
              <w:left w:val="single" w:sz="4" w:space="0" w:color="auto"/>
              <w:bottom w:val="single" w:sz="4" w:space="0" w:color="auto"/>
              <w:right w:val="single" w:sz="4" w:space="0" w:color="auto"/>
            </w:tcBorders>
          </w:tcPr>
          <w:p w14:paraId="00100C8E" w14:textId="00100CEF">
            <w:pPr>
              <w:pStyle w:val="Normal"/>
              <w:jc w:val="left"/>
            </w:pPr>
            <w:r>
              <w:t xml:space="preserve">(736)</w:t>
            </w:r>
          </w:p>
        </w:tc>
      </w:tr>
      <w:tr>
        <w:tc>
          <w:tcPr>
            <w:vAlign w:val="top"/>
            <w:tcBorders>
              <w:top w:val="single" w:sz="4" w:space="0" w:color="auto"/>
              <w:left w:val="single" w:sz="4" w:space="0" w:color="auto"/>
              <w:bottom w:val="single" w:sz="4" w:space="0" w:color="auto"/>
              <w:right w:val="single" w:sz="4" w:space="0" w:color="auto"/>
            </w:tcBorders>
          </w:tcPr>
          <w:p w14:paraId="00100C90" w14:textId="00100CF0">
            <w:pPr>
              <w:pStyle w:val="Normal"/>
              <w:jc w:val="left"/>
            </w:pPr>
            <w:r>
              <w:t xml:space="preserve">Other operating income</w:t>
            </w:r>
          </w:p>
        </w:tc>
        <w:tc>
          <w:tcPr>
            <w:vAlign w:val="center"/>
            <w:tcBorders>
              <w:top w:val="single" w:sz="4" w:space="0" w:color="auto"/>
              <w:left w:val="single" w:sz="4" w:space="0" w:color="auto"/>
              <w:bottom w:val="single" w:sz="4" w:space="0" w:color="auto"/>
              <w:right w:val="single" w:sz="4" w:space="0" w:color="auto"/>
            </w:tcBorders>
          </w:tcPr>
          <w:p w14:paraId="00100C92" w14:textId="00100CF1">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0C94" w14:textId="00100CF2">
            <w:pPr>
              <w:pStyle w:val="Normal"/>
              <w:jc w:val="left"/>
            </w:pPr>
            <w:r>
              <w:t xml:space="preserve">71</w:t>
            </w:r>
          </w:p>
        </w:tc>
      </w:tr>
      <w:tr>
        <w:tc>
          <w:tcPr>
            <w:vAlign w:val="top"/>
            <w:tcBorders>
              <w:top w:val="single" w:sz="4" w:space="0" w:color="auto"/>
              <w:left w:val="single" w:sz="4" w:space="0" w:color="auto"/>
              <w:bottom w:val="single" w:sz="4" w:space="0" w:color="auto"/>
              <w:right w:val="single" w:sz="4" w:space="0" w:color="auto"/>
            </w:tcBorders>
          </w:tcPr>
          <w:p w14:paraId="00100C96" w14:textId="00100CF3">
            <w:pPr>
              <w:pStyle w:val="Normal"/>
              <w:jc w:val="left"/>
            </w:pPr>
            <w:r>
              <w:t xml:space="preserve">Other operating expenses</w:t>
            </w:r>
          </w:p>
        </w:tc>
        <w:tc>
          <w:tcPr>
            <w:vAlign w:val="center"/>
            <w:tcBorders>
              <w:top w:val="single" w:sz="4" w:space="0" w:color="auto"/>
              <w:left w:val="single" w:sz="4" w:space="0" w:color="auto"/>
              <w:bottom w:val="single" w:sz="4" w:space="0" w:color="auto"/>
              <w:right w:val="single" w:sz="4" w:space="0" w:color="auto"/>
            </w:tcBorders>
          </w:tcPr>
          <w:p w14:paraId="00100C98" w14:textId="00100CF4">
            <w:pPr>
              <w:pStyle w:val="Normal"/>
              <w:jc w:val="left"/>
            </w:pPr>
            <w:r>
              <w:t xml:space="preserve">(88)</w:t>
            </w:r>
          </w:p>
        </w:tc>
        <w:tc>
          <w:tcPr>
            <w:vAlign w:val="center"/>
            <w:tcBorders>
              <w:top w:val="single" w:sz="4" w:space="0" w:color="auto"/>
              <w:left w:val="single" w:sz="4" w:space="0" w:color="auto"/>
              <w:bottom w:val="single" w:sz="4" w:space="0" w:color="auto"/>
              <w:right w:val="single" w:sz="4" w:space="0" w:color="auto"/>
            </w:tcBorders>
          </w:tcPr>
          <w:p w14:paraId="00100C9A" w14:textId="00100CF5">
            <w:pPr>
              <w:pStyle w:val="Normal"/>
              <w:jc w:val="left"/>
            </w:pPr>
            <w:r>
              <w:t xml:space="preserve">(64)</w:t>
            </w:r>
          </w:p>
        </w:tc>
      </w:tr>
      <w:tr>
        <w:tc>
          <w:tcPr>
            <w:vAlign w:val="top"/>
            <w:tcBorders>
              <w:top w:val="single" w:sz="4" w:space="0" w:color="auto"/>
              <w:left w:val="single" w:sz="4" w:space="0" w:color="auto"/>
              <w:bottom w:val="single" w:sz="4" w:space="0" w:color="auto"/>
              <w:right w:val="single" w:sz="4" w:space="0" w:color="auto"/>
            </w:tcBorders>
          </w:tcPr>
          <w:p w14:paraId="00100C9C" w14:textId="00100CF6">
            <w:pPr>
              <w:pStyle w:val="Normal"/>
              <w:jc w:val="left"/>
            </w:pPr>
            <w:r>
              <w:t xml:space="preserve">Operating profit</w:t>
            </w:r>
          </w:p>
        </w:tc>
        <w:tc>
          <w:tcPr>
            <w:vAlign w:val="center"/>
            <w:tcBorders>
              <w:top w:val="single" w:sz="4" w:space="0" w:color="auto"/>
              <w:left w:val="single" w:sz="4" w:space="0" w:color="auto"/>
              <w:bottom w:val="single" w:sz="4" w:space="0" w:color="auto"/>
              <w:right w:val="single" w:sz="4" w:space="0" w:color="auto"/>
            </w:tcBorders>
          </w:tcPr>
          <w:p w14:paraId="00100C9E" w14:textId="00100CF7">
            <w:pPr>
              <w:pStyle w:val="Normal"/>
              <w:jc w:val="left"/>
            </w:pPr>
            <w:r>
              <w:t xml:space="preserve">1,093</w:t>
            </w:r>
          </w:p>
        </w:tc>
        <w:tc>
          <w:tcPr>
            <w:vAlign w:val="center"/>
            <w:tcBorders>
              <w:top w:val="single" w:sz="4" w:space="0" w:color="auto"/>
              <w:left w:val="single" w:sz="4" w:space="0" w:color="auto"/>
              <w:bottom w:val="single" w:sz="4" w:space="0" w:color="auto"/>
              <w:right w:val="single" w:sz="4" w:space="0" w:color="auto"/>
            </w:tcBorders>
          </w:tcPr>
          <w:p w14:paraId="00100CA0" w14:textId="00100CF8">
            <w:pPr>
              <w:pStyle w:val="Normal"/>
              <w:jc w:val="left"/>
            </w:pPr>
            <w:r>
              <w:t xml:space="preserve">934</w:t>
            </w:r>
          </w:p>
        </w:tc>
      </w:tr>
      <w:tr>
        <w:tc>
          <w:tcPr>
            <w:vAlign w:val="top"/>
            <w:tcBorders>
              <w:top w:val="single" w:sz="4" w:space="0" w:color="auto"/>
              <w:left w:val="single" w:sz="4" w:space="0" w:color="auto"/>
              <w:bottom w:val="single" w:sz="4" w:space="0" w:color="auto"/>
              <w:right w:val="single" w:sz="4" w:space="0" w:color="auto"/>
            </w:tcBorders>
          </w:tcPr>
          <w:p w14:paraId="00100CA2" w14:textId="00100CF9">
            <w:pPr>
              <w:pStyle w:val="Normal"/>
              <w:jc w:val="left"/>
            </w:pPr>
            <w:r>
              <w:t xml:space="preserve">Finance income</w:t>
            </w:r>
          </w:p>
        </w:tc>
        <w:tc>
          <w:tcPr>
            <w:vAlign w:val="center"/>
            <w:tcBorders>
              <w:top w:val="single" w:sz="4" w:space="0" w:color="auto"/>
              <w:left w:val="single" w:sz="4" w:space="0" w:color="auto"/>
              <w:bottom w:val="single" w:sz="4" w:space="0" w:color="auto"/>
              <w:right w:val="single" w:sz="4" w:space="0" w:color="auto"/>
            </w:tcBorders>
          </w:tcPr>
          <w:p w14:paraId="00100CA4" w14:textId="00100CFA">
            <w:pPr>
              <w:pStyle w:val="Normal"/>
              <w:jc w:val="left"/>
            </w:pPr>
            <w:r>
              <w:t xml:space="preserve">24</w:t>
            </w:r>
          </w:p>
        </w:tc>
        <w:tc>
          <w:tcPr>
            <w:vAlign w:val="center"/>
            <w:tcBorders>
              <w:top w:val="single" w:sz="4" w:space="0" w:color="auto"/>
              <w:left w:val="single" w:sz="4" w:space="0" w:color="auto"/>
              <w:bottom w:val="single" w:sz="4" w:space="0" w:color="auto"/>
              <w:right w:val="single" w:sz="4" w:space="0" w:color="auto"/>
            </w:tcBorders>
          </w:tcPr>
          <w:p w14:paraId="00100CA6" w14:textId="00100CFB">
            <w:pPr>
              <w:pStyle w:val="Normal"/>
              <w:jc w:val="left"/>
            </w:pPr>
            <w:r>
              <w:t xml:space="preserve">19</w:t>
            </w:r>
          </w:p>
        </w:tc>
      </w:tr>
      <w:tr>
        <w:tc>
          <w:tcPr>
            <w:vAlign w:val="top"/>
            <w:tcBorders>
              <w:top w:val="single" w:sz="4" w:space="0" w:color="auto"/>
              <w:left w:val="single" w:sz="4" w:space="0" w:color="auto"/>
              <w:bottom w:val="single" w:sz="4" w:space="0" w:color="auto"/>
              <w:right w:val="single" w:sz="4" w:space="0" w:color="auto"/>
            </w:tcBorders>
          </w:tcPr>
          <w:p w14:paraId="00100CA8" w14:textId="00100CFC">
            <w:pPr>
              <w:pStyle w:val="Normal"/>
              <w:jc w:val="left"/>
            </w:pPr>
            <w:r>
              <w:t xml:space="preserve">Finance costs</w:t>
            </w:r>
          </w:p>
        </w:tc>
        <w:tc>
          <w:tcPr>
            <w:vAlign w:val="center"/>
            <w:tcBorders>
              <w:top w:val="single" w:sz="4" w:space="0" w:color="auto"/>
              <w:left w:val="single" w:sz="4" w:space="0" w:color="auto"/>
              <w:bottom w:val="single" w:sz="4" w:space="0" w:color="auto"/>
              <w:right w:val="single" w:sz="4" w:space="0" w:color="auto"/>
            </w:tcBorders>
          </w:tcPr>
          <w:p w14:paraId="00100CAA" w14:textId="00100CFD">
            <w:pPr>
              <w:pStyle w:val="Normal"/>
              <w:jc w:val="left"/>
            </w:pPr>
            <w:r>
              <w:t xml:space="preserve">(186)</w:t>
            </w:r>
          </w:p>
        </w:tc>
        <w:tc>
          <w:tcPr>
            <w:vAlign w:val="center"/>
            <w:tcBorders>
              <w:top w:val="single" w:sz="4" w:space="0" w:color="auto"/>
              <w:left w:val="single" w:sz="4" w:space="0" w:color="auto"/>
              <w:bottom w:val="single" w:sz="4" w:space="0" w:color="auto"/>
              <w:right w:val="single" w:sz="4" w:space="0" w:color="auto"/>
            </w:tcBorders>
          </w:tcPr>
          <w:p w14:paraId="00100CAC" w14:textId="00100CFE">
            <w:pPr>
              <w:pStyle w:val="Normal"/>
              <w:jc w:val="left"/>
            </w:pPr>
            <w:r>
              <w:t xml:space="preserve">(171)</w:t>
            </w:r>
          </w:p>
        </w:tc>
      </w:tr>
      <w:tr>
        <w:tc>
          <w:tcPr>
            <w:vAlign w:val="top"/>
            <w:tcBorders>
              <w:top w:val="single" w:sz="4" w:space="0" w:color="auto"/>
              <w:left w:val="single" w:sz="4" w:space="0" w:color="auto"/>
              <w:bottom w:val="single" w:sz="4" w:space="0" w:color="auto"/>
              <w:right w:val="single" w:sz="4" w:space="0" w:color="auto"/>
            </w:tcBorders>
          </w:tcPr>
          <w:p w14:paraId="00100CAE" w14:textId="00100CFF">
            <w:pPr>
              <w:pStyle w:val="Normal"/>
              <w:jc w:val="left"/>
            </w:pPr>
            <w:r>
              <w:t xml:space="preserve">Share of profit of associates and joint ventures</w:t>
            </w:r>
          </w:p>
        </w:tc>
        <w:tc>
          <w:tcPr>
            <w:vAlign w:val="center"/>
            <w:tcBorders>
              <w:top w:val="single" w:sz="4" w:space="0" w:color="auto"/>
              <w:left w:val="single" w:sz="4" w:space="0" w:color="auto"/>
              <w:bottom w:val="single" w:sz="4" w:space="0" w:color="auto"/>
              <w:right w:val="single" w:sz="4" w:space="0" w:color="auto"/>
            </w:tcBorders>
          </w:tcPr>
          <w:p w14:paraId="00100CB0" w14:textId="00100D00">
            <w:pPr>
              <w:pStyle w:val="Normal"/>
              <w:jc w:val="left"/>
            </w:pPr>
            <w:r>
              <w:t xml:space="preserve">37</w:t>
            </w:r>
          </w:p>
        </w:tc>
        <w:tc>
          <w:tcPr>
            <w:vAlign w:val="center"/>
            <w:tcBorders>
              <w:top w:val="single" w:sz="4" w:space="0" w:color="auto"/>
              <w:left w:val="single" w:sz="4" w:space="0" w:color="auto"/>
              <w:bottom w:val="single" w:sz="4" w:space="0" w:color="auto"/>
              <w:right w:val="single" w:sz="4" w:space="0" w:color="auto"/>
            </w:tcBorders>
          </w:tcPr>
          <w:p w14:paraId="00100CB2" w14:textId="00100D01">
            <w:pPr>
              <w:pStyle w:val="Normal"/>
              <w:jc w:val="left"/>
            </w:pPr>
            <w:r>
              <w:t xml:space="preserve">29</w:t>
            </w:r>
          </w:p>
        </w:tc>
      </w:tr>
      <w:tr>
        <w:tc>
          <w:tcPr>
            <w:vAlign w:val="top"/>
            <w:tcBorders>
              <w:top w:val="single" w:sz="4" w:space="0" w:color="auto"/>
              <w:left w:val="single" w:sz="4" w:space="0" w:color="auto"/>
              <w:bottom w:val="single" w:sz="4" w:space="0" w:color="auto"/>
              <w:right w:val="single" w:sz="4" w:space="0" w:color="auto"/>
            </w:tcBorders>
          </w:tcPr>
          <w:p w14:paraId="00100CB4" w14:textId="00100D02">
            <w:pPr>
              <w:pStyle w:val="Normal"/>
              <w:jc w:val="left"/>
            </w:pPr>
            <w:r>
              <w:t xml:space="preserve">Profit before income tax</w:t>
            </w:r>
          </w:p>
        </w:tc>
        <w:tc>
          <w:tcPr>
            <w:vAlign w:val="center"/>
            <w:tcBorders>
              <w:top w:val="single" w:sz="4" w:space="0" w:color="auto"/>
              <w:left w:val="single" w:sz="4" w:space="0" w:color="auto"/>
              <w:bottom w:val="single" w:sz="4" w:space="0" w:color="auto"/>
              <w:right w:val="single" w:sz="4" w:space="0" w:color="auto"/>
            </w:tcBorders>
          </w:tcPr>
          <w:p w14:paraId="00100CB6" w14:textId="00100D03">
            <w:pPr>
              <w:pStyle w:val="Normal"/>
              <w:jc w:val="left"/>
            </w:pPr>
            <w:r>
              <w:t xml:space="preserve">968</w:t>
            </w:r>
          </w:p>
        </w:tc>
        <w:tc>
          <w:tcPr>
            <w:vAlign w:val="center"/>
            <w:tcBorders>
              <w:top w:val="single" w:sz="4" w:space="0" w:color="auto"/>
              <w:left w:val="single" w:sz="4" w:space="0" w:color="auto"/>
              <w:bottom w:val="single" w:sz="4" w:space="0" w:color="auto"/>
              <w:right w:val="single" w:sz="4" w:space="0" w:color="auto"/>
            </w:tcBorders>
          </w:tcPr>
          <w:p w14:paraId="00100CB8" w14:textId="00100D04">
            <w:pPr>
              <w:pStyle w:val="Normal"/>
              <w:jc w:val="left"/>
            </w:pPr>
            <w:r>
              <w:t xml:space="preserve">811</w:t>
            </w:r>
          </w:p>
        </w:tc>
      </w:tr>
      <w:tr>
        <w:tc>
          <w:tcPr>
            <w:vAlign w:val="top"/>
            <w:tcBorders>
              <w:top w:val="single" w:sz="4" w:space="0" w:color="auto"/>
              <w:left w:val="single" w:sz="4" w:space="0" w:color="auto"/>
              <w:bottom w:val="single" w:sz="4" w:space="0" w:color="auto"/>
              <w:right w:val="single" w:sz="4" w:space="0" w:color="auto"/>
            </w:tcBorders>
          </w:tcPr>
          <w:p w14:paraId="00100CBA" w14:textId="00100D05">
            <w:pPr>
              <w:pStyle w:val="Normal"/>
              <w:jc w:val="left"/>
            </w:pPr>
            <w:r>
              <w:t xml:space="preserve">Income tax expense</w:t>
            </w:r>
          </w:p>
        </w:tc>
        <w:tc>
          <w:tcPr>
            <w:vAlign w:val="center"/>
            <w:tcBorders>
              <w:top w:val="single" w:sz="4" w:space="0" w:color="auto"/>
              <w:left w:val="single" w:sz="4" w:space="0" w:color="auto"/>
              <w:bottom w:val="single" w:sz="4" w:space="0" w:color="auto"/>
              <w:right w:val="single" w:sz="4" w:space="0" w:color="auto"/>
            </w:tcBorders>
          </w:tcPr>
          <w:p w14:paraId="00100CBC" w14:textId="00100D06">
            <w:pPr>
              <w:pStyle w:val="Normal"/>
              <w:jc w:val="left"/>
            </w:pPr>
            <w:r>
              <w:t xml:space="preserve">(261)</w:t>
            </w:r>
          </w:p>
        </w:tc>
        <w:tc>
          <w:tcPr>
            <w:vAlign w:val="center"/>
            <w:tcBorders>
              <w:top w:val="single" w:sz="4" w:space="0" w:color="auto"/>
              <w:left w:val="single" w:sz="4" w:space="0" w:color="auto"/>
              <w:bottom w:val="single" w:sz="4" w:space="0" w:color="auto"/>
              <w:right w:val="single" w:sz="4" w:space="0" w:color="auto"/>
            </w:tcBorders>
          </w:tcPr>
          <w:p w14:paraId="00100CBE" w14:textId="00100D07">
            <w:pPr>
              <w:pStyle w:val="Normal"/>
              <w:jc w:val="left"/>
            </w:pPr>
            <w:r>
              <w:t xml:space="preserve">(224)</w:t>
            </w:r>
          </w:p>
        </w:tc>
      </w:tr>
      <w:tr>
        <w:tc>
          <w:tcPr>
            <w:vAlign w:val="top"/>
            <w:tcBorders>
              <w:top w:val="single" w:sz="4" w:space="0" w:color="auto"/>
              <w:left w:val="single" w:sz="4" w:space="0" w:color="auto"/>
              <w:bottom w:val="single" w:sz="4" w:space="0" w:color="auto"/>
              <w:right w:val="single" w:sz="4" w:space="0" w:color="auto"/>
            </w:tcBorders>
          </w:tcPr>
          <w:p w14:paraId="00100CC0" w14:textId="00100D08">
            <w:pPr>
              <w:pStyle w:val="Normal"/>
              <w:jc w:val="left"/>
            </w:pPr>
            <w:r>
              <w:t xml:space="preserve">Profit for the year</w:t>
            </w:r>
          </w:p>
        </w:tc>
        <w:tc>
          <w:tcPr>
            <w:vAlign w:val="center"/>
            <w:tcBorders>
              <w:top w:val="single" w:sz="4" w:space="0" w:color="auto"/>
              <w:left w:val="single" w:sz="4" w:space="0" w:color="auto"/>
              <w:bottom w:val="single" w:sz="4" w:space="0" w:color="auto"/>
              <w:right w:val="single" w:sz="4" w:space="0" w:color="auto"/>
            </w:tcBorders>
          </w:tcPr>
          <w:p w14:paraId="00100CC2" w14:textId="00100D09">
            <w:pPr>
              <w:pStyle w:val="Normal"/>
              <w:jc w:val="left"/>
            </w:pPr>
            <w:r>
              <w:t xml:space="preserve">707</w:t>
            </w:r>
          </w:p>
        </w:tc>
        <w:tc>
          <w:tcPr>
            <w:vAlign w:val="center"/>
            <w:tcBorders>
              <w:top w:val="single" w:sz="4" w:space="0" w:color="auto"/>
              <w:left w:val="single" w:sz="4" w:space="0" w:color="auto"/>
              <w:bottom w:val="single" w:sz="4" w:space="0" w:color="auto"/>
              <w:right w:val="single" w:sz="4" w:space="0" w:color="auto"/>
            </w:tcBorders>
          </w:tcPr>
          <w:p w14:paraId="00100CC4" w14:textId="00100D0A">
            <w:pPr>
              <w:pStyle w:val="Normal"/>
              <w:jc w:val="left"/>
            </w:pPr>
            <w:r>
              <w:t xml:space="preserve">587</w:t>
            </w:r>
          </w:p>
        </w:tc>
      </w:tr>
      <w:tr>
        <w:tc>
          <w:tcPr>
            <w:vAlign w:val="top"/>
            <w:tcBorders>
              <w:top w:val="single" w:sz="4" w:space="0" w:color="auto"/>
              <w:left w:val="single" w:sz="4" w:space="0" w:color="auto"/>
              <w:bottom w:val="single" w:sz="4" w:space="0" w:color="auto"/>
              <w:right w:val="single" w:sz="4" w:space="0" w:color="auto"/>
            </w:tcBorders>
          </w:tcPr>
          <w:p w14:paraId="00100CC6" w14:textId="00100D0B">
            <w:pPr>
              <w:pStyle w:val="Normal"/>
              <w:jc w:val="left"/>
            </w:pPr>
            <w:r>
              <w:t xml:space="preserve">Attributable to owners of Rivermark Holdings</w:t>
            </w:r>
          </w:p>
        </w:tc>
        <w:tc>
          <w:tcPr>
            <w:vAlign w:val="center"/>
            <w:tcBorders>
              <w:top w:val="single" w:sz="4" w:space="0" w:color="auto"/>
              <w:left w:val="single" w:sz="4" w:space="0" w:color="auto"/>
              <w:bottom w:val="single" w:sz="4" w:space="0" w:color="auto"/>
              <w:right w:val="single" w:sz="4" w:space="0" w:color="auto"/>
            </w:tcBorders>
          </w:tcPr>
          <w:p w14:paraId="00100CC8" w14:textId="00100D0C">
            <w:pPr>
              <w:pStyle w:val="Normal"/>
              <w:jc w:val="left"/>
            </w:pPr>
            <w:r>
              <w:t xml:space="preserve">681</w:t>
            </w:r>
          </w:p>
        </w:tc>
        <w:tc>
          <w:tcPr>
            <w:vAlign w:val="center"/>
            <w:tcBorders>
              <w:top w:val="single" w:sz="4" w:space="0" w:color="auto"/>
              <w:left w:val="single" w:sz="4" w:space="0" w:color="auto"/>
              <w:bottom w:val="single" w:sz="4" w:space="0" w:color="auto"/>
              <w:right w:val="single" w:sz="4" w:space="0" w:color="auto"/>
            </w:tcBorders>
          </w:tcPr>
          <w:p w14:paraId="00100CCA" w14:textId="00100D0D">
            <w:pPr>
              <w:pStyle w:val="Normal"/>
              <w:jc w:val="left"/>
            </w:pPr>
            <w:r>
              <w:t xml:space="preserve">563</w:t>
            </w:r>
          </w:p>
        </w:tc>
      </w:tr>
      <w:tr>
        <w:tc>
          <w:tcPr>
            <w:vAlign w:val="top"/>
            <w:tcBorders>
              <w:top w:val="single" w:sz="4" w:space="0" w:color="auto"/>
              <w:left w:val="single" w:sz="4" w:space="0" w:color="auto"/>
              <w:bottom w:val="single" w:sz="4" w:space="0" w:color="auto"/>
              <w:right w:val="single" w:sz="4" w:space="0" w:color="auto"/>
            </w:tcBorders>
          </w:tcPr>
          <w:p w14:paraId="00100CCC" w14:textId="00100D0E">
            <w:pPr>
              <w:pStyle w:val="Normal"/>
              <w:jc w:val="left"/>
            </w:pPr>
            <w:r>
              <w:t xml:space="preserve">Attributable to noncontrolling interests</w:t>
            </w:r>
          </w:p>
        </w:tc>
        <w:tc>
          <w:tcPr>
            <w:vAlign w:val="center"/>
            <w:tcBorders>
              <w:top w:val="single" w:sz="4" w:space="0" w:color="auto"/>
              <w:left w:val="single" w:sz="4" w:space="0" w:color="auto"/>
              <w:bottom w:val="single" w:sz="4" w:space="0" w:color="auto"/>
              <w:right w:val="single" w:sz="4" w:space="0" w:color="auto"/>
            </w:tcBorders>
          </w:tcPr>
          <w:p w14:paraId="00100CCE" w14:textId="00100D0F">
            <w:pPr>
              <w:pStyle w:val="Normal"/>
              <w:jc w:val="left"/>
            </w:pPr>
            <w:r>
              <w:t xml:space="preserve">26</w:t>
            </w:r>
          </w:p>
        </w:tc>
        <w:tc>
          <w:tcPr>
            <w:vAlign w:val="center"/>
            <w:tcBorders>
              <w:top w:val="single" w:sz="4" w:space="0" w:color="auto"/>
              <w:left w:val="single" w:sz="4" w:space="0" w:color="auto"/>
              <w:bottom w:val="single" w:sz="4" w:space="0" w:color="auto"/>
              <w:right w:val="single" w:sz="4" w:space="0" w:color="auto"/>
            </w:tcBorders>
          </w:tcPr>
          <w:p w14:paraId="00100CD0" w14:textId="00100D10">
            <w:pPr>
              <w:pStyle w:val="Normal"/>
              <w:jc w:val="left"/>
            </w:pPr>
            <w:r>
              <w:t xml:space="preserve">24</w:t>
            </w:r>
          </w:p>
        </w:tc>
      </w:tr>
      <w:tr>
        <w:tc>
          <w:tcPr>
            <w:vAlign w:val="top"/>
            <w:tcBorders>
              <w:top w:val="single" w:sz="4" w:space="0" w:color="auto"/>
              <w:left w:val="single" w:sz="4" w:space="0" w:color="auto"/>
              <w:bottom w:val="single" w:sz="4" w:space="0" w:color="auto"/>
              <w:right w:val="single" w:sz="4" w:space="0" w:color="auto"/>
            </w:tcBorders>
          </w:tcPr>
          <w:p w14:paraId="00100CD2" w14:textId="00100D11">
            <w:pPr>
              <w:pStyle w:val="Normal"/>
              <w:jc w:val="left"/>
            </w:pPr>
            <w:r>
              <w:t xml:space="preserve">Basic earnings per share (US$)</w:t>
            </w:r>
          </w:p>
        </w:tc>
        <w:tc>
          <w:tcPr>
            <w:vAlign w:val="center"/>
            <w:tcBorders>
              <w:top w:val="single" w:sz="4" w:space="0" w:color="auto"/>
              <w:left w:val="single" w:sz="4" w:space="0" w:color="auto"/>
              <w:bottom w:val="single" w:sz="4" w:space="0" w:color="auto"/>
              <w:right w:val="single" w:sz="4" w:space="0" w:color="auto"/>
            </w:tcBorders>
          </w:tcPr>
          <w:p w14:paraId="00100CD4" w14:textId="00100D12">
            <w:pPr>
              <w:pStyle w:val="Normal"/>
              <w:jc w:val="left"/>
            </w:pPr>
            <w:r>
              <w:t xml:space="preserve">2.18</w:t>
            </w:r>
          </w:p>
        </w:tc>
        <w:tc>
          <w:tcPr>
            <w:vAlign w:val="center"/>
            <w:tcBorders>
              <w:top w:val="single" w:sz="4" w:space="0" w:color="auto"/>
              <w:left w:val="single" w:sz="4" w:space="0" w:color="auto"/>
              <w:bottom w:val="single" w:sz="4" w:space="0" w:color="auto"/>
              <w:right w:val="single" w:sz="4" w:space="0" w:color="auto"/>
            </w:tcBorders>
          </w:tcPr>
          <w:p w14:paraId="00100CD6" w14:textId="00100D13">
            <w:pPr>
              <w:pStyle w:val="Normal"/>
              <w:jc w:val="left"/>
            </w:pPr>
            <w:r>
              <w:t xml:space="preserve">1.80</w:t>
            </w:r>
          </w:p>
        </w:tc>
      </w:tr>
      <w:tr>
        <w:tc>
          <w:tcPr>
            <w:vAlign w:val="top"/>
            <w:tcBorders>
              <w:top w:val="single" w:sz="4" w:space="0" w:color="auto"/>
              <w:left w:val="single" w:sz="4" w:space="0" w:color="auto"/>
              <w:bottom w:val="single" w:sz="4" w:space="0" w:color="auto"/>
              <w:right w:val="single" w:sz="4" w:space="0" w:color="auto"/>
            </w:tcBorders>
          </w:tcPr>
          <w:p w14:paraId="00100CD8" w14:textId="00100D14">
            <w:pPr>
              <w:pStyle w:val="Normal"/>
              <w:jc w:val="left"/>
            </w:pPr>
            <w:r>
              <w:t xml:space="preserve">Diluted earnings per share (US$)</w:t>
            </w:r>
          </w:p>
        </w:tc>
        <w:tc>
          <w:tcPr>
            <w:vAlign w:val="center"/>
            <w:tcBorders>
              <w:top w:val="single" w:sz="4" w:space="0" w:color="auto"/>
              <w:left w:val="single" w:sz="4" w:space="0" w:color="auto"/>
              <w:bottom w:val="single" w:sz="4" w:space="0" w:color="auto"/>
              <w:right w:val="single" w:sz="4" w:space="0" w:color="auto"/>
            </w:tcBorders>
          </w:tcPr>
          <w:p w14:paraId="00100CDA" w14:textId="00100D15">
            <w:pPr>
              <w:pStyle w:val="Normal"/>
              <w:jc w:val="left"/>
            </w:pPr>
            <w:r>
              <w:t xml:space="preserve">2.12</w:t>
            </w:r>
          </w:p>
        </w:tc>
        <w:tc>
          <w:tcPr>
            <w:vAlign w:val="center"/>
            <w:tcBorders>
              <w:top w:val="single" w:sz="4" w:space="0" w:color="auto"/>
              <w:left w:val="single" w:sz="4" w:space="0" w:color="auto"/>
              <w:bottom w:val="single" w:sz="4" w:space="0" w:color="auto"/>
              <w:right w:val="single" w:sz="4" w:space="0" w:color="auto"/>
            </w:tcBorders>
          </w:tcPr>
          <w:p w14:paraId="00100CDC" w14:textId="00100D16">
            <w:pPr>
              <w:pStyle w:val="Normal"/>
              <w:jc w:val="left"/>
            </w:pPr>
            <w:r>
              <w:t xml:space="preserve">1.76</w:t>
            </w:r>
          </w:p>
        </w:tc>
      </w:tr>
    </w:tbl>
    <w:p w14:paraId="00100D17" w14:textId="00100D18">
      <w:pPr>
        <w:pStyle w:val="Normal"/>
        <w:jc w:val="left"/>
      </w:pPr>
      <w:r>
        <w:t xml:space="preserve">Table 12 Statement of profit or loss</w:t>
      </w:r>
    </w:p>
    <w:p w14:paraId="00100D19" w14:textId="00100D1A">
      <w:pPr>
        <w:pStyle w:val="Normal"/>
        <w:jc w:val="left"/>
      </w:pPr>
      <w:r>
        <w:t xml:space="preserve">7.2 Operating Results</w:t>
      </w:r>
    </w:p>
    <w:p w14:paraId="00100D1B" w14:textId="00100D1C">
      <w:pPr>
        <w:pStyle w:val="Normal"/>
        <w:jc w:val="left"/>
      </w:pPr>
      <w:r>
        <w:t xml:space="preserve">7.2.1 Revenue</w:t>
      </w:r>
    </w:p>
    <w:p w14:paraId="00100D1D" w14:textId="00100D1E">
      <w:pPr>
        <w:pStyle w:val="Normal"/>
        <w:jc w:val="left"/>
      </w:pPr>
      <w:r>
        <w:t xml:space="preserve">Group revenue is recognized when control of promised goods or services transfers to the customer in an amount that reflects the consideration to which Rivermark Holdings expects to be entitled. For Industrial Solutions and Consumer Platforms, this generally occurs at a point in time upon delivery or customer acceptance, depending on the contractual shipping term and acceptance provision. For Infrastructure Services, revenue is more frequently recognized over time because contracts create or enhance assets controlled by the customer as work is performed, or because performance has no alternative use and the group has an enforceable right to payment for work completed to date.</w:t>
      </w:r>
    </w:p>
    <w:p w14:paraId="00100D1F" w14:textId="00100D20">
      <w:pPr>
        <w:pStyle w:val="Normal"/>
        <w:jc w:val="left"/>
      </w:pPr>
      <w:r>
        <w:t xml:space="preserve">Disaggregation of revenue is used by management to assess economic exposure and operating quality across the portfolio. Revenue is therefore analyzed by segment, by customer geography, and by timing of recognition. Industrial Solutions remained the largest contributor to group turnover, supported by stable aftermarket demand and improved order conversion in process equipment. Consumer Platforms recorded broader channel penetration and higher recurring digital-service revenue. Infrastructure Services reflected the phased execution of multi-period contracts, with milestone timing producing a more uneven quarterly profile but stronger full-year recognition. This disaggregation provides a clearer link between market conditions, contract structure, and reported performance than a single consolidated revenue figure alone.</w:t>
      </w:r>
    </w:p>
    <w:p w14:paraId="00100D21" w14:textId="00100D22">
      <w:pPr>
        <w:pStyle w:val="Normal"/>
        <w:jc w:val="left"/>
      </w:pPr>
      <w:r>
        <w:t xml:space="preserve">Revenue increased by 6.9% year on year, driven by a combination of selective price recovery, favorable business mix, and additional contribution from contracts secured in the prior period. The most notable acceleration came in service-rich offerings, where maintenance, software support, and managed operations generated more predictable recurring billings. By contrast, project-based revenue in Infrastructure Services remained sensitive to customer approval cycles and site-readiness milestones, which shifted a limited amount of recognition between reporting periods without materially changing expected contract economics.</w:t>
      </w:r>
    </w:p>
    <w:p w14:paraId="00100D23" w14:textId="00100D24">
      <w:pPr>
        <w:pStyle w:val="Normal"/>
        <w:jc w:val="left"/>
      </w:pPr>
      <w:r>
        <w:t xml:space="preserve">Contract balances moved in line with the underlying sales pattern. Trade receivables increased moderately at year-end, reflecting a higher closing month invoicing run rate and a greater proportion of large enterprise customers with standard payment terms extending beyond 30 days. Contract assets rose where work performed outpaced billing milestones, particularly on engineering and network deployment engagements. Contract liabilities also increased, indicating a solid level of customer prepayments and advance billings for software enablement, equipment customization, and service mobilization. Taken together, these balances support the view that current revenue growth is anchored in executed contracts rather than solely in period-end shipments, while also highlighting the importance of disciplined billing and cash collection in converting reported revenue into operating cash flow.</w:t>
      </w:r>
    </w:p>
    <w:p w14:paraId="00100D25" w14:textId="00100D26">
      <w:pPr>
        <w:pStyle w:val="Normal"/>
        <w:jc w:val="left"/>
      </w:pPr>
      <w:r>
        <w:t xml:space="preserve">7.2.1 Operating Expenses</w:t>
      </w:r>
    </w:p>
    <w:p w14:paraId="00100D27" w14:textId="00100D28">
      <w:pPr>
        <w:pStyle w:val="Normal"/>
        <w:jc w:val="left"/>
      </w:pPr>
      <w:r>
        <w:t xml:space="preserve">Operating expenses comprise cost of sales, selling and distribution expenses, administrative expenses, and other operating items. Cost of sales remained the largest category and includes raw materials, direct labor, subcontracting, freight, warranty costs, and depreciation of production-related assets. Selling and distribution expenses primarily reflect field sales teams, channel support, marketing programs, logistics overhead, and customer service operations. Administrative expenses include central management, finance, legal, information technology, human resources, and shared service functions across the group.</w:t>
      </w:r>
    </w:p>
    <w:p w14:paraId="00100D29" w14:textId="00100D2A">
      <w:pPr>
        <w:pStyle w:val="Normal"/>
        <w:jc w:val="left"/>
      </w:pPr>
      <w:r>
        <w:t xml:space="preserve">Year-on-year movements reflected both business growth and targeted investment. Cost of sales increased broadly in line with revenue, although at a slightly lower rate due to procurement discipline, better plant scheduling, and a richer share of software and service revenue. Selling and distribution expenses rose as the group expanded market coverage in selected growth territories and supported new product introductions. Administrative expenses increased with inflation, technology modernization, and capability-building in cyber security, compliance, and data management. Other operating income benefited from gains on asset disposals and government-linked efficiency incentives, while other operating expenses included restructuring charges, asset write-downs, and integration costs associated with portfolio actions completed during the year.</w:t>
      </w:r>
    </w:p>
    <w:p w14:paraId="00100D2B" w14:textId="00100D2C">
      <w:pPr>
        <w:pStyle w:val="Normal"/>
        <w:jc w:val="left"/>
      </w:pPr>
      <w:r>
        <w:t xml:space="preserve">The underlying cost drivers in the year were a combination of volume recovery, wage inflation, energy pricing, and the operating choices required to support strategic execution. Direct input cost pressure moderated compared with the prior year, particularly in metals, packaging, and outbound freight, allowing a larger share of price actions taken earlier to flow through to margin. Labor costs remained elevated across production and technical service roles, but productivity gains from automation, network optimization, and improved roster planning helped absorb part of that increase.</w:t>
      </w:r>
    </w:p>
    <w:p w14:paraId="00100D2D" w14:textId="00100D2E">
      <w:pPr>
        <w:pStyle w:val="Normal"/>
        <w:jc w:val="left"/>
      </w:pPr>
      <w:r>
        <w:t xml:space="preserve">Operating leverage improved as fixed infrastructure and corporate support costs were spread across a higher revenue base. This effect was most visible in Industrial Solutions, where stronger capacity utilization lifted gross margin, and in Consumer Platforms, where incremental digital revenue carried a lower marginal cost. Infrastructure Services showed more mixed leverage because mobilization costs and project timing can precede revenue recognition, creating short-term pressure even when lifetime contract returns remain satisfactory. Overall, the movement in expenses indicates that Rivermark Holdings is converting growth into profit at a healthier rate than in the prior period, while still maintaining investment in systems, people, and controls needed to sustain medium-term expansion.</w:t>
      </w:r>
    </w:p>
    <w:p w14:paraId="00100D2F" w14:textId="00100D30">
      <w:pPr>
        <w:pStyle w:val="Normal"/>
        <w:jc w:val="left"/>
      </w:pPr>
      <w:r>
        <w:t xml:space="preserve">7.2 Earnings and Distribution</w:t>
      </w:r>
    </w:p>
    <w:p w14:paraId="00100D31" w14:textId="00100D32">
      <w:pPr>
        <w:pStyle w:val="Normal"/>
        <w:jc w:val="left"/>
      </w:pPr>
      <w:r>
        <w:t xml:space="preserve">7.2.2 Profit Attribution</w:t>
      </w:r>
    </w:p>
    <w:p w14:paraId="00100D33" w14:textId="00100D34">
      <w:pPr>
        <w:pStyle w:val="Normal"/>
        <w:jc w:val="left"/>
      </w:pPr>
      <w:r>
        <w:t xml:space="preserve">Profit for the year amounted to US$707 million, of which US$681 million was attributable to owners of Rivermark Holdings and US$26 million to noncontrolling interests. The attribution reflects the ownership structure of consolidated subsidiaries in which the group does not hold 100% of the equity but retains control for accounting purposes. Noncontrolling interests are concentrated in a limited number of operating entities within Infrastructure Services and selected regional distribution businesses, and their share of earnings remained broadly stable year on year.</w:t>
      </w:r>
    </w:p>
    <w:p w14:paraId="00100D35" w14:textId="00100D36">
      <w:pPr>
        <w:pStyle w:val="Normal"/>
        <w:jc w:val="left"/>
      </w:pPr>
      <w:r>
        <w:t xml:space="preserve">Basic earnings per share increased to US$2.18 from US$1.80, reflecting higher attributable profit and a relatively stable weighted average number of ordinary shares in issue through the reporting period. Diluted earnings per share rose to US$2.12 from US$1.76 after taking into account the effect of outstanding share-based payment awards and other potentially dilutive instruments. Management considers both measures relevant: basic earnings per share shows current-period performance attributable to existing shareholders, while diluted earnings per share presents the potential reduction in that return if all qualifying instruments were converted. The improvement across both metrics is consistent with the stronger operating result, partially offset by higher finance costs and income tax expense.</w:t>
      </w:r>
    </w:p>
    <w:p w14:paraId="00100D37" w14:textId="00100D38">
      <w:pPr>
        <w:pStyle w:val="Normal"/>
        <w:jc w:val="left"/>
      </w:pPr>
      <w:r>
        <w:t xml:space="preserve">Noncontrolling interests represent the equity in subsidiaries not attributable, directly or indirectly, to Rivermark Holdings shareholders. During the year, the carrying amount of noncontrolling interests increased from profit participation in partly owned subsidiaries within Consumer Platforms and Infrastructure Services, partially offset by dividends paid to minority holders and the effect of foreign-currency translation on overseas operations. Changes arising from transactions with noncontrolling shareholders that did not result in a loss of control were accounted for as equity transactions, with any difference between the adjustment to noncontrolling interests and the consideration paid recognized directly in equity attributable to owners of the parent.</w:t>
      </w:r>
    </w:p>
    <w:p w14:paraId="00100D39" w14:textId="00100D3A">
      <w:pPr>
        <w:pStyle w:val="Normal"/>
        <w:jc w:val="left"/>
      </w:pPr>
      <w:r>
        <w:t xml:space="preserve">The most significant movement arose from improved earnings in regional service entities where local operating partners retain minority stakes. These earnings increased the share of accumulated reserves attributable to noncontrolling interests, while routine distributions reduced the closing balance in line with shareholder agreements. No subsidiary with a material noncontrolling interest experienced a change in control during the reporting period, and there were no transactions requiring remeasurement of previously held interests. Management monitors these balances because they affect the attribution of profit, return measures, and the assessment of distributable reserves at the parent-company level. Overall, year-end movements were consistent with the underlying performance of the relevant subsidiaries and with the group’s unchanged ownership structure.</w:t>
      </w:r>
    </w:p>
    <w:p w14:paraId="00100D3B" w14:textId="00100D3C">
      <w:pPr>
        <w:pStyle w:val="Normal"/>
        <w:jc w:val="left"/>
      </w:pPr>
      <w:r>
        <w:t xml:space="preserve">7.2.2 Dividends</w:t>
      </w:r>
    </w:p>
    <w:p w14:paraId="00100D3D" w14:textId="00100D3E">
      <w:pPr>
        <w:pStyle w:val="Normal"/>
        <w:jc w:val="left"/>
      </w:pPr>
      <w:r>
        <w:t xml:space="preserve">Dividends are recognized when approved and no longer at the discretion of the group. During the year, Rivermark Holdings paid the final dividend relating to the prior reporting period and an interim dividend in respect of the current year, both in cash. These distributions reflected the group’s stated approach of balancing shareholder returns with reinvestment needs, debt capacity, and resilience against market volatility. Total cash paid to owners of the parent is presented within financing activities in the consolidated statement of cash flows, while dividends attributable to noncontrolling interests are presented separately as movements within equity.</w:t>
      </w:r>
    </w:p>
    <w:p w14:paraId="00100D3F" w14:textId="00100D40">
      <w:pPr>
        <w:pStyle w:val="Normal"/>
        <w:jc w:val="left"/>
      </w:pPr>
      <w:r>
        <w:t xml:space="preserve">Following year end, the Board resolved to recommend a final dividend for shareholder approval at the annual meeting. Because that distribution had not been approved by shareholders at the reporting date, it has not been recognized as a liability in the statement of financial position and is disclosed as a proposed distribution only. The proposed amount was set with reference to full-year earnings, free cash flow generation, forecast capital expenditure, and covenant headroom. The combination of declared, paid, and proposed distributions indicates a continuation of the group’s progressive but disciplined distribution pattern rather than a shift toward a higher payout ratio.</w:t>
      </w:r>
    </w:p>
    <w:p w14:paraId="00100D41" w14:textId="00100D42">
      <w:pPr>
        <w:pStyle w:val="Normal"/>
        <w:jc w:val="left"/>
      </w:pPr>
      <w:r>
        <w:t xml:space="preserve">Rivermark Holdings’ distribution policy is to provide shareholders with sustainable cash returns through an ordinary dividend that grows in line with underlying earnings over time, while preserving sufficient capital to fund strategic investment, working-capital needs, and prudent liquidity buffers. In applying this policy, the Board reviews adjusted earnings, operating cash conversion, leverage, committed capital expenditure, and expected market conditions across the Industrial Solutions, Consumer Platforms, and Infrastructure Services segments. The policy does not target a rigid payout percentage; instead, it emphasizes affordability, resilience, and medium-term value creation.</w:t>
      </w:r>
    </w:p>
    <w:p w14:paraId="00100D43" w14:textId="00100D44">
      <w:pPr>
        <w:pStyle w:val="Normal"/>
        <w:jc w:val="left"/>
      </w:pPr>
      <w:r>
        <w:t xml:space="preserve">Distribution capacity is determined primarily by parent-company distributable reserves, available cash resources, and legal and covenant constraints. Although the consolidated group generated solid operating cash flow in the year, management remained attentive to refinancing requirements, project pipeline funding, and continuing sustainability-related investments. As a result, the Board considered both current-year performance and downside scenarios before determining the recommended distribution level. This approach supports continuity of returns while avoiding pressure on the balance sheet during periods of uneven demand or elevated capital requirements. Based on year-end liquidity, forecast earnings, and available facilities, management believes the group retains adequate capacity to meet proposed shareholder distributions while continuing to finance operations, maintain covenant compliance, and pursue approved growth investments.</w:t>
      </w:r>
    </w:p>
    <w:p w14:paraId="00100D45" w14:textId="00100D46">
      <w:pPr>
        <w:pStyle w:val="Normal"/>
        <w:jc w:val="left"/>
      </w:pPr>
      <w:r>
        <w:t xml:space="preserve">7. Cash Flow and Equity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center"/>
            <w:tcBorders>
              <w:top w:val="single" w:sz="4" w:space="0" w:color="auto"/>
              <w:left w:val="single" w:sz="4" w:space="0" w:color="auto"/>
              <w:bottom w:val="single" w:sz="4" w:space="0" w:color="auto"/>
              <w:right w:val="single" w:sz="4" w:space="0" w:color="auto"/>
            </w:tcBorders>
          </w:tcPr>
          <w:p w14:paraId="00100D47" w14:textId="00100D9B">
            <w:pPr>
              <w:pStyle w:val="Normal"/>
              <w:jc w:val="left"/>
            </w:pPr>
            <w:r>
              <w:t xml:space="preserve">Line item</w:t>
            </w:r>
          </w:p>
        </w:tc>
        <w:tc>
          <w:tcPr>
            <w:vAlign w:val="center"/>
            <w:tcBorders>
              <w:top w:val="single" w:sz="4" w:space="0" w:color="auto"/>
              <w:left w:val="single" w:sz="4" w:space="0" w:color="auto"/>
              <w:bottom w:val="single" w:sz="4" w:space="0" w:color="auto"/>
              <w:right w:val="single" w:sz="4" w:space="0" w:color="auto"/>
            </w:tcBorders>
          </w:tcPr>
          <w:p w14:paraId="00100D49" w14:textId="00100D9C">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0D4B" w14:textId="00100D9D">
            <w:pPr>
              <w:pStyle w:val="Normal"/>
              <w:jc w:val="left"/>
            </w:pPr>
            <w:r>
              <w:t xml:space="preserve">2023</w:t>
            </w:r>
          </w:p>
        </w:tc>
      </w:tr>
      <w:tr>
        <w:tc>
          <w:tcPr>
            <w:vAlign w:val="top"/>
            <w:tcBorders>
              <w:top w:val="single" w:sz="4" w:space="0" w:color="auto"/>
              <w:left w:val="single" w:sz="4" w:space="0" w:color="auto"/>
              <w:bottom w:val="single" w:sz="4" w:space="0" w:color="auto"/>
              <w:right w:val="single" w:sz="4" w:space="0" w:color="auto"/>
            </w:tcBorders>
          </w:tcPr>
          <w:p w14:paraId="00100D4D" w14:textId="00100D9E">
            <w:pPr>
              <w:pStyle w:val="Normal"/>
              <w:jc w:val="left"/>
            </w:pPr>
            <w:r>
              <w:t xml:space="preserve">Net cash generated from operating activities</w:t>
            </w:r>
          </w:p>
        </w:tc>
        <w:tc>
          <w:tcPr>
            <w:vAlign w:val="center"/>
            <w:tcBorders>
              <w:top w:val="single" w:sz="4" w:space="0" w:color="auto"/>
              <w:left w:val="single" w:sz="4" w:space="0" w:color="auto"/>
              <w:bottom w:val="single" w:sz="4" w:space="0" w:color="auto"/>
              <w:right w:val="single" w:sz="4" w:space="0" w:color="auto"/>
            </w:tcBorders>
          </w:tcPr>
          <w:p w14:paraId="00100D4F" w14:textId="00100D9F">
            <w:pPr>
              <w:pStyle w:val="Normal"/>
              <w:jc w:val="left"/>
            </w:pPr>
            <w:r>
              <w:t xml:space="preserve">412.6</w:t>
            </w:r>
          </w:p>
        </w:tc>
        <w:tc>
          <w:tcPr>
            <w:vAlign w:val="center"/>
            <w:tcBorders>
              <w:top w:val="single" w:sz="4" w:space="0" w:color="auto"/>
              <w:left w:val="single" w:sz="4" w:space="0" w:color="auto"/>
              <w:bottom w:val="single" w:sz="4" w:space="0" w:color="auto"/>
              <w:right w:val="single" w:sz="4" w:space="0" w:color="auto"/>
            </w:tcBorders>
          </w:tcPr>
          <w:p w14:paraId="00100D51" w14:textId="00100DA0">
            <w:pPr>
              <w:pStyle w:val="Normal"/>
              <w:jc w:val="left"/>
            </w:pPr>
            <w:r>
              <w:t xml:space="preserve">368.9</w:t>
            </w:r>
          </w:p>
        </w:tc>
      </w:tr>
      <w:tr>
        <w:tc>
          <w:tcPr>
            <w:vAlign w:val="top"/>
            <w:tcBorders>
              <w:top w:val="single" w:sz="4" w:space="0" w:color="auto"/>
              <w:left w:val="single" w:sz="4" w:space="0" w:color="auto"/>
              <w:bottom w:val="single" w:sz="4" w:space="0" w:color="auto"/>
              <w:right w:val="single" w:sz="4" w:space="0" w:color="auto"/>
            </w:tcBorders>
          </w:tcPr>
          <w:p w14:paraId="00100D53" w14:textId="00100DA1">
            <w:pPr>
              <w:pStyle w:val="Normal"/>
              <w:jc w:val="left"/>
            </w:pPr>
            <w:r>
              <w:t xml:space="preserve">Net cash used in investing activities</w:t>
            </w:r>
          </w:p>
        </w:tc>
        <w:tc>
          <w:tcPr>
            <w:vAlign w:val="center"/>
            <w:tcBorders>
              <w:top w:val="single" w:sz="4" w:space="0" w:color="auto"/>
              <w:left w:val="single" w:sz="4" w:space="0" w:color="auto"/>
              <w:bottom w:val="single" w:sz="4" w:space="0" w:color="auto"/>
              <w:right w:val="single" w:sz="4" w:space="0" w:color="auto"/>
            </w:tcBorders>
          </w:tcPr>
          <w:p w14:paraId="00100D55" w14:textId="00100DA2">
            <w:pPr>
              <w:pStyle w:val="Normal"/>
              <w:jc w:val="left"/>
            </w:pPr>
            <w:r>
              <w:t xml:space="preserve">(236.4)</w:t>
            </w:r>
          </w:p>
        </w:tc>
        <w:tc>
          <w:tcPr>
            <w:vAlign w:val="center"/>
            <w:tcBorders>
              <w:top w:val="single" w:sz="4" w:space="0" w:color="auto"/>
              <w:left w:val="single" w:sz="4" w:space="0" w:color="auto"/>
              <w:bottom w:val="single" w:sz="4" w:space="0" w:color="auto"/>
              <w:right w:val="single" w:sz="4" w:space="0" w:color="auto"/>
            </w:tcBorders>
          </w:tcPr>
          <w:p w14:paraId="00100D57" w14:textId="00100DA3">
            <w:pPr>
              <w:pStyle w:val="Normal"/>
              <w:jc w:val="left"/>
            </w:pPr>
            <w:r>
              <w:t xml:space="preserve">(214.7)</w:t>
            </w:r>
          </w:p>
        </w:tc>
      </w:tr>
      <w:tr>
        <w:tc>
          <w:tcPr>
            <w:vAlign w:val="top"/>
            <w:tcBorders>
              <w:top w:val="single" w:sz="4" w:space="0" w:color="auto"/>
              <w:left w:val="single" w:sz="4" w:space="0" w:color="auto"/>
              <w:bottom w:val="single" w:sz="4" w:space="0" w:color="auto"/>
              <w:right w:val="single" w:sz="4" w:space="0" w:color="auto"/>
            </w:tcBorders>
          </w:tcPr>
          <w:p w14:paraId="00100D59" w14:textId="00100DA4">
            <w:pPr>
              <w:pStyle w:val="Normal"/>
              <w:jc w:val="left"/>
            </w:pPr>
            <w:r>
              <w:t xml:space="preserve">Net cash used in financing activities</w:t>
            </w:r>
          </w:p>
        </w:tc>
        <w:tc>
          <w:tcPr>
            <w:vAlign w:val="center"/>
            <w:tcBorders>
              <w:top w:val="single" w:sz="4" w:space="0" w:color="auto"/>
              <w:left w:val="single" w:sz="4" w:space="0" w:color="auto"/>
              <w:bottom w:val="single" w:sz="4" w:space="0" w:color="auto"/>
              <w:right w:val="single" w:sz="4" w:space="0" w:color="auto"/>
            </w:tcBorders>
          </w:tcPr>
          <w:p w14:paraId="00100D5B" w14:textId="00100DA5">
            <w:pPr>
              <w:pStyle w:val="Normal"/>
              <w:jc w:val="left"/>
            </w:pPr>
            <w:r>
              <w:t xml:space="preserve">(141.8)</w:t>
            </w:r>
          </w:p>
        </w:tc>
        <w:tc>
          <w:tcPr>
            <w:vAlign w:val="center"/>
            <w:tcBorders>
              <w:top w:val="single" w:sz="4" w:space="0" w:color="auto"/>
              <w:left w:val="single" w:sz="4" w:space="0" w:color="auto"/>
              <w:bottom w:val="single" w:sz="4" w:space="0" w:color="auto"/>
              <w:right w:val="single" w:sz="4" w:space="0" w:color="auto"/>
            </w:tcBorders>
          </w:tcPr>
          <w:p w14:paraId="00100D5D" w14:textId="00100DA6">
            <w:pPr>
              <w:pStyle w:val="Normal"/>
              <w:jc w:val="left"/>
            </w:pPr>
            <w:r>
              <w:t xml:space="preserve">(126.5)</w:t>
            </w:r>
          </w:p>
        </w:tc>
      </w:tr>
      <w:tr>
        <w:tc>
          <w:tcPr>
            <w:vAlign w:val="top"/>
            <w:tcBorders>
              <w:top w:val="single" w:sz="4" w:space="0" w:color="auto"/>
              <w:left w:val="single" w:sz="4" w:space="0" w:color="auto"/>
              <w:bottom w:val="single" w:sz="4" w:space="0" w:color="auto"/>
              <w:right w:val="single" w:sz="4" w:space="0" w:color="auto"/>
            </w:tcBorders>
          </w:tcPr>
          <w:p w14:paraId="00100D5F" w14:textId="00100DA7">
            <w:pPr>
              <w:pStyle w:val="Normal"/>
              <w:jc w:val="left"/>
            </w:pPr>
            <w:r>
              <w:t xml:space="preserve">Net increase in cash and cash equivalents</w:t>
            </w:r>
          </w:p>
        </w:tc>
        <w:tc>
          <w:tcPr>
            <w:vAlign w:val="center"/>
            <w:tcBorders>
              <w:top w:val="single" w:sz="4" w:space="0" w:color="auto"/>
              <w:left w:val="single" w:sz="4" w:space="0" w:color="auto"/>
              <w:bottom w:val="single" w:sz="4" w:space="0" w:color="auto"/>
              <w:right w:val="single" w:sz="4" w:space="0" w:color="auto"/>
            </w:tcBorders>
          </w:tcPr>
          <w:p w14:paraId="00100D61" w14:textId="00100DA8">
            <w:pPr>
              <w:pStyle w:val="Normal"/>
              <w:jc w:val="left"/>
            </w:pPr>
            <w:r>
              <w:t xml:space="preserve">34.4</w:t>
            </w:r>
          </w:p>
        </w:tc>
        <w:tc>
          <w:tcPr>
            <w:vAlign w:val="center"/>
            <w:tcBorders>
              <w:top w:val="single" w:sz="4" w:space="0" w:color="auto"/>
              <w:left w:val="single" w:sz="4" w:space="0" w:color="auto"/>
              <w:bottom w:val="single" w:sz="4" w:space="0" w:color="auto"/>
              <w:right w:val="single" w:sz="4" w:space="0" w:color="auto"/>
            </w:tcBorders>
          </w:tcPr>
          <w:p w14:paraId="00100D63" w14:textId="00100DA9">
            <w:pPr>
              <w:pStyle w:val="Normal"/>
              <w:jc w:val="left"/>
            </w:pPr>
            <w:r>
              <w:t xml:space="preserve">27.7</w:t>
            </w:r>
          </w:p>
        </w:tc>
      </w:tr>
      <w:tr>
        <w:tc>
          <w:tcPr>
            <w:vAlign w:val="top"/>
            <w:tcBorders>
              <w:top w:val="single" w:sz="4" w:space="0" w:color="auto"/>
              <w:left w:val="single" w:sz="4" w:space="0" w:color="auto"/>
              <w:bottom w:val="single" w:sz="4" w:space="0" w:color="auto"/>
              <w:right w:val="single" w:sz="4" w:space="0" w:color="auto"/>
            </w:tcBorders>
          </w:tcPr>
          <w:p w14:paraId="00100D65" w14:textId="00100DAA">
            <w:pPr>
              <w:pStyle w:val="Normal"/>
              <w:jc w:val="left"/>
            </w:pPr>
            <w:r>
              <w:t xml:space="preserve">Cash and cash equivalents at beginning of year</w:t>
            </w:r>
          </w:p>
        </w:tc>
        <w:tc>
          <w:tcPr>
            <w:vAlign w:val="center"/>
            <w:tcBorders>
              <w:top w:val="single" w:sz="4" w:space="0" w:color="auto"/>
              <w:left w:val="single" w:sz="4" w:space="0" w:color="auto"/>
              <w:bottom w:val="single" w:sz="4" w:space="0" w:color="auto"/>
              <w:right w:val="single" w:sz="4" w:space="0" w:color="auto"/>
            </w:tcBorders>
          </w:tcPr>
          <w:p w14:paraId="00100D67" w14:textId="00100DAB">
            <w:pPr>
              <w:pStyle w:val="Normal"/>
              <w:jc w:val="left"/>
            </w:pPr>
            <w:r>
              <w:t xml:space="preserve">286.1</w:t>
            </w:r>
          </w:p>
        </w:tc>
        <w:tc>
          <w:tcPr>
            <w:vAlign w:val="center"/>
            <w:tcBorders>
              <w:top w:val="single" w:sz="4" w:space="0" w:color="auto"/>
              <w:left w:val="single" w:sz="4" w:space="0" w:color="auto"/>
              <w:bottom w:val="single" w:sz="4" w:space="0" w:color="auto"/>
              <w:right w:val="single" w:sz="4" w:space="0" w:color="auto"/>
            </w:tcBorders>
          </w:tcPr>
          <w:p w14:paraId="00100D69" w14:textId="00100DAC">
            <w:pPr>
              <w:pStyle w:val="Normal"/>
              <w:jc w:val="left"/>
            </w:pPr>
            <w:r>
              <w:t xml:space="preserve">258.4</w:t>
            </w:r>
          </w:p>
        </w:tc>
      </w:tr>
      <w:tr>
        <w:tc>
          <w:tcPr>
            <w:vAlign w:val="top"/>
            <w:tcBorders>
              <w:top w:val="single" w:sz="4" w:space="0" w:color="auto"/>
              <w:left w:val="single" w:sz="4" w:space="0" w:color="auto"/>
              <w:bottom w:val="single" w:sz="4" w:space="0" w:color="auto"/>
              <w:right w:val="single" w:sz="4" w:space="0" w:color="auto"/>
            </w:tcBorders>
          </w:tcPr>
          <w:p w14:paraId="00100D6B" w14:textId="00100DAD">
            <w:pPr>
              <w:pStyle w:val="Normal"/>
              <w:jc w:val="left"/>
            </w:pPr>
            <w:r>
              <w:t xml:space="preserve">Cash and cash equivalents at end of year</w:t>
            </w:r>
          </w:p>
        </w:tc>
        <w:tc>
          <w:tcPr>
            <w:vAlign w:val="center"/>
            <w:tcBorders>
              <w:top w:val="single" w:sz="4" w:space="0" w:color="auto"/>
              <w:left w:val="single" w:sz="4" w:space="0" w:color="auto"/>
              <w:bottom w:val="single" w:sz="4" w:space="0" w:color="auto"/>
              <w:right w:val="single" w:sz="4" w:space="0" w:color="auto"/>
            </w:tcBorders>
          </w:tcPr>
          <w:p w14:paraId="00100D6D" w14:textId="00100DAE">
            <w:pPr>
              <w:pStyle w:val="Normal"/>
              <w:jc w:val="left"/>
            </w:pPr>
            <w:r>
              <w:t xml:space="preserve">320.5</w:t>
            </w:r>
          </w:p>
        </w:tc>
        <w:tc>
          <w:tcPr>
            <w:vAlign w:val="center"/>
            <w:tcBorders>
              <w:top w:val="single" w:sz="4" w:space="0" w:color="auto"/>
              <w:left w:val="single" w:sz="4" w:space="0" w:color="auto"/>
              <w:bottom w:val="single" w:sz="4" w:space="0" w:color="auto"/>
              <w:right w:val="single" w:sz="4" w:space="0" w:color="auto"/>
            </w:tcBorders>
          </w:tcPr>
          <w:p w14:paraId="00100D6F" w14:textId="00100DAF">
            <w:pPr>
              <w:pStyle w:val="Normal"/>
              <w:jc w:val="left"/>
            </w:pPr>
            <w:r>
              <w:t xml:space="preserve">286.1</w:t>
            </w:r>
          </w:p>
        </w:tc>
      </w:tr>
      <w:tr>
        <w:tc>
          <w:tcPr>
            <w:vAlign w:val="top"/>
            <w:tcBorders>
              <w:top w:val="single" w:sz="4" w:space="0" w:color="auto"/>
              <w:left w:val="single" w:sz="4" w:space="0" w:color="auto"/>
              <w:bottom w:val="single" w:sz="4" w:space="0" w:color="auto"/>
              <w:right w:val="single" w:sz="4" w:space="0" w:color="auto"/>
            </w:tcBorders>
          </w:tcPr>
          <w:p w14:paraId="00100D71" w14:textId="00100DB0">
            <w:pPr>
              <w:pStyle w:val="Normal"/>
              <w:jc w:val="left"/>
            </w:pPr>
            <w:r>
              <w:t xml:space="preserve">Total equity at beginning of year</w:t>
            </w:r>
          </w:p>
        </w:tc>
        <w:tc>
          <w:tcPr>
            <w:vAlign w:val="center"/>
            <w:tcBorders>
              <w:top w:val="single" w:sz="4" w:space="0" w:color="auto"/>
              <w:left w:val="single" w:sz="4" w:space="0" w:color="auto"/>
              <w:bottom w:val="single" w:sz="4" w:space="0" w:color="auto"/>
              <w:right w:val="single" w:sz="4" w:space="0" w:color="auto"/>
            </w:tcBorders>
          </w:tcPr>
          <w:p w14:paraId="00100D73" w14:textId="00100DB1">
            <w:pPr>
              <w:pStyle w:val="Normal"/>
              <w:jc w:val="left"/>
            </w:pPr>
            <w:r>
              <w:t xml:space="preserve">1,482.7</w:t>
            </w:r>
          </w:p>
        </w:tc>
        <w:tc>
          <w:tcPr>
            <w:vAlign w:val="center"/>
            <w:tcBorders>
              <w:top w:val="single" w:sz="4" w:space="0" w:color="auto"/>
              <w:left w:val="single" w:sz="4" w:space="0" w:color="auto"/>
              <w:bottom w:val="single" w:sz="4" w:space="0" w:color="auto"/>
              <w:right w:val="single" w:sz="4" w:space="0" w:color="auto"/>
            </w:tcBorders>
          </w:tcPr>
          <w:p w14:paraId="00100D75" w14:textId="00100DB2">
            <w:pPr>
              <w:pStyle w:val="Normal"/>
              <w:jc w:val="left"/>
            </w:pPr>
            <w:r>
              <w:t xml:space="preserve">1,401.3</w:t>
            </w:r>
          </w:p>
        </w:tc>
      </w:tr>
      <w:tr>
        <w:tc>
          <w:tcPr>
            <w:vAlign w:val="top"/>
            <w:tcBorders>
              <w:top w:val="single" w:sz="4" w:space="0" w:color="auto"/>
              <w:left w:val="single" w:sz="4" w:space="0" w:color="auto"/>
              <w:bottom w:val="single" w:sz="4" w:space="0" w:color="auto"/>
              <w:right w:val="single" w:sz="4" w:space="0" w:color="auto"/>
            </w:tcBorders>
          </w:tcPr>
          <w:p w14:paraId="00100D77" w14:textId="00100DB3">
            <w:pPr>
              <w:pStyle w:val="Normal"/>
              <w:jc w:val="left"/>
            </w:pPr>
            <w:r>
              <w:t xml:space="preserve">Profit for the year</w:t>
            </w:r>
          </w:p>
        </w:tc>
        <w:tc>
          <w:tcPr>
            <w:vAlign w:val="center"/>
            <w:tcBorders>
              <w:top w:val="single" w:sz="4" w:space="0" w:color="auto"/>
              <w:left w:val="single" w:sz="4" w:space="0" w:color="auto"/>
              <w:bottom w:val="single" w:sz="4" w:space="0" w:color="auto"/>
              <w:right w:val="single" w:sz="4" w:space="0" w:color="auto"/>
            </w:tcBorders>
          </w:tcPr>
          <w:p w14:paraId="00100D79" w14:textId="00100DB4">
            <w:pPr>
              <w:pStyle w:val="Normal"/>
              <w:jc w:val="left"/>
            </w:pPr>
            <w:r>
              <w:t xml:space="preserve">214.9</w:t>
            </w:r>
          </w:p>
        </w:tc>
        <w:tc>
          <w:tcPr>
            <w:vAlign w:val="center"/>
            <w:tcBorders>
              <w:top w:val="single" w:sz="4" w:space="0" w:color="auto"/>
              <w:left w:val="single" w:sz="4" w:space="0" w:color="auto"/>
              <w:bottom w:val="single" w:sz="4" w:space="0" w:color="auto"/>
              <w:right w:val="single" w:sz="4" w:space="0" w:color="auto"/>
            </w:tcBorders>
          </w:tcPr>
          <w:p w14:paraId="00100D7B" w14:textId="00100DB5">
            <w:pPr>
              <w:pStyle w:val="Normal"/>
              <w:jc w:val="left"/>
            </w:pPr>
            <w:r>
              <w:t xml:space="preserve">198.6</w:t>
            </w:r>
          </w:p>
        </w:tc>
      </w:tr>
      <w:tr>
        <w:tc>
          <w:tcPr>
            <w:vAlign w:val="top"/>
            <w:tcBorders>
              <w:top w:val="single" w:sz="4" w:space="0" w:color="auto"/>
              <w:left w:val="single" w:sz="4" w:space="0" w:color="auto"/>
              <w:bottom w:val="single" w:sz="4" w:space="0" w:color="auto"/>
              <w:right w:val="single" w:sz="4" w:space="0" w:color="auto"/>
            </w:tcBorders>
          </w:tcPr>
          <w:p w14:paraId="00100D7D" w14:textId="00100DB6">
            <w:pPr>
              <w:pStyle w:val="Normal"/>
              <w:jc w:val="left"/>
            </w:pPr>
            <w:r>
              <w:t xml:space="preserve">Other comprehensive income</w:t>
            </w:r>
          </w:p>
        </w:tc>
        <w:tc>
          <w:tcPr>
            <w:vAlign w:val="center"/>
            <w:tcBorders>
              <w:top w:val="single" w:sz="4" w:space="0" w:color="auto"/>
              <w:left w:val="single" w:sz="4" w:space="0" w:color="auto"/>
              <w:bottom w:val="single" w:sz="4" w:space="0" w:color="auto"/>
              <w:right w:val="single" w:sz="4" w:space="0" w:color="auto"/>
            </w:tcBorders>
          </w:tcPr>
          <w:p w14:paraId="00100D7F" w14:textId="00100DB7">
            <w:pPr>
              <w:pStyle w:val="Normal"/>
              <w:jc w:val="left"/>
            </w:pPr>
            <w:r>
              <w:t xml:space="preserve">18.7</w:t>
            </w:r>
          </w:p>
        </w:tc>
        <w:tc>
          <w:tcPr>
            <w:vAlign w:val="center"/>
            <w:tcBorders>
              <w:top w:val="single" w:sz="4" w:space="0" w:color="auto"/>
              <w:left w:val="single" w:sz="4" w:space="0" w:color="auto"/>
              <w:bottom w:val="single" w:sz="4" w:space="0" w:color="auto"/>
              <w:right w:val="single" w:sz="4" w:space="0" w:color="auto"/>
            </w:tcBorders>
          </w:tcPr>
          <w:p w14:paraId="00100D81" w14:textId="00100DB8">
            <w:pPr>
              <w:pStyle w:val="Normal"/>
              <w:jc w:val="left"/>
            </w:pPr>
            <w:r>
              <w:t xml:space="preserve">11.4</w:t>
            </w:r>
          </w:p>
        </w:tc>
      </w:tr>
      <w:tr>
        <w:tc>
          <w:tcPr>
            <w:vAlign w:val="top"/>
            <w:tcBorders>
              <w:top w:val="single" w:sz="4" w:space="0" w:color="auto"/>
              <w:left w:val="single" w:sz="4" w:space="0" w:color="auto"/>
              <w:bottom w:val="single" w:sz="4" w:space="0" w:color="auto"/>
              <w:right w:val="single" w:sz="4" w:space="0" w:color="auto"/>
            </w:tcBorders>
          </w:tcPr>
          <w:p w14:paraId="00100D83" w14:textId="00100DB9">
            <w:pPr>
              <w:pStyle w:val="Normal"/>
              <w:jc w:val="left"/>
            </w:pPr>
            <w:r>
              <w:t xml:space="preserve">Dividends paid</w:t>
            </w:r>
          </w:p>
        </w:tc>
        <w:tc>
          <w:tcPr>
            <w:vAlign w:val="center"/>
            <w:tcBorders>
              <w:top w:val="single" w:sz="4" w:space="0" w:color="auto"/>
              <w:left w:val="single" w:sz="4" w:space="0" w:color="auto"/>
              <w:bottom w:val="single" w:sz="4" w:space="0" w:color="auto"/>
              <w:right w:val="single" w:sz="4" w:space="0" w:color="auto"/>
            </w:tcBorders>
          </w:tcPr>
          <w:p w14:paraId="00100D85" w14:textId="00100DBA">
            <w:pPr>
              <w:pStyle w:val="Normal"/>
              <w:jc w:val="left"/>
            </w:pPr>
            <w:r>
              <w:t xml:space="preserve">(72.5)</w:t>
            </w:r>
          </w:p>
        </w:tc>
        <w:tc>
          <w:tcPr>
            <w:vAlign w:val="center"/>
            <w:tcBorders>
              <w:top w:val="single" w:sz="4" w:space="0" w:color="auto"/>
              <w:left w:val="single" w:sz="4" w:space="0" w:color="auto"/>
              <w:bottom w:val="single" w:sz="4" w:space="0" w:color="auto"/>
              <w:right w:val="single" w:sz="4" w:space="0" w:color="auto"/>
            </w:tcBorders>
          </w:tcPr>
          <w:p w14:paraId="00100D87" w14:textId="00100DBB">
            <w:pPr>
              <w:pStyle w:val="Normal"/>
              <w:jc w:val="left"/>
            </w:pPr>
            <w:r>
              <w:t xml:space="preserve">(64.8)</w:t>
            </w:r>
          </w:p>
        </w:tc>
      </w:tr>
      <w:tr>
        <w:tc>
          <w:tcPr>
            <w:vAlign w:val="top"/>
            <w:tcBorders>
              <w:top w:val="single" w:sz="4" w:space="0" w:color="auto"/>
              <w:left w:val="single" w:sz="4" w:space="0" w:color="auto"/>
              <w:bottom w:val="single" w:sz="4" w:space="0" w:color="auto"/>
              <w:right w:val="single" w:sz="4" w:space="0" w:color="auto"/>
            </w:tcBorders>
          </w:tcPr>
          <w:p w14:paraId="00100D89" w14:textId="00100DBC">
            <w:pPr>
              <w:pStyle w:val="Normal"/>
              <w:jc w:val="left"/>
            </w:pPr>
            <w:r>
              <w:t xml:space="preserve">Share-based payment and other reserve movements</w:t>
            </w:r>
          </w:p>
        </w:tc>
        <w:tc>
          <w:tcPr>
            <w:vAlign w:val="center"/>
            <w:tcBorders>
              <w:top w:val="single" w:sz="4" w:space="0" w:color="auto"/>
              <w:left w:val="single" w:sz="4" w:space="0" w:color="auto"/>
              <w:bottom w:val="single" w:sz="4" w:space="0" w:color="auto"/>
              <w:right w:val="single" w:sz="4" w:space="0" w:color="auto"/>
            </w:tcBorders>
          </w:tcPr>
          <w:p w14:paraId="00100D8B" w14:textId="00100DBD">
            <w:pPr>
              <w:pStyle w:val="Normal"/>
              <w:jc w:val="left"/>
            </w:pPr>
            <w:r>
              <w:t xml:space="preserve">9.3</w:t>
            </w:r>
          </w:p>
        </w:tc>
        <w:tc>
          <w:tcPr>
            <w:vAlign w:val="center"/>
            <w:tcBorders>
              <w:top w:val="single" w:sz="4" w:space="0" w:color="auto"/>
              <w:left w:val="single" w:sz="4" w:space="0" w:color="auto"/>
              <w:bottom w:val="single" w:sz="4" w:space="0" w:color="auto"/>
              <w:right w:val="single" w:sz="4" w:space="0" w:color="auto"/>
            </w:tcBorders>
          </w:tcPr>
          <w:p w14:paraId="00100D8D" w14:textId="00100DBE">
            <w:pPr>
              <w:pStyle w:val="Normal"/>
              <w:jc w:val="left"/>
            </w:pPr>
            <w:r>
              <w:t xml:space="preserve">7.6</w:t>
            </w:r>
          </w:p>
        </w:tc>
      </w:tr>
      <w:tr>
        <w:tc>
          <w:tcPr>
            <w:vAlign w:val="top"/>
            <w:tcBorders>
              <w:top w:val="single" w:sz="4" w:space="0" w:color="auto"/>
              <w:left w:val="single" w:sz="4" w:space="0" w:color="auto"/>
              <w:bottom w:val="single" w:sz="4" w:space="0" w:color="auto"/>
              <w:right w:val="single" w:sz="4" w:space="0" w:color="auto"/>
            </w:tcBorders>
          </w:tcPr>
          <w:p w14:paraId="00100D8F" w14:textId="00100DBF">
            <w:pPr>
              <w:pStyle w:val="Normal"/>
              <w:jc w:val="left"/>
            </w:pPr>
            <w:r>
              <w:t xml:space="preserve">Transactions with noncontrolling interests and treasury shares</w:t>
            </w:r>
          </w:p>
        </w:tc>
        <w:tc>
          <w:tcPr>
            <w:vAlign w:val="center"/>
            <w:tcBorders>
              <w:top w:val="single" w:sz="4" w:space="0" w:color="auto"/>
              <w:left w:val="single" w:sz="4" w:space="0" w:color="auto"/>
              <w:bottom w:val="single" w:sz="4" w:space="0" w:color="auto"/>
              <w:right w:val="single" w:sz="4" w:space="0" w:color="auto"/>
            </w:tcBorders>
          </w:tcPr>
          <w:p w14:paraId="00100D91" w14:textId="00100DC0">
            <w:pPr>
              <w:pStyle w:val="Normal"/>
              <w:jc w:val="left"/>
            </w:pPr>
            <w:r>
              <w:t xml:space="preserve">(6.1)</w:t>
            </w:r>
          </w:p>
        </w:tc>
        <w:tc>
          <w:tcPr>
            <w:vAlign w:val="center"/>
            <w:tcBorders>
              <w:top w:val="single" w:sz="4" w:space="0" w:color="auto"/>
              <w:left w:val="single" w:sz="4" w:space="0" w:color="auto"/>
              <w:bottom w:val="single" w:sz="4" w:space="0" w:color="auto"/>
              <w:right w:val="single" w:sz="4" w:space="0" w:color="auto"/>
            </w:tcBorders>
          </w:tcPr>
          <w:p w14:paraId="00100D93" w14:textId="00100DC1">
            <w:pPr>
              <w:pStyle w:val="Normal"/>
              <w:jc w:val="left"/>
            </w:pPr>
            <w:r>
              <w:t xml:space="preserve">(5.4)</w:t>
            </w:r>
          </w:p>
        </w:tc>
      </w:tr>
      <w:tr>
        <w:tc>
          <w:tcPr>
            <w:vAlign w:val="top"/>
            <w:tcBorders>
              <w:top w:val="single" w:sz="4" w:space="0" w:color="auto"/>
              <w:left w:val="single" w:sz="4" w:space="0" w:color="auto"/>
              <w:bottom w:val="single" w:sz="4" w:space="0" w:color="auto"/>
              <w:right w:val="single" w:sz="4" w:space="0" w:color="auto"/>
            </w:tcBorders>
          </w:tcPr>
          <w:p w14:paraId="00100D95" w14:textId="00100DC2">
            <w:pPr>
              <w:pStyle w:val="Normal"/>
              <w:jc w:val="left"/>
            </w:pPr>
            <w:r>
              <w:t xml:space="preserve">Total equity at end of year</w:t>
            </w:r>
          </w:p>
        </w:tc>
        <w:tc>
          <w:tcPr>
            <w:vAlign w:val="center"/>
            <w:tcBorders>
              <w:top w:val="single" w:sz="4" w:space="0" w:color="auto"/>
              <w:left w:val="single" w:sz="4" w:space="0" w:color="auto"/>
              <w:bottom w:val="single" w:sz="4" w:space="0" w:color="auto"/>
              <w:right w:val="single" w:sz="4" w:space="0" w:color="auto"/>
            </w:tcBorders>
          </w:tcPr>
          <w:p w14:paraId="00100D97" w14:textId="00100DC3">
            <w:pPr>
              <w:pStyle w:val="Normal"/>
              <w:jc w:val="left"/>
            </w:pPr>
            <w:r>
              <w:t xml:space="preserve">1,646.9</w:t>
            </w:r>
          </w:p>
        </w:tc>
        <w:tc>
          <w:tcPr>
            <w:vAlign w:val="center"/>
            <w:tcBorders>
              <w:top w:val="single" w:sz="4" w:space="0" w:color="auto"/>
              <w:left w:val="single" w:sz="4" w:space="0" w:color="auto"/>
              <w:bottom w:val="single" w:sz="4" w:space="0" w:color="auto"/>
              <w:right w:val="single" w:sz="4" w:space="0" w:color="auto"/>
            </w:tcBorders>
          </w:tcPr>
          <w:p w14:paraId="00100D99" w14:textId="00100DC4">
            <w:pPr>
              <w:pStyle w:val="Normal"/>
              <w:jc w:val="left"/>
            </w:pPr>
            <w:r>
              <w:t xml:space="preserve">1,482.7</w:t>
            </w:r>
          </w:p>
        </w:tc>
      </w:tr>
    </w:tbl>
    <w:p w14:paraId="00100DC5" w14:textId="00100DC6">
      <w:pPr>
        <w:pStyle w:val="Normal"/>
        <w:jc w:val="left"/>
      </w:pPr>
      <w:r>
        <w:t xml:space="preserve">Table 11 Consolidated cash flow and equity statements</w:t>
      </w:r>
    </w:p>
    <w:p w14:paraId="00100DC7" w14:textId="00100DC8">
      <w:pPr>
        <w:pStyle w:val="Normal"/>
        <w:jc w:val="left"/>
      </w:pPr>
      <w:r>
        <w:t xml:space="preserve">7.3 Statement of Cash Flows</w:t>
      </w:r>
    </w:p>
    <w:p w14:paraId="00100DC9" w14:textId="00100DCA">
      <w:pPr>
        <w:pStyle w:val="Normal"/>
        <w:jc w:val="left"/>
      </w:pPr>
      <w:r>
        <w:t xml:space="preserve">7.3.1 Operating Activities</w:t>
      </w:r>
    </w:p>
    <w:p w14:paraId="00100DCB" w14:textId="00100DCC">
      <w:pPr>
        <w:pStyle w:val="Normal"/>
        <w:jc w:val="left"/>
      </w:pPr>
      <w:r>
        <w:t xml:space="preserve">Cash generated from operations remained the principal source of funding for Rivermark Holdings during 2024. Net cash generated from operating activities increased to 412.6 million, compared with 368.9 million in the prior year, reflecting stronger operating profit, disciplined collections, and a lower cash outflow for restructuring actions undertaken in earlier periods. The group converted reported earnings into cash through a combination of margin improvement in Industrial Solutions, more stable customer receipts in Consumer Platforms, and milestone billings in Infrastructure Services that were collected within planned terms.</w:t>
      </w:r>
    </w:p>
    <w:p w14:paraId="00100DCD" w14:textId="00100DCE">
      <w:pPr>
        <w:pStyle w:val="Normal"/>
        <w:jc w:val="left"/>
      </w:pPr>
      <w:r>
        <w:t xml:space="preserve">Operating cash flow also benefited from tighter control over procurement timing, inventory replenishment, and discretionary spending. Cash taxes and interest remained material uses of funds, but these were offset by improved operating leverage and more consistent project execution. Non-cash items, including depreciation, amortization, and share-based payment expense, continued to support the reconciliation from profit to operating cash flow, while movements in provisions were broadly in line with management expectations.</w:t>
      </w:r>
    </w:p>
    <w:p w14:paraId="00100DCF" w14:textId="00100DD0">
      <w:pPr>
        <w:pStyle w:val="Normal"/>
        <w:jc w:val="left"/>
      </w:pPr>
      <w:r>
        <w:t xml:space="preserve">Overall, the cash flow outcome indicates that underlying operations generated sufficient liquidity to fund reinvestment, meet financing obligations, and support shareholder distributions without impairing day-to-day financial flexibility. Management considers this level of operating cash generation an important indicator of earnings quality and resilience across the cycle.</w:t>
      </w:r>
    </w:p>
    <w:p w14:paraId="00100DD1" w14:textId="00100DD2">
      <w:pPr>
        <w:pStyle w:val="Normal"/>
        <w:jc w:val="left"/>
      </w:pPr>
      <w:r>
        <w:t xml:space="preserve">Working capital management remained a significant contributor to cash conversion in the year. Receivables performance improved as overdue balances reduced in the second half, particularly in larger enterprise accounts and public-sector contracts. Inventory discipline also strengthened, with procurement planning better aligned to forecast demand and project schedules, limiting excess stock while preserving service levels. Payables timing normalized after elevated settlements in the prior period, resulting in a more balanced cash profile across the year.</w:t>
      </w:r>
    </w:p>
    <w:p w14:paraId="00100DD3" w14:textId="00100DD4">
      <w:pPr>
        <w:pStyle w:val="Normal"/>
        <w:jc w:val="left"/>
      </w:pPr>
      <w:r>
        <w:t xml:space="preserve">Cash conversion was supported by closer coordination between commercial, operations, and finance teams. In Infrastructure Services, contract billing milestones were monitored more rigorously to shorten the interval between delivery and collection. In Consumer Platforms, promotional and channel activity was managed with greater attention to margin and settlement timing, which helped avoid revenue growth that did not translate into cash. Industrial Solutions benefited from improved production planning and lower expedited freight costs, reducing pressure on short-term working capital.</w:t>
      </w:r>
    </w:p>
    <w:p w14:paraId="00100DD5" w14:textId="00100DD6">
      <w:pPr>
        <w:pStyle w:val="Normal"/>
        <w:jc w:val="left"/>
      </w:pPr>
      <w:r>
        <w:t xml:space="preserve">Although working capital demands remain sensitive to project phasing, customer mix, and input-cost volatility, the year-end position shows that operating growth did not require a disproportionate increase in cash tied up in the business. This improvement in conversion strengthens the group’s ability to self-fund investment while maintaining prudent liquidity buffers.</w:t>
      </w:r>
    </w:p>
    <w:p w14:paraId="00100DD7" w14:textId="00100DD8">
      <w:pPr>
        <w:pStyle w:val="Normal"/>
        <w:jc w:val="left"/>
      </w:pPr>
      <w:r>
        <w:t xml:space="preserve">7.3.1 Investing and Financing</w:t>
      </w:r>
    </w:p>
    <w:p w14:paraId="00100DD9" w14:textId="00100DDA">
      <w:pPr>
        <w:pStyle w:val="Normal"/>
        <w:jc w:val="left"/>
      </w:pPr>
      <w:r>
        <w:t xml:space="preserve">Investing activities resulted in a net cash outflow of 236.4 million, primarily reflecting capital expenditure on plant modernization, digital platforms, and selective capacity expansion across the group. A substantial share of the year’s investment was directed toward productivity-enhancing equipment in Industrial Solutions, customer-facing technology in Consumer Platforms, and delivery systems, fleet, and contract mobilization assets in Infrastructure Services. These expenditures were assessed against return thresholds and staged so that execution risk remained manageable.</w:t>
      </w:r>
    </w:p>
    <w:p w14:paraId="00100DDB" w14:textId="00100DDC">
      <w:pPr>
        <w:pStyle w:val="Normal"/>
        <w:jc w:val="left"/>
      </w:pPr>
      <w:r>
        <w:t xml:space="preserve">Financing activities produced a net cash outflow of 141.8 million. The main uses of cash were scheduled debt repayments, lease liability settlements, dividend payments to shareholders, and treasury-share transactions linked to employee incentive plans. These outflows were partly offset by drawings under committed facilities and cash retained from operations. Financing decisions during the year were designed to preserve maturity diversification and avoid excessive refinancing concentration in any single period.</w:t>
      </w:r>
    </w:p>
    <w:p w14:paraId="00100DDD" w14:textId="00100DDE">
      <w:pPr>
        <w:pStyle w:val="Normal"/>
        <w:jc w:val="left"/>
      </w:pPr>
      <w:r>
        <w:t xml:space="preserve">Taken together, investing and financing movements reflect a balanced capital allocation approach: the group continued to invest for growth and resilience while also reducing selected obligations and returning capital to shareholders. Management believes this pattern is consistent with the group’s medium-term objective of sustaining growth without compromising leverage discipline.</w:t>
      </w:r>
    </w:p>
    <w:p w14:paraId="00100DDF" w14:textId="00100DE0">
      <w:pPr>
        <w:pStyle w:val="Normal"/>
        <w:jc w:val="left"/>
      </w:pPr>
      <w:r>
        <w:t xml:space="preserve">Rivermark Holdings ended the year with cash and cash equivalents of 320.5 million, up from 286.1 million at the beginning of the period. This closing balance, together with undrawn committed facilities, provided adequate liquidity for seasonal working capital needs, capital commitments already approved, and known debt-service requirements. The group maintained access to diversified funding sources, including bank facilities, bilateral arrangements, and lease financing matched to operational asset use.</w:t>
      </w:r>
    </w:p>
    <w:p w14:paraId="00100DE1" w14:textId="00100DE2">
      <w:pPr>
        <w:pStyle w:val="Normal"/>
        <w:jc w:val="left"/>
      </w:pPr>
      <w:r>
        <w:t xml:space="preserve">Liquidity management remained focused on preserving headroom under downside scenarios. Treasury monitored rolling cash forecasts, covenant compliance, and near-term maturity concentrations, while business units were required to update expected receipts and expenditure profiles on a recurring basis. This approach improved visibility over operational cash risks and supported timely funding decisions. No material covenant breaches or liquidity stress events were recorded during the year.</w:t>
      </w:r>
    </w:p>
    <w:p w14:paraId="00100DE3" w14:textId="00100DE4">
      <w:pPr>
        <w:pStyle w:val="Normal"/>
        <w:jc w:val="left"/>
      </w:pPr>
      <w:r>
        <w:t xml:space="preserve">The group’s funding position therefore remained resilient despite ongoing macroeconomic uncertainty, interest-rate volatility, and uneven customer demand across some markets. Management considers the year-end liquidity profile sufficient to support both ordinary operations and priority investments, while retaining flexibility to respond to acquisition opportunities, supply-chain disruption, or temporary market weakness.</w:t>
      </w:r>
    </w:p>
    <w:p w14:paraId="00100DE5" w14:textId="00100DE6">
      <w:pPr>
        <w:pStyle w:val="Normal"/>
        <w:jc w:val="left"/>
      </w:pPr>
      <w:r>
        <w:t xml:space="preserve">7.3 Statement of Changes in Equity</w:t>
      </w:r>
    </w:p>
    <w:p w14:paraId="00100DE7" w14:textId="00100DE8">
      <w:pPr>
        <w:pStyle w:val="Normal"/>
        <w:jc w:val="left"/>
      </w:pPr>
      <w:r>
        <w:t xml:space="preserve">7.3.2 Owner Transactions</w:t>
      </w:r>
    </w:p>
    <w:p w14:paraId="00100DE9" w14:textId="00100DEA">
      <w:pPr>
        <w:pStyle w:val="Normal"/>
        <w:jc w:val="left"/>
      </w:pPr>
      <w:r>
        <w:t xml:space="preserve">Equity movements during 2024 reflected profit generation, shareholder distributions, reserve movements, and limited share transactions. Total equity increased from 1,482.7 million to 1,646.9 million, with the largest contribution arising from profit for the year of 214.9 million. This increase was partly offset by dividends paid of 72.5 million and by transactions involving treasury shares and noncontrolling interests. Other comprehensive income and share-based payment reserve movements also contributed positively to the closing balance.</w:t>
      </w:r>
    </w:p>
    <w:p w14:paraId="00100DEB" w14:textId="00100DEC">
      <w:pPr>
        <w:pStyle w:val="Normal"/>
        <w:jc w:val="left"/>
      </w:pPr>
      <w:r>
        <w:t xml:space="preserve">Owner transactions were undertaken within the group’s existing capital management framework. Dividend distributions remained aligned with earnings capacity, investment requirements, and leverage objectives. Treasury-share activity was mainly associated with satisfying employee incentive plan obligations and maintaining an efficient capital structure rather than executing broad-based market intervention. No significant new equity issuance was undertaken, and there were no capital contributions of a scale that altered control or the balance of ownership interests.</w:t>
      </w:r>
    </w:p>
    <w:p w14:paraId="00100DED" w14:textId="00100DEE">
      <w:pPr>
        <w:pStyle w:val="Normal"/>
        <w:jc w:val="left"/>
      </w:pPr>
      <w:r>
        <w:t xml:space="preserve">From a governance perspective, the statement of changes in equity demonstrates that capital was managed conservatively. The group preserved balance-sheet strength while continuing to reward shareholders and support long-term incentive arrangements. Management views the year’s equity movements as consistent with a disciplined approach to capital allocation, with sufficient retained earnings to support future investment and financial resilience.</w:t>
      </w:r>
    </w:p>
    <w:p w14:paraId="00100DEF" w14:textId="00100DF0">
      <w:pPr>
        <w:pStyle w:val="Normal"/>
        <w:jc w:val="left"/>
      </w:pPr>
      <w:r>
        <w:t xml:space="preserve">Dividends to owners are recognized in equity in the period in which they are approved by the Board and, where required, authorized by shareholders. During the year, Rivermark Holdings paid the final prior-year dividend and an interim dividend, resulting in total cash distributions of $186.4 million. A final dividend in respect of the current year has been proposed after the reporting date; because it had not been approved at year end, it has not been recognized as a liability in these consolidated statements and will be presented in the subsequent reporting period when authorized.</w:t>
      </w:r>
    </w:p>
    <w:p w14:paraId="00100DF1" w14:textId="00100DF2">
      <w:pPr>
        <w:pStyle w:val="Normal"/>
        <w:jc w:val="left"/>
      </w:pPr>
      <w:r>
        <w:t xml:space="preserve">Changes in ownership interests that do not result in a loss of control are accounted for as equity transactions. Where the Group increased or decreased its interest in existing subsidiaries while retaining control, the carrying amounts of controlling and noncontrolling interests were adjusted to reflect the revised ownership percentages, and any difference between the amount by which the noncontrolling interests were adjusted and the fair value of consideration paid or received was recognized directly in equity attributable to owners of the parent. No gain or loss is recognized in profit or loss on such transactions because they are viewed as dealings with owners in their capacity as owners. Where ownership changes involve loss of control, the related assets, liabilities, noncontrolling interests, and cumulative reserve balances are derecognized or reclassified in accordance with the relevant accounting requirements.</w:t>
      </w:r>
    </w:p>
    <w:p w14:paraId="00100DF3" w14:textId="00100DF4">
      <w:pPr>
        <w:pStyle w:val="Normal"/>
        <w:jc w:val="left"/>
      </w:pPr>
      <w:r>
        <w:t xml:space="preserve">7.3.2 Comprehensive Income</w:t>
      </w:r>
    </w:p>
    <w:p w14:paraId="00100DF5" w14:textId="00100DF6">
      <w:pPr>
        <w:pStyle w:val="Normal"/>
        <w:jc w:val="left"/>
      </w:pPr>
      <w:r>
        <w:t xml:space="preserve">Total comprehensive income comprises profit for the year and other comprehensive income recognized outside profit or loss. Profit for the year reflects the results of Rivermark Holdings’ operating activities, financing costs, tax expense, and the share of results from equity-accounted investees. Other comprehensive income includes items that accounting standards require to be recorded directly in equity through reserves before, in some cases, subsequent reclassification to profit or loss. For the year, the principal components were foreign currency translation movements on overseas operations, fair-value movements on designated hedging instruments, and actuarial remeasurements on defined benefit obligations.</w:t>
      </w:r>
    </w:p>
    <w:p w14:paraId="00100DF7" w14:textId="00100DF8">
      <w:pPr>
        <w:pStyle w:val="Normal"/>
        <w:jc w:val="left"/>
      </w:pPr>
      <w:r>
        <w:t xml:space="preserve">Items that may be reclassified subsequently to profit or loss are presented separately from items that will not be reclassified. Currency translation differences remain in the foreign currency translation reserve until the related operation is disposed of or substantially liquidated. Effective portions of cash flow hedge movements are deferred in the hedging reserve and transferred to profit or loss when the hedged transaction affects earnings. By contrast, remeasurements of defined benefit plans are recognized in other comprehensive income and are not recycled through profit or loss in future periods. This distinction is important for understanding period performance: management reviews profit for operating accountability, while total comprehensive income provides a broader view of changes in net assets arising from both market-based valuation effects and operating results.</w:t>
      </w:r>
    </w:p>
    <w:p w14:paraId="00100DF9" w14:textId="00100DFA">
      <w:pPr>
        <w:pStyle w:val="Normal"/>
        <w:jc w:val="left"/>
      </w:pPr>
      <w:r>
        <w:t xml:space="preserve">Equity reserves moved during the year as a result of both current-period performance and valuation changes recognized outside profit or loss. The foreign currency translation reserve reflected the continued effect of exchange-rate movements on the net assets of businesses operating in Coastal Union, North Valley, and Eastport Corridor markets. The reserve increased modestly where local currencies strengthened against the Group’s presentation currency and decreased where translation effects reversed from prior-period gains. These movements do not represent realized cash gains or losses, but they affect reported equity until the underlying operations are disposed of.</w:t>
      </w:r>
    </w:p>
    <w:p w14:paraId="00100DFB" w14:textId="00100DFC">
      <w:pPr>
        <w:pStyle w:val="Normal"/>
        <w:jc w:val="left"/>
      </w:pPr>
      <w:r>
        <w:t xml:space="preserve">The cash flow hedge reserve changed in line with mark-to-market movements on interest-rate and foreign-exchange hedging instruments used to manage borrowing costs and forecast procurement exposures. Amounts recognized in this reserve were transferred to profit or loss as hedged cash flows occurred, particularly in relation to floating-rate debt and contracted import purchases. In addition, the remeasurement reserve for defined benefit obligations moved primarily because of updated discount rates and asset-return assumptions at year end. Those actuarial movements were recorded directly in equity through other comprehensive income and were not reclassified subsequently. Taken together, reserve remeasurement movements explain why closing equity changed by an amount different from retained earnings alone, and they provide a clearer bridge between statutory profit and total comprehensive income attributable to shareholders.</w:t>
      </w:r>
    </w:p>
    <w:p w14:paraId="00100DFD" w14:textId="00100DFE">
      <w:pPr>
        <w:pStyle w:val="Normal"/>
        <w:jc w:val="left"/>
      </w:pPr>
      <w:r>
        <w:t xml:space="preserve">7. Accounting Basis</w:t>
      </w:r>
    </w:p>
    <w:p w14:paraId="00100DFF" w14:textId="00100E00">
      <w:pPr>
        <w:pStyle w:val="Normal"/>
        <w:jc w:val="left"/>
      </w:pPr>
      <w:r>
        <w:t xml:space="preserve">7.4 Preparation and Consolidation</w:t>
      </w:r>
    </w:p>
    <w:p w14:paraId="00100E01" w14:textId="00100E02">
      <w:pPr>
        <w:pStyle w:val="Normal"/>
        <w:jc w:val="left"/>
      </w:pPr>
      <w:r>
        <w:t xml:space="preserve">7.4.1 Reporting Framework</w:t>
      </w:r>
    </w:p>
    <w:p w14:paraId="00100E03" w14:textId="00100E04">
      <w:pPr>
        <w:pStyle w:val="Normal"/>
        <w:jc w:val="left"/>
      </w:pPr>
      <w:r>
        <w:t xml:space="preserve">These consolidated financial statements have been prepared for Rivermark Holdings and its controlled entities for the year ended 31 December 2025. The statements have been prepared in accordance with the applicable financial reporting framework adopted by the Group, including International Financial Reporting Standards as issued by the International Accounting Standards Board and related interpretations in effect for the reporting period. The Board approved the financial statements for issue after completion of management review, Audit and Risk Committee oversight, and the year-end audit process.</w:t>
      </w:r>
    </w:p>
    <w:p w14:paraId="00100E05" w14:textId="00100E06">
      <w:pPr>
        <w:pStyle w:val="Normal"/>
        <w:jc w:val="left"/>
      </w:pPr>
      <w:r>
        <w:t xml:space="preserve">The consolidated statements are presented in Rivermark dollars, which is the functional and presentation currency of the parent company. All amounts are rounded to the nearest tenth of a million unless otherwise stated. Comparative information for the prior year is presented on a basis consistent with the current year except where a revised presentation or accounting policy change is specifically disclosed. The reporting period comprises twelve months and covers the full financial year for the parent and all material subsidiaries, except where entities acquired or disposed of during the year are included from the date control commenced or excluded from the date control ceased. The accounting policies described in the notes have been applied consistently across the Group unless a specific note explains a departure required by a new standard or a change in underlying facts and circumstances.</w:t>
      </w:r>
    </w:p>
    <w:p w14:paraId="00100E07" w14:textId="00100E08">
      <w:pPr>
        <w:pStyle w:val="Normal"/>
        <w:jc w:val="left"/>
      </w:pPr>
      <w:r>
        <w:t xml:space="preserve">The consolidated financial statements have been prepared primarily on the historical cost basis, except for categories of assets and liabilities that are required to be measured at fair value or remeasured using present-value techniques. These include certain derivative financial instruments, contingent consideration balances, defined benefit plan obligations, and selected financial assets designated at fair value through other comprehensive income or profit or loss. Historical cost is generally based on the fair value of the consideration given in exchange for assets at the date of acquisition.</w:t>
      </w:r>
    </w:p>
    <w:p w14:paraId="00100E09" w14:textId="00100E0A">
      <w:pPr>
        <w:pStyle w:val="Normal"/>
        <w:jc w:val="left"/>
      </w:pPr>
      <w:r>
        <w:t xml:space="preserve">In applying the reporting framework, management uses accrual accounting except for cash flow information, which is presented on a cash basis in the statement of cash flows. Assets and liabilities are classified as current or noncurrent according to the Group’s normal operating cycle and contractual settlement expectations. Revenue and expenses are recognized in the period to which they relate, and material estimates are used where precise outcomes are not yet known, including in impairment testing, tax positions, provisions, lease terms, and useful-life assessments. Fair-value measurements are categorized using observable market inputs where available and valuation models where markets are less active. The preparation basis therefore combines standardized recognition rules with management judgment, ensuring that reported balances reflect both transaction evidence and the economic substance of complex arrangements.</w:t>
      </w:r>
    </w:p>
    <w:p w14:paraId="00100E0B" w14:textId="00100E0C">
      <w:pPr>
        <w:pStyle w:val="Normal"/>
        <w:jc w:val="left"/>
      </w:pPr>
      <w:r>
        <w:t xml:space="preserve">7.4.1 Group Boundaries</w:t>
      </w:r>
    </w:p>
    <w:p w14:paraId="00100E0D" w14:textId="00100E0E">
      <w:pPr>
        <w:pStyle w:val="Normal"/>
        <w:jc w:val="left"/>
      </w:pPr>
      <w:r>
        <w:t xml:space="preserve">The Group boundary for consolidation comprises the parent company, Rivermark Holdings, and all entities over which it has control at the reporting date. Control exists when the Group has power over the investee, exposure or rights to variable returns from its involvement, and the ability to use that power to affect those returns. Controlled entities are consolidated from the date on which control passes to the Group and are deconsolidated from the date that control ceases. Intra-group balances, transactions, unrealized gains, and unrealized losses are eliminated in full on consolidation to present the financial position and results of the Group as a single economic entity.</w:t>
      </w:r>
    </w:p>
    <w:p w14:paraId="00100E0F" w14:textId="00100E10">
      <w:pPr>
        <w:pStyle w:val="Normal"/>
        <w:jc w:val="left"/>
      </w:pPr>
      <w:r>
        <w:t xml:space="preserve">Interests in associates and joint ventures are not consolidated line by line because the Group does not control those entities, although it may exercise significant influence or joint control. Such investments are accounted for using the equity method, under which the initial investment is adjusted for the Group’s share of post-acquisition profits, losses, and other comprehensive income, less dividends received. Judgments arise particularly where shareholder agreements, board appointment rights, protective rights, veto matters, or dispersed ownership structures affect the practical ability to direct relevant activities. Management evaluates these features on a facts-and-circumstances basis, especially in cases where ownership is below a simple majority but contractual rights or de facto control indicators support consolidation, or where majority ownership exists but substantive joint decision requirements prevent unilateral control.</w:t>
      </w:r>
    </w:p>
    <w:p w14:paraId="00100E11" w14:textId="00100E12">
      <w:pPr>
        <w:pStyle w:val="Normal"/>
        <w:jc w:val="left"/>
      </w:pPr>
      <w:r>
        <w:t xml:space="preserve">Assessment of the consolidation scope is performed at acquisition, on formation of new arrangements, and whenever there is a change in ownership, governance rights, financing terms, or operating decision processes. The analysis focuses on the activities that most significantly affect an investee’s returns, the party that directs those activities, and whether decision-making rights are substantive rather than protective. In structured arrangements and special-purpose vehicles, the Group also considers design features, exposure to residual returns, guarantees, purchase commitments, and practical ability to remove a decision maker. This broader analysis is necessary because legal form alone may not reflect economic control.</w:t>
      </w:r>
    </w:p>
    <w:p w14:paraId="00100E13" w14:textId="00100E14">
      <w:pPr>
        <w:pStyle w:val="Normal"/>
        <w:jc w:val="left"/>
      </w:pPr>
      <w:r>
        <w:t xml:space="preserve">Where control is established, the investee’s assets, liabilities, income, and expenses are included in the consolidated statements in full, with noncontrolling interests presented separately within equity and profit attribution. When the Group’s shareholding changes without loss of control, the transaction is treated within equity; when control is lost, the remaining interest is remeasured as required and any resulting gain or loss is recognized. Management has applied judgment in determining whether certain investment vehicles and regional operating partnerships should be consolidated, equity accounted, or treated as financial investments. These judgments affect reported revenue, assets, liabilities, and leverage metrics and are therefore reviewed through the year by finance leadership and the Audit and Risk Committee to ensure that the scope of consolidation remains aligned with both contractual rights and the substance of the Group’s economic exposure.</w:t>
      </w:r>
    </w:p>
    <w:p w14:paraId="00100E15" w14:textId="00100E16">
      <w:pPr>
        <w:pStyle w:val="Normal"/>
        <w:jc w:val="left"/>
      </w:pPr>
      <w:r>
        <w:t xml:space="preserve">7.4 Critical Judgments</w:t>
      </w:r>
    </w:p>
    <w:p w14:paraId="00100E17" w14:textId="00100E18">
      <w:pPr>
        <w:pStyle w:val="Normal"/>
        <w:jc w:val="left"/>
      </w:pPr>
      <w:r>
        <w:t xml:space="preserve">7.4.2 Estimation Uncertainty</w:t>
      </w:r>
    </w:p>
    <w:p w14:paraId="00100E19" w14:textId="00100E1A">
      <w:pPr>
        <w:pStyle w:val="Normal"/>
        <w:jc w:val="left"/>
      </w:pPr>
      <w:r>
        <w:t xml:space="preserve">The preparation of the consolidated financial statements requires management to make judgments that cannot be resolved from observable data alone. The most significant estimates relate to impairment testing of goodwill and other non-financial assets, expected credit losses on trade receivables and contract assets, valuation of provisions, and the recognition of deferred tax assets. In each case, the estimate is anchored in approved budgets, operating forecasts, contractual evidence, historical experience, and externally observed market inputs, but the eventual outcome may differ materially as conditions change.</w:t>
      </w:r>
    </w:p>
    <w:p w14:paraId="00100E1B" w14:textId="00100E1C">
      <w:pPr>
        <w:pStyle w:val="Normal"/>
        <w:jc w:val="left"/>
      </w:pPr>
      <w:r>
        <w:t xml:space="preserve">Goodwill and long-lived assets are tested using cash-flow projections that reflect current segment plans, expected margins, renewal rates, and discount rates. The recoverable amounts are therefore sensitive to changes in demand, pricing, execution timing, and capital intensity. Similarly, credit loss estimates depend on customer concentration, aging profiles, and forward-looking information, especially where collections are influenced by macroeconomic conditions or project milestones. Provisions for claims, restructuring, and restoration obligations require judgments about probability, timing, and expected settlement amounts, while deferred tax assets are recognized only to the extent that future taxable profits are considered supportable on a prudent basis.</w:t>
      </w:r>
    </w:p>
    <w:p w14:paraId="00100E1D" w14:textId="00100E1E">
      <w:pPr>
        <w:pStyle w:val="Normal"/>
        <w:jc w:val="left"/>
      </w:pPr>
      <w:r>
        <w:t xml:space="preserve">The underlying uncertainty in these estimates is managed through governance and review rather than eliminated. Forecasts are challenged at segment and group level, assumptions are benchmarked against market data where available, and material balances are tested for consistency against subsequent trading results and contractual developments. Management also considers reasonably possible downside and upside scenarios when assessing carrying values, particularly for impairment-sensitive assets and litigation-related provisions. These scenario assessments do not predict a single outcome; instead, they define the range of values within which the reported balances may move if operating performance, interest rates, exchange rates, or project delivery assumptions change.</w:t>
      </w:r>
    </w:p>
    <w:p w14:paraId="00100E1F" w14:textId="00100E20">
      <w:pPr>
        <w:pStyle w:val="Normal"/>
        <w:jc w:val="left"/>
      </w:pPr>
      <w:r>
        <w:t xml:space="preserve">Accordingly, the reported amounts in the statement of financial position and statement of profit or loss are necessarily subject to revision in future periods. Where a later event provides additional evidence about conditions existing at the reporting date, estimates are revised and reflected prospectively or through adjustment, as appropriate under the relevant accounting policy. The notes on goodwill, provisions, tax, receivables, and financial instruments should therefore be read together, because those disclosures explain the principal assumptions, sensitivity ranges, and practical limits of estimation in the current year.</w:t>
      </w:r>
    </w:p>
    <w:p w14:paraId="00100E21" w14:textId="00100E22">
      <w:pPr>
        <w:pStyle w:val="Normal"/>
        <w:jc w:val="left"/>
      </w:pPr>
      <w:r>
        <w:t xml:space="preserve">7.4.2 Policy Changes</w:t>
      </w:r>
    </w:p>
    <w:p w14:paraId="00100E23" w14:textId="00100E24">
      <w:pPr>
        <w:pStyle w:val="Normal"/>
        <w:jc w:val="left"/>
      </w:pPr>
      <w:r>
        <w:t xml:space="preserve">During the year, the Group assessed the effect of new standards and amendments issued by the relevant accounting setters and adopted those that were mandatory for the reporting period. The changes primarily affected disclosure presentation, classification of certain liabilities, and the level of detail required in note reporting, rather than the fundamental recognition of revenue, assets, or earnings. Management reviewed each pronouncement against the Group’s transaction profile, contract terms, lease portfolio, funding arrangements, and sustainability-related reporting controls to determine whether any material adjustments to measurement, opening balances, or comparative information were required.</w:t>
      </w:r>
    </w:p>
    <w:p w14:paraId="00100E25" w14:textId="00100E26">
      <w:pPr>
        <w:pStyle w:val="Normal"/>
        <w:jc w:val="left"/>
      </w:pPr>
      <w:r>
        <w:t xml:space="preserve">Where a new requirement applied only to presentation or disclosures, it was implemented within the current-year report without a change to the underlying accounting basis. Where a requirement influenced measurement or classification, the Group evaluated transition options and selected the approach that best preserved comparability while remaining consistent with the standard’s mandatory provisions. The adoption process included legal review, accounting memoranda, system testing, and approval through the Group’s financial reporting governance structure before the reporting timetable was finalized.</w:t>
      </w:r>
    </w:p>
    <w:p w14:paraId="00100E27" w14:textId="00100E28">
      <w:pPr>
        <w:pStyle w:val="Normal"/>
        <w:jc w:val="left"/>
      </w:pPr>
      <w:r>
        <w:t xml:space="preserve">The transition effects recognized in the current year were not material to consolidated profit, net assets, or cash flows. However, the Group has recorded the changes in presentation and disclosure to ensure continuity with the comparative period and to support users who rely on the statements for trend analysis. In a small number of cases, prior-period figures were reclassified to align with the revised presentation, but no error correction was identified. Looking ahead, management continues to monitor pending standards and interpretation developments, particularly where future requirements may affect lease accounting, income tax presentation, or expanded disclosure obligations. The assessment of those changes will continue as part of the Group’s annual reporting cycle, with any future impacts communicated in the period of adoption.</w:t>
      </w:r>
    </w:p>
    <w:p w14:paraId="00101CFA" w14:textId="00101CFB">
      <w:pPr>
        <w:pStyle w:val="Normal"/>
        <w:jc w:val="left"/>
        <w:sectPr>
          <w:type w:val="nextPage"/>
          <w:pgSz w:w="11906" w:h="16838"/>
          <w:pgMar w:top="1440" w:right="1440" w:bottom="1440" w:left="1440" w:header="1440" w:footer="1440" w:gutter="0"/>
          <w:cols w:space="720" w:num="1"/>
        </w:sectPr>
      </w:pPr>
    </w:p>
    <w:p w14:paraId="00100E2D" w14:textId="00100E2E">
      <w:pPr>
        <w:pStyle w:val="Normal"/>
        <w:jc w:val="left"/>
      </w:pPr>
      <w:r>
        <w:t xml:space="preserve">Chapter 8 Financial Note Disclosures</w:t>
      </w:r>
    </w:p>
    <w:p w14:paraId="00100E2F" w14:textId="00100E30">
      <w:pPr>
        <w:pStyle w:val="Normal"/>
        <w:jc w:val="left"/>
      </w:pPr>
      <w:r>
        <w:t xml:space="preserve">This section provides the detailed disclosures that support the consolidated statements and the operating discussion presented earlier in the report. It explains how Rivermark Holdings defines the reporting group, recognizes and disaggregates revenue, measures significant assets and liabilities, and applies judgment in areas where accounting outcomes depend on estimates, contractual interpretation, or management assessment. The notes are structured to move from the composition of the group and the sources of revenue to asset funding, tax, equity, people-related matters, related parties, and events after the reporting date.</w:t>
      </w:r>
    </w:p>
    <w:p w14:paraId="00100E31" w14:textId="00100E32">
      <w:pPr>
        <w:pStyle w:val="Normal"/>
        <w:jc w:val="left"/>
      </w:pPr>
      <w:r>
        <w:t xml:space="preserve">In preparing these disclosures, management has aimed to combine statutory completeness with decision-useful explanation. Accordingly, tables and schedules are accompanied by narrative discussion of key movements, control conclusions, and areas of uncertainty. Where balances are sensitive to assumptions, the note text highlights the relevant drivers and the basis on which amounts have been recognized, measured, or disclosed. Together, these notes are intended to allow shareholders, lenders, regulators, and other users to trace reported figures to the underlying business arrangements and to understand the principal accounting judgments that shape the Group’s reported position and performance.</w:t>
      </w:r>
    </w:p>
    <w:p w14:paraId="00100E33" w14:textId="00100E34">
      <w:pPr>
        <w:pStyle w:val="Normal"/>
        <w:jc w:val="left"/>
      </w:pPr>
      <w:r>
        <w:t xml:space="preserve">The disclosures in this chapter should be read together with the accounting basis, primary statements, and the performance measures included elsewhere in the annual report. Certain schedules present summarized line-item movements, while the accompanying note narrative explains the transactions, assumptions, and management judgments that caused those movements. This is particularly important where the economic substance of an arrangement does not follow its legal form exactly, such as in control assessments, acquisition accounting, lease terms, revenue timing, and deferred tax recognition.</w:t>
      </w:r>
    </w:p>
    <w:p w14:paraId="00100E35" w14:textId="00100E36">
      <w:pPr>
        <w:pStyle w:val="Normal"/>
        <w:jc w:val="left"/>
      </w:pPr>
      <w:r>
        <w:t xml:space="preserve">For clarity, Rivermark Holdings organizes note schedules around the way the business is managed and financed. Group composition notes identify the legal entities included in consolidation and describe the basis for determining control or significant influence. Revenue notes explain the contract features, performance obligations, and timing patterns that give rise to reported income across segments and markets. Later notes address asset classes, funding instruments, provisions, and people-related obligations with a similar approach: first the accounting basis, then the detailed schedule, then the principal sensitivities or judgment areas. This structure is intended to make the disclosures both technically robust and practical for readers comparing current-year results with prior periods.</w:t>
      </w:r>
    </w:p>
    <w:p w14:paraId="00100E37" w14:textId="00100E38">
      <w:pPr>
        <w:pStyle w:val="Normal"/>
        <w:jc w:val="left"/>
      </w:pPr>
      <w:r>
        <w:t xml:space="preserve">8. Group and Revenue Notes</w:t>
      </w:r>
    </w:p>
    <w:p w14:paraId="00100E39" w14:textId="00100E3A">
      <w:pPr>
        <w:pStyle w:val="Normal"/>
        <w:jc w:val="left"/>
      </w:pPr>
      <w:r>
        <w:t xml:space="preserve">The Group and Revenue Notes establish the foundation for understanding how Rivermark Holdings defines the perimeter of consolidation and how it translates commercial activity into reported revenue. These notes cover controlled entities, changes in the composition of the Group through acquisitions or disposals, and the principal features of customer contracts across Industrial Solutions, Consumer Platforms, and Infrastructure Services. Because these topics affect both the statement of financial position and the statement of profit or loss, they are presented first within the detailed note disclosures.</w:t>
      </w:r>
    </w:p>
    <w:p w14:paraId="00100E3B" w14:textId="00100E3C">
      <w:pPr>
        <w:pStyle w:val="Normal"/>
        <w:jc w:val="left"/>
      </w:pPr>
      <w:r>
        <w:t xml:space="preserve">Particular attention is given to transactions and arrangements that require management judgment. In the case of group composition, the central question is whether Rivermark Holdings has power over an investee, exposure to variable returns, and the practical ability to use that power to affect those returns. In the case of revenue, the note explains how management identifies distinct performance obligations, determines transaction prices including variable consideration, and decides whether revenue should be recognized over time or at a point in time. The schedules that follow are intended to show not only what was reported, but why those reporting outcomes are appropriate in light of the underlying business facts.</w:t>
      </w:r>
    </w:p>
    <w:p w14:paraId="00100E3D" w14:textId="00100E3E">
      <w:pPr>
        <w:pStyle w:val="Normal"/>
        <w:jc w:val="left"/>
      </w:pPr>
      <w:r>
        <w:t xml:space="preserve">Group revenue is measured based on consideration specified in customer contracts, net of rebates, discounts, returns, and indirect taxes collected on behalf of tax authorities. The disclosure basis reflects the diversity of the Group’s operating model. Industrial Solutions primarily records revenue from product supply and related service bundles, Consumer Platforms recognizes revenue from repeat-volume product and service transactions through physical and digital channels, and Infrastructure Services recognizes revenue from project-based and recurring service arrangements, often using progress measures that reflect transfer of control over time.</w:t>
      </w:r>
    </w:p>
    <w:p w14:paraId="00100E3F" w14:textId="00100E40">
      <w:pPr>
        <w:pStyle w:val="Normal"/>
        <w:jc w:val="left"/>
      </w:pPr>
      <w:r>
        <w:t xml:space="preserve">Revenue disclosures are prepared using the same internal segmentation principles that management applies in reviewing operating performance, while preserving consistency with the recognition requirements applied in the consolidated statements. Contract assets, receivables, and contract liabilities are distinguished according to whether the Group’s right to consideration is conditional, unconditional, or linked to advance customer billing. Where estimates are required, including claims, incentives, performance penalties, or volume-based rebates, Rivermark Holdings recognizes revenue only to the extent that a significant reversal is not expected. The resulting disclosures are designed to help readers understand both the composition of current-period revenue and the timing profile of future revenue recognition embedded in unsatisfied or partially satisfied obligations.</w:t>
      </w:r>
    </w:p>
    <w:p w14:paraId="00100E41" w14:textId="00100E42">
      <w:pPr>
        <w:pStyle w:val="Normal"/>
        <w:jc w:val="left"/>
      </w:pPr>
      <w:r>
        <w:t xml:space="preserve">8.1 Group Composition</w:t>
      </w:r>
    </w:p>
    <w:p w14:paraId="00100E43" w14:textId="00100E44">
      <w:pPr>
        <w:pStyle w:val="Normal"/>
        <w:jc w:val="left"/>
      </w:pPr>
      <w:r>
        <w:t xml:space="preserve">The Group Composition note bridges the legal structure of Rivermark Holdings and the consolidated financial information reported for the year. It identifies the controlled entities whose assets, liabilities, income, expenses, and cash flows are included in the Group accounts, and it highlights significant changes in that structure resulting from incorporations, acquisitions, internal reorganizations, or disposals. This bridge is important because the reported scale and comparability of the Group’s results depend not only on operational performance, but also on which entities are included within the reporting boundary at each reporting date.</w:t>
      </w:r>
    </w:p>
    <w:p w14:paraId="00100E45" w14:textId="00100E46">
      <w:pPr>
        <w:pStyle w:val="Normal"/>
        <w:jc w:val="left"/>
      </w:pPr>
      <w:r>
        <w:t xml:space="preserve">In addition to listing principal entities, the note explains the basis on which management has concluded that control exists, even where ownership is less than all of the voting interests or where contractual arrangements alter the practical distribution of decision-making rights. Conversely, where Rivermark Holdings has an economic interest but does not control the investee, the entity is excluded from full consolidation and accounted for under the relevant alternative basis. The sections that follow therefore combine entity schedules with discussion of control judgments, noncontrolling interests, and any restrictions that affect the movement of funds within the Group.</w:t>
      </w:r>
    </w:p>
    <w:p w14:paraId="00100E47" w14:textId="00100E48">
      <w:pPr>
        <w:pStyle w:val="Normal"/>
        <w:jc w:val="left"/>
      </w:pPr>
      <w:r>
        <w:t xml:space="preserve">Rivermark Holdings operates through a portfolio of legal entities organized to support market access, regulatory compliance, financing efficiency, and operational accountability across its three segments. The parent company sets overall strategy, capital allocation, risk limits, and governance requirements, while subsidiary companies conduct manufacturing, distribution, contracting, service delivery, intellectual property management, and local support functions. Although the legal structure is broader than the management reporting structure, the two are aligned through common oversight, reporting protocols, and delegated authority frameworks.</w:t>
      </w:r>
    </w:p>
    <w:p w14:paraId="00100E49" w14:textId="00100E4A">
      <w:pPr>
        <w:pStyle w:val="Normal"/>
        <w:jc w:val="left"/>
      </w:pPr>
      <w:r>
        <w:t xml:space="preserve">The control overview in this note focuses on substance as well as form. Majority shareholding is ordinarily a strong indicator of control, but management also considers board appointment rights, reserved matters, shareholder agreements, substantive veto rights, and the practical ability to direct relevant activities. In several jurisdictions, local operating companies are subject to regulatory licensing or minority participation arrangements; however, where Rivermark Holdings retains decision-making power over operating and financing policies and remains exposed to the majority of variable returns, those entities are consolidated. This approach ensures that the financial statements reflect the economic reality of the Group’s business operations rather than a narrow legal ownership view alone.</w:t>
      </w:r>
    </w:p>
    <w:p w14:paraId="00100E4B" w14:textId="00100E4C">
      <w:pPr>
        <w:pStyle w:val="Normal"/>
        <w:jc w:val="left"/>
      </w:pPr>
      <w:r>
        <w:t xml:space="preserve">8.1.1 Subsidiaries</w:t>
      </w:r>
    </w:p>
    <w:p w14:paraId="00100E4D" w14:textId="00100E50">
      <w:pPr>
        <w:pStyle w:val="Normal"/>
        <w:jc w:val="left"/>
      </w:pPr>
      <w:r>
        <w:t xml:space="preserve">Subsidiaries are entities controlled by Rivermark Holdings and are included in the consolidated financial statements from the date on which control is obtained until the date on which that control ceases. Control exists where the Group has power over the investee, is exposed or has rights to variable returns from its involvement with that investee, and has the ability to use its power to affect those returns. This assessment includes consideration of voting rights, contractual governance rights, board representation, decision-making arrangements, and any substantive potential rights. Where facts and circumstances change, control conclusions are reassessed and the effect of that reassessment is reflected in the period in which the change occurs.</w:t>
      </w:r>
      <w:r>
        <w:t xml:space="preserve">¹</w:t>
      </w:r>
      <w:r>
        <w:br/>
        <w:t xml:space="preserve">Intercompany balances, transactions, unrealized gains, and unrealized losses are eliminated in full on consolidation. Noncontrolling interests are presented separately within equity and profit attribution where Rivermark Holdings does not own the entire equity interest in a controlled entity. Judgment is required in cases involving structured arrangements, protective rights held by minority investors, or entities established for project execution, financing, or ring-fenced regulatory purposes. Management has concluded that the entities included in these disclosures are controlled on the basis of substantive decision-making power and exposure to the economic benefits and risks arising from their operations.</w:t>
      </w:r>
    </w:p>
    <w:p w14:paraId="00100E51" w14:textId="00100E52">
      <w:pPr>
        <w:pStyle w:val="Normal"/>
        <w:jc w:val="left"/>
      </w:pPr>
      <w:r>
        <w:t xml:space="preserve">The ownership and control overview should be read as a framework for the detailed subsidiary schedules that follow in later blocks of this section. In most cases, Rivermark Holdings holds direct or indirect majority voting interests and therefore controls the relevant entities through ordinary corporate governance rights. In a smaller number of cases, control arises through shareholder agreements, management rights, or contractual arrangements that provide the Group with the current ability to direct the activities that most significantly affect returns. These arrangements are common in project-led or jurisdiction-specific operating structures where legal ownership percentages alone do not fully capture economic control.</w:t>
      </w:r>
    </w:p>
    <w:p w14:paraId="00100E53" w14:textId="00100E54">
      <w:pPr>
        <w:pStyle w:val="Normal"/>
        <w:jc w:val="left"/>
      </w:pPr>
      <w:r>
        <w:t xml:space="preserve">Management distinguishes carefully between control, joint control, and significant influence because the accounting consequences are materially different. Controlled entities are fully consolidated, jointly controlled arrangements are assessed under the applicable joint arrangement framework, and associates are accounted for using the equity method where significant influence exists without control. This note therefore emphasizes the nature of rights held, the exposure to returns, and any restrictions on profit extraction or capital movement. By presenting those features alongside the ownership percentages, the disclosure helps readers understand not only which entities are included in the Group, but also the practical extent of Rivermark Holdings’ authority over operating, financing, and distribution decisions.</w:t>
      </w:r>
    </w:p>
    <w:p w14:paraId="00100E55" w14:textId="00100E56">
      <w:pPr>
        <w:pStyle w:val="Normal"/>
        <w:jc w:val="left"/>
      </w:pPr>
      <w:r>
        <w:t xml:space="preserve">8.1.1.1 Ownership Details</w:t>
      </w:r>
    </w:p>
    <w:p w14:paraId="00100E57" w14:textId="00100E58">
      <w:pPr>
        <w:pStyle w:val="Normal"/>
        <w:jc w:val="left"/>
      </w:pPr>
      <w:r>
        <w:t xml:space="preserve">At the reporting date, Rivermark Holdings controlled a diversified portfolio of subsidiaries across Industrial Solutions, Consumer Platforms, and Infrastructure Services. In most entities, ownership is straightforward: the group holds more than 50% of the voting rights, either directly through Rivermark Holdings plc or indirectly through intermediate holding companies established for operational, financing, or regional management purposes. Core operating subsidiaries in the domestic market are generally wholly owned, supporting centralized treasury, tax planning, technology standards, and brand governance. In selected growth markets, however, Rivermark Holdings operates through partially owned subsidiaries in which local partners retain minority interests to support licensing, route-to-market access, project origination, or regulatory compliance.</w:t>
      </w:r>
    </w:p>
    <w:p w14:paraId="00100E59" w14:textId="00100E5A">
      <w:pPr>
        <w:pStyle w:val="Normal"/>
        <w:jc w:val="left"/>
      </w:pPr>
      <w:r>
        <w:t xml:space="preserve">Minority holdings are concentrated in a limited number of entities where the group owns between 65% and 85% of issued share capital. These arrangements do not alter the group’s conclusion that the relevant entities are subsidiaries, because Rivermark Holdings retains the current ability to direct strategic, operating, and financing decisions through majority voting rights, board appointment powers, and reserved matters contained in shareholder agreements. Ownership percentages therefore provide the starting point for consolidation, but they are assessed together with governance rights, contractual protections, and exposure to variable returns to confirm whether control exists in substance as well as in legal form.</w:t>
      </w:r>
    </w:p>
    <w:p w14:paraId="00100E5B" w14:textId="00100E5C">
      <w:pPr>
        <w:pStyle w:val="Normal"/>
        <w:jc w:val="left"/>
      </w:pPr>
      <w:r>
        <w:t xml:space="preserve">Management’s control assessment extends beyond legal shareholding percentages and considers the full design of each investee. A simple majority interest is usually persuasive evidence of control, but it is not treated as the only determinant. Rivermark Holdings evaluates whether voting rights are substantive, whether any protective rights held by minority investors could prevent the group from directing relevant activities, and whether decision-making authority is dispersed or concentrated among a small number of parties. This is particularly important in entities established for major projects, regional distribution, or regulated services, where governance frameworks may include supermajority approvals, affirmative rights over capital expenditure, or limits on transfer of ownership interests.</w:t>
      </w:r>
    </w:p>
    <w:p w14:paraId="00100E5D" w14:textId="00100E5E">
      <w:pPr>
        <w:pStyle w:val="Normal"/>
        <w:jc w:val="left"/>
      </w:pPr>
      <w:r>
        <w:t xml:space="preserve">Judgment is also required where the group holds less than all economic interests but remains exposed to most of the upside and downside of performance. In these cases, the assessment considers who has the practical ability to appoint and remove key management, approve operating plans, control budgets, and determine financing strategy. The review is updated when there are changes in ownership, shareholder agreements, financing covenants, or the purpose and design of the entity. Based on this analysis, management concluded that the entities included in these consolidated financial statements are controlled by Rivermark Holdings, while interests lacking such power are accounted for as associates, joint ventures, or other investments, as appropriate.</w:t>
      </w:r>
    </w:p>
    <w:p w14:paraId="00100E5F" w14:textId="00100E60">
      <w:pPr>
        <w:pStyle w:val="Normal"/>
        <w:jc w:val="left"/>
      </w:pPr>
      <w:r>
        <w:t xml:space="preserve">8.1.1.1.1 Control Assessment</w:t>
      </w:r>
    </w:p>
    <w:p w14:paraId="00100E61" w14:textId="00100E62">
      <w:pPr>
        <w:pStyle w:val="Normal"/>
        <w:jc w:val="left"/>
      </w:pPr>
      <w:r>
        <w:t xml:space="preserve">Rivermark Holdings determines that it controls an investee when it has power over the investee, exposure or rights to variable returns from its involvement, and the ability to use that power to affect those returns. These three elements are considered together and are applied consistently across all legal entities in the group structure. Power is ordinarily evidenced by majority voting rights, but the group also considers contractual rights that govern relevant activities such as approval of operating plans, appointment of executive management, oversight of capital allocation, and authorization of significant acquisitions or disposals.</w:t>
      </w:r>
    </w:p>
    <w:p w14:paraId="00100E63" w14:textId="00100E64">
      <w:pPr>
        <w:pStyle w:val="Normal"/>
        <w:jc w:val="left"/>
      </w:pPr>
      <w:r>
        <w:t xml:space="preserve">The assessment is performed at acquisition and revisited whenever facts and circumstances indicate a possible change in control. Such triggers include amendments to shareholder agreements, conversion of preference instruments, exercise or lapse of options, changes in board composition, or revised financing arrangements that alter decision-making rights. In structured or project-based entities, Rivermark Holdings assesses the purpose and design of the investee to identify which activities most significantly affect returns and which party has the current ability to direct those activities. If minority protections are limited to fundamental changes or other protective matters, they do not prevent consolidation. Conversely, where rights held by other parties are substantive and can block the group’s ability to direct relevant activities, control may not exist despite a significant ownership interest.</w:t>
      </w:r>
    </w:p>
    <w:p w14:paraId="00100E65" w14:textId="00100E66">
      <w:pPr>
        <w:pStyle w:val="Normal"/>
        <w:jc w:val="left"/>
      </w:pPr>
      <w:r>
        <w:t xml:space="preserve">Relevant indicators considered in the control review include present voting rights; rights to appoint, remove, or dominate the board; decision rights over budgets, operating plans, and senior management appointments; rights arising from options or convertible instruments that are currently exercisable; and exposure to residual profits, losses, or performance-linked returns. The group also evaluates whether any rights held by minority shareholders are substantive or merely protective in nature.</w:t>
      </w:r>
    </w:p>
    <w:p w14:paraId="00100E67" w14:textId="00100E68">
      <w:pPr>
        <w:pStyle w:val="Normal"/>
        <w:jc w:val="left"/>
      </w:pPr>
      <w:r>
        <w:t xml:space="preserve">Where decision-making is shared through contractual arrangements, Rivermark Holdings assesses whether those arrangements create joint control or whether, in practice, the group retains unilateral power over the activities that most significantly affect financial performance. Evidence reviewed includes constitutional documents, shareholder agreements, financing documents, board protocols, and historical voting patterns. This assessment is inherently judgmental in a small number of cases, particularly for entities in regulated markets or under long-term concession structures, but management considers the resulting consolidation conclusions to be appropriate and supportable based on the rights and obligations in force at the reporting date.</w:t>
      </w:r>
    </w:p>
    <w:p w14:paraId="00100E69" w14:textId="00100E6A">
      <w:pPr>
        <w:pStyle w:val="Normal"/>
        <w:jc w:val="left"/>
      </w:pPr>
      <w:r>
        <w:t xml:space="preserve">8.1.1.1.1 Noncontrolling Interests</w:t>
      </w:r>
    </w:p>
    <w:p w14:paraId="00100E6B" w14:textId="00100E6C">
      <w:pPr>
        <w:pStyle w:val="Normal"/>
        <w:jc w:val="left"/>
      </w:pPr>
      <w:r>
        <w:t xml:space="preserve">Noncontrolling interests represent the equity in subsidiaries not attributable, directly or indirectly, to Rivermark Holdings. Material noncontrolling interests at year-end were concentrated in a small number of operating entities within Consumer Platforms and Infrastructure Services, where minority shareholders continue to participate in local market development and project execution. These interests are presented separately within equity in the consolidated statement of financial position, and the share of profit or loss attributable to such holders is disclosed separately in the consolidated statement of profit or loss.</w:t>
      </w:r>
    </w:p>
    <w:p w14:paraId="00100E6D" w14:textId="00100E6E">
      <w:pPr>
        <w:pStyle w:val="Normal"/>
        <w:jc w:val="left"/>
      </w:pPr>
      <w:r>
        <w:t xml:space="preserve">The most significant noncontrolling interests relate to subsidiaries in which local investors hold strategic minority positions and retain economic participation while Rivermark Holdings maintains operational control. These entities remain fully consolidated because the group directs the relevant activities and is exposed to variable returns through its majority ownership and governance rights. Noncontrolling interests therefore affect attribution of earnings, reserves, and dividends, but do not alter the line-by-line consolidation of assets, liabilities, revenue, and expenses. Management monitors these interests closely because they may influence dividend capacity, capital planning, and governance processes in jurisdictions where local participation is customary or required.</w:t>
      </w:r>
    </w:p>
    <w:p w14:paraId="00100E6F" w14:textId="00100E70">
      <w:pPr>
        <w:pStyle w:val="Normal"/>
        <w:jc w:val="left"/>
      </w:pPr>
      <w:r>
        <w:t xml:space="preserve">The rights of noncontrolling interest holders arise from applicable company law, constitutional documents, and, in certain cases, shareholder agreements. Such rights commonly include entitlement to a proportionate share of declared dividends, participation in major structural decisions, and access to specified financial information. In some subsidiaries, minority investors also hold consent rights over exceptional matters such as amendments to constitutions, issuance of new equity, disposal of substantially all assets, or liquidation. These rights are protective and do not provide authority over day-to-day operating or financing decisions.</w:t>
      </w:r>
    </w:p>
    <w:p w14:paraId="00100E71" w14:textId="00100E72">
      <w:pPr>
        <w:pStyle w:val="Normal"/>
        <w:jc w:val="left"/>
      </w:pPr>
      <w:r>
        <w:t xml:space="preserve">Restrictions affecting noncontrolling interests primarily relate to transfer limitations, pre-emption rights, and local regulatory conditions. Certain shareholder agreements grant existing investors first refusal rights on transfers or require board approval before shares may be sold to third parties. In addition, several subsidiaries are subject to statutory or financing constraints that limit the amount of profits available for distribution until legal reserves, covenant thresholds, or working capital conditions are satisfied. No material arrangements were identified that require Rivermark Holdings to provide financial support beyond its existing obligations solely as a consequence of noncontrolling interest structures.</w:t>
      </w:r>
    </w:p>
    <w:p w14:paraId="00100E73" w14:textId="00100E74">
      <w:pPr>
        <w:pStyle w:val="Normal"/>
        <w:jc w:val="left"/>
      </w:pPr>
      <w:r>
        <w:t xml:space="preserve">8.1.1.1 Entity Schedule</w:t>
      </w:r>
    </w:p>
    <w:p w14:paraId="00100E75" w14:textId="00100E76">
      <w:pPr>
        <w:pStyle w:val="Normal"/>
        <w:jc w:val="left"/>
      </w:pPr>
      <w:r>
        <w:t xml:space="preserve">The entity schedule in this note presents the principal controlled entities included in the consolidated financial statements and summarizes the organizational scope of Rivermark Holdings at the reporting date. The schedule focuses on material subsidiaries, intermediate holding companies, treasury and financing entities, and key operating companies that collectively explain how the group’s businesses are structured for management, legal, and reporting purposes. Smaller dormant entities and certain immaterial special-purpose vehicles may be aggregated or omitted from the detailed listing where their exclusion does not affect an understanding of the group structure.</w:t>
      </w:r>
    </w:p>
    <w:p w14:paraId="00100E77" w14:textId="00100E78">
      <w:pPr>
        <w:pStyle w:val="Normal"/>
        <w:jc w:val="left"/>
      </w:pPr>
      <w:r>
        <w:t xml:space="preserve">The schedule distinguishes between direct and indirect ownership and indicates the jurisdiction of incorporation or principal place of business for each material entity. It is intended to support the reader’s understanding of consolidation boundaries rather than to serve as a full legal register of every controlled undertaking. Entities are included based on the position at year-end, with significant acquisitions, disposals, liquidations, or reorganizations during the period described elsewhere in the group composition note. This approach provides a clear bridge between legal ownership, operational reporting lines, and the financial information consolidated in these statements.</w:t>
      </w:r>
    </w:p>
    <w:p w14:paraId="00100E79" w14:textId="00100E7A">
      <w:pPr>
        <w:pStyle w:val="Normal"/>
        <w:jc w:val="left"/>
      </w:pPr>
      <w:r>
        <w:t xml:space="preserve">Rivermark Holdings’ controlled entities are geographically distributed to align with customer demand, supply-chain access, project execution requirements, and local regulatory environments. The largest concentration remains in the home market, where the group’s central management, treasury, digital platforms, and a substantial portion of Industrial Solutions operations are based. Beyond this core footprint, Rivermark Holdings maintains established entities across regional trade corridors serving manufacturing customers, consumer distribution channels, and infrastructure delivery programs. These entities include operating subsidiaries, sales and service companies, procurement hubs, and project-specific vehicles established to manage local contracting and compliance obligations.</w:t>
      </w:r>
    </w:p>
    <w:p w14:paraId="00100E7B" w14:textId="00100E7C">
      <w:pPr>
        <w:pStyle w:val="Normal"/>
        <w:jc w:val="left"/>
      </w:pPr>
      <w:r>
        <w:t xml:space="preserve">Geographic coverage is designed to balance commercial reach with governance discipline. Consumer Platforms subsidiaries are more broadly dispersed to support route-to-market proximity and customer responsiveness, while Infrastructure Services entities are often organized around concession, contract, or project jurisdictions. Industrial Solutions entities tend to combine production, technical service, and distribution capabilities in markets with stable industrial demand. The schedule therefore reflects more than legal presence; it illustrates how the group deploys capital and control mechanisms across locations while maintaining standardized reporting, internal controls, and oversight from the center. No single foreign jurisdiction, outside the home market, is individually dominant enough to change the overall conclusion that the group’s legal structure remains diversified and operationally integrated.</w:t>
      </w:r>
    </w:p>
    <w:p w14:paraId="00100E7D" w14:textId="00100E7E">
      <w:pPr>
        <w:pStyle w:val="Normal"/>
        <w:jc w:val="left"/>
      </w:pPr>
      <w:r>
        <w:t xml:space="preserve">8.1.1.1.2 Entity Classification</w:t>
      </w:r>
    </w:p>
    <w:p w14:paraId="00100E7F" w14:textId="00100E80">
      <w:pPr>
        <w:pStyle w:val="Normal"/>
        <w:jc w:val="left"/>
      </w:pPr>
      <w:r>
        <w:t xml:space="preserve">Rivermark Holdings classifies its interests in other entities according to the substance of control, joint control, or significant influence, rather than legal form alone. Controlled entities are presented as subsidiaries and are fully consolidated from the date on which control passes to the Group. These entities include operating companies, intermediate holding companies, service companies, and certain special-purpose vehicles established to hold assets, execute contracts, or ring-fence specific financing arrangements. Where Rivermark directs the relevant activities, is exposed to variable returns, and has the practical ability to affect those returns, the entity is treated as controlled even if ownership is less than a simple majority because governance rights, board appointment powers, or contractual arrangements give effective control.</w:t>
      </w:r>
    </w:p>
    <w:p w14:paraId="00100E81" w14:textId="00100E82">
      <w:pPr>
        <w:pStyle w:val="Normal"/>
        <w:jc w:val="left"/>
      </w:pPr>
      <w:r>
        <w:t xml:space="preserve">Interests in joint ventures and associates are classified separately. Joint ventures arise where strategic, operating, and financing decisions require unanimous consent of the sharing parties and the Group has rights to the net assets rather than direct rights to individual assets. Associates are entities over which Rivermark has significant influence, usually evidenced by board representation, participation in policy decisions, or an ownership interest generally between 20% and 50%. Other minority investments that do not meet these thresholds are measured as financial assets. This classification framework supports consistent presentation of performance, net assets, cash flows, and disclosure obligations across the Group’s diversified portfolio.</w:t>
      </w:r>
    </w:p>
    <w:p w14:paraId="00100E83" w14:textId="00100E84">
      <w:pPr>
        <w:pStyle w:val="Normal"/>
        <w:jc w:val="left"/>
      </w:pPr>
      <w:r>
        <w:t xml:space="preserve">Classification is reassessed when facts and circumstances change, including amendments to shareholder agreements, changes in voting rights, restructuring of protective or substantive rights, or changes in the composition of governing bodies. In making these determinations, management evaluates the purpose and design of the investee, identifies the activities that most significantly affect returns, and considers whether rights held by Rivermark are substantive in practice. Potential voting rights are considered only when exercisable and when they confer practical decision-making ability.</w:t>
      </w:r>
    </w:p>
    <w:p w14:paraId="00100E85" w14:textId="00100E86">
      <w:pPr>
        <w:pStyle w:val="Normal"/>
        <w:jc w:val="left"/>
      </w:pPr>
      <w:r>
        <w:t xml:space="preserve">Entities with immaterial standalone balances may still be consolidated where control exists, while entities in which Rivermark holds a substantial economic interest are not consolidated if decision-making authority is shared or restricted such that control is absent. For disclosure purposes, subsidiaries are further grouped as wholly owned, majority owned with noncontrolling interests, and structured entities. Associates and joint ventures are disclosed separately because their accounting treatment, risk profile, and restrictions on asset access differ from those of consolidated entities. Management considers these judgments to be significant where ownership percentages do not align directly with control outcomes or where contractual rights materially modify the apparent governance position.</w:t>
      </w:r>
    </w:p>
    <w:p w14:paraId="00100E87" w14:textId="00100E88">
      <w:pPr>
        <w:pStyle w:val="Normal"/>
        <w:jc w:val="left"/>
      </w:pPr>
      <w:r>
        <w:t xml:space="preserve">8.1.1.1.2 Reporting Restrictions</w:t>
      </w:r>
    </w:p>
    <w:p w14:paraId="00100E89" w14:textId="00100E8A">
      <w:pPr>
        <w:pStyle w:val="Normal"/>
        <w:jc w:val="left"/>
      </w:pPr>
      <w:r>
        <w:t xml:space="preserve">Certain subsidiaries operate in jurisdictions or under financing structures that limit the immediate transfer of cash, dividends, or other assets to Rivermark Holdings. These restrictions typically arise from local statutory capital maintenance rules, lender covenants, minimum liquidity requirements attached to project contracts, and ring-fenced cash arrangements established for regulated or customer-committed operations. In most cases, the restrictions do not prevent ordinary business activity within the subsidiary, but they can affect the timing and amount of upstream distributions available to the parent company.</w:t>
      </w:r>
    </w:p>
    <w:p w14:paraId="00100E8B" w14:textId="00100E8C">
      <w:pPr>
        <w:pStyle w:val="Normal"/>
        <w:jc w:val="left"/>
      </w:pPr>
      <w:r>
        <w:t xml:space="preserve">At year end, the most relevant restricted balances related to cash pledged against performance guarantees, debt-service reserve accounts, and surplus cash trapped in entities subject to local approval procedures before remittance. Management monitors these limits through treasury and legal entity reviews to ensure that obligations can be met without impairing Group liquidity planning. Although such restrictions reduce flexibility at the individual entity level, Rivermark maintains sufficient central facilities and diversified cash generation to fund corporate commitments, dividends, and investment programs. The Group does not consider current restrictions to be severe enough to call into question the recoverability of investments in subsidiaries or the parent company’s ability to settle its own liabilities as they fall due.</w:t>
      </w:r>
    </w:p>
    <w:p w14:paraId="00100E8D" w14:textId="00100E8E">
      <w:pPr>
        <w:pStyle w:val="Normal"/>
        <w:jc w:val="left"/>
      </w:pPr>
      <w:r>
        <w:t xml:space="preserve">Distributions from subsidiaries are subject to a combination of statutory, contractual, and governance approvals. In several operating jurisdictions, dividends may be declared only from accumulated realized profits and only after maintaining prescribed legal reserves or solvency thresholds. For selected project and infrastructure entities, shareholder distributions are additionally restricted until debt covenants, debt-service coverage ratios, and working-capital tests have been satisfied for the relevant reporting period. Where minority shareholders are present, distribution decisions may also require board approval in accordance with reserved matters set out in shareholder agreements.</w:t>
      </w:r>
    </w:p>
    <w:p w14:paraId="00100E8F" w14:textId="00100E90">
      <w:pPr>
        <w:pStyle w:val="Normal"/>
        <w:jc w:val="left"/>
      </w:pPr>
      <w:r>
        <w:t xml:space="preserve">These restrictions are reflected in the Group’s treasury forecasts and capital allocation decisions. Rivermark does not recognize any present obligation solely because a subsidiary has undistributed earnings; however, deferred tax or withholding tax consequences are considered where remittance is probable and measurable. No material restrictions were identified that would prevent the settlement of intercompany balances in the normal course of business, although some transfers remain subject to procedural filings, foreign-exchange documentation, or lender consent. Management expects that, under current conditions, a substantial portion of retained profits within restricted entities will remain available for reinvestment locally, with only excess balances distributed after compliance with applicable approval mechanisms.</w:t>
      </w:r>
    </w:p>
    <w:p w14:paraId="00100E91" w14:textId="00100E92">
      <w:pPr>
        <w:pStyle w:val="Normal"/>
        <w:jc w:val="left"/>
      </w:pPr>
      <w:r>
        <w:t xml:space="preserve">8.1.1 Business Combinations</w:t>
      </w:r>
    </w:p>
    <w:p w14:paraId="00100E93" w14:textId="00100E94">
      <w:pPr>
        <w:pStyle w:val="Normal"/>
        <w:jc w:val="left"/>
      </w:pPr>
      <w:r>
        <w:t xml:space="preserve">During the year, Rivermark Holdings continued to refine its portfolio through a combination of targeted acquisitions and selective disposals. Acquisition activity focused on capability expansion in Industrial Solutions and digital service enablement within Consumer Platforms, where bolt-on transactions added customer relationships, proprietary technology, and specialized operating talent. Disposal activity was limited and primarily involved noncore activities with lower strategic fit, including the exit of a small legacy distribution business and the sale of a dormant service entity that no longer aligned with the Group’s operating model.</w:t>
      </w:r>
    </w:p>
    <w:p w14:paraId="00100E95" w14:textId="00100E96">
      <w:pPr>
        <w:pStyle w:val="Normal"/>
        <w:jc w:val="left"/>
      </w:pPr>
      <w:r>
        <w:t xml:space="preserve">The acquisitions completed in the period were accounted for using the acquisition method, with identifiable assets acquired and liabilities assumed recognized at fair value on the acquisition date. Where valuations remained subject to post-closing verification, provisional amounts were recorded pending finalization of working-capital adjustments, intangible asset appraisals, and tax assessments. Management expects the acquired businesses to contribute both revenue growth and operational synergies through cross-selling, procurement leverage, and integration of shared platforms. Disposals were measured by reference to the consideration received and the carrying amount of net assets derecognized, with any resulting gain or loss recognized in earnings. Overall, transaction activity in the year was disciplined in scale and closely aligned to the Group’s strategy of strengthening recurring revenue, technical capability, and portfolio resilience.</w:t>
      </w:r>
    </w:p>
    <w:p w14:paraId="00100E97" w14:textId="00100E98">
      <w:pPr>
        <w:pStyle w:val="Normal"/>
        <w:jc w:val="left"/>
      </w:pPr>
      <w:r>
        <w:t xml:space="preserve">For each business combination, Rivermark identifies the acquirer, determines the acquisition date, measures consideration transferred, and recognizes acquired identifiable assets and assumed liabilities at their acquisition-date fair values. Consideration may include cash paid at closing, deferred amounts, contingent consideration linked to performance conditions, and, where relevant, equity instruments issued. Acquisition-related transaction costs are expensed as incurred and are not included in the measurement of consideration transferred.</w:t>
      </w:r>
    </w:p>
    <w:p w14:paraId="00100E99" w14:textId="00100E9A">
      <w:pPr>
        <w:pStyle w:val="Normal"/>
        <w:jc w:val="left"/>
      </w:pPr>
      <w:r>
        <w:t xml:space="preserve">The excess of consideration over the fair value of identifiable net assets acquired is recognized as goodwill and attributed principally to assembled workforce benefits, expected synergies, market access, and future economic benefits that do not qualify for separate recognition. If the fair value of net assets acquired exceeds the consideration transferred, the resulting gain is recognized immediately in profit or loss after reassessment of measurement inputs. Measurement-period adjustments are recorded when new information about facts and circumstances existing at the acquisition date becomes available within the permitted period. Disposals are accounted for when control is lost, at which point the carrying amounts of assets, liabilities, and any noncontrolling interests are derecognized and any retained interest is remeasured as required by the applicable accounting policy. This note should be read together with the detailed acquisition and disposal disclosures that follow.</w:t>
      </w:r>
    </w:p>
    <w:p w14:paraId="00100E9B" w14:textId="00100E9C">
      <w:pPr>
        <w:pStyle w:val="Normal"/>
        <w:jc w:val="left"/>
      </w:pPr>
      <w:r>
        <w:t xml:space="preserve">8.1.1.2 Acquisition Accounting</w:t>
      </w:r>
    </w:p>
    <w:p w14:paraId="00100E9D" w14:textId="00100E9E">
      <w:pPr>
        <w:pStyle w:val="Normal"/>
        <w:jc w:val="left"/>
      </w:pPr>
      <w:r>
        <w:t xml:space="preserve">The fair value of consideration transferred is measured using the amounts that Rivermark Holdings is required to give up in exchange for control of the acquired business. Cash consideration is measured at the amount paid or payable, while deferred consideration is discounted where the financing element is significant. Contingent consideration is measured at fair value at the acquisition date using probability-weighted outcomes or scenario-based valuation techniques, with key assumptions reflecting forecast earnings, customer retention, contract renewals, or milestone completion depending on the transaction structure. Subsequent changes in the fair value of contingent consideration classified as a liability are recognized in profit or loss unless another accounting treatment is required by the underlying standard.</w:t>
      </w:r>
    </w:p>
    <w:p w14:paraId="00100E9F" w14:textId="00100EA0">
      <w:pPr>
        <w:pStyle w:val="Normal"/>
        <w:jc w:val="left"/>
      </w:pPr>
      <w:r>
        <w:t xml:space="preserve">Identifiable assets acquired and liabilities assumed are recognized separately from goodwill when they meet the definitions of assets and liabilities and when fair values can be measured reliably. This commonly results in recognition of customer relationships, brands, order backlog, developed technology, leases, provisions, and deferred tax balances that were not previously recognized in the acquiree’s own statement of financial position. Fair values are determined using market, income, or cost approaches as appropriate, often supported by external valuation specialists for material transactions. The resulting allocation provides the baseline for subsequent depreciation, amortization, impairment testing, and performance tracking of the acquired business within the Group’s segment reporting structure.</w:t>
      </w:r>
    </w:p>
    <w:p w14:paraId="00100EA1" w14:textId="00100EA2">
      <w:pPr>
        <w:pStyle w:val="Normal"/>
        <w:jc w:val="left"/>
      </w:pPr>
      <w:r>
        <w:t xml:space="preserve">Where the initial accounting for an acquisition is incomplete by the reporting date, Rivermark records provisional amounts for the items for which final valuations have not yet been determined. Provisional accounting is most commonly required for intangible asset identification and valuation, assessment of uncertain tax positions, fair value of contingent liabilities, and final settlement of acquired working-capital balances. These amounts are based on the best information available at the reporting date, including due diligence findings, draft valuation reports, management forecasts, and available market evidence.</w:t>
      </w:r>
    </w:p>
    <w:p w14:paraId="00100EA3" w14:textId="00100EA4">
      <w:pPr>
        <w:pStyle w:val="Normal"/>
        <w:jc w:val="left"/>
      </w:pPr>
      <w:r>
        <w:t xml:space="preserve">During the measurement period, not exceeding twelve months from the acquisition date, provisional amounts are revised retrospectively to reflect new information about facts and circumstances that existed at that date. Comparative information is adjusted as if the revised values had been recognized from the outset, and corresponding changes may affect goodwill, amortization charges, deferred tax balances, or post-acquisition earnings attribution. Revisions arising from events occurring after the acquisition date, such as updated trading performance unrelated to acquisition-date conditions, are not treated as measurement-period adjustments and are recognized in current-period earnings where relevant. Management discloses the areas still subject to finalization when the uncertainty is material to users’ understanding of the transaction, together with the reasons why the accounting remains provisional.</w:t>
      </w:r>
    </w:p>
    <w:p w14:paraId="00100EA5" w14:textId="00100EA6">
      <w:pPr>
        <w:pStyle w:val="Normal"/>
        <w:jc w:val="left"/>
      </w:pPr>
      <w:r>
        <w:t xml:space="preserve">8.1.1.2.1 Consideration Transferred</w:t>
      </w:r>
    </w:p>
    <w:p w14:paraId="00100EA7" w14:textId="00100EA8">
      <w:pPr>
        <w:pStyle w:val="Normal"/>
        <w:jc w:val="left"/>
      </w:pPr>
      <w:r>
        <w:t xml:space="preserve">The consideration transferred for acquisitions completed during the year comprised cash paid on closing, deferred amounts linked to completion deliverables, and a contingent element designed to align final purchase price with post-combination performance. Cash consideration was determined from the legal purchase agreements and settled through the Group treasury function at completion. Where settlement terms allowed for working-capital or net-debt adjustments, management estimated the final amount using closing statements and contractual true-up mechanisms, with subsequent changes recognized within the measurement period where applicable.</w:t>
      </w:r>
    </w:p>
    <w:p w14:paraId="00100EA9" w14:textId="00100EAA">
      <w:pPr>
        <w:pStyle w:val="Normal"/>
        <w:jc w:val="left"/>
      </w:pPr>
      <w:r>
        <w:t xml:space="preserve">The contingent consideration component reflected earn-out arrangements tied primarily to revenue retention, project milestones, and EBITDA thresholds over a defined post-acquisition period. Each arrangement was measured at fair value at the acquisition date and, where appropriate, remeasured at each reporting date through profit or loss. The valuation incorporated probability-weighted outcomes, expected timing of settlement, discount rates consistent with the relevant currency tenor, and specific operational assumptions for the acquired business. Although the arrangements were individually negotiated, they shared the same economic objective: to retain vendor continuity and protect the Group against overpayment where post-close performance differs from the assumptions used in pricing.</w:t>
      </w:r>
    </w:p>
    <w:p w14:paraId="00100EAB" w14:textId="00100EAC">
      <w:pPr>
        <w:pStyle w:val="Normal"/>
        <w:jc w:val="left"/>
      </w:pPr>
      <w:r>
        <w:t xml:space="preserve">The Group also completed one acquisition using a share-based component that was settled through the issue of ordinary shares in Rivermark Holdings. The equity instruments were measured at the fair value of the shares issued on the acquisition date, based on the quoted market price adjusted only for directly attributable issue costs where required by the transaction documents. This approach resulted in a non-cash element of consideration that was economically equivalent to deferred purchase price, but legally settled through equity rather than cash.</w:t>
      </w:r>
    </w:p>
    <w:p w14:paraId="00100EAD" w14:textId="00100EAE">
      <w:pPr>
        <w:pStyle w:val="Normal"/>
        <w:jc w:val="left"/>
      </w:pPr>
      <w:r>
        <w:t xml:space="preserve">In assessing the substance of the arrangement, management distinguished between consideration for the business combination and any separate remuneration for post-combination services. The vesting, employment, and retention provisions attached to the awards were analyzed to determine whether any portion should be accounted for as compensation expense rather than acquisition consideration. Where continuing service conditions existed, the related amount was excluded from consideration transferred and recognized over the service period. This separation is important because it ensures that goodwill reflects only the amount paid for control of the acquired business, not the cost of incentivizing future employee service.</w:t>
      </w:r>
    </w:p>
    <w:p w14:paraId="00100EAF" w14:textId="00100EB0">
      <w:pPr>
        <w:pStyle w:val="Normal"/>
        <w:jc w:val="left"/>
      </w:pPr>
      <w:r>
        <w:t xml:space="preserve">8.1.1.2.1 Acquired Assets</w:t>
      </w:r>
    </w:p>
    <w:p w14:paraId="00100EB1" w14:textId="00100EB2">
      <w:pPr>
        <w:pStyle w:val="Normal"/>
        <w:jc w:val="left"/>
      </w:pPr>
      <w:r>
        <w:t xml:space="preserve">On acquisition, the Group recognized the identifiable assets acquired and liabilities assumed at their estimated fair values as of the acquisition date. The principal asset classes included customer relationships, software and technology platforms, inventories, receivables, contract assets, cash acquired, and property-related balances where the acquired business held operational facilities. Liabilities recognized comprised trade payables, employee obligations, lease liabilities, deferred revenue, tax balances, and provisions related to pre-combination claims or contract obligations.</w:t>
      </w:r>
    </w:p>
    <w:p w14:paraId="00100EB3" w14:textId="00100EB4">
      <w:pPr>
        <w:pStyle w:val="Normal"/>
        <w:jc w:val="left"/>
      </w:pPr>
      <w:r>
        <w:t xml:space="preserve">The allocation of fair value was driven by the economics of the acquired operation rather than by the form of the legal entity. Intangible assets were recognized when the underlying rights were separable or arose from contractual or other legal rights, and their measurement reflected the expected pattern of economic benefit. In cases where the acquired business operated in a service environment, the largest balances typically related to customer contracts and internally developed technology, while physical assets played a more limited role. Management reviewed the final purchase accounting entries against legal completion statements, tax due diligence, and operational inventories to confirm that all material identifiable items had been captured.</w:t>
      </w:r>
    </w:p>
    <w:p w14:paraId="00100EB5" w14:textId="00100EB6">
      <w:pPr>
        <w:pStyle w:val="Normal"/>
        <w:jc w:val="left"/>
      </w:pPr>
      <w:r>
        <w:t xml:space="preserve">The excess of consideration transferred over the net fair value of identifiable assets and liabilities recognized as goodwill reflected expected synergies, assembled workforce benefits, market access, and the value of future opportunities that did not qualify for separate recognition. Goodwill is not amortized; instead, it is allocated to the cash-generating unit or group of units expected to benefit from the combination and tested for impairment annually, or more frequently when indicators arise.</w:t>
      </w:r>
    </w:p>
    <w:p w14:paraId="00100EB7" w14:textId="00100EB8">
      <w:pPr>
        <w:pStyle w:val="Normal"/>
        <w:jc w:val="left"/>
      </w:pPr>
      <w:r>
        <w:t xml:space="preserve">The valuation summary for acquired businesses considered both the initial purchase price allocation and the sensitivity of key assumptions used in measuring intangible assets. In practice, the most judgmental items were customer attrition, renewal rates, margin normalization, and the discount rate applied to projected cash flows. Management concluded that the recognition of goodwill was supportable because the acquired operations were integrated into established platforms with demonstrable cross-selling potential and operating leverage. The resulting carrying values will continue to be monitored against post-acquisition performance, integration progress, and changes in the market environment.</w:t>
      </w:r>
    </w:p>
    <w:p w14:paraId="00100EB9" w14:textId="00100EBA">
      <w:pPr>
        <w:pStyle w:val="Normal"/>
        <w:jc w:val="left"/>
      </w:pPr>
      <w:r>
        <w:t xml:space="preserve">8.1.1.2 Disposals and Integration</w:t>
      </w:r>
    </w:p>
    <w:p w14:paraId="00100EBB" w14:textId="00100EBC">
      <w:pPr>
        <w:pStyle w:val="Normal"/>
        <w:jc w:val="left"/>
      </w:pPr>
      <w:r>
        <w:t xml:space="preserve">During the year, the Group continued to rationalize smaller non-core holdings while integrating businesses acquired in prior periods. Disposals were undertaken where assets no longer supported the portfolio strategy, where scale could not be achieved efficiently within the Group structure, or where capital could be redeployed to higher-return opportunities. In each case, management assessed whether the transaction represented a strategic exit, a partial divestment, or a simple disposal of surplus assets, and the resulting accounting treatment followed the nature of the transfer and the existence of continuing involvement.</w:t>
      </w:r>
    </w:p>
    <w:p w14:paraId="00100EBD" w14:textId="00100EBE">
      <w:pPr>
        <w:pStyle w:val="Normal"/>
        <w:jc w:val="left"/>
      </w:pPr>
      <w:r>
        <w:t xml:space="preserve">Integration activity remained focused on systems migration, customer transition, procurement alignment, and the harmonization of finance and risk processes. These workstreams were sequenced to protect service continuity and preserve the commercial relationships embedded in the acquired businesses. Although integration costs were recognized as incurred, management viewed them as necessary to unlock the longer-term operating benefits expected from the combinations. The year-end position therefore reflects both the direct effects of disposals and the staged investment required to complete integration across the portfolio.</w:t>
      </w:r>
    </w:p>
    <w:p w14:paraId="00100EBF" w14:textId="00100EC0">
      <w:pPr>
        <w:pStyle w:val="Normal"/>
        <w:jc w:val="left"/>
      </w:pPr>
      <w:r>
        <w:t xml:space="preserve">Expected synergies are tracked against a post-acquisition benefit plan approved by the executive leadership team and monitored through the Group’s capital allocation process. The principal sources of benefit are procurement savings, the removal of duplicated overheads, improved utilization of facilities and systems, and increased revenue opportunities from a broader customer proposition. Where assumptions have changed, management revises the expected timing of realization rather than recognizing unrealized benefits prematurely.</w:t>
      </w:r>
    </w:p>
    <w:p w14:paraId="00100EC1" w14:textId="00100EC2">
      <w:pPr>
        <w:pStyle w:val="Normal"/>
        <w:jc w:val="left"/>
      </w:pPr>
      <w:r>
        <w:t xml:space="preserve">The realization profile is typically back-ended, because the most material gains depend on process redesign, customer conversion, and the completion of technology integration. As a result, the first-year contribution is usually lower than the annualized run rate implied by the full business case. Management therefore evaluates progress using both financial and operational indicators, including cost-to-serve, margin progression, retention rates, and service-level stability. This dual lens helps ensure that synergy delivery is assessed on sustainable performance, not solely on short-term expense reductions.</w:t>
      </w:r>
    </w:p>
    <w:p w14:paraId="00100EC3" w14:textId="00100EC4">
      <w:pPr>
        <w:pStyle w:val="Normal"/>
        <w:jc w:val="left"/>
      </w:pPr>
      <w:r>
        <w:t xml:space="preserve">8.1.1.2.2 Disposal Results</w:t>
      </w:r>
    </w:p>
    <w:p w14:paraId="00100EC5" w14:textId="00100EC6">
      <w:pPr>
        <w:pStyle w:val="Normal"/>
        <w:jc w:val="left"/>
      </w:pPr>
      <w:r>
        <w:t xml:space="preserve">Gains and losses on disposals were determined by comparing the fair value of proceeds and any retained interest with the carrying amount of the net assets disposed of, including related cumulative translation differences and disposal costs directly attributable to the transaction. Where the Group retained an equity interest, the retained investment was remeasured to fair value at the date control was lost, and any resulting gain or loss was recognized in profit or loss.</w:t>
      </w:r>
    </w:p>
    <w:p w14:paraId="00100EC7" w14:textId="00100EC8">
      <w:pPr>
        <w:pStyle w:val="Normal"/>
        <w:jc w:val="left"/>
      </w:pPr>
      <w:r>
        <w:t xml:space="preserve">Several small disposals generated modest gains because assets had been depreciated or amortized below sale value, while a limited number of exits gave rise to losses where the disposals were undertaken for strategic simplification rather than value maximization. Management does not seek to optimize accounting gains on exit; instead, decisions are based on expected long-term portfolio returns, capital intensity, and operational focus. Accordingly, disposal results are considered alongside integration costs and future synergy benefits to provide a more complete view of the economic effect of portfolio reshaping.</w:t>
      </w:r>
    </w:p>
    <w:p w14:paraId="00100EC9" w14:textId="00100ECA">
      <w:pPr>
        <w:pStyle w:val="Normal"/>
        <w:jc w:val="left"/>
      </w:pPr>
      <w:r>
        <w:t xml:space="preserve">The disposed operations comprised businesses and asset groups that were either sold, wound down, or transferred into joint control structures during the reporting period. These operations were not material to the consolidated revenue base individually, but they contributed to the simplification of the portfolio and the reduction of administrative complexity. The major classes of assets and liabilities disposed of included receivables, inventories, right-of-use assets, trade payables, lease liabilities, and, in limited cases, internally generated intangibles associated with legacy product lines.</w:t>
      </w:r>
    </w:p>
    <w:p w14:paraId="00100ECB" w14:textId="00100ECC">
      <w:pPr>
        <w:pStyle w:val="Normal"/>
        <w:jc w:val="left"/>
      </w:pPr>
      <w:r>
        <w:t xml:space="preserve">In evaluating whether a disposed operation required separate presentation, management considered the extent to which cash flows, activities, and risks were clearly distinguishable from the continuing Group. Where this threshold was met, the transaction effects were disclosed separately to preserve comparability across periods. The note also captures any continuing involvement, transition services, or indemnity arrangements that could affect future periods, because these terms may alter the final economic outcome even after legal transfer has occurred.</w:t>
      </w:r>
    </w:p>
    <w:p w14:paraId="00100ECD" w14:textId="00100ECE">
      <w:pPr>
        <w:pStyle w:val="Normal"/>
        <w:jc w:val="left"/>
      </w:pPr>
      <w:r>
        <w:t xml:space="preserve">8.1.1.2.2 Integration Effects</w:t>
      </w:r>
    </w:p>
    <w:p w14:paraId="00100ECF" w14:textId="00100ED0">
      <w:pPr>
        <w:pStyle w:val="Normal"/>
        <w:jc w:val="left"/>
      </w:pPr>
      <w:r>
        <w:t xml:space="preserve">Integration costs recognized in the year relate principally to the consolidation of acquired distribution networks, system migration work, brand alignment, site rationalization, and the harmonization of operating procedures across the enlarged group. Rivermark Holdings recorded these items within operating expenses as they were incurred and did not treat them as part of consideration transferred. The most significant charges arose from duplicate-function restructuring in shared services, advisory and legal support connected with post-acquisition implementation, and temporary parallel-running costs while legacy finance, procurement, and customer systems were brought onto common platforms.</w:t>
      </w:r>
    </w:p>
    <w:p w14:paraId="00100ED1" w14:textId="00100ED2">
      <w:pPr>
        <w:pStyle w:val="Normal"/>
        <w:jc w:val="left"/>
      </w:pPr>
      <w:r>
        <w:t xml:space="preserve">These costs were front-loaded in the first twelve months following acquisition because management accelerated the integration timetable in order to reduce process fragmentation and improve procurement leverage. While the related expenditures reduced current-period earnings, management considers them finite in nature and directly linked to the capture of planned operating benefits. A smaller portion of the cost base reflected employee retention arrangements for critical technical and commercial personnel required to protect customer continuity during transition. No material integration costs were capitalized, and costs recognized after the group achieved operational control were included in the relevant segment results for the periods in which services were received or obligations were settled.</w:t>
      </w:r>
    </w:p>
    <w:p w14:paraId="00100ED3" w14:textId="00100ED4">
      <w:pPr>
        <w:pStyle w:val="Normal"/>
        <w:jc w:val="left"/>
      </w:pPr>
      <w:r>
        <w:t xml:space="preserve">Judgment is required in distinguishing integration costs from expenditure associated with the ongoing operation or expansion of the acquired businesses. Rivermark Holdings applies a transaction-specific assessment that considers whether the activity would have been incurred absent the combination, whether the benefit is short-term transitionary in nature, and whether the expenditure creates a separately identifiable asset. Costs meeting the definition of post-combination restructuring or systems integration are expensed as incurred, whereas spending that enhances future platforms beyond the acquired business baseline is evaluated under the relevant accounting policy for capitalization or ordinary operating recognition.</w:t>
      </w:r>
    </w:p>
    <w:p w14:paraId="00100ED5" w14:textId="00100ED6">
      <w:pPr>
        <w:pStyle w:val="Normal"/>
        <w:jc w:val="left"/>
      </w:pPr>
      <w:r>
        <w:t xml:space="preserve">Expected synergies are not recognized as separate assets at acquisition date. Instead, they are reflected indirectly in goodwill because they arise from assembled workforce benefits, procurement scale, cross-selling opportunities, route optimization, and shared technology use that do not meet separability criteria. The timing of synergy realization involves estimation, particularly where benefits depend on customer migration, contract renewal cycles, or facility consolidation approvals. Management therefore uses phased synergy assumptions for internal monitoring rather than immediate full-run-rate expectations. At year end, the board reviewed whether implementation progress remained consistent with the original business case and concluded that the pace of benefit capture remained broadly on plan, although some savings in logistics and IT support are expected to shift into the next reporting period because of sequencing changes in platform deployment.</w:t>
      </w:r>
    </w:p>
    <w:p w14:paraId="00100ED7" w14:textId="00100ED8">
      <w:pPr>
        <w:pStyle w:val="Normal"/>
        <w:jc w:val="left"/>
      </w:pPr>
      <w:r>
        <w:t xml:space="preserve">8.1 Revenue and Segments</w:t>
      </w:r>
    </w:p>
    <w:p w14:paraId="00100ED9" w14:textId="00100EDA">
      <w:pPr>
        <w:pStyle w:val="Normal"/>
        <w:jc w:val="left"/>
      </w:pPr>
      <w:r>
        <w:t xml:space="preserve">This note explains how Rivermark Holdings converts commercial activity into reported revenue and how that revenue is then presented through the group’s operating segment structure. The revenue disclosures focus on the nature, amount, timing, and uncertainty of consideration arising from customer contracts, while the segment disclosures show how management evaluates those same activities for resource allocation and performance assessment. Read together, the disclosures provide a bridge between statutory recognition under the accounting framework and the management lens used by the chief operating decision maker.</w:t>
      </w:r>
    </w:p>
    <w:p w14:paraId="00100EDB" w14:textId="00100EDC">
      <w:pPr>
        <w:pStyle w:val="Normal"/>
        <w:jc w:val="left"/>
      </w:pPr>
      <w:r>
        <w:t xml:space="preserve">The group generates revenue through the sale of industrial products, consumer-oriented platforms, and infrastructure delivery and support services. Although these activities differ in contract duration and margin profile, they are reported through a consistent control-based recognition model. Segment reporting is organized around Industrial Solutions, Consumer Platforms, and Infrastructure Services because these components have distinct market characteristics, leadership accountability, and financial information available on a regular basis. Corporate center activities, treasury, and certain consolidation adjustments are not allocated to operating segments unless directly attributable. Accordingly, the note should be read as both a technical accounting disclosure and an explanation of how underlying business performance is disaggregated across the group’s major value streams.</w:t>
      </w:r>
    </w:p>
    <w:p w14:paraId="00100EDD" w14:textId="00100EDE">
      <w:pPr>
        <w:pStyle w:val="Normal"/>
        <w:jc w:val="left"/>
      </w:pPr>
      <w:r>
        <w:t xml:space="preserve">Revenue is recognized when control of promised goods or services transfers to the customer in an amount that reflects the consideration to which Rivermark Holdings expects to be entitled. The basis of recognition differs by contract type: product sales are generally recognized at a point in time upon delivery or customer acceptance, recurring platform subscriptions are recognized over time as services are provided, and long-term infrastructure arrangements are recognized over time where performance creates or enhances an asset controlled by the customer or where Rivermark Holdings has an enforceable right to payment for performance completed to date. Variable consideration, including rebates, performance incentives, service credits, and claims, is estimated using the method that best predicts the amount expected to be realized and is constrained where reversal risk remains significant.</w:t>
      </w:r>
    </w:p>
    <w:p w14:paraId="00100EDF" w14:textId="00100EE0">
      <w:pPr>
        <w:pStyle w:val="Normal"/>
        <w:jc w:val="left"/>
      </w:pPr>
      <w:r>
        <w:t xml:space="preserve">Reportable segments reflect the internal financial information reviewed regularly by the chief operating decision maker to assess performance and allocate capital. Segment measures include revenue and segment operating profit prepared on a basis consistent with management reporting, which may exclude certain central costs, acquisition-related items, and other non-comparable matters reviewed separately at group level. Intersegment sales are measured on an arm’s-length basis and eliminated on consolidation. Assets and liabilities are disclosed for segments where such information is part of routine internal review; otherwise, explanatory narrative is provided to clarify why selected balances are managed centrally rather than through the segment structure.</w:t>
      </w:r>
    </w:p>
    <w:p w14:paraId="00100EE1" w14:textId="00100EE2">
      <w:pPr>
        <w:pStyle w:val="Normal"/>
        <w:jc w:val="left"/>
      </w:pPr>
      <w:r>
        <w:t xml:space="preserve">8.1.2 Revenue Recognition</w:t>
      </w:r>
    </w:p>
    <w:p w14:paraId="00100EE3" w14:textId="00100EE4">
      <w:pPr>
        <w:pStyle w:val="Normal"/>
        <w:jc w:val="left"/>
      </w:pPr>
      <w:r>
        <w:t xml:space="preserve">Rivermark Holdings enters into customer contracts ranging from short-cycle product deliveries to multi-period service and project arrangements. In each case, the group identifies the contract, determines the distinct performance obligations, establishes the transaction price, allocates that price to the obligations identified, and recognizes revenue as each obligation is satisfied. For standard manufactured or sourced goods, this usually occurs when legal title, physical possession, and the significant risks and rewards of ownership have passed and the customer can direct the use of the goods. For support services, digital access arrangements, and maintenance contracts, revenue is typically recognized over the service term because customers receive and consume benefits as performance occurs.</w:t>
      </w:r>
    </w:p>
    <w:p w14:paraId="00100EE5" w14:textId="00100EE6">
      <w:pPr>
        <w:pStyle w:val="Normal"/>
        <w:jc w:val="left"/>
      </w:pPr>
      <w:r>
        <w:t xml:space="preserve">Contract timing patterns vary by segment. Industrial Solutions is weighted toward point-in-time product transfers with a smaller recurring aftermarket component. Consumer Platforms includes both direct sales and subscription-like or transaction-based arrangements recognized over the customer usage period. Infrastructure Services contains the highest proportion of over-time recognition, particularly where contractual milestones, certified progress, or cost-to-complete measures depict the transfer of control. Payment terms generally align with industry practice, although certain contracts include advance billings, retention balances, or performance-based variable pricing. These features create contract assets or contract liabilities when the timing of billing differs from the timing of revenue recognition, and they are monitored closely as part of working-capital discipline and contract governance.</w:t>
      </w:r>
    </w:p>
    <w:p w14:paraId="00100EE7" w14:textId="00100EE8">
      <w:pPr>
        <w:pStyle w:val="Normal"/>
        <w:jc w:val="left"/>
      </w:pPr>
      <w:r>
        <w:t xml:space="preserve">A performance obligation represents a promise in a contract to transfer to the customer a distinct good or service, or a series of substantially the same goods or services with the same pattern of transfer. Rivermark Holdings evaluates whether goods and services are distinct by considering both the customer’s ability to benefit from the item on its own or together with readily available resources and whether the promise is separately identifiable within the context of the contract. Where product supply, installation, commissioning, customization, and after-sales support are highly interrelated, management assesses whether these components form a single combined obligation or multiple obligations requiring separate allocation of consideration.</w:t>
      </w:r>
    </w:p>
    <w:p w14:paraId="00100EE9" w14:textId="00100EEA">
      <w:pPr>
        <w:pStyle w:val="Normal"/>
        <w:jc w:val="left"/>
      </w:pPr>
      <w:r>
        <w:t xml:space="preserve">For over-time arrangements, progress is measured using methods that faithfully depict performance, primarily cost-to-complete for tailored infrastructure or implementation contracts and time-elapsed methods for stand-ready or subscription services. Judgment is required when excluding inefficiencies, uninstalled materials, or abnormal wastage from progress calculations so that revenue reflects only value transferred to the customer. Contract modifications are assessed to determine whether they should be treated as separate contracts, a termination and replacement, or part of the existing arrangement through a cumulative catch-up adjustment. Significant financing components are uncommon because payment schedules generally reflect commercial milestones rather than financing intent; however, management evaluates this conclusion for longer-duration contracts and applies practical expedients where the period between transfer and payment is one year or less.</w:t>
      </w:r>
    </w:p>
    <w:p w14:paraId="00100EEB" w14:textId="00100EEC">
      <w:pPr>
        <w:pStyle w:val="Normal"/>
        <w:jc w:val="left"/>
      </w:pPr>
      <w:r>
        <w:t xml:space="preserve">8.1.2.1 Contract Balances</w:t>
      </w:r>
    </w:p>
    <w:p w14:paraId="00100EED" w14:textId="00100EEE">
      <w:pPr>
        <w:pStyle w:val="Normal"/>
        <w:jc w:val="left"/>
      </w:pPr>
      <w:r>
        <w:t xml:space="preserve">Receivables, contract assets, and contract liabilities arise from differences between the timing of performance and the timing of invoicing under customer arrangements. Trade receivables are recognized when Rivermark Holdings has an unconditional right to consideration, subject only to the passage of time before payment is due. Contract assets are recognized where the group has transferred goods or services but the right to consideration remains conditional on something other than time, commonly the completion of further milestones, customer certification, or the delivery of integrated phases under infrastructure and implementation contracts. Contract liabilities arise when customers pay consideration, or payment becomes due, before the related goods or services are transferred.</w:t>
      </w:r>
    </w:p>
    <w:p w14:paraId="00100EEF" w14:textId="00100EF0">
      <w:pPr>
        <w:pStyle w:val="Normal"/>
        <w:jc w:val="left"/>
      </w:pPr>
      <w:r>
        <w:t xml:space="preserve">At the reporting date, receivables remained the largest contract-related balance because of the scale of short-cycle sales in Industrial Solutions and Consumer Platforms. Contract assets were concentrated in Infrastructure Services, where revenue on customized contracts may precede formal billing events. Contract liabilities were driven mainly by advance payments for long-term service coverage, implementation mobilization fees, and customer deposits on selected made-to-order products. These balances are operational in nature rather than financing instruments, and their movement should be interpreted together with revenue growth, milestone achievement, billing discipline, and the renewal profile of recurring contracts. Expected credit loss allowances are applied to receivables and, where relevant, contract assets under the group’s financial instrument policy, while contract liabilities are released to revenue as the underlying obligations are satisfied.</w:t>
      </w:r>
    </w:p>
    <w:p w14:paraId="00100EF1" w14:textId="00100EF2">
      <w:pPr>
        <w:pStyle w:val="Normal"/>
        <w:jc w:val="left"/>
      </w:pPr>
      <w:r>
        <w:t xml:space="preserve">Movements in contract balances during the year reflected a combination of business growth, changes in billing patterns, and the mix of point-in-time versus over-time revenue. Contract assets increased in the first half as Rivermark Holdings progressed several infrastructure programs ahead of scheduled invoicing points, then moderated toward year end as certification milestones were achieved and balances were billed. Contract liabilities showed the opposite seasonal tendency in parts of Consumer Platforms, where annual renewals and prepaid service arrangements produced stronger opening and mid-year deferred revenue positions that were subsequently recognized as service obligations were fulfilled.</w:t>
      </w:r>
    </w:p>
    <w:p w14:paraId="00100EF3" w14:textId="00100EF4">
      <w:pPr>
        <w:pStyle w:val="Normal"/>
        <w:jc w:val="left"/>
      </w:pPr>
      <w:r>
        <w:t xml:space="preserve">The conversion of opening contract liabilities into current-year revenue provided evidence that prior-period deferrals related mainly to ordinary recurring obligations rather than delayed or disputed performance. Similarly, reductions in contract assets were driven primarily by invoicing and cash collection rather than downward revisions of estimated recoverability. Management reviews these movements contract by contract to identify unusual build-ups, disputes, or scope changes that could affect both revenue quality and working-capital efficiency. The resulting trend information supports forecasting of cash receipts, assessment of unsatisfied performance obligations, and the evaluation of whether current billing schedules appropriately reflect delivery patterns across the three reportable segments.</w:t>
      </w:r>
    </w:p>
    <w:p w14:paraId="00100EF5" w14:textId="00100EF6">
      <w:pPr>
        <w:pStyle w:val="Normal"/>
        <w:jc w:val="left"/>
      </w:pPr>
      <w:r>
        <w:t xml:space="preserve">8.1.2.1.1 Opening and Closing Balances</w:t>
      </w:r>
    </w:p>
    <w:p w14:paraId="00100EF7" w14:textId="00100EF8">
      <w:pPr>
        <w:pStyle w:val="Normal"/>
        <w:jc w:val="left"/>
      </w:pPr>
      <w:r>
        <w:t xml:space="preserve">Contract receivables, contract assets, and contract liabilities are presented as opening and closing balances to explain how revenue recognition, billing patterns, and customer cash collection interact over the reporting period. Opening balances represent amounts carried forward at the start of the financial year from contracts that were partially fulfilled, billed in advance, or awaiting collection. Closing balances reflect the position at year-end after taking account of current-period revenue recognized, invoices issued, cash received, credit losses recognized, and any reclassification between balance sheet lines as contractual rights become unconditional.</w:t>
      </w:r>
    </w:p>
    <w:p w14:paraId="00100EF9" w14:textId="00100EFA">
      <w:pPr>
        <w:pStyle w:val="Normal"/>
        <w:jc w:val="left"/>
      </w:pPr>
      <w:r>
        <w:t xml:space="preserve">The movement schedule is intended to show more than period-end values in isolation. It allows users to distinguish revenue recognized from amounts included in opening contract liabilities, growth in unbilled work arising from performance completed but not yet billable, and reductions caused by billing milestones or customer acceptance. In Rivermark Holdings, these movements differ across Industrial Solutions, Consumer Platforms, and Infrastructure Services because contract duration, billing triggers, and fulfillment patterns are not uniform. Short-cycle product sales typically convert quickly to receivables, while project-based and service arrangements may remain in contract assets or liabilities for longer. Accordingly, the schedule supports a clearer reading of operating momentum, contract execution, and the timing relationship between reported revenue and cash realization.</w:t>
      </w:r>
    </w:p>
    <w:p w14:paraId="00100EFB" w14:textId="00100EFC">
      <w:pPr>
        <w:pStyle w:val="Normal"/>
        <w:jc w:val="left"/>
      </w:pPr>
      <w:r>
        <w:t xml:space="preserve">Year-on-year changes in contract balances were primarily driven by a higher volume of milestone-based work in Infrastructure Services, seasonal advance billings in Consumer Platforms, and improved collection discipline across the group. Contract assets increased where performance progressed ahead of contractual billing points, particularly on integrated delivery contracts with acceptance or certification stages near period-end. Contract liabilities also rose in areas where customers committed to annual service bundles, prepaid maintenance plans, or implementation retainers before substantial performance occurred.</w:t>
      </w:r>
    </w:p>
    <w:p w14:paraId="00100EFD" w14:textId="00100EFE">
      <w:pPr>
        <w:pStyle w:val="Normal"/>
        <w:jc w:val="left"/>
      </w:pPr>
      <w:r>
        <w:t xml:space="preserve">During the period, a portion of opening contract liabilities was recognized as revenue as Rivermark Holdings satisfied remaining obligations under software enablement, support, and long-term service arrangements. Receivables growth was more moderate than revenue growth because billing and collection processes were tightened in the second half, reducing days sales outstanding in key domestic markets. Offsetting factors included selected project delays, customer-approved scope changes, and the normal conversion of contract assets to receivables once invoicing conditions were met.</w:t>
      </w:r>
    </w:p>
    <w:p w14:paraId="00100EFF" w14:textId="00100F00">
      <w:pPr>
        <w:pStyle w:val="Normal"/>
        <w:jc w:val="left"/>
      </w:pPr>
      <w:r>
        <w:t xml:space="preserve">Management monitors these movements together with aging, claims status, and forecast cash conversion to assess whether balance changes reflect healthy commercial expansion or emerging execution pressure. On that basis, the closing balances were considered consistent with the underlying contract portfolio and with the group’s revenue recognition policies.</w:t>
      </w:r>
    </w:p>
    <w:p w14:paraId="00100F01" w14:textId="00100F02">
      <w:pPr>
        <w:pStyle w:val="Normal"/>
        <w:jc w:val="left"/>
      </w:pPr>
      <w:r>
        <w:t xml:space="preserve">8.1.2.1.1 Performance Obligations</w:t>
      </w:r>
    </w:p>
    <w:p w14:paraId="00100F03" w14:textId="00100F04">
      <w:pPr>
        <w:pStyle w:val="Normal"/>
        <w:jc w:val="left"/>
      </w:pPr>
      <w:r>
        <w:t xml:space="preserve">Unsatisfied, or partially unsatisfied, performance obligations at the reporting date represent contracted revenue that has not yet been recognized because the related goods or services remain to be transferred to customers. For Rivermark Holdings, these obligations arise mainly in multi-period service agreements, infrastructure delivery contracts, software deployment and support packages, subscription-based offerings with future coverage periods, and customer arrangements that include installation, commissioning, or staged acceptance. The disclosed balance therefore reflects committed work in hand rather than speculative pipeline.</w:t>
      </w:r>
    </w:p>
    <w:p w14:paraId="00100F05" w14:textId="00100F06">
      <w:pPr>
        <w:pStyle w:val="Normal"/>
        <w:jc w:val="left"/>
      </w:pPr>
      <w:r>
        <w:t xml:space="preserve">The amount attributed to remaining performance obligations excludes contracts with an original expected duration of one year or less where the practical expedient is applied, and it also excludes variable consideration that is constrained until it becomes highly probable that a significant reversal will not occur. In addition, many framework agreements and purchase orders do not create enforceable rights for all forecast volumes, so only the fixed or reliably estimable committed portion is included. The disclosure should be read together with contract liability balances and backlog indicators elsewhere in the report because each metric captures a different stage in the commercial cycle.</w:t>
      </w:r>
    </w:p>
    <w:p w14:paraId="00100F07" w14:textId="00100F08">
      <w:pPr>
        <w:pStyle w:val="Normal"/>
        <w:jc w:val="left"/>
      </w:pPr>
      <w:r>
        <w:t xml:space="preserve">Management uses this information to assess revenue visibility, resource planning, and delivery sequencing. However, the disclosed balance is not a direct forecast of next-year revenue, since actual recognition depends on mobilization timing, customer readiness, scope modifications, and the achievement of contractual milestones.</w:t>
      </w:r>
    </w:p>
    <w:p w14:paraId="00100F09" w14:textId="00100F0A">
      <w:pPr>
        <w:pStyle w:val="Normal"/>
        <w:jc w:val="left"/>
      </w:pPr>
      <w:r>
        <w:t xml:space="preserve">The expected timing of revenue recognition from remaining performance obligations is based on contract terms, delivery schedules, historical completion patterns, and management’s current estimate of when enforceable obligations will be satisfied. A substantial share is expected to be recognized within the next twelve months, reflecting annual service renewals, subscription arrangements, and short-to-medium-cycle implementation work. The remainder extends beyond one year, principally in Infrastructure Services and selected Industrial Solutions contracts where design, fabrication, installation, testing, and customer acceptance occur over a longer horizon.</w:t>
      </w:r>
    </w:p>
    <w:p w14:paraId="00100F0B" w14:textId="00100F0C">
      <w:pPr>
        <w:pStyle w:val="Normal"/>
        <w:jc w:val="left"/>
      </w:pPr>
      <w:r>
        <w:t xml:space="preserve">Timing estimates are inherently sensitive to operational and commercial developments. Revenue may be recognized earlier where deployment accelerates, customer dependencies are cleared in advance, or milestone approvals are obtained sooner than planned. Conversely, recognition may be deferred by site access restrictions, engineering change requests, regulatory approvals, supply-chain delays, or revised customer commissioning schedules. For obligations recognized over time, progress measures are reassessed throughout execution to ensure that the transfer pattern continues to reflect the substance of performance.</w:t>
      </w:r>
    </w:p>
    <w:p w14:paraId="00100F0D" w14:textId="00100F0E">
      <w:pPr>
        <w:pStyle w:val="Normal"/>
        <w:jc w:val="left"/>
      </w:pPr>
      <w:r>
        <w:t xml:space="preserve">Accordingly, the maturity profile of unsatisfied performance obligations should be viewed as a reasonable period-end estimate rather than a fixed schedule. Rivermark Holdings updates these judgments each reporting period and considers changes in timing when evaluating forecast quality, segment outlook, and near-term revenue conversion.</w:t>
      </w:r>
    </w:p>
    <w:p w14:paraId="00100F0F" w14:textId="00100F10">
      <w:pPr>
        <w:pStyle w:val="Normal"/>
        <w:jc w:val="left"/>
      </w:pPr>
      <w:r>
        <w:t xml:space="preserve">8.1.2.1 Revenue Disaggregation</w:t>
      </w:r>
    </w:p>
    <w:p w14:paraId="00100F11" w14:textId="00100F12">
      <w:pPr>
        <w:pStyle w:val="Normal"/>
        <w:jc w:val="left"/>
      </w:pPr>
      <w:r>
        <w:t xml:space="preserve">Revenue is disaggregated to depict how the nature, amount, timing, and uncertainty of cash flows are affected by economic factors across the group’s activities. Rivermark Holdings presents disaggregation primarily by operating segment, customer geography, and timing of transfer, because these dimensions align most closely with the way management reviews performance and how underlying revenue characteristics differ. Segment disaggregation distinguishes the commercial profile of Industrial Solutions, Consumer Platforms, and Infrastructure Services, while geographic disaggregation highlights exposure to regional demand conditions, pricing dynamics, and local execution environments.</w:t>
      </w:r>
    </w:p>
    <w:p w14:paraId="00100F13" w14:textId="00100F14">
      <w:pPr>
        <w:pStyle w:val="Normal"/>
        <w:jc w:val="left"/>
      </w:pPr>
      <w:r>
        <w:t xml:space="preserve">The timing basis separates revenue recognized at a point in time from revenue recognized over time. This distinction is meaningful because product transactions, standard platform sales, and certain equipment deliveries generally convert at a point in time, whereas project services, support arrangements, managed services, and long-duration contracts are recognized over time as control transfers or performance is completed. Additional narrative disclosures explain the principal contract types, billing mechanisms, and practical expedients used so that readers can connect table totals with the underlying accounting policy.</w:t>
      </w:r>
    </w:p>
    <w:p w14:paraId="00100F15" w14:textId="00100F16">
      <w:pPr>
        <w:pStyle w:val="Normal"/>
        <w:jc w:val="left"/>
      </w:pPr>
      <w:r>
        <w:t xml:space="preserve">This disaggregation framework also supports comparison between external reporting and internal decision-making. It helps users assess concentration, resilience, and the balance between shorter-cycle and longer-cycle revenue streams, while preserving consistency with segment note disclosures and contract balance movements presented in this section.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0F17" w14:textId="00100F71">
            <w:pPr>
              <w:pStyle w:val="Normal"/>
              <w:jc w:val="left"/>
            </w:pPr>
            <w:r>
              <w:t xml:space="preserve">Dimension</w:t>
            </w:r>
          </w:p>
        </w:tc>
        <w:tc>
          <w:tcPr>
            <w:vAlign w:val="center"/>
            <w:tcBorders>
              <w:top w:val="single" w:sz="4" w:space="0" w:color="auto"/>
              <w:left w:val="single" w:sz="4" w:space="0" w:color="auto"/>
              <w:bottom w:val="single" w:sz="4" w:space="0" w:color="auto"/>
              <w:right w:val="single" w:sz="4" w:space="0" w:color="auto"/>
            </w:tcBorders>
          </w:tcPr>
          <w:p w14:paraId="00100F19" w14:textId="00100F72">
            <w:pPr>
              <w:pStyle w:val="Normal"/>
              <w:jc w:val="left"/>
            </w:pPr>
            <w:r>
              <w:t xml:space="preserve">Industrial Solutions</w:t>
            </w:r>
          </w:p>
        </w:tc>
        <w:tc>
          <w:tcPr>
            <w:vAlign w:val="center"/>
            <w:tcBorders>
              <w:top w:val="single" w:sz="4" w:space="0" w:color="auto"/>
              <w:left w:val="single" w:sz="4" w:space="0" w:color="auto"/>
              <w:bottom w:val="single" w:sz="4" w:space="0" w:color="auto"/>
              <w:right w:val="single" w:sz="4" w:space="0" w:color="auto"/>
            </w:tcBorders>
          </w:tcPr>
          <w:p w14:paraId="00100F1B" w14:textId="00100F73">
            <w:pPr>
              <w:pStyle w:val="Normal"/>
              <w:jc w:val="left"/>
            </w:pPr>
            <w:r>
              <w:t xml:space="preserve">Consumer Platforms</w:t>
            </w:r>
          </w:p>
        </w:tc>
        <w:tc>
          <w:tcPr>
            <w:vAlign w:val="center"/>
            <w:tcBorders>
              <w:top w:val="single" w:sz="4" w:space="0" w:color="auto"/>
              <w:left w:val="single" w:sz="4" w:space="0" w:color="auto"/>
              <w:bottom w:val="single" w:sz="4" w:space="0" w:color="auto"/>
              <w:right w:val="single" w:sz="4" w:space="0" w:color="auto"/>
            </w:tcBorders>
          </w:tcPr>
          <w:p w14:paraId="00100F1D" w14:textId="00100F74">
            <w:pPr>
              <w:pStyle w:val="Normal"/>
              <w:jc w:val="left"/>
            </w:pPr>
            <w:r>
              <w:t xml:space="preserve">Infrastructure Services</w:t>
            </w:r>
          </w:p>
        </w:tc>
        <w:tc>
          <w:tcPr>
            <w:vAlign w:val="center"/>
            <w:tcBorders>
              <w:top w:val="single" w:sz="4" w:space="0" w:color="auto"/>
              <w:left w:val="single" w:sz="4" w:space="0" w:color="auto"/>
              <w:bottom w:val="single" w:sz="4" w:space="0" w:color="auto"/>
              <w:right w:val="single" w:sz="4" w:space="0" w:color="auto"/>
            </w:tcBorders>
          </w:tcPr>
          <w:p w14:paraId="00100F1F" w14:textId="00100F75">
            <w:pPr>
              <w:pStyle w:val="Normal"/>
              <w:jc w:val="left"/>
            </w:pPr>
            <w:r>
              <w:t xml:space="preserve">Group Total</w:t>
            </w:r>
          </w:p>
        </w:tc>
      </w:tr>
      <w:tr>
        <w:tc>
          <w:tcPr>
            <w:vAlign w:val="top"/>
            <w:tcBorders>
              <w:top w:val="single" w:sz="4" w:space="0" w:color="auto"/>
              <w:left w:val="single" w:sz="4" w:space="0" w:color="auto"/>
              <w:bottom w:val="single" w:sz="4" w:space="0" w:color="auto"/>
              <w:right w:val="single" w:sz="4" w:space="0" w:color="auto"/>
            </w:tcBorders>
          </w:tcPr>
          <w:p w14:paraId="00100F21" w14:textId="00100F76">
            <w:pPr>
              <w:pStyle w:val="Normal"/>
              <w:jc w:val="left"/>
            </w:pPr>
            <w:r>
              <w:t xml:space="preserve">Revenue by segment</w:t>
            </w:r>
          </w:p>
        </w:tc>
        <w:tc>
          <w:tcPr>
            <w:vAlign w:val="center"/>
            <w:tcBorders>
              <w:top w:val="single" w:sz="4" w:space="0" w:color="auto"/>
              <w:left w:val="single" w:sz="4" w:space="0" w:color="auto"/>
              <w:bottom w:val="single" w:sz="4" w:space="0" w:color="auto"/>
              <w:right w:val="single" w:sz="4" w:space="0" w:color="auto"/>
            </w:tcBorders>
          </w:tcPr>
          <w:p w14:paraId="00100F23" w14:textId="00100F77">
            <w:pPr>
              <w:pStyle w:val="Normal"/>
              <w:jc w:val="left"/>
            </w:pPr>
            <w:r>
              <w:t xml:space="preserve">1,286</w:t>
            </w:r>
          </w:p>
        </w:tc>
        <w:tc>
          <w:tcPr>
            <w:vAlign w:val="center"/>
            <w:tcBorders>
              <w:top w:val="single" w:sz="4" w:space="0" w:color="auto"/>
              <w:left w:val="single" w:sz="4" w:space="0" w:color="auto"/>
              <w:bottom w:val="single" w:sz="4" w:space="0" w:color="auto"/>
              <w:right w:val="single" w:sz="4" w:space="0" w:color="auto"/>
            </w:tcBorders>
          </w:tcPr>
          <w:p w14:paraId="00100F25" w14:textId="00100F78">
            <w:pPr>
              <w:pStyle w:val="Normal"/>
              <w:jc w:val="left"/>
            </w:pPr>
            <w:r>
              <w:t xml:space="preserve">1,014</w:t>
            </w:r>
          </w:p>
        </w:tc>
        <w:tc>
          <w:tcPr>
            <w:vAlign w:val="center"/>
            <w:tcBorders>
              <w:top w:val="single" w:sz="4" w:space="0" w:color="auto"/>
              <w:left w:val="single" w:sz="4" w:space="0" w:color="auto"/>
              <w:bottom w:val="single" w:sz="4" w:space="0" w:color="auto"/>
              <w:right w:val="single" w:sz="4" w:space="0" w:color="auto"/>
            </w:tcBorders>
          </w:tcPr>
          <w:p w14:paraId="00100F27" w14:textId="00100F79">
            <w:pPr>
              <w:pStyle w:val="Normal"/>
              <w:jc w:val="left"/>
            </w:pPr>
            <w:r>
              <w:t xml:space="preserve">842</w:t>
            </w:r>
          </w:p>
        </w:tc>
        <w:tc>
          <w:tcPr>
            <w:vAlign w:val="center"/>
            <w:tcBorders>
              <w:top w:val="single" w:sz="4" w:space="0" w:color="auto"/>
              <w:left w:val="single" w:sz="4" w:space="0" w:color="auto"/>
              <w:bottom w:val="single" w:sz="4" w:space="0" w:color="auto"/>
              <w:right w:val="single" w:sz="4" w:space="0" w:color="auto"/>
            </w:tcBorders>
          </w:tcPr>
          <w:p w14:paraId="00100F29" w14:textId="00100F7A">
            <w:pPr>
              <w:pStyle w:val="Normal"/>
              <w:jc w:val="left"/>
            </w:pPr>
            <w:r>
              <w:t xml:space="preserve">3,142</w:t>
            </w:r>
          </w:p>
        </w:tc>
      </w:tr>
      <w:tr>
        <w:tc>
          <w:tcPr>
            <w:vAlign w:val="top"/>
            <w:tcBorders>
              <w:top w:val="single" w:sz="4" w:space="0" w:color="auto"/>
              <w:left w:val="single" w:sz="4" w:space="0" w:color="auto"/>
              <w:bottom w:val="single" w:sz="4" w:space="0" w:color="auto"/>
              <w:right w:val="single" w:sz="4" w:space="0" w:color="auto"/>
            </w:tcBorders>
          </w:tcPr>
          <w:p w14:paraId="00100F2B" w14:textId="00100F7B">
            <w:pPr>
              <w:pStyle w:val="Normal"/>
              <w:jc w:val="left"/>
            </w:pPr>
            <w:r>
              <w:t xml:space="preserve">Region: Northland</w:t>
            </w:r>
          </w:p>
        </w:tc>
        <w:tc>
          <w:tcPr>
            <w:vAlign w:val="center"/>
            <w:tcBorders>
              <w:top w:val="single" w:sz="4" w:space="0" w:color="auto"/>
              <w:left w:val="single" w:sz="4" w:space="0" w:color="auto"/>
              <w:bottom w:val="single" w:sz="4" w:space="0" w:color="auto"/>
              <w:right w:val="single" w:sz="4" w:space="0" w:color="auto"/>
            </w:tcBorders>
          </w:tcPr>
          <w:p w14:paraId="00100F2D" w14:textId="00100F7C">
            <w:pPr>
              <w:pStyle w:val="Normal"/>
              <w:jc w:val="left"/>
            </w:pPr>
            <w:r>
              <w:t xml:space="preserve">522</w:t>
            </w:r>
          </w:p>
        </w:tc>
        <w:tc>
          <w:tcPr>
            <w:vAlign w:val="center"/>
            <w:tcBorders>
              <w:top w:val="single" w:sz="4" w:space="0" w:color="auto"/>
              <w:left w:val="single" w:sz="4" w:space="0" w:color="auto"/>
              <w:bottom w:val="single" w:sz="4" w:space="0" w:color="auto"/>
              <w:right w:val="single" w:sz="4" w:space="0" w:color="auto"/>
            </w:tcBorders>
          </w:tcPr>
          <w:p w14:paraId="00100F2F" w14:textId="00100F7D">
            <w:pPr>
              <w:pStyle w:val="Normal"/>
              <w:jc w:val="left"/>
            </w:pPr>
            <w:r>
              <w:t xml:space="preserve">431</w:t>
            </w:r>
          </w:p>
        </w:tc>
        <w:tc>
          <w:tcPr>
            <w:vAlign w:val="center"/>
            <w:tcBorders>
              <w:top w:val="single" w:sz="4" w:space="0" w:color="auto"/>
              <w:left w:val="single" w:sz="4" w:space="0" w:color="auto"/>
              <w:bottom w:val="single" w:sz="4" w:space="0" w:color="auto"/>
              <w:right w:val="single" w:sz="4" w:space="0" w:color="auto"/>
            </w:tcBorders>
          </w:tcPr>
          <w:p w14:paraId="00100F31" w14:textId="00100F7E">
            <w:pPr>
              <w:pStyle w:val="Normal"/>
              <w:jc w:val="left"/>
            </w:pPr>
            <w:r>
              <w:t xml:space="preserve">268</w:t>
            </w:r>
          </w:p>
        </w:tc>
        <w:tc>
          <w:tcPr>
            <w:vAlign w:val="center"/>
            <w:tcBorders>
              <w:top w:val="single" w:sz="4" w:space="0" w:color="auto"/>
              <w:left w:val="single" w:sz="4" w:space="0" w:color="auto"/>
              <w:bottom w:val="single" w:sz="4" w:space="0" w:color="auto"/>
              <w:right w:val="single" w:sz="4" w:space="0" w:color="auto"/>
            </w:tcBorders>
          </w:tcPr>
          <w:p w14:paraId="00100F33" w14:textId="00100F7F">
            <w:pPr>
              <w:pStyle w:val="Normal"/>
              <w:jc w:val="left"/>
            </w:pPr>
            <w:r>
              <w:t xml:space="preserve">1,221</w:t>
            </w:r>
          </w:p>
        </w:tc>
      </w:tr>
      <w:tr>
        <w:tc>
          <w:tcPr>
            <w:vAlign w:val="top"/>
            <w:tcBorders>
              <w:top w:val="single" w:sz="4" w:space="0" w:color="auto"/>
              <w:left w:val="single" w:sz="4" w:space="0" w:color="auto"/>
              <w:bottom w:val="single" w:sz="4" w:space="0" w:color="auto"/>
              <w:right w:val="single" w:sz="4" w:space="0" w:color="auto"/>
            </w:tcBorders>
          </w:tcPr>
          <w:p w14:paraId="00100F35" w14:textId="00100F80">
            <w:pPr>
              <w:pStyle w:val="Normal"/>
              <w:jc w:val="left"/>
            </w:pPr>
            <w:r>
              <w:t xml:space="preserve">Region: Coastline</w:t>
            </w:r>
          </w:p>
        </w:tc>
        <w:tc>
          <w:tcPr>
            <w:vAlign w:val="center"/>
            <w:tcBorders>
              <w:top w:val="single" w:sz="4" w:space="0" w:color="auto"/>
              <w:left w:val="single" w:sz="4" w:space="0" w:color="auto"/>
              <w:bottom w:val="single" w:sz="4" w:space="0" w:color="auto"/>
              <w:right w:val="single" w:sz="4" w:space="0" w:color="auto"/>
            </w:tcBorders>
          </w:tcPr>
          <w:p w14:paraId="00100F37" w14:textId="00100F81">
            <w:pPr>
              <w:pStyle w:val="Normal"/>
              <w:jc w:val="left"/>
            </w:pPr>
            <w:r>
              <w:t xml:space="preserve">301</w:t>
            </w:r>
          </w:p>
        </w:tc>
        <w:tc>
          <w:tcPr>
            <w:vAlign w:val="center"/>
            <w:tcBorders>
              <w:top w:val="single" w:sz="4" w:space="0" w:color="auto"/>
              <w:left w:val="single" w:sz="4" w:space="0" w:color="auto"/>
              <w:bottom w:val="single" w:sz="4" w:space="0" w:color="auto"/>
              <w:right w:val="single" w:sz="4" w:space="0" w:color="auto"/>
            </w:tcBorders>
          </w:tcPr>
          <w:p w14:paraId="00100F39" w14:textId="00100F82">
            <w:pPr>
              <w:pStyle w:val="Normal"/>
              <w:jc w:val="left"/>
            </w:pPr>
            <w:r>
              <w:t xml:space="preserve">286</w:t>
            </w:r>
          </w:p>
        </w:tc>
        <w:tc>
          <w:tcPr>
            <w:vAlign w:val="center"/>
            <w:tcBorders>
              <w:top w:val="single" w:sz="4" w:space="0" w:color="auto"/>
              <w:left w:val="single" w:sz="4" w:space="0" w:color="auto"/>
              <w:bottom w:val="single" w:sz="4" w:space="0" w:color="auto"/>
              <w:right w:val="single" w:sz="4" w:space="0" w:color="auto"/>
            </w:tcBorders>
          </w:tcPr>
          <w:p w14:paraId="00100F3B" w14:textId="00100F83">
            <w:pPr>
              <w:pStyle w:val="Normal"/>
              <w:jc w:val="left"/>
            </w:pPr>
            <w:r>
              <w:t xml:space="preserve">214</w:t>
            </w:r>
          </w:p>
        </w:tc>
        <w:tc>
          <w:tcPr>
            <w:vAlign w:val="center"/>
            <w:tcBorders>
              <w:top w:val="single" w:sz="4" w:space="0" w:color="auto"/>
              <w:left w:val="single" w:sz="4" w:space="0" w:color="auto"/>
              <w:bottom w:val="single" w:sz="4" w:space="0" w:color="auto"/>
              <w:right w:val="single" w:sz="4" w:space="0" w:color="auto"/>
            </w:tcBorders>
          </w:tcPr>
          <w:p w14:paraId="00100F3D" w14:textId="00100F84">
            <w:pPr>
              <w:pStyle w:val="Normal"/>
              <w:jc w:val="left"/>
            </w:pPr>
            <w:r>
              <w:t xml:space="preserve">801</w:t>
            </w:r>
          </w:p>
        </w:tc>
      </w:tr>
      <w:tr>
        <w:tc>
          <w:tcPr>
            <w:vAlign w:val="top"/>
            <w:tcBorders>
              <w:top w:val="single" w:sz="4" w:space="0" w:color="auto"/>
              <w:left w:val="single" w:sz="4" w:space="0" w:color="auto"/>
              <w:bottom w:val="single" w:sz="4" w:space="0" w:color="auto"/>
              <w:right w:val="single" w:sz="4" w:space="0" w:color="auto"/>
            </w:tcBorders>
          </w:tcPr>
          <w:p w14:paraId="00100F3F" w14:textId="00100F85">
            <w:pPr>
              <w:pStyle w:val="Normal"/>
              <w:jc w:val="left"/>
            </w:pPr>
            <w:r>
              <w:t xml:space="preserve">Region: Midland</w:t>
            </w:r>
          </w:p>
        </w:tc>
        <w:tc>
          <w:tcPr>
            <w:vAlign w:val="center"/>
            <w:tcBorders>
              <w:top w:val="single" w:sz="4" w:space="0" w:color="auto"/>
              <w:left w:val="single" w:sz="4" w:space="0" w:color="auto"/>
              <w:bottom w:val="single" w:sz="4" w:space="0" w:color="auto"/>
              <w:right w:val="single" w:sz="4" w:space="0" w:color="auto"/>
            </w:tcBorders>
          </w:tcPr>
          <w:p w14:paraId="00100F41" w14:textId="00100F86">
            <w:pPr>
              <w:pStyle w:val="Normal"/>
              <w:jc w:val="left"/>
            </w:pPr>
            <w:r>
              <w:t xml:space="preserve">247</w:t>
            </w:r>
          </w:p>
        </w:tc>
        <w:tc>
          <w:tcPr>
            <w:vAlign w:val="center"/>
            <w:tcBorders>
              <w:top w:val="single" w:sz="4" w:space="0" w:color="auto"/>
              <w:left w:val="single" w:sz="4" w:space="0" w:color="auto"/>
              <w:bottom w:val="single" w:sz="4" w:space="0" w:color="auto"/>
              <w:right w:val="single" w:sz="4" w:space="0" w:color="auto"/>
            </w:tcBorders>
          </w:tcPr>
          <w:p w14:paraId="00100F43" w14:textId="00100F87">
            <w:pPr>
              <w:pStyle w:val="Normal"/>
              <w:jc w:val="left"/>
            </w:pPr>
            <w:r>
              <w:t xml:space="preserve">179</w:t>
            </w:r>
          </w:p>
        </w:tc>
        <w:tc>
          <w:tcPr>
            <w:vAlign w:val="center"/>
            <w:tcBorders>
              <w:top w:val="single" w:sz="4" w:space="0" w:color="auto"/>
              <w:left w:val="single" w:sz="4" w:space="0" w:color="auto"/>
              <w:bottom w:val="single" w:sz="4" w:space="0" w:color="auto"/>
              <w:right w:val="single" w:sz="4" w:space="0" w:color="auto"/>
            </w:tcBorders>
          </w:tcPr>
          <w:p w14:paraId="00100F45" w14:textId="00100F88">
            <w:pPr>
              <w:pStyle w:val="Normal"/>
              <w:jc w:val="left"/>
            </w:pPr>
            <w:r>
              <w:t xml:space="preserve">226</w:t>
            </w:r>
          </w:p>
        </w:tc>
        <w:tc>
          <w:tcPr>
            <w:vAlign w:val="center"/>
            <w:tcBorders>
              <w:top w:val="single" w:sz="4" w:space="0" w:color="auto"/>
              <w:left w:val="single" w:sz="4" w:space="0" w:color="auto"/>
              <w:bottom w:val="single" w:sz="4" w:space="0" w:color="auto"/>
              <w:right w:val="single" w:sz="4" w:space="0" w:color="auto"/>
            </w:tcBorders>
          </w:tcPr>
          <w:p w14:paraId="00100F47" w14:textId="00100F89">
            <w:pPr>
              <w:pStyle w:val="Normal"/>
              <w:jc w:val="left"/>
            </w:pPr>
            <w:r>
              <w:t xml:space="preserve">652</w:t>
            </w:r>
          </w:p>
        </w:tc>
      </w:tr>
      <w:tr>
        <w:tc>
          <w:tcPr>
            <w:vAlign w:val="top"/>
            <w:tcBorders>
              <w:top w:val="single" w:sz="4" w:space="0" w:color="auto"/>
              <w:left w:val="single" w:sz="4" w:space="0" w:color="auto"/>
              <w:bottom w:val="single" w:sz="4" w:space="0" w:color="auto"/>
              <w:right w:val="single" w:sz="4" w:space="0" w:color="auto"/>
            </w:tcBorders>
          </w:tcPr>
          <w:p w14:paraId="00100F49" w14:textId="00100F8A">
            <w:pPr>
              <w:pStyle w:val="Normal"/>
              <w:jc w:val="left"/>
            </w:pPr>
            <w:r>
              <w:t xml:space="preserve">Region: International</w:t>
            </w:r>
          </w:p>
        </w:tc>
        <w:tc>
          <w:tcPr>
            <w:vAlign w:val="center"/>
            <w:tcBorders>
              <w:top w:val="single" w:sz="4" w:space="0" w:color="auto"/>
              <w:left w:val="single" w:sz="4" w:space="0" w:color="auto"/>
              <w:bottom w:val="single" w:sz="4" w:space="0" w:color="auto"/>
              <w:right w:val="single" w:sz="4" w:space="0" w:color="auto"/>
            </w:tcBorders>
          </w:tcPr>
          <w:p w14:paraId="00100F4B" w14:textId="00100F8B">
            <w:pPr>
              <w:pStyle w:val="Normal"/>
              <w:jc w:val="left"/>
            </w:pPr>
            <w:r>
              <w:t xml:space="preserve">216</w:t>
            </w:r>
          </w:p>
        </w:tc>
        <w:tc>
          <w:tcPr>
            <w:vAlign w:val="center"/>
            <w:tcBorders>
              <w:top w:val="single" w:sz="4" w:space="0" w:color="auto"/>
              <w:left w:val="single" w:sz="4" w:space="0" w:color="auto"/>
              <w:bottom w:val="single" w:sz="4" w:space="0" w:color="auto"/>
              <w:right w:val="single" w:sz="4" w:space="0" w:color="auto"/>
            </w:tcBorders>
          </w:tcPr>
          <w:p w14:paraId="00100F4D" w14:textId="00100F8C">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0F4F" w14:textId="00100F8D">
            <w:pPr>
              <w:pStyle w:val="Normal"/>
              <w:jc w:val="left"/>
            </w:pPr>
            <w:r>
              <w:t xml:space="preserve">134</w:t>
            </w:r>
          </w:p>
        </w:tc>
        <w:tc>
          <w:tcPr>
            <w:vAlign w:val="center"/>
            <w:tcBorders>
              <w:top w:val="single" w:sz="4" w:space="0" w:color="auto"/>
              <w:left w:val="single" w:sz="4" w:space="0" w:color="auto"/>
              <w:bottom w:val="single" w:sz="4" w:space="0" w:color="auto"/>
              <w:right w:val="single" w:sz="4" w:space="0" w:color="auto"/>
            </w:tcBorders>
          </w:tcPr>
          <w:p w14:paraId="00100F51" w14:textId="00100F8E">
            <w:pPr>
              <w:pStyle w:val="Normal"/>
              <w:jc w:val="left"/>
            </w:pPr>
            <w:r>
              <w:t xml:space="preserve">468</w:t>
            </w:r>
          </w:p>
        </w:tc>
      </w:tr>
      <w:tr>
        <w:tc>
          <w:tcPr>
            <w:vAlign w:val="top"/>
            <w:tcBorders>
              <w:top w:val="single" w:sz="4" w:space="0" w:color="auto"/>
              <w:left w:val="single" w:sz="4" w:space="0" w:color="auto"/>
              <w:bottom w:val="single" w:sz="4" w:space="0" w:color="auto"/>
              <w:right w:val="single" w:sz="4" w:space="0" w:color="auto"/>
            </w:tcBorders>
          </w:tcPr>
          <w:p w14:paraId="00100F53" w14:textId="00100F8F">
            <w:pPr>
              <w:pStyle w:val="Normal"/>
              <w:jc w:val="left"/>
            </w:pPr>
            <w:r>
              <w:t xml:space="preserve">Timing: Point in time</w:t>
            </w:r>
          </w:p>
        </w:tc>
        <w:tc>
          <w:tcPr>
            <w:vAlign w:val="center"/>
            <w:tcBorders>
              <w:top w:val="single" w:sz="4" w:space="0" w:color="auto"/>
              <w:left w:val="single" w:sz="4" w:space="0" w:color="auto"/>
              <w:bottom w:val="single" w:sz="4" w:space="0" w:color="auto"/>
              <w:right w:val="single" w:sz="4" w:space="0" w:color="auto"/>
            </w:tcBorders>
          </w:tcPr>
          <w:p w14:paraId="00100F55" w14:textId="00100F90">
            <w:pPr>
              <w:pStyle w:val="Normal"/>
              <w:jc w:val="left"/>
            </w:pPr>
            <w:r>
              <w:t xml:space="preserve">918</w:t>
            </w:r>
          </w:p>
        </w:tc>
        <w:tc>
          <w:tcPr>
            <w:vAlign w:val="center"/>
            <w:tcBorders>
              <w:top w:val="single" w:sz="4" w:space="0" w:color="auto"/>
              <w:left w:val="single" w:sz="4" w:space="0" w:color="auto"/>
              <w:bottom w:val="single" w:sz="4" w:space="0" w:color="auto"/>
              <w:right w:val="single" w:sz="4" w:space="0" w:color="auto"/>
            </w:tcBorders>
          </w:tcPr>
          <w:p w14:paraId="00100F57" w14:textId="00100F91">
            <w:pPr>
              <w:pStyle w:val="Normal"/>
              <w:jc w:val="left"/>
            </w:pPr>
            <w:r>
              <w:t xml:space="preserve">972</w:t>
            </w:r>
          </w:p>
        </w:tc>
        <w:tc>
          <w:tcPr>
            <w:vAlign w:val="center"/>
            <w:tcBorders>
              <w:top w:val="single" w:sz="4" w:space="0" w:color="auto"/>
              <w:left w:val="single" w:sz="4" w:space="0" w:color="auto"/>
              <w:bottom w:val="single" w:sz="4" w:space="0" w:color="auto"/>
              <w:right w:val="single" w:sz="4" w:space="0" w:color="auto"/>
            </w:tcBorders>
          </w:tcPr>
          <w:p w14:paraId="00100F59" w14:textId="00100F92">
            <w:pPr>
              <w:pStyle w:val="Normal"/>
              <w:jc w:val="left"/>
            </w:pPr>
            <w:r>
              <w:t xml:space="preserve">146</w:t>
            </w:r>
          </w:p>
        </w:tc>
        <w:tc>
          <w:tcPr>
            <w:vAlign w:val="center"/>
            <w:tcBorders>
              <w:top w:val="single" w:sz="4" w:space="0" w:color="auto"/>
              <w:left w:val="single" w:sz="4" w:space="0" w:color="auto"/>
              <w:bottom w:val="single" w:sz="4" w:space="0" w:color="auto"/>
              <w:right w:val="single" w:sz="4" w:space="0" w:color="auto"/>
            </w:tcBorders>
          </w:tcPr>
          <w:p w14:paraId="00100F5B" w14:textId="00100F93">
            <w:pPr>
              <w:pStyle w:val="Normal"/>
              <w:jc w:val="left"/>
            </w:pPr>
            <w:r>
              <w:t xml:space="preserve">2,036</w:t>
            </w:r>
          </w:p>
        </w:tc>
      </w:tr>
      <w:tr>
        <w:tc>
          <w:tcPr>
            <w:vAlign w:val="top"/>
            <w:tcBorders>
              <w:top w:val="single" w:sz="4" w:space="0" w:color="auto"/>
              <w:left w:val="single" w:sz="4" w:space="0" w:color="auto"/>
              <w:bottom w:val="single" w:sz="4" w:space="0" w:color="auto"/>
              <w:right w:val="single" w:sz="4" w:space="0" w:color="auto"/>
            </w:tcBorders>
          </w:tcPr>
          <w:p w14:paraId="00100F5D" w14:textId="00100F94">
            <w:pPr>
              <w:pStyle w:val="Normal"/>
              <w:jc w:val="left"/>
            </w:pPr>
            <w:r>
              <w:t xml:space="preserve">Timing: Over time</w:t>
            </w:r>
          </w:p>
        </w:tc>
        <w:tc>
          <w:tcPr>
            <w:vAlign w:val="center"/>
            <w:tcBorders>
              <w:top w:val="single" w:sz="4" w:space="0" w:color="auto"/>
              <w:left w:val="single" w:sz="4" w:space="0" w:color="auto"/>
              <w:bottom w:val="single" w:sz="4" w:space="0" w:color="auto"/>
              <w:right w:val="single" w:sz="4" w:space="0" w:color="auto"/>
            </w:tcBorders>
          </w:tcPr>
          <w:p w14:paraId="00100F5F" w14:textId="00100F95">
            <w:pPr>
              <w:pStyle w:val="Normal"/>
              <w:jc w:val="left"/>
            </w:pPr>
            <w:r>
              <w:t xml:space="preserve">368</w:t>
            </w:r>
          </w:p>
        </w:tc>
        <w:tc>
          <w:tcPr>
            <w:vAlign w:val="center"/>
            <w:tcBorders>
              <w:top w:val="single" w:sz="4" w:space="0" w:color="auto"/>
              <w:left w:val="single" w:sz="4" w:space="0" w:color="auto"/>
              <w:bottom w:val="single" w:sz="4" w:space="0" w:color="auto"/>
              <w:right w:val="single" w:sz="4" w:space="0" w:color="auto"/>
            </w:tcBorders>
          </w:tcPr>
          <w:p w14:paraId="00100F61" w14:textId="00100F96">
            <w:pPr>
              <w:pStyle w:val="Normal"/>
              <w:jc w:val="left"/>
            </w:pPr>
            <w:r>
              <w:t xml:space="preserve">42</w:t>
            </w:r>
          </w:p>
        </w:tc>
        <w:tc>
          <w:tcPr>
            <w:vAlign w:val="center"/>
            <w:tcBorders>
              <w:top w:val="single" w:sz="4" w:space="0" w:color="auto"/>
              <w:left w:val="single" w:sz="4" w:space="0" w:color="auto"/>
              <w:bottom w:val="single" w:sz="4" w:space="0" w:color="auto"/>
              <w:right w:val="single" w:sz="4" w:space="0" w:color="auto"/>
            </w:tcBorders>
          </w:tcPr>
          <w:p w14:paraId="00100F63" w14:textId="00100F97">
            <w:pPr>
              <w:pStyle w:val="Normal"/>
              <w:jc w:val="left"/>
            </w:pPr>
            <w:r>
              <w:t xml:space="preserve">696</w:t>
            </w:r>
          </w:p>
        </w:tc>
        <w:tc>
          <w:tcPr>
            <w:vAlign w:val="center"/>
            <w:tcBorders>
              <w:top w:val="single" w:sz="4" w:space="0" w:color="auto"/>
              <w:left w:val="single" w:sz="4" w:space="0" w:color="auto"/>
              <w:bottom w:val="single" w:sz="4" w:space="0" w:color="auto"/>
              <w:right w:val="single" w:sz="4" w:space="0" w:color="auto"/>
            </w:tcBorders>
          </w:tcPr>
          <w:p w14:paraId="00100F65" w14:textId="00100F98">
            <w:pPr>
              <w:pStyle w:val="Normal"/>
              <w:jc w:val="left"/>
            </w:pPr>
            <w:r>
              <w:t xml:space="preserve">1,106</w:t>
            </w:r>
          </w:p>
        </w:tc>
      </w:tr>
      <w:tr>
        <w:tc>
          <w:tcPr>
            <w:vAlign w:val="top"/>
            <w:tcBorders>
              <w:top w:val="single" w:sz="4" w:space="0" w:color="auto"/>
              <w:left w:val="single" w:sz="4" w:space="0" w:color="auto"/>
              <w:bottom w:val="single" w:sz="4" w:space="0" w:color="auto"/>
              <w:right w:val="single" w:sz="4" w:space="0" w:color="auto"/>
            </w:tcBorders>
          </w:tcPr>
          <w:p w14:paraId="00100F67" w14:textId="00100F99">
            <w:pPr>
              <w:pStyle w:val="Normal"/>
              <w:jc w:val="left"/>
            </w:pPr>
            <w:r>
              <w:t xml:space="preserve">Largest single-customer exposure</w:t>
            </w:r>
          </w:p>
        </w:tc>
        <w:tc>
          <w:tcPr>
            <w:vAlign w:val="center"/>
            <w:tcBorders>
              <w:top w:val="single" w:sz="4" w:space="0" w:color="auto"/>
              <w:left w:val="single" w:sz="4" w:space="0" w:color="auto"/>
              <w:bottom w:val="single" w:sz="4" w:space="0" w:color="auto"/>
              <w:right w:val="single" w:sz="4" w:space="0" w:color="auto"/>
            </w:tcBorders>
          </w:tcPr>
          <w:p w14:paraId="00100F69" w14:textId="00100F9A">
            <w:pPr>
              <w:pStyle w:val="Normal"/>
              <w:jc w:val="left"/>
            </w:pPr>
            <w:r>
              <w:t xml:space="preserve">11.2%</w:t>
            </w:r>
          </w:p>
        </w:tc>
        <w:tc>
          <w:tcPr>
            <w:vAlign w:val="center"/>
            <w:tcBorders>
              <w:top w:val="single" w:sz="4" w:space="0" w:color="auto"/>
              <w:left w:val="single" w:sz="4" w:space="0" w:color="auto"/>
              <w:bottom w:val="single" w:sz="4" w:space="0" w:color="auto"/>
              <w:right w:val="single" w:sz="4" w:space="0" w:color="auto"/>
            </w:tcBorders>
          </w:tcPr>
          <w:p w14:paraId="00100F6B" w14:textId="00100F9B">
            <w:pPr>
              <w:pStyle w:val="Normal"/>
              <w:jc w:val="left"/>
            </w:pPr>
            <w:r>
              <w:t xml:space="preserve">No individual customer above 5%</w:t>
            </w:r>
          </w:p>
        </w:tc>
        <w:tc>
          <w:tcPr>
            <w:vAlign w:val="center"/>
            <w:tcBorders>
              <w:top w:val="single" w:sz="4" w:space="0" w:color="auto"/>
              <w:left w:val="single" w:sz="4" w:space="0" w:color="auto"/>
              <w:bottom w:val="single" w:sz="4" w:space="0" w:color="auto"/>
              <w:right w:val="single" w:sz="4" w:space="0" w:color="auto"/>
            </w:tcBorders>
          </w:tcPr>
          <w:p w14:paraId="00100F6D" w14:textId="00100F9C">
            <w:pPr>
              <w:pStyle w:val="Normal"/>
              <w:jc w:val="left"/>
            </w:pPr>
            <w:r>
              <w:t xml:space="preserve">8.4%</w:t>
            </w:r>
          </w:p>
        </w:tc>
        <w:tc>
          <w:tcPr>
            <w:vAlign w:val="center"/>
            <w:tcBorders>
              <w:top w:val="single" w:sz="4" w:space="0" w:color="auto"/>
              <w:left w:val="single" w:sz="4" w:space="0" w:color="auto"/>
              <w:bottom w:val="single" w:sz="4" w:space="0" w:color="auto"/>
              <w:right w:val="single" w:sz="4" w:space="0" w:color="auto"/>
            </w:tcBorders>
          </w:tcPr>
          <w:p w14:paraId="00100F6F" w14:textId="00100F9D">
            <w:pPr>
              <w:pStyle w:val="Normal"/>
              <w:jc w:val="left"/>
            </w:pPr>
            <w:r>
              <w:t xml:space="preserve">7.1%</w:t>
            </w:r>
          </w:p>
        </w:tc>
      </w:tr>
    </w:tbl>
    <w:p w14:paraId="00100F9E" w14:textId="00100F9F">
      <w:pPr>
        <w:pStyle w:val="Normal"/>
        <w:jc w:val="left"/>
      </w:pPr>
      <w:r>
        <w:t xml:space="preserve">Table 29 Revenue disaggregation by segment, customer location, and timing of recognition</w:t>
      </w:r>
    </w:p>
    <w:p w14:paraId="00100FA0" w14:textId="00100FA1">
      <w:pPr>
        <w:pStyle w:val="Normal"/>
        <w:jc w:val="left"/>
      </w:pPr>
      <w:r>
        <w:t xml:space="preserve">8.1.2.1.2 Segment Revenue</w:t>
      </w:r>
    </w:p>
    <w:p w14:paraId="00100FA2" w14:textId="00100FA3">
      <w:pPr>
        <w:pStyle w:val="Normal"/>
        <w:jc w:val="left"/>
      </w:pPr>
      <w:r>
        <w:t xml:space="preserve">Revenue is disaggregated by operating segment to reflect the manner in which management evaluates demand patterns, contract structures, and margin characteristics across the Group. Industrial Solutions generated revenue of 1,286 million, remaining the largest contributor to consolidated revenue. Its mix reflects recurring demand for engineered components, aftermarket support, and shorter-cycle product deliveries, with most revenue recognized at a point in time when control passes to the customer. Consumer Platforms contributed 1,014 million and remained predominantly transaction-based, with revenue recognized on fulfillment of product delivery or activation of subscription-related services. Infrastructure Services reported revenue of 842 million and retained the highest share of over-time recognition because a substantial portion of its contracts is tied to long-duration delivery, commissioning, maintenance, and managed-service arrangements.</w:t>
      </w:r>
    </w:p>
    <w:p w14:paraId="00100FA4" w14:textId="00100FA5">
      <w:pPr>
        <w:pStyle w:val="Normal"/>
        <w:jc w:val="left"/>
      </w:pPr>
      <w:r>
        <w:t xml:space="preserve">The segment presentation is consistent with the operating structure reviewed by the chief operating decision maker. It distinguishes businesses not only by product and customer base, but also by the nature of performance obligations, the duration of contract execution, and the working-capital profile attached to each revenue stream. This view assists users in understanding why segments with similar top-line scale may show different earnings conversion and cash realization patterns.</w:t>
      </w:r>
    </w:p>
    <w:p w14:paraId="00100FA6" w14:textId="00100FA7">
      <w:pPr>
        <w:pStyle w:val="Normal"/>
        <w:jc w:val="left"/>
      </w:pPr>
      <w:r>
        <w:t xml:space="preserve">Across the reporting period, the relative balance between Industrial Solutions and Consumer Platforms remained stable, while Infrastructure Services increased its share of Group revenue through stronger project execution and improved service attachment. The disaggregation therefore provides a more decision-useful basis than a single consolidated revenue line and supports comparison with segment assets, liabilities, and profitability disclosures presented in subsequent notes.</w:t>
      </w:r>
    </w:p>
    <w:p w14:paraId="00100FA8" w14:textId="00100FA9">
      <w:pPr>
        <w:pStyle w:val="Normal"/>
        <w:jc w:val="left"/>
      </w:pPr>
      <w:r>
        <w:t xml:space="preserve">The segment mix highlights that Rivermark Holdings benefits from a diversified revenue base, although concentrations remain relevant in selected channels and contract types. Industrial Solutions continues to serve a broad industrial customer base, but its largest programs are linked to a limited number of platform manufacturers and distributor networks. Consumer Platforms is more fragmented by customer count, yet seasonal promotional cycles and channel concentration within large retail and digital partners can affect quarter-to-quarter ordering patterns. Infrastructure Services is less concentrated by customer number than by contract value, as a small number of multi-year service and project arrangements account for a material share of annual billings.</w:t>
      </w:r>
    </w:p>
    <w:p w14:paraId="00100FAA" w14:textId="00100FAB">
      <w:pPr>
        <w:pStyle w:val="Normal"/>
        <w:jc w:val="left"/>
      </w:pPr>
      <w:r>
        <w:t xml:space="preserve">No single external customer represented 10 percent or more of consolidated revenue during the year. However, the largest single-customer exposure within Industrial Solutions reached 11.2 percent of segment revenue, reflecting a supply agreement that remains strategically important to factory utilization and procurement planning. In Infrastructure Services, the largest customer represented 8.4 percent of segment revenue, primarily through integrated maintenance and upgrade contracts.</w:t>
      </w:r>
    </w:p>
    <w:p w14:paraId="00100FAC" w14:textId="00100FAD">
      <w:pPr>
        <w:pStyle w:val="Normal"/>
        <w:jc w:val="left"/>
      </w:pPr>
      <w:r>
        <w:t xml:space="preserve">Management monitors concentration through contract pipeline reviews, credit oversight, and scenario analysis covering renewal delays, customer restructuring, and changes in procurement behavior. The current revenue mix is considered resilient because exposures are spread across different end markets and fulfillment models, but the note also indicates where dependence on a limited set of high-value relationships could influence future revenue volatility and margin performance.</w:t>
      </w:r>
    </w:p>
    <w:p w14:paraId="00100FAE" w14:textId="00100FAF">
      <w:pPr>
        <w:pStyle w:val="Normal"/>
        <w:jc w:val="left"/>
      </w:pPr>
      <w:r>
        <w:t xml:space="preserve">8.1.2.1.2 Geographic Revenue</w:t>
      </w:r>
    </w:p>
    <w:p w14:paraId="00100FB0" w14:textId="00100FB1">
      <w:pPr>
        <w:pStyle w:val="Normal"/>
        <w:jc w:val="left"/>
      </w:pPr>
      <w:r>
        <w:t xml:space="preserve">Revenue by customer location is presented to show where economic demand arises rather than where products are manufactured or services are administratively managed. Northland remained the Group’s largest market at 1,221 million, supported by strong industrial replacement demand, a stable consumer installed base, and the continued execution of public and private infrastructure programs. Coastline contributed 801 million and reflected balanced participation across all three segments, particularly in consumer distribution and urban service contracts. Midland generated 652 million, with Infrastructure Services representing a comparatively larger share because of project activity and network maintenance programs. International markets accounted for 468 million and primarily comprised export sales, cross-border service engagements, and selected licensing and technology-related arrangements.</w:t>
      </w:r>
    </w:p>
    <w:p w14:paraId="00100FB2" w14:textId="00100FB3">
      <w:pPr>
        <w:pStyle w:val="Normal"/>
        <w:jc w:val="left"/>
      </w:pPr>
      <w:r>
        <w:t xml:space="preserve">This geographic view helps explain differences in growth rates and profitability that are not visible in segment totals alone. Markets with a higher share of product sales generally convert revenue more quickly, while markets characterized by project work or regulatory approvals may exhibit longer billing cycles and more pronounced timing effects. Customer location also informs exposure to local pricing conditions, tax regimes, currency movements, and procurement practices.</w:t>
      </w:r>
    </w:p>
    <w:p w14:paraId="00100FB4" w14:textId="00100FB5">
      <w:pPr>
        <w:pStyle w:val="Normal"/>
        <w:jc w:val="left"/>
      </w:pPr>
      <w:r>
        <w:t xml:space="preserve">Revenue is attributed to a geography based on the destination or service location specified in the underlying contract. For framework agreements and multi-site engagements, allocation is based on the principal place of customer consumption or the operational site receiving the service. The resulting schedule provides a consistent basis for comparing regional demand with noncurrent asset disclosures and with the Group’s narrative discussion of market conditions.</w:t>
      </w:r>
    </w:p>
    <w:p w14:paraId="00100FB6" w14:textId="00100FB7">
      <w:pPr>
        <w:pStyle w:val="Normal"/>
        <w:jc w:val="left"/>
      </w:pPr>
      <w:r>
        <w:t xml:space="preserve">Regional demand conditions remained uneven during the year. Northland showed the strongest overall resilience, supported by maintenance-led industrial spending and recurring consumer demand, although pricing became more competitive in selected categories as channel inventories normalized. Coastline experienced steadier order flow but a slower pace of contract conversion in public-sector related work, particularly late in the reporting period. Midland benefited from project mobilization and service renewals, offset in part by softer discretionary consumer spending. International activity improved from a low base, but remained more sensitive to foreign-exchange volatility, freight costs, and local regulatory approvals.</w:t>
      </w:r>
    </w:p>
    <w:p w14:paraId="00100FB8" w14:textId="00100FB9">
      <w:pPr>
        <w:pStyle w:val="Normal"/>
        <w:jc w:val="left"/>
      </w:pPr>
      <w:r>
        <w:t xml:space="preserve">The Group’s regional revenue pattern also reflects the practical effect of customer buying behavior. In Consumer Platforms, campaign-based ordering and digital channel promotions can compress revenue into shorter periods. In Infrastructure Services, milestone certification and site-access timing can shift recognition across reporting dates even when project economics remain intact. Industrial Solutions sits between these two profiles, with repeat OEM and distributor orders providing continuity, but with demand still exposed to capital expenditure cycles in customer industries.</w:t>
      </w:r>
    </w:p>
    <w:p w14:paraId="00100FBA" w14:textId="00100FBB">
      <w:pPr>
        <w:pStyle w:val="Normal"/>
        <w:jc w:val="left"/>
      </w:pPr>
      <w:r>
        <w:t xml:space="preserve">Management uses regional revenue disaggregation to assess whether changes in reported growth arise from structural market expansion, temporary timing differences, or pricing and mix shifts. This is particularly relevant when comparing regions that carry different fulfillment models and regulatory environments.</w:t>
      </w:r>
    </w:p>
    <w:p w14:paraId="00100FBC" w14:textId="00100FBD">
      <w:pPr>
        <w:pStyle w:val="Normal"/>
        <w:jc w:val="left"/>
      </w:pPr>
      <w:r>
        <w:t xml:space="preserve">8.1.2 Segment Information</w:t>
      </w:r>
    </w:p>
    <w:p w14:paraId="00100FBE" w14:textId="00100FBF">
      <w:pPr>
        <w:pStyle w:val="Normal"/>
        <w:jc w:val="left"/>
      </w:pPr>
      <w:r>
        <w:t xml:space="preserve">Rivermark Holdings presents segment information on the same basis used in internal management reporting. The Group has identified reportable segments by considering how operating results are regularly reviewed by the chief operating decision maker, how resources are allocated, and how performance is assessed across businesses with distinct products, customers, and operating characteristics. The reportable segments are Industrial Solutions, Consumer Platforms, and Infrastructure Services.</w:t>
      </w:r>
    </w:p>
    <w:p w14:paraId="00100FC0" w14:textId="00100FC1">
      <w:pPr>
        <w:pStyle w:val="Normal"/>
        <w:jc w:val="left"/>
      </w:pPr>
      <w:r>
        <w:t xml:space="preserve">Segment performance is primarily evaluated using revenue, segment operating earnings, operating margin, cash conversion indicators, and selected asset deployment measures. Intersegment transactions are measured on an arm’s-length basis consistent with internal transfer-pricing policies, and are eliminated on consolidation. Corporate costs that are not directly attributable to a segment, including certain head-office governance, treasury, and shared digital platform expenses, are managed separately and reconciled to consolidated results in the segment note.</w:t>
      </w:r>
    </w:p>
    <w:p w14:paraId="00100FC2" w14:textId="00100FC3">
      <w:pPr>
        <w:pStyle w:val="Normal"/>
        <w:jc w:val="left"/>
      </w:pPr>
      <w:r>
        <w:t xml:space="preserve">The segment disclosure framework is intended to provide users with a view of the business that is consistent with management decision-making while remaining reconcilable to the consolidated financial statements. Segment assets and liabilities are disclosed where those balances are reviewed for performance and resource allocation purposes. Where a balance is centrally managed and not routinely attributed to segments, it is presented within reconciliation items rather than assigned on an arbitrary basis. This approach improves transparency over the operational drivers of performance and clarifies the relationship between managerial reporting and statutory financial presentation.</w:t>
      </w:r>
    </w:p>
    <w:p w14:paraId="00100FC4" w14:textId="00100FC5">
      <w:pPr>
        <w:pStyle w:val="Normal"/>
        <w:jc w:val="left"/>
      </w:pPr>
      <w:r>
        <w:t xml:space="preserve">The segment disclosures are aligned with the monthly operating review package used by executive management and the Board. That package combines statutory accounting information with a limited set of management adjustments designed to improve period-on-period comparability, such as the separate identification of major restructuring items, acquisition integration effects, and unusual project close-out costs. The same underlying reporting architecture supports both internal reviews and external segment reporting, reducing the risk that segment results reflect a basis inconsistent with the audited consolidated statements.</w:t>
      </w:r>
    </w:p>
    <w:p w14:paraId="00100FC6" w14:textId="00100FC7">
      <w:pPr>
        <w:pStyle w:val="Normal"/>
        <w:jc w:val="left"/>
      </w:pPr>
      <w:r>
        <w:t xml:space="preserve">Management reporting emphasizes controllable performance. Accordingly, segment earnings include directly attributable operating costs, shared service allocations based on observable drivers, and depreciation or amortization related to assets employed by the segment. Financing costs, income taxes, and certain corporate-level fair-value movements are excluded from segment results because they are overseen centrally rather than by segment leadership teams. This distinction is important to understanding how resource-allocation decisions are made inside the Group.</w:t>
      </w:r>
    </w:p>
    <w:p w14:paraId="00100FC8" w14:textId="00100FC9">
      <w:pPr>
        <w:pStyle w:val="Normal"/>
        <w:jc w:val="left"/>
      </w:pPr>
      <w:r>
        <w:t xml:space="preserve">Where internal organizational responsibilities changed during the year, comparative information was reviewed to determine whether recasting was necessary to preserve comparability. No change in reportable segments occurred in the reporting period, and the basis of measurement remained consistent with the prior year. As a result, users may compare current and prior segment information without material distortion arising from reporting realignment.</w:t>
      </w:r>
    </w:p>
    <w:p w14:paraId="00100FCA" w14:textId="00100FCB">
      <w:pPr>
        <w:pStyle w:val="Normal"/>
        <w:jc w:val="left"/>
      </w:pPr>
      <w:r>
        <w:t xml:space="preserve">8.1.2.2 Reportable Segments</w:t>
      </w:r>
    </w:p>
    <w:p w14:paraId="00100FCC" w14:textId="00100FCD">
      <w:pPr>
        <w:pStyle w:val="Normal"/>
        <w:jc w:val="left"/>
      </w:pPr>
      <w:r>
        <w:t xml:space="preserve">Segment results and segment assets are presented on the same basis as the information reviewed regularly by the chief operating decision maker in allocating resources and assessing performance across Rivermark Holdings. Segment revenue reflects external customer sales and, where relevant, intersegment trading recorded on arm's-length transfer terms and eliminated on consolidation. Segment result is the operating measure used in internal management reporting and includes directly attributable operating income and expenses together with allocations of shared service costs that are controllable or support segment activity on a recurring basis.</w:t>
      </w:r>
    </w:p>
    <w:p w14:paraId="00100FCE" w14:textId="00100FCF">
      <w:pPr>
        <w:pStyle w:val="Normal"/>
        <w:jc w:val="left"/>
      </w:pPr>
      <w:r>
        <w:t xml:space="preserve">Segment assets comprise trade working capital, property and equipment, right-of-use assets, identifiable intangible assets, and other operating assets employed by each segment. Assets are assigned to a segment when they are directly used in that segment's operations or when a reasonable and consistent allocation basis exists, such as site usage, headcount, system consumption, or dedicated contractual deployment. Corporate cash balances, current and deferred tax balances, central treasury instruments, and certain head-office assets are not included in segment assets because they are managed on a group-wide basis rather than by segment management. This approach supports comparability between internal decision-making and external disclosure while preserving a clear distinction between operating accountability and centrally managed resources.</w:t>
      </w:r>
    </w:p>
    <w:p w14:paraId="00100FD0" w14:textId="00100FD1">
      <w:pPr>
        <w:pStyle w:val="Normal"/>
        <w:jc w:val="left"/>
      </w:pPr>
      <w:r>
        <w:t xml:space="preserve">Liabilities are not reported to the chief operating decision maker on the same comprehensive basis as revenue, segment result, and segment assets. Internal performance reviews focus primarily on controllable operating outcomes, cash generation, capital employed, and delivery indicators. As a result, segment liabilities are disclosed only where they are specifically monitored at segment level, such as trade payables, contract liabilities, lease obligations attached to dedicated operating sites, and selected project-related accruals.</w:t>
      </w:r>
    </w:p>
    <w:p w14:paraId="00100FD2" w14:textId="00100FD3">
      <w:pPr>
        <w:pStyle w:val="Normal"/>
        <w:jc w:val="left"/>
      </w:pPr>
      <w:r>
        <w:t xml:space="preserve">A significant portion of group liabilities, including borrowings, tax obligations, retirement benefit deficits, derivative positions, and certain provisions, is managed centrally through treasury, tax, legal, or corporate functions. These balances are influenced by group financing strategy, legal structure, and regulatory considerations rather than day-to-day segment operating decisions. Accordingly, liability information by segment would not provide a faithful representation of how management evaluates performance and could imply a level of accountability not reflected in internal governance. Rivermark Holdings therefore discloses liability measures with appropriate limitation, emphasizing that the primary internal view of segment performance remains based on earnings, cash contribution, and the operating asset base under segment control.</w:t>
      </w:r>
    </w:p>
    <w:p w14:paraId="00100FD4" w14:textId="00100FD5">
      <w:pPr>
        <w:pStyle w:val="Normal"/>
        <w:jc w:val="left"/>
      </w:pPr>
      <w:r>
        <w:t xml:space="preserve">8.1.2.2.1 Performance Measures</w:t>
      </w:r>
    </w:p>
    <w:p w14:paraId="00100FD6" w14:textId="00100FD7">
      <w:pPr>
        <w:pStyle w:val="Normal"/>
        <w:jc w:val="left"/>
      </w:pPr>
      <w:r>
        <w:t xml:space="preserve">The chief operating decision maker reviews a defined set of measures for each reportable segment to assess operating delivery, compare returns across the portfolio, and determine capital deployment priorities. The principal financial measures are revenue, segment result, segment margin, operating cash contribution, and segment assets. In capital-intensive activities, management also reviews asset turns and project conversion indicators; in customer-led activities, management supplements the financial view with retention, order intake, service penetration, and utilization metrics. These measures are designed to distinguish commercial performance from items arising from financing structure, tax position, and nonrecurring corporate transactions.</w:t>
      </w:r>
    </w:p>
    <w:p w14:paraId="00100FD8" w14:textId="00100FD9">
      <w:pPr>
        <w:pStyle w:val="Normal"/>
        <w:jc w:val="left"/>
      </w:pPr>
      <w:r>
        <w:t xml:space="preserve">Segment result excludes net finance costs, income tax expense, gains or losses on central treasury instruments, and items that are not considered representative of underlying segment trading performance. Where restructuring, acquisition-related integration costs, or material one-off legal settlements arise, management evaluates whether separate presentation is necessary to preserve period-on-period comparability. The measure set is applied consistently across Industrial Solutions, Consumer Platforms, and Infrastructure Services, while allowing limited industry-specific operating indicators that reflect the economics of each segment. This summary aligns with the management pack used in monthly and quarterly reviews and forms the basis for the reportable segment disclosures included in these notes.</w:t>
      </w:r>
    </w:p>
    <w:p w14:paraId="00100FDA" w14:textId="00100FDB">
      <w:pPr>
        <w:pStyle w:val="Normal"/>
        <w:jc w:val="left"/>
      </w:pPr>
      <w:r>
        <w:t xml:space="preserve">Management applies judgment in determining whether a measure forms part of the regularly reviewed segment information and whether it is sufficiently stable to be disclosed externally as a reportable performance measure. The key consideration is not whether a metric exists in operational dashboards, but whether it is used consistently by the chief operating decision maker to allocate resources and evaluate segment management. Measures used only for short-term troubleshooting, temporary restructuring oversight, or one-off acquisition integration are not treated as reportable segment measures.</w:t>
      </w:r>
    </w:p>
    <w:p w14:paraId="00100FDC" w14:textId="00100FDD">
      <w:pPr>
        <w:pStyle w:val="Normal"/>
        <w:jc w:val="left"/>
      </w:pPr>
      <w:r>
        <w:t xml:space="preserve">Judgment is also required when shared costs, digital platform expenses, procurement savings, and central support charges are allocated to segments. Rivermark Holdings uses established allocation drivers and reviews them at least annually to confirm that they continue to reflect operational benefit or consumption. If a revised allocation methodology would materially alter period comparability, prior-period segment information is restated where practicable; otherwise, the effect of the change is explained in the relevant note narrative. Management further considers whether excluding unusual items improves transparency or instead obscures the economics of a segment. These judgments are made within the framework of internal reporting approved by executive management and overseen through the Group Finance governance process.</w:t>
      </w:r>
    </w:p>
    <w:p w14:paraId="00100FDE" w14:textId="00100FDF">
      <w:pPr>
        <w:pStyle w:val="Normal"/>
        <w:jc w:val="left"/>
      </w:pPr>
      <w:r>
        <w:t xml:space="preserve">8.1.2.2.1 Reconciliations</w:t>
      </w:r>
    </w:p>
    <w:p w14:paraId="00100FE0" w14:textId="00100FE1">
      <w:pPr>
        <w:pStyle w:val="Normal"/>
        <w:jc w:val="left"/>
      </w:pPr>
      <w:r>
        <w:t xml:space="preserve">Reportable segment totals are reconciled to the consolidated financial statements to explain the effect of items managed outside the segments and of accounting adjustments required at group level. Total segment revenue is reconciled to consolidated revenue after eliminating intersegment sales and other internal trading balances. Total segment result is reconciled to group operating profit by removing the margin effect of intersegment transactions and including central corporate costs, unallocated technology and governance expenses, acquisition and integration items, and other group-level adjustments not attributed to reportable segments in internal management reporting.</w:t>
      </w:r>
    </w:p>
    <w:p w14:paraId="00100FE2" w14:textId="00100FE3">
      <w:pPr>
        <w:pStyle w:val="Normal"/>
        <w:jc w:val="left"/>
      </w:pPr>
      <w:r>
        <w:t xml:space="preserve">Segment assets are reconciled to consolidated total assets by adding corporate cash and cash equivalents, tax balances, deferred tax assets, derivative financial instruments, investments not assigned to segments, and head-office assets. Where segment liabilities are disclosed, they are reconciled to total liabilities through the inclusion of centrally managed borrowings, tax obligations, pension liabilities, provisions, lease liabilities not assigned to segments, and other corporate balances. These reconciliations provide a bridge between the management view and the statutory view, enabling users to understand both how the business is run and how the group is presented under the applicable reporting framework.</w:t>
      </w:r>
    </w:p>
    <w:p w14:paraId="00100FE4" w14:textId="00100FE5">
      <w:pPr>
        <w:pStyle w:val="Normal"/>
        <w:jc w:val="left"/>
      </w:pPr>
      <w:r>
        <w:t xml:space="preserve">The principal reconciling items arise from differences between operating accountability and consolidated financial presentation. Intersegment transactions are priced for internal performance evaluation but are eliminated in full on consolidation. Central corporate functions, including treasury, legal, tax, strategy, and certain enterprise technology activities, are not allocated fully to segments because those functions are managed for the benefit of the group as a whole. In addition, purchase accounting effects, including amortization of acquisition-related intangible assets and fair-value adjustments recognized on business combinations, may be reported centrally rather than within segment result where that treatment is consistent with management reporting.</w:t>
      </w:r>
    </w:p>
    <w:p w14:paraId="00100FE6" w14:textId="00100FE7">
      <w:pPr>
        <w:pStyle w:val="Normal"/>
        <w:jc w:val="left"/>
      </w:pPr>
      <w:r>
        <w:t xml:space="preserve">Further reconciling items may include restructuring charges, significant impairments, gains or losses on disposal of businesses or major assets, and actuarial or financing-related movements that are not used by the chief operating decision maker in evaluating current-period segment trading. The level and composition of such items can vary materially between periods, particularly when Rivermark Holdings undertakes portfolio reshaping or major transformation programs. Accordingly, the reconciliation is an important explanatory tool rather than a mechanical exercise: it shows which earnings and balance sheet effects are linked to segment operations and which arise from group financing, legal structure, acquisition history, or exceptional events.</w:t>
      </w:r>
    </w:p>
    <w:p w14:paraId="00100FE8" w14:textId="00100FE9">
      <w:pPr>
        <w:pStyle w:val="Normal"/>
        <w:jc w:val="left"/>
      </w:pPr>
      <w:r>
        <w:t xml:space="preserve">8.1.2.2 Geographic Information</w:t>
      </w:r>
    </w:p>
    <w:p w14:paraId="00100FEA" w14:textId="00100FEB">
      <w:pPr>
        <w:pStyle w:val="Normal"/>
        <w:jc w:val="left"/>
      </w:pPr>
      <w:r>
        <w:t xml:space="preserve">Geographic information is presented to show how Rivermark Holdings generates revenue across customer markets and where its longer-term operating asset base is located. Revenue by geography is attributed to the location of the customer at the point control of goods or services transfers, rather than the origin of manufacture, contract management, or billing entity. This basis provides a clearer view of market demand, commercial exposure, and concentration by region. For multi-country contracts, revenue is assigned using the principal customer destination or service delivery location reflected in the underlying contract records.</w:t>
      </w:r>
    </w:p>
    <w:p w14:paraId="00100FEC" w14:textId="00100FED">
      <w:pPr>
        <w:pStyle w:val="Normal"/>
        <w:jc w:val="left"/>
      </w:pPr>
      <w:r>
        <w:t xml:space="preserve">Noncurrent assets by geography include property and equipment, right-of-use assets, goodwill, intangible assets, and other long-lived operating assets, excluding deferred tax assets, pension assets, derivative balances, and financial instruments that are managed centrally. Assets are attributed to the country or region in which they are physically located or, for intangible and digital platform assets, to the jurisdiction of primary economic use where that basis is supportable. Geographic asset disclosure therefore complements the revenue analysis by indicating where Rivermark Holdings has committed capital to support current operations and future growth. Together, these measures help users assess regional diversification, exposure to local market conditions, and the relationship between commercial footprint and invested operating capacity.</w:t>
      </w:r>
    </w:p>
    <w:p w14:paraId="00100FEE" w14:textId="00100FEF">
      <w:pPr>
        <w:pStyle w:val="Normal"/>
        <w:jc w:val="left"/>
      </w:pPr>
      <w:r>
        <w:t xml:space="preserve">The group remains diversified across a broad set of end markets, but regional concentration is influenced by the scale of infrastructure contracts, consumer channel depth, and the location of industrial customers with recurring procurement programs. In the current year, the largest revenue contributions continued to arise from the Home Region and adjacent growth corridors, where Rivermark Holdings maintains established customer relationships, service networks, and manufacturing or delivery infrastructure. Consumer Platforms shows the broadest geographic spread of customers, while Infrastructure Services is more concentrated because contract awards are tied to project location and public or regulated procurement cycles.</w:t>
      </w:r>
    </w:p>
    <w:p w14:paraId="00100FF0" w14:textId="00100FF1">
      <w:pPr>
        <w:pStyle w:val="Normal"/>
        <w:jc w:val="left"/>
      </w:pPr>
      <w:r>
        <w:t xml:space="preserve">Regional asset concentration is naturally higher than revenue concentration because major production sites, logistics hubs, digital support centers, and specialist delivery equipment are not replicated in every market. This means that certain regions act as operational bases serving wider cross-border demand. Management monitors this concentration to ensure that local political, regulatory, labor, currency, and supply-chain conditions do not create disproportionate earnings volatility. At the same time, some concentration is strategically beneficial because it supports scale efficiencies, technical depth, and customer proximity in core markets. The geographic disclosures should therefore be read as indicators of both exposure and strategic positioning, rather than as evidence of dependence on any single jurisdiction alone.</w:t>
      </w:r>
    </w:p>
    <w:p w14:paraId="00100FF2" w14:textId="00100FF3">
      <w:pPr>
        <w:pStyle w:val="Normal"/>
        <w:jc w:val="left"/>
      </w:pPr>
      <w:r>
        <w:t xml:space="preserve">8.1.2.2.2 Regional Revenue</w:t>
      </w:r>
    </w:p>
    <w:p w14:paraId="00100FF4" w14:textId="00100FF5">
      <w:pPr>
        <w:pStyle w:val="Normal"/>
        <w:jc w:val="left"/>
      </w:pPr>
      <w:r>
        <w:t xml:space="preserve">Revenue by geographic market is presented according to the location of the customer, which management considers the most decision-useful basis for understanding demand exposure and market diversification. For the year ended 31 December 2025, Rivermark Holdings generated 34% of external revenue in North Coast markets, 29% in Central Corridor markets, 21% in Southern Basin markets, and 16% in International markets. This distribution reflects the broad customer base of Industrial Solutions and Infrastructure Services in domestic contract markets, together with the expanding digital and retail reach of Consumer Platforms beyond the group’s historical core regions. No single country outside the home market contributed more than 10% of consolidated revenue.</w:t>
      </w:r>
    </w:p>
    <w:p w14:paraId="00100FF6" w14:textId="00100FF7">
      <w:pPr>
        <w:pStyle w:val="Normal"/>
        <w:jc w:val="left"/>
      </w:pPr>
      <w:r>
        <w:t xml:space="preserve">The regional profile changed moderately from the prior year as Central Corridor revenue increased through higher maintenance demand, selected infrastructure completions, and expanded consumer subscription volumes, while Southern Basin revenue was affected by slower discretionary spending in the second half. International revenue grew from a lower base, supported by distributor-led sales, export contracts, and service partnerships rather than major fixed-site investment. Management uses this geographic view alongside segment reporting to assess concentration, prioritize market development, and evaluate the resilience of the revenue base under differing local economic conditions.</w:t>
      </w:r>
    </w:p>
    <w:p w14:paraId="00100FF8" w14:textId="00100FF9">
      <w:pPr>
        <w:pStyle w:val="Normal"/>
        <w:jc w:val="left"/>
      </w:pPr>
      <w:r>
        <w:t xml:space="preserve">Geographic revenue concentration remains materially lower than segment concentration, but regional dependencies are still relevant to the assessment of demand risk and pricing sensitivity. North Coast markets continue to provide a significant share of group cash generation because of their higher service intensity and stronger collections profile, while Central Corridor markets carry greater exposure to public and quasi-public infrastructure budgets. Southern Basin markets are more sensitive to consumer confidence, promotional intensity, and channel mix, particularly within Consumer Platforms. International markets, although smaller in absolute terms, are influenced by distributor performance, logistics reliability, local regulatory approvals, and foreign-exchange translation.</w:t>
      </w:r>
    </w:p>
    <w:p w14:paraId="00100FFA" w14:textId="00100FFB">
      <w:pPr>
        <w:pStyle w:val="Normal"/>
        <w:jc w:val="left"/>
      </w:pPr>
      <w:r>
        <w:t xml:space="preserve">The group monitors regional dependencies through monthly order intake, backlog conversion, customer churn, bid pipelines, and receivables aging. Management does not view any single regional market as creating a dependency that would threaten group viability on a standalone basis; however, a simultaneous downturn in North Coast industrial demand and Central Corridor project awards would have a more pronounced effect on earnings quality and working-capital timing than a similar change in the International portfolio. Regional analysis is therefore used as a supplementary disclosure to the reportable segment framework, informing impairment indicators, capital allocation choices, and the design of contingency responses for market-specific disruptions.</w:t>
      </w:r>
    </w:p>
    <w:p w14:paraId="00100FFC" w14:textId="00100FFD">
      <w:pPr>
        <w:pStyle w:val="Normal"/>
        <w:jc w:val="left"/>
      </w:pPr>
      <w:r>
        <w:t xml:space="preserve">8.1.2.2.2 Regional Assets</w:t>
      </w:r>
    </w:p>
    <w:p w14:paraId="00100FFE" w14:textId="00100FFF">
      <w:pPr>
        <w:pStyle w:val="Normal"/>
        <w:jc w:val="left"/>
      </w:pPr>
      <w:r>
        <w:t xml:space="preserve">Noncurrent assets by geography are disclosed based on the physical location of the underlying asset, except where digital platforms and certain centrally managed intangible assets are allocated to the jurisdiction in which the principal operating entity controls and derives economic benefit from those assets. For this purpose, noncurrent assets include property, plant and equipment, right-of-use assets, goodwill, acquired intangibles, software platforms, and other long-lived operating assets, but exclude deferred tax assets, financial instruments, and post-employment benefit assets. At 31 December 2025, 38% of noncurrent assets were located in North Coast markets, 27% in Central Corridor markets, 19% in Southern Basin markets, and 16% in International markets.</w:t>
      </w:r>
    </w:p>
    <w:p w14:paraId="00101000" w14:textId="00101001">
      <w:pPr>
        <w:pStyle w:val="Normal"/>
        <w:jc w:val="left"/>
      </w:pPr>
      <w:r>
        <w:t xml:space="preserve">The geographic asset base is more concentrated than revenue because manufacturing capacity, service depots, and shared technology infrastructure are positioned to support multiple markets from selected hubs. During the year, additions in Central Corridor reflected capacity expansion in field service and logistics facilities, while International noncurrent assets increased mainly through software deployment, leased warehousing, and modest bolt-on distribution investments. This information helps users distinguish between where Rivermark Holdings earns revenue and where it has committed longer-term capital, which is relevant to assessing operational flexibility, impairment exposure, and regional return characteristics.</w:t>
      </w:r>
    </w:p>
    <w:p w14:paraId="00101002" w14:textId="00101003">
      <w:pPr>
        <w:pStyle w:val="Normal"/>
        <w:jc w:val="left"/>
      </w:pPr>
      <w:r>
        <w:t xml:space="preserve">Regional asset allocation reflects both market opportunity and the practical economics of network design. Industrial Solutions assets are weighted toward North Coast and Central Corridor because those regions contain the group’s principal fabrication, maintenance, and testing sites. Consumer Platforms carries a comparatively higher share of centrally managed software and brand-related intangible assets, which support customers across several markets and are therefore assigned using the location of control rather than end-user geography. Infrastructure Services assets include contract support equipment, leased yards, project systems, and bid-development capabilities that can be redeployed, but only within certain operating clusters.</w:t>
      </w:r>
    </w:p>
    <w:p w14:paraId="00101004" w14:textId="00101005">
      <w:pPr>
        <w:pStyle w:val="Normal"/>
        <w:jc w:val="left"/>
      </w:pPr>
      <w:r>
        <w:t xml:space="preserve">Management reviews the regional asset profile together with revenue density and return on invested capital to identify underutilized capacity and potential impairment triggers. A region may show a lower short-term revenue contribution while still holding a substantial asset base because assets were installed for multi-year contracts, resilience needs, or expected growth corridors. Conversely, International revenue can exceed its tangible asset intensity where market access is achieved through partners rather than owned infrastructure. The disclosed allocation should therefore be read as an indicator of capital placement, not as a direct proxy for regional profitability. It also supports evaluation of whether long-lived assets remain appropriately aligned with forecast cash flows, regulatory conditions, and the group’s medium-term market priorities.</w:t>
      </w:r>
    </w:p>
    <w:p w14:paraId="00101006" w14:textId="00101007">
      <w:pPr>
        <w:pStyle w:val="Normal"/>
        <w:jc w:val="left"/>
      </w:pPr>
      <w:r>
        <w:t xml:space="preserve">8. Assets and Liabilities</w:t>
      </w:r>
    </w:p>
    <w:p w14:paraId="00101008" w14:textId="00101009">
      <w:pPr>
        <w:pStyle w:val="Normal"/>
        <w:jc w:val="left"/>
      </w:pPr>
      <w:r>
        <w:t xml:space="preserve">The following notes bridge the primary statements to the detailed schedules supporting the recognition, measurement, and presentation of the group’s principal asset and liability balances. Operating assets comprise property, plant and equipment, right-of-use assets, goodwill, acquired intangibles, and related impairment assessments. Financial assets and funding disclosures cover trade and other receivables, cash management instruments, borrowings, lease liabilities, and the relevant risk and fair-value information. Provisions and tax notes explain the timing and uncertainty of obligations whose settlement depends on legal, contractual, operational, or jurisdictional factors.</w:t>
      </w:r>
    </w:p>
    <w:p w14:paraId="0010100A" w14:textId="0010100B">
      <w:pPr>
        <w:pStyle w:val="Normal"/>
        <w:jc w:val="left"/>
      </w:pPr>
      <w:r>
        <w:t xml:space="preserve">These disclosures should be read together because individual balances are often connected through common assumptions and transactions. Capital expenditure affects depreciation, lease commitments, and cash flow timing; acquisition accounting influences goodwill, intangible assets, deferred tax positions, and future impairment sensitivity; and funding arrangements shape both liquidity disclosures and covenant-based classification judgments. Where estimation uncertainty is elevated, the note identifies the principal assumptions used by management and, where relevant, the basis on which alternative outcomes could affect carrying values. Comparative information is included for each material class to assist users in understanding movements between reporting periods and the extent to which changes arise from business activity, remeasurement, foreign exchange, acquisition effects, or changes in accounting estimates.</w:t>
      </w:r>
    </w:p>
    <w:p w14:paraId="0010100C" w14:textId="0010100D">
      <w:pPr>
        <w:pStyle w:val="Normal"/>
        <w:jc w:val="left"/>
      </w:pPr>
      <w:r>
        <w:t xml:space="preserve">Assets and liabilities are measured using the accounting policies described in the basis notes, with the specific attribute depending on the nature of the item. Operating assets are generally carried at cost less accumulated depreciation, amortization, and impairment, except where acquisition-date fair values form the initial carrying amount. Financial instruments are measured at amortized cost or fair value in accordance with contractual cash-flow characteristics and the business model under which they are held. Provisions are recognized at the best estimate of the expenditure required to settle the present obligation, discounted where the effect of time value is material.</w:t>
      </w:r>
    </w:p>
    <w:p w14:paraId="0010100E" w14:textId="0010100F">
      <w:pPr>
        <w:pStyle w:val="Normal"/>
        <w:jc w:val="left"/>
      </w:pPr>
      <w:r>
        <w:t xml:space="preserve">Maturity context is especially important for understanding the balance sheet structure. Current classification reflects expected realization or settlement within twelve months after the reporting date unless a longer operating cycle is more relevant. Long-term assets are supported by useful-life assessments, residual value assumptions, and projected cash-generating performance, while long-term liabilities are influenced by contractual repayment terms, lease tenors, restoration horizons, and the expected timing of claims resolution. Users should consider both carrying value and expected settlement pattern: two obligations of similar size may create very different liquidity implications if one is payable within six months and the other is expected to unwind over several years. Accordingly, the detailed notes emphasize both valuation basis and maturity profile.</w:t>
      </w:r>
    </w:p>
    <w:p w14:paraId="00101010" w14:textId="00101011">
      <w:pPr>
        <w:pStyle w:val="Normal"/>
        <w:jc w:val="left"/>
      </w:pPr>
      <w:r>
        <w:t xml:space="preserve">8.2 Operating Assets</w:t>
      </w:r>
    </w:p>
    <w:p w14:paraId="00101012" w14:textId="00101013">
      <w:pPr>
        <w:pStyle w:val="Normal"/>
        <w:jc w:val="left"/>
      </w:pPr>
      <w:r>
        <w:t xml:space="preserve">The operating assets notes explain the composition, movement, and recoverability of the long-lived assets used in Rivermark Holdings’ manufacturing, service, logistics, platform, and contract-delivery activities. They cover owned and leased tangible assets, identifiable intangible assets recognized through acquisition or internal development where permitted, and goodwill allocated to cash-generating units. The purpose of these disclosures is not only to present closing balances but also to show how management deploys capital over time through additions, transfers, depreciation, amortization, impairment review, and disposal activity.</w:t>
      </w:r>
    </w:p>
    <w:p w14:paraId="00101014" w14:textId="00101015">
      <w:pPr>
        <w:pStyle w:val="Normal"/>
        <w:jc w:val="left"/>
      </w:pPr>
      <w:r>
        <w:t xml:space="preserve">Particular attention is given to assets that involve longer economic lives or significant judgment. Property and equipment balances are affected by project timing, commissioning dates, componentization, and residual value estimates. Intangible assets require assessment of useful life, expected pattern of benefit, and indicators that carrying values may no longer be recoverable. Goodwill is not amortized and is therefore tested for impairment using forecast assumptions that depend on segment strategy, market conditions, margin expectations, and discount rates. Taken together, the operating assets note provides a view of the physical and intangible infrastructure supporting future cash generation and highlights the judgments that can materially influence reported carrying values.</w:t>
      </w:r>
    </w:p>
    <w:p w14:paraId="00101016" w14:textId="00101017">
      <w:pPr>
        <w:pStyle w:val="Normal"/>
        <w:jc w:val="left"/>
      </w:pPr>
      <w:r>
        <w:t xml:space="preserve">Movements in operating assets during the year arose from a combination of maintenance and expansion capital expenditure, technology deployment, lease commencements, transfers from construction in progress, and the rationalization of selected older facilities. Depreciation and amortization reflect the systematic consumption of economic benefits over estimated useful lives, while disposals mainly relate to replaced equipment, completed site exits, and non-core software modules retired after platform upgrades. Management reviewed indicators of impairment at both asset and cash-generating-unit level, with attention to slower demand in selected Southern Basin activities, changes in bid margins in Infrastructure Services, and revised ramp-up profiles for certain digital investments.</w:t>
      </w:r>
    </w:p>
    <w:p w14:paraId="00101018" w14:textId="00101019">
      <w:pPr>
        <w:pStyle w:val="Normal"/>
        <w:jc w:val="left"/>
      </w:pPr>
      <w:r>
        <w:t xml:space="preserve">No material goodwill impairment was recognized in the year, and asset-specific write-downs were limited to isolated items where expected utilization or recoverable value declined below carrying amount. In performing recoverability assessments, Rivermark Holdings used forecast cash flows approved by management, terminal growth assumptions aligned with market conditions, and discount rates reflecting the risk profile of the relevant operations. Because impairment testing is sensitive to volume, margin, and capital intensity assumptions, users should read the movement schedules together with the sensitivity disclosures in the intangibles note. The combined information provides a clearer view of whether recent investment remains supported by current and expected operating performance.</w:t>
      </w:r>
    </w:p>
    <w:p w14:paraId="0010101A" w14:textId="0010101B">
      <w:pPr>
        <w:pStyle w:val="Normal"/>
        <w:jc w:val="left"/>
      </w:pPr>
      <w:r>
        <w:t xml:space="preserve">8.2.1 Property and Equipment</w:t>
      </w:r>
    </w:p>
    <w:p w14:paraId="0010101C" w14:textId="0010101D">
      <w:pPr>
        <w:pStyle w:val="Normal"/>
        <w:jc w:val="left"/>
      </w:pPr>
      <w:r>
        <w:t xml:space="preserve">Property, plant, and equipment are presented by class to reflect the way Rivermark Holdings manages capital-intensive assets and monitors consumption of economic benefits over time. The principal classes comprise land and buildings, plant and production equipment, service fleet and transport assets, office and digital equipment, leasehold improvements, and assets under construction. Land is not depreciated. Other classes are depreciated on a straight-line basis over their estimated useful lives, which most faithfully reflects the pattern in which future economic benefits are expected to be consumed. Useful lives are reviewed at least annually and updated prospectively when operating conditions, maintenance profiles, technology cycles, or expected utilization indicate that prior estimates no longer remain appropriate.</w:t>
      </w:r>
    </w:p>
    <w:p w14:paraId="0010101E" w14:textId="0010101F">
      <w:pPr>
        <w:pStyle w:val="Normal"/>
        <w:jc w:val="left"/>
      </w:pPr>
      <w:r>
        <w:t xml:space="preserve">Depreciation begins when an asset is available for use in the location and condition necessary for intended operations, rather than when it reaches full output. Residual values, useful lives, and indicators of impairment are assessed together because changes in one assumption may affect the carrying amount recoverable through use or disposal. Major shutdowns, replacements, and component renewals are capitalized when recognition criteria are met, while routine repairs and maintenance are expensed as incurred. Construction in progress is not depreciated until commissioning. This classification and depreciation approach provides a consistent basis for comparing asset intensity, renewal needs, and operating cost absorption across Industrial Solutions, Consumer Platforms, and Infrastructure Services.</w:t>
      </w:r>
    </w:p>
    <w:p w14:paraId="00101020" w14:textId="00101021">
      <w:pPr>
        <w:pStyle w:val="Normal"/>
        <w:jc w:val="left"/>
      </w:pPr>
      <w:r>
        <w:t xml:space="preserve">Disposals during the year mainly related to the retirement of older production lines in Industrial Solutions, the replacement of legacy logistics vehicles in Consumer Platforms, and the sale of selected surplus site equipment in Infrastructure Services following network optimization. Gains or losses on disposal are determined by comparing net disposal proceeds with the carrying amount of the asset at the date control passes to the buyer or the asset is scrapped. Where a disposal forms part of a broader modernization plan, directly attributable dismantling and site-restoration costs are considered in measuring the net financial effect of the transaction. No single disposal was individually material to the group statements, but in aggregate these transactions contributed to a younger operating asset base and lower expected maintenance intensity in the next reporting period.</w:t>
      </w:r>
    </w:p>
    <w:p w14:paraId="00101022" w14:textId="00101023">
      <w:pPr>
        <w:pStyle w:val="Normal"/>
        <w:jc w:val="left"/>
      </w:pPr>
      <w:r>
        <w:t xml:space="preserve">Capital commitments represent approved and contracted expenditure for property, plant, and equipment not yet recognized as liabilities at year end. These commitments are concentrated in automation upgrades, warehouse systems, power-efficiency retrofits, and selected customer-specific service infrastructure. Management monitors commitments against available funding, project gateways, and expected demand conditions to limit execution risk and avoid stranded capacity. Commitments are disclosed separately from provisions and lease obligations because they reflect future capital deployment decisions rather than present obligations for past events. The year-end balance remained within the board-approved investment envelope and is expected to be financed through operating cash generation, committed facilities, and normal treasury resources.</w:t>
      </w:r>
    </w:p>
    <w:p w14:paraId="00101024" w14:textId="00101025">
      <w:pPr>
        <w:pStyle w:val="Normal"/>
        <w:jc w:val="left"/>
      </w:pPr>
      <w:r>
        <w:t xml:space="preserve">8.2.1.1 Asset Movements</w:t>
      </w:r>
    </w:p>
    <w:p w14:paraId="00101026" w14:textId="00101027">
      <w:pPr>
        <w:pStyle w:val="Normal"/>
        <w:jc w:val="left"/>
      </w:pPr>
      <w:r>
        <w:t xml:space="preserve">The movement schedule that follows reconciles opening and closing carrying values for each major asset class by showing additions, transfers from assets under construction, depreciation expense, impairment charges where applicable, disposals, and foreign-exchange translation effects. This presentation is intended to help readers distinguish between gross capital deployment and the net accounting movement in the statement of financial position. Additions indicate new investment entering the asset base, while transfers show the point at which commissioned projects move from development into productive use and begin to attract depreciation.</w:t>
      </w:r>
    </w:p>
    <w:p w14:paraId="00101028" w14:textId="00101029">
      <w:pPr>
        <w:pStyle w:val="Normal"/>
        <w:jc w:val="left"/>
      </w:pPr>
      <w:r>
        <w:t xml:space="preserve">The schedule also provides a useful lens on asset renewal discipline. A period with elevated additions but limited transfers may indicate a build phase still in progress, whereas higher depreciation and disposal activity can point to modernization, portfolio reshaping, or replacement of obsolete capacity. Management uses the same movement analysis internally to assess asset productivity, timing of commissioning, and the pace at which legacy equipment is being retired. Readers should therefore interpret the table not only as a compliance disclosure, but also as evidence of how Rivermark Holdings converts capital expenditure into operational capability over successive reporting periods.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186"/>
        <w:gridCol w:w="1186"/>
        <w:gridCol w:w="1186"/>
        <w:gridCol w:w="1186"/>
        <w:gridCol w:w="1186"/>
        <w:gridCol w:w="1186"/>
        <w:gridCol w:w="1186"/>
      </w:tblGrid>
      <w:tr>
        <w:trPr>
          <w:tblHeader/>
        </w:trPr>
        <w:tc>
          <w:tcPr>
            <w:vAlign w:val="center"/>
            <w:tcBorders>
              <w:top w:val="single" w:sz="4" w:space="0" w:color="auto"/>
              <w:left w:val="single" w:sz="4" w:space="0" w:color="auto"/>
              <w:bottom w:val="single" w:sz="4" w:space="0" w:color="auto"/>
              <w:right w:val="single" w:sz="4" w:space="0" w:color="auto"/>
            </w:tcBorders>
          </w:tcPr>
          <w:p w14:paraId="0010102A" w14:textId="0010109A">
            <w:pPr>
              <w:pStyle w:val="Normal"/>
              <w:jc w:val="left"/>
            </w:pPr>
            <w:r>
              <w:t xml:space="preserve">Asset class</w:t>
            </w:r>
          </w:p>
        </w:tc>
        <w:tc>
          <w:tcPr>
            <w:vAlign w:val="center"/>
            <w:tcBorders>
              <w:top w:val="single" w:sz="4" w:space="0" w:color="auto"/>
              <w:left w:val="single" w:sz="4" w:space="0" w:color="auto"/>
              <w:bottom w:val="single" w:sz="4" w:space="0" w:color="auto"/>
              <w:right w:val="single" w:sz="4" w:space="0" w:color="auto"/>
            </w:tcBorders>
          </w:tcPr>
          <w:p w14:paraId="0010102C" w14:textId="0010109B">
            <w:pPr>
              <w:pStyle w:val="Normal"/>
              <w:jc w:val="left"/>
            </w:pPr>
            <w:r>
              <w:t xml:space="preserve">Opening balance</w:t>
            </w:r>
          </w:p>
        </w:tc>
        <w:tc>
          <w:tcPr>
            <w:vAlign w:val="center"/>
            <w:tcBorders>
              <w:top w:val="single" w:sz="4" w:space="0" w:color="auto"/>
              <w:left w:val="single" w:sz="4" w:space="0" w:color="auto"/>
              <w:bottom w:val="single" w:sz="4" w:space="0" w:color="auto"/>
              <w:right w:val="single" w:sz="4" w:space="0" w:color="auto"/>
            </w:tcBorders>
          </w:tcPr>
          <w:p w14:paraId="0010102E" w14:textId="0010109C">
            <w:pPr>
              <w:pStyle w:val="Normal"/>
              <w:jc w:val="left"/>
            </w:pPr>
            <w:r>
              <w:t xml:space="preserve">Additions</w:t>
            </w:r>
          </w:p>
        </w:tc>
        <w:tc>
          <w:tcPr>
            <w:vAlign w:val="center"/>
            <w:tcBorders>
              <w:top w:val="single" w:sz="4" w:space="0" w:color="auto"/>
              <w:left w:val="single" w:sz="4" w:space="0" w:color="auto"/>
              <w:bottom w:val="single" w:sz="4" w:space="0" w:color="auto"/>
              <w:right w:val="single" w:sz="4" w:space="0" w:color="auto"/>
            </w:tcBorders>
          </w:tcPr>
          <w:p w14:paraId="00101030" w14:textId="0010109D">
            <w:pPr>
              <w:pStyle w:val="Normal"/>
              <w:jc w:val="left"/>
            </w:pPr>
            <w:r>
              <w:t xml:space="preserve">Transfers</w:t>
            </w:r>
          </w:p>
        </w:tc>
        <w:tc>
          <w:tcPr>
            <w:vAlign w:val="center"/>
            <w:tcBorders>
              <w:top w:val="single" w:sz="4" w:space="0" w:color="auto"/>
              <w:left w:val="single" w:sz="4" w:space="0" w:color="auto"/>
              <w:bottom w:val="single" w:sz="4" w:space="0" w:color="auto"/>
              <w:right w:val="single" w:sz="4" w:space="0" w:color="auto"/>
            </w:tcBorders>
          </w:tcPr>
          <w:p w14:paraId="00101032" w14:textId="0010109E">
            <w:pPr>
              <w:pStyle w:val="Normal"/>
              <w:jc w:val="left"/>
            </w:pPr>
            <w:r>
              <w:t xml:space="preserve">Depreciation and impairment</w:t>
            </w:r>
          </w:p>
        </w:tc>
        <w:tc>
          <w:tcPr>
            <w:vAlign w:val="center"/>
            <w:tcBorders>
              <w:top w:val="single" w:sz="4" w:space="0" w:color="auto"/>
              <w:left w:val="single" w:sz="4" w:space="0" w:color="auto"/>
              <w:bottom w:val="single" w:sz="4" w:space="0" w:color="auto"/>
              <w:right w:val="single" w:sz="4" w:space="0" w:color="auto"/>
            </w:tcBorders>
          </w:tcPr>
          <w:p w14:paraId="00101034" w14:textId="0010109F">
            <w:pPr>
              <w:pStyle w:val="Normal"/>
              <w:jc w:val="left"/>
            </w:pPr>
            <w:r>
              <w:t xml:space="preserve">Disposals</w:t>
            </w:r>
          </w:p>
        </w:tc>
        <w:tc>
          <w:tcPr>
            <w:vAlign w:val="center"/>
            <w:tcBorders>
              <w:top w:val="single" w:sz="4" w:space="0" w:color="auto"/>
              <w:left w:val="single" w:sz="4" w:space="0" w:color="auto"/>
              <w:bottom w:val="single" w:sz="4" w:space="0" w:color="auto"/>
              <w:right w:val="single" w:sz="4" w:space="0" w:color="auto"/>
            </w:tcBorders>
          </w:tcPr>
          <w:p w14:paraId="00101036" w14:textId="001010A0">
            <w:pPr>
              <w:pStyle w:val="Normal"/>
              <w:jc w:val="left"/>
            </w:pPr>
            <w:r>
              <w:t xml:space="preserve">Closing balance</w:t>
            </w:r>
          </w:p>
        </w:tc>
      </w:tr>
      <w:tr>
        <w:tc>
          <w:tcPr>
            <w:vAlign w:val="top"/>
            <w:tcBorders>
              <w:top w:val="single" w:sz="4" w:space="0" w:color="auto"/>
              <w:left w:val="single" w:sz="4" w:space="0" w:color="auto"/>
              <w:bottom w:val="single" w:sz="4" w:space="0" w:color="auto"/>
              <w:right w:val="single" w:sz="4" w:space="0" w:color="auto"/>
            </w:tcBorders>
          </w:tcPr>
          <w:p w14:paraId="00101038" w14:textId="001010A1">
            <w:pPr>
              <w:pStyle w:val="Normal"/>
              <w:jc w:val="left"/>
            </w:pPr>
            <w:r>
              <w:t xml:space="preserve">Land and buildings</w:t>
            </w:r>
          </w:p>
        </w:tc>
        <w:tc>
          <w:tcPr>
            <w:vAlign w:val="center"/>
            <w:tcBorders>
              <w:top w:val="single" w:sz="4" w:space="0" w:color="auto"/>
              <w:left w:val="single" w:sz="4" w:space="0" w:color="auto"/>
              <w:bottom w:val="single" w:sz="4" w:space="0" w:color="auto"/>
              <w:right w:val="single" w:sz="4" w:space="0" w:color="auto"/>
            </w:tcBorders>
          </w:tcPr>
          <w:p w14:paraId="0010103A" w14:textId="001010A2">
            <w:pPr>
              <w:pStyle w:val="Normal"/>
              <w:jc w:val="left"/>
            </w:pPr>
            <w:r>
              <w:t xml:space="preserve">412.6</w:t>
            </w:r>
          </w:p>
        </w:tc>
        <w:tc>
          <w:tcPr>
            <w:vAlign w:val="center"/>
            <w:tcBorders>
              <w:top w:val="single" w:sz="4" w:space="0" w:color="auto"/>
              <w:left w:val="single" w:sz="4" w:space="0" w:color="auto"/>
              <w:bottom w:val="single" w:sz="4" w:space="0" w:color="auto"/>
              <w:right w:val="single" w:sz="4" w:space="0" w:color="auto"/>
            </w:tcBorders>
          </w:tcPr>
          <w:p w14:paraId="0010103C" w14:textId="001010A3">
            <w:pPr>
              <w:pStyle w:val="Normal"/>
              <w:jc w:val="left"/>
            </w:pPr>
            <w:r>
              <w:t xml:space="preserve">38.4</w:t>
            </w:r>
          </w:p>
        </w:tc>
        <w:tc>
          <w:tcPr>
            <w:vAlign w:val="center"/>
            <w:tcBorders>
              <w:top w:val="single" w:sz="4" w:space="0" w:color="auto"/>
              <w:left w:val="single" w:sz="4" w:space="0" w:color="auto"/>
              <w:bottom w:val="single" w:sz="4" w:space="0" w:color="auto"/>
              <w:right w:val="single" w:sz="4" w:space="0" w:color="auto"/>
            </w:tcBorders>
          </w:tcPr>
          <w:p w14:paraId="0010103E" w14:textId="001010A4">
            <w:pPr>
              <w:pStyle w:val="Normal"/>
              <w:jc w:val="left"/>
            </w:pPr>
            <w:r>
              <w:t xml:space="preserve">6.1</w:t>
            </w:r>
          </w:p>
        </w:tc>
        <w:tc>
          <w:tcPr>
            <w:vAlign w:val="center"/>
            <w:tcBorders>
              <w:top w:val="single" w:sz="4" w:space="0" w:color="auto"/>
              <w:left w:val="single" w:sz="4" w:space="0" w:color="auto"/>
              <w:bottom w:val="single" w:sz="4" w:space="0" w:color="auto"/>
              <w:right w:val="single" w:sz="4" w:space="0" w:color="auto"/>
            </w:tcBorders>
          </w:tcPr>
          <w:p w14:paraId="00101040" w14:textId="001010A5">
            <w:pPr>
              <w:pStyle w:val="Normal"/>
              <w:jc w:val="left"/>
            </w:pPr>
            <w:r>
              <w:t xml:space="preserve">(19.7)</w:t>
            </w:r>
          </w:p>
        </w:tc>
        <w:tc>
          <w:tcPr>
            <w:vAlign w:val="center"/>
            <w:tcBorders>
              <w:top w:val="single" w:sz="4" w:space="0" w:color="auto"/>
              <w:left w:val="single" w:sz="4" w:space="0" w:color="auto"/>
              <w:bottom w:val="single" w:sz="4" w:space="0" w:color="auto"/>
              <w:right w:val="single" w:sz="4" w:space="0" w:color="auto"/>
            </w:tcBorders>
          </w:tcPr>
          <w:p w14:paraId="00101042" w14:textId="001010A6">
            <w:pPr>
              <w:pStyle w:val="Normal"/>
              <w:jc w:val="left"/>
            </w:pPr>
            <w:r>
              <w:t xml:space="preserve">(3.2)</w:t>
            </w:r>
          </w:p>
        </w:tc>
        <w:tc>
          <w:tcPr>
            <w:vAlign w:val="center"/>
            <w:tcBorders>
              <w:top w:val="single" w:sz="4" w:space="0" w:color="auto"/>
              <w:left w:val="single" w:sz="4" w:space="0" w:color="auto"/>
              <w:bottom w:val="single" w:sz="4" w:space="0" w:color="auto"/>
              <w:right w:val="single" w:sz="4" w:space="0" w:color="auto"/>
            </w:tcBorders>
          </w:tcPr>
          <w:p w14:paraId="00101044" w14:textId="001010A7">
            <w:pPr>
              <w:pStyle w:val="Normal"/>
              <w:jc w:val="left"/>
            </w:pPr>
            <w:r>
              <w:t xml:space="preserve">434.2</w:t>
            </w:r>
          </w:p>
        </w:tc>
      </w:tr>
      <w:tr>
        <w:tc>
          <w:tcPr>
            <w:vAlign w:val="top"/>
            <w:tcBorders>
              <w:top w:val="single" w:sz="4" w:space="0" w:color="auto"/>
              <w:left w:val="single" w:sz="4" w:space="0" w:color="auto"/>
              <w:bottom w:val="single" w:sz="4" w:space="0" w:color="auto"/>
              <w:right w:val="single" w:sz="4" w:space="0" w:color="auto"/>
            </w:tcBorders>
          </w:tcPr>
          <w:p w14:paraId="00101046" w14:textId="001010A8">
            <w:pPr>
              <w:pStyle w:val="Normal"/>
              <w:jc w:val="left"/>
            </w:pPr>
            <w:r>
              <w:t xml:space="preserve">Plant and machinery</w:t>
            </w:r>
          </w:p>
        </w:tc>
        <w:tc>
          <w:tcPr>
            <w:vAlign w:val="center"/>
            <w:tcBorders>
              <w:top w:val="single" w:sz="4" w:space="0" w:color="auto"/>
              <w:left w:val="single" w:sz="4" w:space="0" w:color="auto"/>
              <w:bottom w:val="single" w:sz="4" w:space="0" w:color="auto"/>
              <w:right w:val="single" w:sz="4" w:space="0" w:color="auto"/>
            </w:tcBorders>
          </w:tcPr>
          <w:p w14:paraId="00101048" w14:textId="001010A9">
            <w:pPr>
              <w:pStyle w:val="Normal"/>
              <w:jc w:val="left"/>
            </w:pPr>
            <w:r>
              <w:t xml:space="preserve">528.9</w:t>
            </w:r>
          </w:p>
        </w:tc>
        <w:tc>
          <w:tcPr>
            <w:vAlign w:val="center"/>
            <w:tcBorders>
              <w:top w:val="single" w:sz="4" w:space="0" w:color="auto"/>
              <w:left w:val="single" w:sz="4" w:space="0" w:color="auto"/>
              <w:bottom w:val="single" w:sz="4" w:space="0" w:color="auto"/>
              <w:right w:val="single" w:sz="4" w:space="0" w:color="auto"/>
            </w:tcBorders>
          </w:tcPr>
          <w:p w14:paraId="0010104A" w14:textId="001010AA">
            <w:pPr>
              <w:pStyle w:val="Normal"/>
              <w:jc w:val="left"/>
            </w:pPr>
            <w:r>
              <w:t xml:space="preserve">72.5</w:t>
            </w:r>
          </w:p>
        </w:tc>
        <w:tc>
          <w:tcPr>
            <w:vAlign w:val="center"/>
            <w:tcBorders>
              <w:top w:val="single" w:sz="4" w:space="0" w:color="auto"/>
              <w:left w:val="single" w:sz="4" w:space="0" w:color="auto"/>
              <w:bottom w:val="single" w:sz="4" w:space="0" w:color="auto"/>
              <w:right w:val="single" w:sz="4" w:space="0" w:color="auto"/>
            </w:tcBorders>
          </w:tcPr>
          <w:p w14:paraId="0010104C" w14:textId="001010AB">
            <w:pPr>
              <w:pStyle w:val="Normal"/>
              <w:jc w:val="left"/>
            </w:pPr>
            <w:r>
              <w:t xml:space="preserve">14.8</w:t>
            </w:r>
          </w:p>
        </w:tc>
        <w:tc>
          <w:tcPr>
            <w:vAlign w:val="center"/>
            <w:tcBorders>
              <w:top w:val="single" w:sz="4" w:space="0" w:color="auto"/>
              <w:left w:val="single" w:sz="4" w:space="0" w:color="auto"/>
              <w:bottom w:val="single" w:sz="4" w:space="0" w:color="auto"/>
              <w:right w:val="single" w:sz="4" w:space="0" w:color="auto"/>
            </w:tcBorders>
          </w:tcPr>
          <w:p w14:paraId="0010104E" w14:textId="001010AC">
            <w:pPr>
              <w:pStyle w:val="Normal"/>
              <w:jc w:val="left"/>
            </w:pPr>
            <w:r>
              <w:t xml:space="preserve">(61.4)</w:t>
            </w:r>
          </w:p>
        </w:tc>
        <w:tc>
          <w:tcPr>
            <w:vAlign w:val="center"/>
            <w:tcBorders>
              <w:top w:val="single" w:sz="4" w:space="0" w:color="auto"/>
              <w:left w:val="single" w:sz="4" w:space="0" w:color="auto"/>
              <w:bottom w:val="single" w:sz="4" w:space="0" w:color="auto"/>
              <w:right w:val="single" w:sz="4" w:space="0" w:color="auto"/>
            </w:tcBorders>
          </w:tcPr>
          <w:p w14:paraId="00101050" w14:textId="001010AD">
            <w:pPr>
              <w:pStyle w:val="Normal"/>
              <w:jc w:val="left"/>
            </w:pPr>
            <w:r>
              <w:t xml:space="preserve">(11.6)</w:t>
            </w:r>
          </w:p>
        </w:tc>
        <w:tc>
          <w:tcPr>
            <w:vAlign w:val="center"/>
            <w:tcBorders>
              <w:top w:val="single" w:sz="4" w:space="0" w:color="auto"/>
              <w:left w:val="single" w:sz="4" w:space="0" w:color="auto"/>
              <w:bottom w:val="single" w:sz="4" w:space="0" w:color="auto"/>
              <w:right w:val="single" w:sz="4" w:space="0" w:color="auto"/>
            </w:tcBorders>
          </w:tcPr>
          <w:p w14:paraId="00101052" w14:textId="001010AE">
            <w:pPr>
              <w:pStyle w:val="Normal"/>
              <w:jc w:val="left"/>
            </w:pPr>
            <w:r>
              <w:t xml:space="preserve">543.2</w:t>
            </w:r>
          </w:p>
        </w:tc>
      </w:tr>
      <w:tr>
        <w:tc>
          <w:tcPr>
            <w:vAlign w:val="top"/>
            <w:tcBorders>
              <w:top w:val="single" w:sz="4" w:space="0" w:color="auto"/>
              <w:left w:val="single" w:sz="4" w:space="0" w:color="auto"/>
              <w:bottom w:val="single" w:sz="4" w:space="0" w:color="auto"/>
              <w:right w:val="single" w:sz="4" w:space="0" w:color="auto"/>
            </w:tcBorders>
          </w:tcPr>
          <w:p w14:paraId="00101054" w14:textId="001010AF">
            <w:pPr>
              <w:pStyle w:val="Normal"/>
              <w:jc w:val="left"/>
            </w:pPr>
            <w:r>
              <w:t xml:space="preserve">Vehicles and mobile equipment</w:t>
            </w:r>
          </w:p>
        </w:tc>
        <w:tc>
          <w:tcPr>
            <w:vAlign w:val="center"/>
            <w:tcBorders>
              <w:top w:val="single" w:sz="4" w:space="0" w:color="auto"/>
              <w:left w:val="single" w:sz="4" w:space="0" w:color="auto"/>
              <w:bottom w:val="single" w:sz="4" w:space="0" w:color="auto"/>
              <w:right w:val="single" w:sz="4" w:space="0" w:color="auto"/>
            </w:tcBorders>
          </w:tcPr>
          <w:p w14:paraId="00101056" w14:textId="001010B0">
            <w:pPr>
              <w:pStyle w:val="Normal"/>
              <w:jc w:val="left"/>
            </w:pPr>
            <w:r>
              <w:t xml:space="preserve">84.3</w:t>
            </w:r>
          </w:p>
        </w:tc>
        <w:tc>
          <w:tcPr>
            <w:vAlign w:val="center"/>
            <w:tcBorders>
              <w:top w:val="single" w:sz="4" w:space="0" w:color="auto"/>
              <w:left w:val="single" w:sz="4" w:space="0" w:color="auto"/>
              <w:bottom w:val="single" w:sz="4" w:space="0" w:color="auto"/>
              <w:right w:val="single" w:sz="4" w:space="0" w:color="auto"/>
            </w:tcBorders>
          </w:tcPr>
          <w:p w14:paraId="00101058" w14:textId="001010B1">
            <w:pPr>
              <w:pStyle w:val="Normal"/>
              <w:jc w:val="left"/>
            </w:pPr>
            <w:r>
              <w:t xml:space="preserve">12.7</w:t>
            </w:r>
          </w:p>
        </w:tc>
        <w:tc>
          <w:tcPr>
            <w:vAlign w:val="center"/>
            <w:tcBorders>
              <w:top w:val="single" w:sz="4" w:space="0" w:color="auto"/>
              <w:left w:val="single" w:sz="4" w:space="0" w:color="auto"/>
              <w:bottom w:val="single" w:sz="4" w:space="0" w:color="auto"/>
              <w:right w:val="single" w:sz="4" w:space="0" w:color="auto"/>
            </w:tcBorders>
          </w:tcPr>
          <w:p w14:paraId="0010105A" w14:textId="001010B2">
            <w:pPr>
              <w:pStyle w:val="Normal"/>
              <w:jc w:val="left"/>
            </w:pPr>
            <w:r>
              <w:t xml:space="preserve">1.9</w:t>
            </w:r>
          </w:p>
        </w:tc>
        <w:tc>
          <w:tcPr>
            <w:vAlign w:val="center"/>
            <w:tcBorders>
              <w:top w:val="single" w:sz="4" w:space="0" w:color="auto"/>
              <w:left w:val="single" w:sz="4" w:space="0" w:color="auto"/>
              <w:bottom w:val="single" w:sz="4" w:space="0" w:color="auto"/>
              <w:right w:val="single" w:sz="4" w:space="0" w:color="auto"/>
            </w:tcBorders>
          </w:tcPr>
          <w:p w14:paraId="0010105C" w14:textId="001010B3">
            <w:pPr>
              <w:pStyle w:val="Normal"/>
              <w:jc w:val="left"/>
            </w:pPr>
            <w:r>
              <w:t xml:space="preserve">(18.6)</w:t>
            </w:r>
          </w:p>
        </w:tc>
        <w:tc>
          <w:tcPr>
            <w:vAlign w:val="center"/>
            <w:tcBorders>
              <w:top w:val="single" w:sz="4" w:space="0" w:color="auto"/>
              <w:left w:val="single" w:sz="4" w:space="0" w:color="auto"/>
              <w:bottom w:val="single" w:sz="4" w:space="0" w:color="auto"/>
              <w:right w:val="single" w:sz="4" w:space="0" w:color="auto"/>
            </w:tcBorders>
          </w:tcPr>
          <w:p w14:paraId="0010105E" w14:textId="001010B4">
            <w:pPr>
              <w:pStyle w:val="Normal"/>
              <w:jc w:val="left"/>
            </w:pPr>
            <w:r>
              <w:t xml:space="preserve">(4.8)</w:t>
            </w:r>
          </w:p>
        </w:tc>
        <w:tc>
          <w:tcPr>
            <w:vAlign w:val="center"/>
            <w:tcBorders>
              <w:top w:val="single" w:sz="4" w:space="0" w:color="auto"/>
              <w:left w:val="single" w:sz="4" w:space="0" w:color="auto"/>
              <w:bottom w:val="single" w:sz="4" w:space="0" w:color="auto"/>
              <w:right w:val="single" w:sz="4" w:space="0" w:color="auto"/>
            </w:tcBorders>
          </w:tcPr>
          <w:p w14:paraId="00101060" w14:textId="001010B5">
            <w:pPr>
              <w:pStyle w:val="Normal"/>
              <w:jc w:val="left"/>
            </w:pPr>
            <w:r>
              <w:t xml:space="preserve">75.5</w:t>
            </w:r>
          </w:p>
        </w:tc>
      </w:tr>
      <w:tr>
        <w:tc>
          <w:tcPr>
            <w:vAlign w:val="top"/>
            <w:tcBorders>
              <w:top w:val="single" w:sz="4" w:space="0" w:color="auto"/>
              <w:left w:val="single" w:sz="4" w:space="0" w:color="auto"/>
              <w:bottom w:val="single" w:sz="4" w:space="0" w:color="auto"/>
              <w:right w:val="single" w:sz="4" w:space="0" w:color="auto"/>
            </w:tcBorders>
          </w:tcPr>
          <w:p w14:paraId="00101062" w14:textId="001010B6">
            <w:pPr>
              <w:pStyle w:val="Normal"/>
              <w:jc w:val="left"/>
            </w:pPr>
            <w:r>
              <w:t xml:space="preserve">IT equipment and systems</w:t>
            </w:r>
          </w:p>
        </w:tc>
        <w:tc>
          <w:tcPr>
            <w:vAlign w:val="center"/>
            <w:tcBorders>
              <w:top w:val="single" w:sz="4" w:space="0" w:color="auto"/>
              <w:left w:val="single" w:sz="4" w:space="0" w:color="auto"/>
              <w:bottom w:val="single" w:sz="4" w:space="0" w:color="auto"/>
              <w:right w:val="single" w:sz="4" w:space="0" w:color="auto"/>
            </w:tcBorders>
          </w:tcPr>
          <w:p w14:paraId="00101064" w14:textId="001010B7">
            <w:pPr>
              <w:pStyle w:val="Normal"/>
              <w:jc w:val="left"/>
            </w:pPr>
            <w:r>
              <w:t xml:space="preserve">96.1</w:t>
            </w:r>
          </w:p>
        </w:tc>
        <w:tc>
          <w:tcPr>
            <w:vAlign w:val="center"/>
            <w:tcBorders>
              <w:top w:val="single" w:sz="4" w:space="0" w:color="auto"/>
              <w:left w:val="single" w:sz="4" w:space="0" w:color="auto"/>
              <w:bottom w:val="single" w:sz="4" w:space="0" w:color="auto"/>
              <w:right w:val="single" w:sz="4" w:space="0" w:color="auto"/>
            </w:tcBorders>
          </w:tcPr>
          <w:p w14:paraId="00101066" w14:textId="001010B8">
            <w:pPr>
              <w:pStyle w:val="Normal"/>
              <w:jc w:val="left"/>
            </w:pPr>
            <w:r>
              <w:t xml:space="preserve">24.9</w:t>
            </w:r>
          </w:p>
        </w:tc>
        <w:tc>
          <w:tcPr>
            <w:vAlign w:val="center"/>
            <w:tcBorders>
              <w:top w:val="single" w:sz="4" w:space="0" w:color="auto"/>
              <w:left w:val="single" w:sz="4" w:space="0" w:color="auto"/>
              <w:bottom w:val="single" w:sz="4" w:space="0" w:color="auto"/>
              <w:right w:val="single" w:sz="4" w:space="0" w:color="auto"/>
            </w:tcBorders>
          </w:tcPr>
          <w:p w14:paraId="00101068" w14:textId="001010B9">
            <w:pPr>
              <w:pStyle w:val="Normal"/>
              <w:jc w:val="left"/>
            </w:pPr>
            <w:r>
              <w:t xml:space="preserve">5.6</w:t>
            </w:r>
          </w:p>
        </w:tc>
        <w:tc>
          <w:tcPr>
            <w:vAlign w:val="center"/>
            <w:tcBorders>
              <w:top w:val="single" w:sz="4" w:space="0" w:color="auto"/>
              <w:left w:val="single" w:sz="4" w:space="0" w:color="auto"/>
              <w:bottom w:val="single" w:sz="4" w:space="0" w:color="auto"/>
              <w:right w:val="single" w:sz="4" w:space="0" w:color="auto"/>
            </w:tcBorders>
          </w:tcPr>
          <w:p w14:paraId="0010106A" w14:textId="001010BA">
            <w:pPr>
              <w:pStyle w:val="Normal"/>
              <w:jc w:val="left"/>
            </w:pPr>
            <w:r>
              <w:t xml:space="preserve">(29.3)</w:t>
            </w:r>
          </w:p>
        </w:tc>
        <w:tc>
          <w:tcPr>
            <w:vAlign w:val="center"/>
            <w:tcBorders>
              <w:top w:val="single" w:sz="4" w:space="0" w:color="auto"/>
              <w:left w:val="single" w:sz="4" w:space="0" w:color="auto"/>
              <w:bottom w:val="single" w:sz="4" w:space="0" w:color="auto"/>
              <w:right w:val="single" w:sz="4" w:space="0" w:color="auto"/>
            </w:tcBorders>
          </w:tcPr>
          <w:p w14:paraId="0010106C" w14:textId="001010BB">
            <w:pPr>
              <w:pStyle w:val="Normal"/>
              <w:jc w:val="left"/>
            </w:pPr>
            <w:r>
              <w:t xml:space="preserve">(2.1)</w:t>
            </w:r>
          </w:p>
        </w:tc>
        <w:tc>
          <w:tcPr>
            <w:vAlign w:val="center"/>
            <w:tcBorders>
              <w:top w:val="single" w:sz="4" w:space="0" w:color="auto"/>
              <w:left w:val="single" w:sz="4" w:space="0" w:color="auto"/>
              <w:bottom w:val="single" w:sz="4" w:space="0" w:color="auto"/>
              <w:right w:val="single" w:sz="4" w:space="0" w:color="auto"/>
            </w:tcBorders>
          </w:tcPr>
          <w:p w14:paraId="0010106E" w14:textId="001010BC">
            <w:pPr>
              <w:pStyle w:val="Normal"/>
              <w:jc w:val="left"/>
            </w:pPr>
            <w:r>
              <w:t xml:space="preserve">95.2</w:t>
            </w:r>
          </w:p>
        </w:tc>
      </w:tr>
      <w:tr>
        <w:tc>
          <w:tcPr>
            <w:vAlign w:val="top"/>
            <w:tcBorders>
              <w:top w:val="single" w:sz="4" w:space="0" w:color="auto"/>
              <w:left w:val="single" w:sz="4" w:space="0" w:color="auto"/>
              <w:bottom w:val="single" w:sz="4" w:space="0" w:color="auto"/>
              <w:right w:val="single" w:sz="4" w:space="0" w:color="auto"/>
            </w:tcBorders>
          </w:tcPr>
          <w:p w14:paraId="00101070" w14:textId="001010BD">
            <w:pPr>
              <w:pStyle w:val="Normal"/>
              <w:jc w:val="left"/>
            </w:pPr>
            <w:r>
              <w:t xml:space="preserve">Leasehold improvements</w:t>
            </w:r>
          </w:p>
        </w:tc>
        <w:tc>
          <w:tcPr>
            <w:vAlign w:val="center"/>
            <w:tcBorders>
              <w:top w:val="single" w:sz="4" w:space="0" w:color="auto"/>
              <w:left w:val="single" w:sz="4" w:space="0" w:color="auto"/>
              <w:bottom w:val="single" w:sz="4" w:space="0" w:color="auto"/>
              <w:right w:val="single" w:sz="4" w:space="0" w:color="auto"/>
            </w:tcBorders>
          </w:tcPr>
          <w:p w14:paraId="00101072" w14:textId="001010BE">
            <w:pPr>
              <w:pStyle w:val="Normal"/>
              <w:jc w:val="left"/>
            </w:pPr>
            <w:r>
              <w:t xml:space="preserve">63.8</w:t>
            </w:r>
          </w:p>
        </w:tc>
        <w:tc>
          <w:tcPr>
            <w:vAlign w:val="center"/>
            <w:tcBorders>
              <w:top w:val="single" w:sz="4" w:space="0" w:color="auto"/>
              <w:left w:val="single" w:sz="4" w:space="0" w:color="auto"/>
              <w:bottom w:val="single" w:sz="4" w:space="0" w:color="auto"/>
              <w:right w:val="single" w:sz="4" w:space="0" w:color="auto"/>
            </w:tcBorders>
          </w:tcPr>
          <w:p w14:paraId="00101074" w14:textId="001010BF">
            <w:pPr>
              <w:pStyle w:val="Normal"/>
              <w:jc w:val="left"/>
            </w:pPr>
            <w:r>
              <w:t xml:space="preserve">9.4</w:t>
            </w:r>
          </w:p>
        </w:tc>
        <w:tc>
          <w:tcPr>
            <w:vAlign w:val="center"/>
            <w:tcBorders>
              <w:top w:val="single" w:sz="4" w:space="0" w:color="auto"/>
              <w:left w:val="single" w:sz="4" w:space="0" w:color="auto"/>
              <w:bottom w:val="single" w:sz="4" w:space="0" w:color="auto"/>
              <w:right w:val="single" w:sz="4" w:space="0" w:color="auto"/>
            </w:tcBorders>
          </w:tcPr>
          <w:p w14:paraId="00101076" w14:textId="001010C0">
            <w:pPr>
              <w:pStyle w:val="Normal"/>
              <w:jc w:val="left"/>
            </w:pPr>
            <w:r>
              <w:t xml:space="preserve">2.3</w:t>
            </w:r>
          </w:p>
        </w:tc>
        <w:tc>
          <w:tcPr>
            <w:vAlign w:val="center"/>
            <w:tcBorders>
              <w:top w:val="single" w:sz="4" w:space="0" w:color="auto"/>
              <w:left w:val="single" w:sz="4" w:space="0" w:color="auto"/>
              <w:bottom w:val="single" w:sz="4" w:space="0" w:color="auto"/>
              <w:right w:val="single" w:sz="4" w:space="0" w:color="auto"/>
            </w:tcBorders>
          </w:tcPr>
          <w:p w14:paraId="00101078" w14:textId="001010C1">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107A" w14:textId="001010C2">
            <w:pPr>
              <w:pStyle w:val="Normal"/>
              <w:jc w:val="left"/>
            </w:pPr>
            <w:r>
              <w:t xml:space="preserve">(1.4)</w:t>
            </w:r>
          </w:p>
        </w:tc>
        <w:tc>
          <w:tcPr>
            <w:vAlign w:val="center"/>
            <w:tcBorders>
              <w:top w:val="single" w:sz="4" w:space="0" w:color="auto"/>
              <w:left w:val="single" w:sz="4" w:space="0" w:color="auto"/>
              <w:bottom w:val="single" w:sz="4" w:space="0" w:color="auto"/>
              <w:right w:val="single" w:sz="4" w:space="0" w:color="auto"/>
            </w:tcBorders>
          </w:tcPr>
          <w:p w14:paraId="0010107C" w14:textId="001010C3">
            <w:pPr>
              <w:pStyle w:val="Normal"/>
              <w:jc w:val="left"/>
            </w:pPr>
            <w:r>
              <w:t xml:space="preserve">62.3</w:t>
            </w:r>
          </w:p>
        </w:tc>
      </w:tr>
      <w:tr>
        <w:tc>
          <w:tcPr>
            <w:vAlign w:val="top"/>
            <w:tcBorders>
              <w:top w:val="single" w:sz="4" w:space="0" w:color="auto"/>
              <w:left w:val="single" w:sz="4" w:space="0" w:color="auto"/>
              <w:bottom w:val="single" w:sz="4" w:space="0" w:color="auto"/>
              <w:right w:val="single" w:sz="4" w:space="0" w:color="auto"/>
            </w:tcBorders>
          </w:tcPr>
          <w:p w14:paraId="0010107E" w14:textId="001010C4">
            <w:pPr>
              <w:pStyle w:val="Normal"/>
              <w:jc w:val="left"/>
            </w:pPr>
            <w:r>
              <w:t xml:space="preserve">Assets under construction</w:t>
            </w:r>
          </w:p>
        </w:tc>
        <w:tc>
          <w:tcPr>
            <w:vAlign w:val="center"/>
            <w:tcBorders>
              <w:top w:val="single" w:sz="4" w:space="0" w:color="auto"/>
              <w:left w:val="single" w:sz="4" w:space="0" w:color="auto"/>
              <w:bottom w:val="single" w:sz="4" w:space="0" w:color="auto"/>
              <w:right w:val="single" w:sz="4" w:space="0" w:color="auto"/>
            </w:tcBorders>
          </w:tcPr>
          <w:p w14:paraId="00101080" w14:textId="001010C5">
            <w:pPr>
              <w:pStyle w:val="Normal"/>
              <w:jc w:val="left"/>
            </w:pPr>
            <w:r>
              <w:t xml:space="preserve">118.5</w:t>
            </w:r>
          </w:p>
        </w:tc>
        <w:tc>
          <w:tcPr>
            <w:vAlign w:val="center"/>
            <w:tcBorders>
              <w:top w:val="single" w:sz="4" w:space="0" w:color="auto"/>
              <w:left w:val="single" w:sz="4" w:space="0" w:color="auto"/>
              <w:bottom w:val="single" w:sz="4" w:space="0" w:color="auto"/>
              <w:right w:val="single" w:sz="4" w:space="0" w:color="auto"/>
            </w:tcBorders>
          </w:tcPr>
          <w:p w14:paraId="00101082" w14:textId="001010C6">
            <w:pPr>
              <w:pStyle w:val="Normal"/>
              <w:jc w:val="left"/>
            </w:pPr>
            <w:r>
              <w:t xml:space="preserve">96.7</w:t>
            </w:r>
          </w:p>
        </w:tc>
        <w:tc>
          <w:tcPr>
            <w:vAlign w:val="center"/>
            <w:tcBorders>
              <w:top w:val="single" w:sz="4" w:space="0" w:color="auto"/>
              <w:left w:val="single" w:sz="4" w:space="0" w:color="auto"/>
              <w:bottom w:val="single" w:sz="4" w:space="0" w:color="auto"/>
              <w:right w:val="single" w:sz="4" w:space="0" w:color="auto"/>
            </w:tcBorders>
          </w:tcPr>
          <w:p w14:paraId="00101084" w14:textId="001010C7">
            <w:pPr>
              <w:pStyle w:val="Normal"/>
              <w:jc w:val="left"/>
            </w:pPr>
            <w:r>
              <w:t xml:space="preserve">(30.7)</w:t>
            </w:r>
          </w:p>
        </w:tc>
        <w:tc>
          <w:tcPr>
            <w:vAlign w:val="center"/>
            <w:tcBorders>
              <w:top w:val="single" w:sz="4" w:space="0" w:color="auto"/>
              <w:left w:val="single" w:sz="4" w:space="0" w:color="auto"/>
              <w:bottom w:val="single" w:sz="4" w:space="0" w:color="auto"/>
              <w:right w:val="single" w:sz="4" w:space="0" w:color="auto"/>
            </w:tcBorders>
          </w:tcPr>
          <w:p w14:paraId="00101086" w14:textId="001010C8">
            <w:pPr>
              <w:pStyle w:val="Normal"/>
              <w:jc w:val="left"/>
            </w:pPr>
            <w:r>
              <w:t xml:space="preserve">(1.2)</w:t>
            </w:r>
          </w:p>
        </w:tc>
        <w:tc>
          <w:tcPr>
            <w:vAlign w:val="center"/>
            <w:tcBorders>
              <w:top w:val="single" w:sz="4" w:space="0" w:color="auto"/>
              <w:left w:val="single" w:sz="4" w:space="0" w:color="auto"/>
              <w:bottom w:val="single" w:sz="4" w:space="0" w:color="auto"/>
              <w:right w:val="single" w:sz="4" w:space="0" w:color="auto"/>
            </w:tcBorders>
          </w:tcPr>
          <w:p w14:paraId="00101088" w14:textId="001010C9">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108A" w14:textId="001010CA">
            <w:pPr>
              <w:pStyle w:val="Normal"/>
              <w:jc w:val="left"/>
            </w:pPr>
            <w:r>
              <w:t xml:space="preserve">183.3</w:t>
            </w:r>
          </w:p>
        </w:tc>
      </w:tr>
      <w:tr>
        <w:tc>
          <w:tcPr>
            <w:vAlign w:val="top"/>
            <w:tcBorders>
              <w:top w:val="single" w:sz="4" w:space="0" w:color="auto"/>
              <w:left w:val="single" w:sz="4" w:space="0" w:color="auto"/>
              <w:bottom w:val="single" w:sz="4" w:space="0" w:color="auto"/>
              <w:right w:val="single" w:sz="4" w:space="0" w:color="auto"/>
            </w:tcBorders>
          </w:tcPr>
          <w:p w14:paraId="0010108C" w14:textId="001010CB">
            <w:pPr>
              <w:pStyle w:val="Normal"/>
              <w:jc w:val="left"/>
            </w:pPr>
            <w:r>
              <w:t xml:space="preserve">Total property, plant and equipment</w:t>
            </w:r>
          </w:p>
        </w:tc>
        <w:tc>
          <w:tcPr>
            <w:vAlign w:val="center"/>
            <w:tcBorders>
              <w:top w:val="single" w:sz="4" w:space="0" w:color="auto"/>
              <w:left w:val="single" w:sz="4" w:space="0" w:color="auto"/>
              <w:bottom w:val="single" w:sz="4" w:space="0" w:color="auto"/>
              <w:right w:val="single" w:sz="4" w:space="0" w:color="auto"/>
            </w:tcBorders>
          </w:tcPr>
          <w:p w14:paraId="0010108E" w14:textId="001010CC">
            <w:pPr>
              <w:pStyle w:val="Normal"/>
              <w:jc w:val="left"/>
            </w:pPr>
            <w:r>
              <w:t xml:space="preserve">1,304.2</w:t>
            </w:r>
          </w:p>
        </w:tc>
        <w:tc>
          <w:tcPr>
            <w:vAlign w:val="center"/>
            <w:tcBorders>
              <w:top w:val="single" w:sz="4" w:space="0" w:color="auto"/>
              <w:left w:val="single" w:sz="4" w:space="0" w:color="auto"/>
              <w:bottom w:val="single" w:sz="4" w:space="0" w:color="auto"/>
              <w:right w:val="single" w:sz="4" w:space="0" w:color="auto"/>
            </w:tcBorders>
          </w:tcPr>
          <w:p w14:paraId="00101090" w14:textId="001010CD">
            <w:pPr>
              <w:pStyle w:val="Normal"/>
              <w:jc w:val="left"/>
            </w:pPr>
            <w:r>
              <w:t xml:space="preserve">254.6</w:t>
            </w:r>
          </w:p>
        </w:tc>
        <w:tc>
          <w:tcPr>
            <w:vAlign w:val="center"/>
            <w:tcBorders>
              <w:top w:val="single" w:sz="4" w:space="0" w:color="auto"/>
              <w:left w:val="single" w:sz="4" w:space="0" w:color="auto"/>
              <w:bottom w:val="single" w:sz="4" w:space="0" w:color="auto"/>
              <w:right w:val="single" w:sz="4" w:space="0" w:color="auto"/>
            </w:tcBorders>
          </w:tcPr>
          <w:p w14:paraId="00101092" w14:textId="001010CE">
            <w:pPr>
              <w:pStyle w:val="Normal"/>
              <w:jc w:val="left"/>
            </w:pPr>
            <w:r>
              <w:t xml:space="preserve">—</w:t>
            </w:r>
          </w:p>
        </w:tc>
        <w:tc>
          <w:tcPr>
            <w:vAlign w:val="center"/>
            <w:tcBorders>
              <w:top w:val="single" w:sz="4" w:space="0" w:color="auto"/>
              <w:left w:val="single" w:sz="4" w:space="0" w:color="auto"/>
              <w:bottom w:val="single" w:sz="4" w:space="0" w:color="auto"/>
              <w:right w:val="single" w:sz="4" w:space="0" w:color="auto"/>
            </w:tcBorders>
          </w:tcPr>
          <w:p w14:paraId="00101094" w14:textId="001010CF">
            <w:pPr>
              <w:pStyle w:val="Normal"/>
              <w:jc w:val="left"/>
            </w:pPr>
            <w:r>
              <w:t xml:space="preserve">(142.0)</w:t>
            </w:r>
          </w:p>
        </w:tc>
        <w:tc>
          <w:tcPr>
            <w:vAlign w:val="center"/>
            <w:tcBorders>
              <w:top w:val="single" w:sz="4" w:space="0" w:color="auto"/>
              <w:left w:val="single" w:sz="4" w:space="0" w:color="auto"/>
              <w:bottom w:val="single" w:sz="4" w:space="0" w:color="auto"/>
              <w:right w:val="single" w:sz="4" w:space="0" w:color="auto"/>
            </w:tcBorders>
          </w:tcPr>
          <w:p w14:paraId="00101096" w14:textId="001010D0">
            <w:pPr>
              <w:pStyle w:val="Normal"/>
              <w:jc w:val="left"/>
            </w:pPr>
            <w:r>
              <w:t xml:space="preserve">(23.1)</w:t>
            </w:r>
          </w:p>
        </w:tc>
        <w:tc>
          <w:tcPr>
            <w:vAlign w:val="center"/>
            <w:tcBorders>
              <w:top w:val="single" w:sz="4" w:space="0" w:color="auto"/>
              <w:left w:val="single" w:sz="4" w:space="0" w:color="auto"/>
              <w:bottom w:val="single" w:sz="4" w:space="0" w:color="auto"/>
              <w:right w:val="single" w:sz="4" w:space="0" w:color="auto"/>
            </w:tcBorders>
          </w:tcPr>
          <w:p w14:paraId="00101098" w14:textId="001010D1">
            <w:pPr>
              <w:pStyle w:val="Normal"/>
              <w:jc w:val="left"/>
            </w:pPr>
            <w:r>
              <w:t xml:space="preserve">1,393.7</w:t>
            </w:r>
          </w:p>
        </w:tc>
      </w:tr>
    </w:tbl>
    <w:p w14:paraId="001010D2" w14:textId="001010D3">
      <w:pPr>
        <w:pStyle w:val="Normal"/>
        <w:jc w:val="left"/>
      </w:pPr>
      <w:r>
        <w:t xml:space="preserve">Table 29 Property, plant and equipment movement schedule by asset class</w:t>
      </w:r>
    </w:p>
    <w:p w14:paraId="001010D4" w14:textId="001010D5">
      <w:pPr>
        <w:pStyle w:val="Normal"/>
        <w:jc w:val="left"/>
      </w:pPr>
      <w:r>
        <w:t xml:space="preserve">8.2.1.1.1 Additions and Transfers</w:t>
      </w:r>
    </w:p>
    <w:p w14:paraId="001010D6" w14:textId="001010D7">
      <w:pPr>
        <w:pStyle w:val="Normal"/>
        <w:jc w:val="left"/>
      </w:pPr>
      <w:r>
        <w:t xml:space="preserve">Capital additions during the year reflected the continued expansion of Rivermark Holdings’ operating base across Industrial Solutions, Consumer Platforms, and Infrastructure Services. Gross additions of 254.6 million were concentrated in production-line modernization, logistics automation, customer-facing digital systems, and selective fleet renewal. The largest single category of investment remained plant and machinery, where spending supported throughput expansion, energy-efficiency upgrades, and reliability improvements at high-utilization sites. Additions to land and buildings primarily related to warehouse extensions, safety retrofits, and office-to-operations reconfiguration projects, while IT equipment and systems additions were directed toward ERP integration, cybersecurity architecture, and data capture capabilities that support both financial and sustainability reporting.</w:t>
      </w:r>
    </w:p>
    <w:p w14:paraId="001010D8" w14:textId="001010D9">
      <w:pPr>
        <w:pStyle w:val="Normal"/>
        <w:jc w:val="left"/>
      </w:pPr>
      <w:r>
        <w:t xml:space="preserve">Transfers of 30.7 million from assets under construction into operational classes occurred as projects moved from commissioning into productive use. Most transfers were recorded into plant and machinery and IT systems once acceptance testing, control validation, and operational readiness milestones had been completed. Smaller internal reallocations occurred between leasehold improvements and buildings where project scope changed during implementation, particularly in multi-use facilities. Assets under construction closed at 183.3 million, indicating that the group still has a meaningful pipeline of projects in delivery, especially in automation, network optimization, and service-capacity expansion. Overall, the movement profile indicates disciplined investment focused on assets with near- to medium-term operational returns rather than speculative capacity build.</w:t>
      </w:r>
    </w:p>
    <w:p w14:paraId="001010DA" w14:textId="001010DB">
      <w:pPr>
        <w:pStyle w:val="Normal"/>
        <w:jc w:val="left"/>
      </w:pPr>
      <w:r>
        <w:t xml:space="preserve">Expenditure is capitalized when it is probable that future economic benefits associated with the item will flow to the group and the cost can be measured reliably. For self-constructed assets, directly attributable costs include materials, external contractor charges, site preparation, payroll for project-specific engineering teams, and an appropriate allocation of commissioning expenditure incurred before the asset is capable of operating as intended by management. Borrowing costs are capitalized only for qualifying assets where the construction period is sufficiently long and financing is directly attributable or can be reasonably assigned.</w:t>
      </w:r>
    </w:p>
    <w:p w14:paraId="001010DC" w14:textId="001010DD">
      <w:pPr>
        <w:pStyle w:val="Normal"/>
        <w:jc w:val="left"/>
      </w:pPr>
      <w:r>
        <w:t xml:space="preserve">Routine repairs, day-to-day maintenance, and minor replacement parts are recognized in profit or loss as incurred because they restore rather than enhance the expected service potential of the related assets. Transfers from construction in progress occur only after technical completion, safety and compliance sign-off, and readiness for intended use have been demonstrated. Where a project is delivered in phases, each component is transferred separately when that component meets the capitalization threshold and enters service. Management reviews major projects at each reporting date to confirm that costs continue to satisfy recognition criteria; if project scope changes, delayed commissioning, or lower expected utilization indicate that recoverability may be affected, the carrying amount is reassessed before further capitalization is recognized.</w:t>
      </w:r>
    </w:p>
    <w:p w14:paraId="001010DE" w14:textId="001010DF">
      <w:pPr>
        <w:pStyle w:val="Normal"/>
        <w:jc w:val="left"/>
      </w:pPr>
      <w:r>
        <w:t xml:space="preserve">8.2.1.1.1 Depreciation and Disposal</w:t>
      </w:r>
    </w:p>
    <w:p w14:paraId="001010E0" w14:textId="001010E1">
      <w:pPr>
        <w:pStyle w:val="Normal"/>
        <w:jc w:val="left"/>
      </w:pPr>
      <w:r>
        <w:t xml:space="preserve">Depreciation and impairment charges recognized against property, plant and equipment totaled 142.0 million for the year, with the highest expense arising in plant and machinery and IT equipment and systems. This pattern is consistent with the group’s recent investment cycle, under which automation assets, systems platforms, and production equipment have entered service over the last three reporting periods. Depreciation is charged on a systematic basis over the assets’ estimated useful lives and begins when the asset is available for use, not when it reaches full output or target utilization. The relatively modest charge on assets under construction reflects only limited impairment or write-down activity prior to commissioning.</w:t>
      </w:r>
    </w:p>
    <w:p w14:paraId="001010E2" w14:textId="001010E3">
      <w:pPr>
        <w:pStyle w:val="Normal"/>
        <w:jc w:val="left"/>
      </w:pPr>
      <w:r>
        <w:t xml:space="preserve">Disposals of 23.1 million mainly related to retired machinery, replaced fleet units, and redundant equipment removed during site reconfiguration programs. Proceeds on disposal were not individually material to the group, and gains and losses were recorded within operating expenses in line with the nature of the underlying assets. Disposal activity was higher in Industrial Solutions, where legacy lines were replaced with more energy-efficient equipment, and in Consumer Platforms, where older point-of-service hardware was withdrawn following digital channel consolidation. Taken together, the annual depreciation burden and targeted disposal activity indicate an asset base that is being actively refreshed, with obsolescence managed through planned replacement rather than deferred maintenance.</w:t>
      </w:r>
    </w:p>
    <w:p w14:paraId="001010E4" w14:textId="001010E5">
      <w:pPr>
        <w:pStyle w:val="Normal"/>
        <w:jc w:val="left"/>
      </w:pPr>
      <w:r>
        <w:t xml:space="preserve">Management assesses property, plant and equipment for indicators of impairment at each reporting date and whenever events or changes in circumstances suggest that the carrying amount may not be recoverable. Relevant indicators include sustained underperformance of a site or cash-generating unit, adverse regulatory changes, significant deterioration in market demand, physical damage, or decisions to restructure or close operations. Where such indicators exist, the recoverable amount is estimated as the higher of fair value less costs of disposal and value in use. In the current year, impairment charges within the property movement schedule were limited and primarily related to certain specialized equipment in Infrastructure Services where forecast utilization was revised downward after contract mix changed.</w:t>
      </w:r>
    </w:p>
    <w:p w14:paraId="001010E6" w14:textId="001010E7">
      <w:pPr>
        <w:pStyle w:val="Normal"/>
        <w:jc w:val="left"/>
      </w:pPr>
      <w:r>
        <w:t xml:space="preserve">Useful lives are reviewed annually and adjusted prospectively where experience differs from previous estimates. Buildings are generally depreciated over longer periods, while technology-enabled equipment and mobile assets are depreciated over shorter cycles to reflect faster economic consumption and replacement patterns. Judgments over useful life are particularly significant for automation systems, customer-interface hardware, and integrated production lines, where physical durability may exceed economic relevance because of software evolution, changing customer requirements, or efficiency standards. Any revision to useful life assumptions affects future depreciation expense but does not restate prior periods. The group did not identify any class-wide need for a material shortening of useful lives in the year, although selected asset cohorts were reassessed to align depreciation profiles with updated operating plans.</w:t>
      </w:r>
    </w:p>
    <w:p w14:paraId="001010E8" w14:textId="001010E9">
      <w:pPr>
        <w:pStyle w:val="Normal"/>
        <w:jc w:val="left"/>
      </w:pPr>
      <w:r>
        <w:t xml:space="preserve">8.2.1.1 Commitments</w:t>
      </w:r>
    </w:p>
    <w:p w14:paraId="001010EA" w14:textId="001010EB">
      <w:pPr>
        <w:pStyle w:val="Normal"/>
        <w:jc w:val="left"/>
      </w:pPr>
      <w:r>
        <w:t xml:space="preserve">At the reporting date, Rivermark Holdings had committed capital expenditure relating to approved projects not yet recognized as property, plant and equipment. These commitments arise where contracts have been signed, purchase orders have become binding, or board-approved investment decisions have passed the internal authorization gate and entered the execution phase. The commitment profile is weighted toward production automation, warehouse and service-network upgrades, energy-efficiency retrofits, and digital infrastructure supporting cross-segment process standardization. Although timing of cash outflows will vary by project stage, the majority of committed amounts are expected to be deployed over the next twelve to eighteen months.</w:t>
      </w:r>
    </w:p>
    <w:p w14:paraId="001010EC" w14:textId="001010ED">
      <w:pPr>
        <w:pStyle w:val="Normal"/>
        <w:jc w:val="left"/>
      </w:pPr>
      <w:r>
        <w:t xml:space="preserve">Capital commitments are monitored centrally through the group investment committee and are reassessed against demand assumptions, liquidity capacity, and operational readiness. Projects may be deferred, rephased, or reduced in scope if commercial conditions change, but once contractual obligations exist the group plans funding to preserve delivery discipline and supplier relationships. The commitment pipeline is therefore an important indicator of future capital deployment and signals that the current investment cycle will continue into the next reporting period, albeit with tighter sequencing around return thresholds and implementation capacity.</w:t>
      </w:r>
    </w:p>
    <w:p w14:paraId="001010EE" w14:textId="001010EF">
      <w:pPr>
        <w:pStyle w:val="Normal"/>
        <w:jc w:val="left"/>
      </w:pPr>
      <w:r>
        <w:t xml:space="preserve">The approved project pipeline provides context for the commitments disclosed and demonstrates how the group is translating strategy into executable asset investment. A substantial share of the pipeline relates to initiatives already underway in high-priority facilities where demand visibility, resilience needs, and productivity benefits are strongest. In Industrial Solutions, projects center on line automation, emissions-reduction equipment, and maintenance modernization. In Consumer Platforms, the pipeline emphasizes fulfillment capability, customer data architecture, and selective store-format conversion. Infrastructure Services continues to prioritize service depots, field enablement technology, and equipment required to support multi-year contract delivery.</w:t>
      </w:r>
    </w:p>
    <w:p w14:paraId="001010F0" w14:textId="001010F1">
      <w:pPr>
        <w:pStyle w:val="Normal"/>
        <w:jc w:val="left"/>
      </w:pPr>
      <w:r>
        <w:t xml:space="preserve">Management distinguishes between approved but uncommitted projects and committed projects. Approved projects have passed investment review and remain aligned with portfolio priorities, but they may still depend on final vendor selection, permitting, or milestone-based release of expenditure. This distinction matters because it preserves flexibility while maintaining strategic momentum. The current pipeline also reflects greater scrutiny of payback, modularity, and implementation sequencing than in prior years. Rather than concentrating spending in a small number of transformational projects, Rivermark Holdings has favored a balanced portfolio of medium-scale investments that can be staged, measured, and integrated with less disruption. That approach supports capital discipline while still building the capability base required for growth, service quality, and operating resilience.</w:t>
      </w:r>
    </w:p>
    <w:p w14:paraId="001010F2" w14:textId="001010F3">
      <w:pPr>
        <w:pStyle w:val="Normal"/>
        <w:jc w:val="left"/>
      </w:pPr>
      <w:r>
        <w:t xml:space="preserve">8.2.1.1.2 Committed Projects</w:t>
      </w:r>
    </w:p>
    <w:p w14:paraId="001010F4" w14:textId="001010F5">
      <w:pPr>
        <w:pStyle w:val="Normal"/>
        <w:jc w:val="left"/>
      </w:pPr>
      <w:r>
        <w:t xml:space="preserve">Approved capital commitments at year-end related principally to projects that had cleared governance review, been technically scoped, and entered into binding supplier or contractor arrangements. The balance of commitments reflected work already authorized by management and the Board, rather than early-stage pipeline activity, and therefore represented spend that the Group expects to translate into productive operating assets, technology capability, or site enhancements over the coming periods. In substance, these commitments are the tail end of investment decisions made under the Group’s capital allocation framework, where affordability, strategic fit, execution readiness, and return thresholds are assessed before contracts are signed.</w:t>
      </w:r>
    </w:p>
    <w:p w14:paraId="001010F6" w14:textId="001010F7">
      <w:pPr>
        <w:pStyle w:val="Normal"/>
        <w:jc w:val="left"/>
      </w:pPr>
      <w:r>
        <w:t xml:space="preserve">Timing of committed spend depends on construction milestones, equipment lead times, installation sequencing, and acceptance testing, and therefore the profile is rarely linear across a reporting period. In the current year, the Group expects the larger share of outflows to occur in the first half of the next financial year as delivery of long-lead items is completed and outstanding milestone payments fall due. Certain commitments also extend beyond a single reporting cycle, particularly where supplier schedules have been negotiated to align with operational shutdown windows, commissioning dates, or customer handover obligations. The disclosed commitment balance therefore reflects both the contractual amount and management’s best estimate of the period in which cash settlement is likely to be required.</w:t>
      </w:r>
    </w:p>
    <w:p w14:paraId="001010F8" w14:textId="001010F9">
      <w:pPr>
        <w:pStyle w:val="Normal"/>
        <w:jc w:val="left"/>
      </w:pPr>
      <w:r>
        <w:t xml:space="preserve">8.2.1.1.2 Funding Sources</w:t>
      </w:r>
    </w:p>
    <w:p w14:paraId="001010FA" w14:textId="001010FB">
      <w:pPr>
        <w:pStyle w:val="Normal"/>
        <w:jc w:val="left"/>
      </w:pPr>
      <w:r>
        <w:t xml:space="preserve">The funding plan for commitments is based on a mix of internally generated cash, committed borrowing capacity, and, where appropriate, project-specific payment schedules agreed with counterparties. Management considers the existing liquidity position sufficient to support the approved program without disrupting ordinary operating needs, dividend policy, or covenant headroom. Internal cash generation is expected to fund routine and shorter-cycle projects, while larger infrastructure and technology deployments may be supported by available facilities to preserve flexibility and match financing with asset lives. The Group continues to monitor market rates, supplier terms, and working capital movements so that committed investment can proceed in an orderly manner even if trading conditions become less favorable.</w:t>
      </w:r>
    </w:p>
    <w:p w14:paraId="001010FC" w14:textId="001010FD">
      <w:pPr>
        <w:pStyle w:val="Normal"/>
        <w:jc w:val="left"/>
      </w:pPr>
      <w:r>
        <w:t xml:space="preserve">Committed investment is financed through an internal and external funding mix that is designed to balance control, flexibility, and cost. Internal resources are preferred where project payback is short and cash conversion is strong, because this reduces interest expense and avoids unnecessary refinancing risk. External funding is used selectively for longer-duration commitments or where the asset base being created will generate durable cash flows over several periods. In assessing the mix, management also considers timing mismatches between milestone payments and operating receipts, the seasonal profile of segment cash generation, and the potential need to maintain headroom for contingencies. This approach is intended to ensure that committed projects remain fully fundable while limiting pressure on near-term liquidity.</w:t>
      </w:r>
    </w:p>
    <w:p w14:paraId="001010FE" w14:textId="001010FF">
      <w:pPr>
        <w:pStyle w:val="Normal"/>
        <w:jc w:val="left"/>
      </w:pPr>
      <w:r>
        <w:t xml:space="preserve">8.2.1 Goodwill and Intangibles</w:t>
      </w:r>
    </w:p>
    <w:p w14:paraId="00101100" w14:textId="00101101">
      <w:pPr>
        <w:pStyle w:val="Normal"/>
        <w:jc w:val="left"/>
      </w:pPr>
      <w:r>
        <w:t xml:space="preserve">Goodwill and finite-lived intangible assets are disclosed at carrying amount and are presented separately because they arise from different economic drivers and are subject to different subsequent measurement rules. Goodwill is recognized on acquisition and not amortized, whereas customer relationships, software, licenses, and similar identifiable intangibles are generally amortized over their useful lives or, where relevant, tested for impairment when indicators arise. The carrying values reported in this note are based on the historical cost model, adjusted for amortization, impairment charges, and foreign exchange movements where applicable. The Group’s disclosure basis therefore focuses on cost allocation, residual carrying value, and the judgments used to determine useful life, recoverability, and the existence of impairment indicators.</w:t>
      </w:r>
    </w:p>
    <w:p w14:paraId="00101102" w14:textId="00101103">
      <w:pPr>
        <w:pStyle w:val="Normal"/>
        <w:jc w:val="left"/>
      </w:pPr>
      <w:r>
        <w:t xml:space="preserve">Impairment testing is performed at least annually for goodwill and more frequently when events or changes in circumstances indicate that carrying values may not be recoverable. The overview presented in this note explains the cash-generating unit structure, the valuation approach applied, and the principal assumptions used in estimating recoverable amount, typically value in use or fair value less costs of disposal depending on the asset class and available evidence. Management’s assessment incorporates current year trading, forecast margins, expected capital expenditure, and discount rates reflecting market participant assumptions. Where headroom is present, the Group still evaluates downside scenarios to confirm that reasonable adverse changes would not give rise to impairment. The objective is to ensure that the reported balance sheet values remain supportable under both base-case and stress-case conditions.</w:t>
      </w:r>
    </w:p>
    <w:p w14:paraId="00101104" w14:textId="00101105">
      <w:pPr>
        <w:pStyle w:val="Normal"/>
        <w:jc w:val="left"/>
      </w:pPr>
      <w:r>
        <w:t xml:space="preserve">8.2.1.2 Cash-Generating Units</w:t>
      </w:r>
    </w:p>
    <w:p w14:paraId="00101106" w14:textId="00101107">
      <w:pPr>
        <w:pStyle w:val="Normal"/>
        <w:jc w:val="left"/>
      </w:pPr>
      <w:r>
        <w:t xml:space="preserve">Goodwill is allocated to the cash-generating units that are expected to benefit from the synergies of the acquisition and the subsequent use of the acquired business. In practice, allocation is aligned to the lowest level at which management monitors operating performance and makes resource decisions, provided that level also reflects the commercial benefits captured by the acquired goodwill. Where post-acquisition integration has broadened the use of shared platforms, customer relationships, or support functions, goodwill may be allocated to a combined unit rather than to a narrow legal entity. This approach ensures that impairment testing is conducted against the operational grouping that actually drives future cash inflows, rather than against historical acquisition labels that no longer reflect the way the Group manages the business.</w:t>
      </w:r>
    </w:p>
    <w:p w14:paraId="00101108" w14:textId="00101109">
      <w:pPr>
        <w:pStyle w:val="Normal"/>
        <w:jc w:val="left"/>
      </w:pPr>
      <w:r>
        <w:t xml:space="preserve">The operating unit aggregation context is important because the Group’s reporting structure, management reporting, and customer delivery model do not always align one-to-one with legal entities. Certain activities are bundled where sales channels, production capability, procurement, and overhead support are shared, and these bundles form the basis for the cash-generating unit analysis used in impairment testing. Aggregation is only applied where cash inflows are largely independent at the combined level and where the units have similar risk profiles and long-term economic characteristics. This avoids arbitrary fragmentation of the asset base and better reflects how the business creates value in practice. It also means that annual review of goodwill must consider reorganizations, acquisitions, and internal transfers that may alter the boundaries of the unit used for testing.</w:t>
      </w:r>
    </w:p>
    <w:p w14:paraId="0010110A" w14:textId="0010110B">
      <w:pPr>
        <w:pStyle w:val="Normal"/>
        <w:jc w:val="left"/>
      </w:pPr>
      <w:r>
        <w:t xml:space="preserve">8.2.1.2.1 Allocation Basis</w:t>
      </w:r>
    </w:p>
    <w:p w14:paraId="0010110C" w14:textId="0010110D">
      <w:pPr>
        <w:pStyle w:val="Normal"/>
        <w:jc w:val="left"/>
      </w:pPr>
      <w:r>
        <w:t xml:space="preserve">Goodwill arising on business combinations is allocated to the cash-generating units, or groups of cash-generating units, that are expected to benefit from the synergies of the combination. Rivermark Holdings performs this allocation at the lowest level within the group at which goodwill is monitored for internal management purposes, provided that the level is not larger than an operating segment before aggregation. In practice, goodwill is assigned to Industrial Solutions, Consumer Platforms, Infrastructure Services, or to a more specific operating unit within those segments where integration plans, customer overlap, technology transfer, and expected cost efficiencies can be clearly identified.</w:t>
      </w:r>
    </w:p>
    <w:p w14:paraId="0010110E" w14:textId="0010110F">
      <w:pPr>
        <w:pStyle w:val="Normal"/>
        <w:jc w:val="left"/>
      </w:pPr>
      <w:r>
        <w:t xml:space="preserve">The allocation basis reflects the economic logic used at acquisition date and updated integration planning thereafter. Management considers the acquired business model, the expected source of revenue cross-sell, procurement savings, platform utilization, shared technology benefits, and the management reporting line that will ultimately assess post-acquisition performance. Where benefits are expected to arise across multiple units, goodwill is allocated using a relative-value approach based on forecast earnings contribution, invested capital employed, and identifiable synergy realization by unit. This basis is intended to ensure that subsequent impairment testing is performed against the assets and cash inflows actually supported by the acquisition, rather than by reference to legal-entity form alone.</w:t>
      </w:r>
    </w:p>
    <w:p w14:paraId="00101110" w14:textId="00101111">
      <w:pPr>
        <w:pStyle w:val="Normal"/>
        <w:jc w:val="left"/>
      </w:pPr>
      <w:r>
        <w:t xml:space="preserve">The group’s monitoring level reflects how acquired operations are actually governed after acquisition. In several cases, an acquired entity continues to operate under its legal name for contractual or regulatory reasons, but its commercial decisions, manufacturing planning, procurement activity, and capital approval processes are absorbed into a broader operating unit. For impairment purposes, management therefore monitors goodwill at the level where strategic decisions are made and where performance data are reviewed by segment leadership and the chief operating decision maker.</w:t>
      </w:r>
    </w:p>
    <w:p w14:paraId="00101112" w14:textId="00101113">
      <w:pPr>
        <w:pStyle w:val="Normal"/>
        <w:jc w:val="left"/>
      </w:pPr>
      <w:r>
        <w:t xml:space="preserve">This approach is considered more faithful than testing each legal entity separately because many acquisitions are undertaken to secure combined capabilities rather than stand-alone cash inflows. Shared sales channels, integrated service platforms, combined engineering resources, and centralized support functions often mean that benefits cannot be isolated to the acquired company in its original form. The monitoring level also aligns with the annual budgeting process, medium-term planning, and return-on-investment reviews used in the allocation of capital. As a result, the selected unit of account captures both integration benefits and subsequent operating risks in a manner consistent with internal oversight and the requirements applicable to goodwill impairment testing.</w:t>
      </w:r>
    </w:p>
    <w:p w14:paraId="00101114" w14:textId="00101115">
      <w:pPr>
        <w:pStyle w:val="Normal"/>
        <w:jc w:val="left"/>
      </w:pPr>
      <w:r>
        <w:t xml:space="preserve">8.2.1.2.1 Recoverable Amounts</w:t>
      </w:r>
    </w:p>
    <w:p w14:paraId="00101116" w14:textId="00101117">
      <w:pPr>
        <w:pStyle w:val="Normal"/>
        <w:jc w:val="left"/>
      </w:pPr>
      <w:r>
        <w:t xml:space="preserve">Recoverable amounts for goodwill-bearing cash-generating units are determined using valuation techniques that compare the carrying amount of each unit, including allocated goodwill, with its recoverable amount. Rivermark Holdings primarily uses a value-in-use model based on discounted future cash flows derived from board-approved budgets and management’s medium-term business plans. For units exposed to active market transactions, externally observable valuation benchmarks, or a credible disposal pathway, management also considers fair value less costs of disposal as a corroborative reference point.</w:t>
      </w:r>
    </w:p>
    <w:p w14:paraId="00101118" w14:textId="00101119">
      <w:pPr>
        <w:pStyle w:val="Normal"/>
        <w:jc w:val="left"/>
      </w:pPr>
      <w:r>
        <w:t xml:space="preserve">The value-in-use model projects cash flows over an explicit planning period that reflects the operating cycle and investment horizon of the relevant unit, generally five years, followed by a terminal value using a sustainable long-term growth assumption. Cash flow estimates incorporate expected revenue development, operating margins, maintenance capital expenditure, tax assumptions where relevant to the measure applied, and working-capital requirements. Discount rates are determined on a pre-tax basis and reflect the time value of money together with risks specific to the unit that are not otherwise captured in projected cash flows. Where fair value less costs of disposal is considered, management uses market multiples, precedent transaction evidence, and estimated disposal costs adjusted for differences in size, growth profile, and profitability.</w:t>
      </w:r>
    </w:p>
    <w:p w14:paraId="0010111A" w14:textId="0010111B">
      <w:pPr>
        <w:pStyle w:val="Normal"/>
        <w:jc w:val="left"/>
      </w:pPr>
      <w:r>
        <w:t xml:space="preserve">Based on the impairment testing performed at the reporting date, the recoverable amount of each goodwill-bearing cash-generating unit exceeded its carrying amount, and no impairment charge was recognized in the current year. The strongest headroom was observed in Consumer Platforms digital channels and in recurring-service activities within Infrastructure Services, where margin resilience and cash conversion remained ahead of plan. Industrial Solutions showed lower but still positive headroom in selected manufacturing units due to slower demand normalization in certain end markets and a more measured recovery in export volumes.</w:t>
      </w:r>
    </w:p>
    <w:p w14:paraId="0010111C" w14:textId="0010111D">
      <w:pPr>
        <w:pStyle w:val="Normal"/>
        <w:jc w:val="left"/>
      </w:pPr>
      <w:r>
        <w:t xml:space="preserve">Management concluded that the valuation outcomes were supportable because forecast cash flows remained consistent with approved operating plans, actual year-end trading provided evidence for core assumptions, and the discount rates used appropriately reflected prevailing financing conditions and market risk. For units where fair value less costs of disposal was used as a cross-check, the resulting ranges were broadly aligned with the value-in-use conclusions. No individual unit was identified as impaired; however, some units with lower headroom remain more sensitive to adverse changes in revenue growth, execution timing, or discount rates. These units will continue to receive enhanced monitoring through the annual planning cycle and interim performance reviews.</w:t>
      </w:r>
    </w:p>
    <w:p w14:paraId="0010111E" w14:textId="0010111F">
      <w:pPr>
        <w:pStyle w:val="Normal"/>
        <w:jc w:val="left"/>
      </w:pPr>
      <w:r>
        <w:t xml:space="preserve">8.2.1.2 Sensitivity Analysis</w:t>
      </w:r>
    </w:p>
    <w:p w14:paraId="00101120" w14:textId="00101121">
      <w:pPr>
        <w:pStyle w:val="Normal"/>
        <w:jc w:val="left"/>
      </w:pPr>
      <w:r>
        <w:t xml:space="preserve">Sensitivity testing is performed to assess whether reasonably possible changes in key assumptions could cause the carrying amount of a cash-generating unit to exceed its recoverable amount. The analysis focuses on the assumptions that have the greatest effect on valuation outcomes, principally forecast revenue growth, operating margin progression, terminal growth, and discount rates. These variables are tested individually and, where relevant, in combined downside scenarios to reflect the way adverse conditions may emerge in practice.</w:t>
      </w:r>
    </w:p>
    <w:p w14:paraId="00101122" w14:textId="00101123">
      <w:pPr>
        <w:pStyle w:val="Normal"/>
        <w:jc w:val="left"/>
      </w:pPr>
      <w:r>
        <w:t xml:space="preserve">Rivermark Holdings applies sensitivity analysis as a decision-support tool rather than as a purely mechanical compliance exercise. Management considers the stage of market recovery, backlog quality, customer retention, inflation pass-through, procurement savings, and capital discipline when defining downside cases. Units with a concentration of project-based work, higher exposure to discretionary consumer demand, or dependence on integration benefits are subjected to more granular review. The results help identify where headroom is robust and where closer monitoring is warranted. They also provide a basis for discussing risk tolerance with segment leadership and for evaluating whether further disclosure is needed regarding assumptions that are more finely balanced at the reporting date.</w:t>
      </w:r>
    </w:p>
    <w:p w14:paraId="00101124" w14:textId="00101125">
      <w:pPr>
        <w:pStyle w:val="Normal"/>
        <w:jc w:val="left"/>
      </w:pPr>
      <w:r>
        <w:t xml:space="preserve">A reasonably possible change does not represent a remote or stress-case outcome; rather, it reflects a shift in assumptions that could occur in the ordinary course of business over the next planning cycle. In developing this context, management considers recent volatility in input costs, customer ordering patterns, labor availability, tender timing, regulatory developments, and financing conditions. The objective is to test valuation resilience against changes that are plausible based on current evidence, not against extreme conditions that would require a broader restructuring of the business.</w:t>
      </w:r>
    </w:p>
    <w:p w14:paraId="00101126" w14:textId="00101127">
      <w:pPr>
        <w:pStyle w:val="Normal"/>
        <w:jc w:val="left"/>
      </w:pPr>
      <w:r>
        <w:t xml:space="preserve">For example, a reasonably possible change may include a modest reduction in annual revenue growth, a slower recovery in margin from mix or productivity initiatives, or an increase in discount rates consistent with market movements in risk-free rates or credit spreads. For project-oriented activities, it may also include delays in converting pipeline to backlog or lower utilization of specialized delivery teams. These changes are assessed relative to the assumptions embedded in approved plans. Where the erosion of headroom under such scenarios is material, management treats the unit as an area for heightened review in future periods and considers whether more specific narrative disclosure is necessary to explain the underlying uncertainty.</w:t>
      </w:r>
    </w:p>
    <w:p w14:paraId="00101128" w14:textId="00101129">
      <w:pPr>
        <w:pStyle w:val="Normal"/>
        <w:jc w:val="left"/>
      </w:pPr>
      <w:r>
        <w:t xml:space="preserve">8.2.1.2.2 Key Assumptions</w:t>
      </w:r>
    </w:p>
    <w:p w14:paraId="0010112A" w14:textId="0010112B">
      <w:pPr>
        <w:pStyle w:val="Normal"/>
        <w:jc w:val="left"/>
      </w:pPr>
      <w:r>
        <w:t xml:space="preserve">The principal assumptions used in goodwill impairment testing are long-term revenue growth, near-term sales conversion, operating margin development, terminal growth rates, and pre-tax discount rates. Revenue assumptions reflect expected market demand, contract renewals, pricing actions, customer retention, channel development, and the anticipated pace of new product or service adoption. Margin assumptions incorporate productivity gains, procurement savings, utilization levels, product and customer mix, labor-cost trends, and the expected timing of synergy realization from prior acquisitions.</w:t>
      </w:r>
    </w:p>
    <w:p w14:paraId="0010112C" w14:textId="0010112D">
      <w:pPr>
        <w:pStyle w:val="Normal"/>
        <w:jc w:val="left"/>
      </w:pPr>
      <w:r>
        <w:t xml:space="preserve">Terminal growth rates are selected with reference to the long-run prospects of the relevant market and are intended to represent sustainable growth beyond the explicit forecast period. They do not assume expansion that would be inconsistent with the maturity, competitive structure, or capital intensity of the unit being tested. Discount rates are derived from market-based estimates of the weighted average cost of capital and adjusted, where necessary, to reflect country risk, business risk, and asset-specific factors. In combination, these inputs translate management’s operating expectations into a present-value measure that can be compared with the carrying amount of the unit. The most valuation-sensitive inputs in the current year remained discount rate assumptions for Infrastructure Services and margin recovery assumptions for selected Industrial Solutions units.</w:t>
      </w:r>
    </w:p>
    <w:p w14:paraId="0010112E" w14:textId="0010112F">
      <w:pPr>
        <w:pStyle w:val="Normal"/>
        <w:jc w:val="left"/>
      </w:pPr>
      <w:r>
        <w:t xml:space="preserve">Assumptions are developed using a hierarchy of internal and external evidence. The starting point is the board-approved budget and the medium-term plan prepared by each segment, which incorporates actual trading performance, signed contracts, active pipeline, and committed cost actions. These internal forecasts are then challenged through group finance and strategy reviews, with particular attention to whether growth and margin assumptions are consistent with recent performance, operational capacity, and capital availability.</w:t>
      </w:r>
    </w:p>
    <w:p w14:paraId="00101130" w14:textId="00101131">
      <w:pPr>
        <w:pStyle w:val="Normal"/>
        <w:jc w:val="left"/>
      </w:pPr>
      <w:r>
        <w:t xml:space="preserve">External sources are used to validate, rather than replace, management’s operating outlook. These include market growth studies, industry demand indicators, inflation forecasts, commodity and energy outlooks, interest-rate curves, country risk data, and observed valuation multiples for comparable businesses. Discount rates are anchored to market inputs, while terminal growth assumptions are benchmarked against long-term expectations for the relevant sectors and geographies. Where assumptions depend on acquisition synergies or restructuring benefits, only those actions that are sufficiently specific, approved, and operationally supportable are included. This source hierarchy is intended to reduce optimism bias and to ensure that the recoverable amount analysis is grounded in evidence available at the reporting date.</w:t>
      </w:r>
    </w:p>
    <w:p w14:paraId="00101132" w14:textId="00101133">
      <w:pPr>
        <w:pStyle w:val="Normal"/>
        <w:jc w:val="left"/>
      </w:pPr>
      <w:r>
        <w:t xml:space="preserve">8.2.1.2.2 Headroom</w:t>
      </w:r>
    </w:p>
    <w:p w14:paraId="00101134" w14:textId="00101135">
      <w:pPr>
        <w:pStyle w:val="Normal"/>
        <w:jc w:val="left"/>
      </w:pPr>
      <w:r>
        <w:t xml:space="preserve">At 31 December, goodwill allocated to the group’s cash-generating units continued to be supported by value-in-use calculations that exceeded carrying value in all cases. Headroom remained strongest in Industrial Solutions and Consumer Platforms, where forecast cash generation, disciplined capital deployment, and margin resilience provided a substantial buffer over book values. Infrastructure Services showed a narrower but still positive surplus, reflecting the longer conversion cycle of project work and the sensitivity of recoverable amount to bid timing and utilization assumptions. Management therefore concluded that no impairment charge was required in the current period.</w:t>
      </w:r>
    </w:p>
    <w:p w14:paraId="00101136" w14:textId="00101137">
      <w:pPr>
        <w:pStyle w:val="Normal"/>
        <w:jc w:val="left"/>
      </w:pPr>
      <w:r>
        <w:t xml:space="preserve">The disclosed headroom should be read together with the assumptions applied in the impairment model. Forecast periods were derived from board-approved plans, then extrapolated using terminal growth rates aligned with the long-term outlook for each market. Where headroom was less pronounced, the group applied additional review procedures over contract renewal assumptions, backlog conversion, and expected operating margins. The overall pattern indicates that the portfolio retains valuation support under the base case, but that the margin of safety is not uniform across units.</w:t>
      </w:r>
    </w:p>
    <w:p w14:paraId="00101138" w14:textId="00101139">
      <w:pPr>
        <w:pStyle w:val="Normal"/>
        <w:jc w:val="left"/>
      </w:pPr>
      <w:r>
        <w:t xml:space="preserve">In practical terms, the headroom analysis confirms that current carrying values are supported, while also identifying the units that require closer monitoring if trading conditions soften, capital costs rise, or planned efficiency benefits are delayed.</w:t>
      </w:r>
    </w:p>
    <w:p w14:paraId="0010113A" w14:textId="0010113B">
      <w:pPr>
        <w:pStyle w:val="Normal"/>
        <w:jc w:val="left"/>
      </w:pPr>
      <w:r>
        <w:t xml:space="preserve">Sensitivity testing was performed to assess whether reasonably possible adverse changes in assumptions could reduce recoverable amounts below carrying values. The most relevant stress cases considered by Rivermark Holdings were lower medium-term revenue growth, a reduction in forecast EBITDA margins, delayed realization of restructuring benefits, and an increase in pre-tax discount rates to reflect tighter financing conditions. For Industrial Solutions and Consumer Platforms, these downside cases reduced model headroom but did not indicate impairment under the tested ranges. For Infrastructure Services, the analysis showed that a combined movement in margin and discount rate assumptions would compress headroom materially faster than a change in either variable alone.</w:t>
      </w:r>
    </w:p>
    <w:p w14:paraId="0010113C" w14:textId="0010113D">
      <w:pPr>
        <w:pStyle w:val="Normal"/>
        <w:jc w:val="left"/>
      </w:pPr>
      <w:r>
        <w:t xml:space="preserve">Under the stress case framework, management’s conclusion was not that impairment is expected, but that certain operating units are more exposed to execution variance and external market shifts. A one percentage point increase in discount rate or a sustained reduction in terminal growth would be manageable in isolation for most units; however, where backlog conversion and tender pricing are already under pressure, the compounding effect becomes more significant. This is particularly relevant to businesses with fixed-cost infrastructure, longer contract lead times, and revenue concentration in a limited number of customer programs.</w:t>
      </w:r>
    </w:p>
    <w:p w14:paraId="0010113E" w14:textId="0010113F">
      <w:pPr>
        <w:pStyle w:val="Normal"/>
        <w:jc w:val="left"/>
      </w:pPr>
      <w:r>
        <w:t xml:space="preserve">Accordingly, the group has identified enhanced monitoring actions for those units with lower residual headroom, including quarterly assumption refreshes, tighter review of contract profitability, and earlier escalation of underperformance indicators into the impairment governance process.</w:t>
      </w:r>
    </w:p>
    <w:p w14:paraId="00101140" w14:textId="00101141">
      <w:pPr>
        <w:pStyle w:val="Normal"/>
        <w:jc w:val="left"/>
      </w:pPr>
      <w:r>
        <w:t xml:space="preserve">8.2 Financial Assets and Funding</w:t>
      </w:r>
    </w:p>
    <w:p w14:paraId="00101142" w14:textId="00101143">
      <w:pPr>
        <w:pStyle w:val="Normal"/>
        <w:jc w:val="left"/>
      </w:pPr>
      <w:r>
        <w:t xml:space="preserve">Rivermark Holdings finances its operations through a combination of operating cash flow, committed bank facilities, bilateral borrowing arrangements, lease liabilities, and selective use of working-capital instruments. The funding structure is intended to support day-to-day liquidity, preserve flexibility for capital expenditure and acquisitions, and maintain covenant headroom through market cycles. Treasury activity is centrally governed, while business units are responsible for forecasting local funding needs and complying with group approval thresholds. This model allows the group to aggregate liquidity efficiently while limiting fragmented borrowing at subsidiary level.</w:t>
      </w:r>
    </w:p>
    <w:p w14:paraId="00101144" w14:textId="00101145">
      <w:pPr>
        <w:pStyle w:val="Normal"/>
        <w:jc w:val="left"/>
      </w:pPr>
      <w:r>
        <w:t xml:space="preserve">Financial instruments arise both from ordinary trading activity and from treasury management. Trade receivables, contract assets, and cash balances represent the principal financial assets generated by operations. Borrowings, payables, lease liabilities, and derivative contracts used to manage interest-rate and foreign-exchange exposures make up the main funding and risk-management instruments on the liability side. The group does not hold financial instruments for speculative purposes, and derivatives are entered into only where an underlying exposure exists.</w:t>
      </w:r>
    </w:p>
    <w:p w14:paraId="00101146" w14:textId="00101147">
      <w:pPr>
        <w:pStyle w:val="Normal"/>
        <w:jc w:val="left"/>
      </w:pPr>
      <w:r>
        <w:t xml:space="preserve">During the year, the group maintained diversified sources of liquidity and preserved access to undrawn committed facilities sufficient to cover seasonal working-capital swings and identified investment requirements. This position, combined with maturity staggering and covenant monitoring, supports management’s assessment that the current funding base is appropriate for the scale and risk profile of the group.</w:t>
      </w:r>
    </w:p>
    <w:p w14:paraId="00101148" w14:textId="00101149">
      <w:pPr>
        <w:pStyle w:val="Normal"/>
        <w:jc w:val="left"/>
      </w:pPr>
      <w:r>
        <w:t xml:space="preserve">The group’s risk and liquidity framework is designed to ensure that financing obligations can be met as they fall due without incurring unacceptable cost or operational disruption. Liquidity risk is managed through rolling cash forecasts, minimum cash reserve thresholds, stress testing of downside trading scenarios, and central oversight of facility utilization. Forecasts are updated regularly at segment and group level and are reviewed against debt maturities, expected covenant calculations, planned capital expenditure, and contingent commitments. This process is intended to provide early visibility of refinancing requirements and preserve decision time where market conditions change.</w:t>
      </w:r>
    </w:p>
    <w:p w14:paraId="0010114A" w14:textId="0010114B">
      <w:pPr>
        <w:pStyle w:val="Normal"/>
        <w:jc w:val="left"/>
      </w:pPr>
      <w:r>
        <w:t xml:space="preserve">Financial risk management covers credit, market, and refinancing exposures. Counterparty limits are applied to cash deposits and derivative positions, with approved institutions assessed using external ratings, internal exposure metrics, and concentration limits. Foreign-currency and interest-rate risks are monitored against policy bands, and hedging decisions are taken in light of exposure duration, cost, and accounting implications. The framework also distinguishes between operational exposures arising naturally from commerce and treasury positions created for risk mitigation.</w:t>
      </w:r>
    </w:p>
    <w:p w14:paraId="0010114C" w14:textId="0010114D">
      <w:pPr>
        <w:pStyle w:val="Normal"/>
        <w:jc w:val="left"/>
      </w:pPr>
      <w:r>
        <w:t xml:space="preserve">At the reporting date, management considered the group’s liquidity profile to be resilient. Available cash, undrawn committed facilities, and expected operating inflows were sufficient to meet obligations under both base-case and internally modelled downside conditions. While tighter credit markets could increase refinancing cost, the group’s diversified lender base, maturity spread, and covenant headroom reduce the likelihood that market disruption would create a near-term funding constraint.</w:t>
      </w:r>
    </w:p>
    <w:p w14:paraId="0010114E" w14:textId="0010114F">
      <w:pPr>
        <w:pStyle w:val="Normal"/>
        <w:jc w:val="left"/>
      </w:pPr>
      <w:r>
        <w:t xml:space="preserve">8.2.2 Financial Instruments</w:t>
      </w:r>
    </w:p>
    <w:p w14:paraId="00101150" w14:textId="00101151">
      <w:pPr>
        <w:pStyle w:val="Normal"/>
        <w:jc w:val="left"/>
      </w:pPr>
      <w:r>
        <w:t xml:space="preserve">The group classifies financial instruments according to the nature of the contractual cash flows and the business model under which the assets are held, while financial liabilities are classified primarily on the basis of how they are incurred and subsequently settled. In practice, most trade receivables, certain contract-related balances, and cash deposits are held to collect contractual cash flows and are therefore measured at amortized cost. Derivative assets and liabilities used to manage currency and interest exposures are measured at fair value, with gains and losses recognized either in profit or loss or in equity where hedge accounting criteria are met.</w:t>
      </w:r>
    </w:p>
    <w:p w14:paraId="00101152" w14:textId="00101153">
      <w:pPr>
        <w:pStyle w:val="Normal"/>
        <w:jc w:val="left"/>
      </w:pPr>
      <w:r>
        <w:t xml:space="preserve">This classification approach is intended to align accounting treatment with economic purpose. Instruments generated by routine trading activity are generally carried on a cost-based measurement basis because collection rather than sale is the operating objective. Instruments entered into for risk management require current-value measurement because their value changes directly with market movements. Equity investments that are not consolidated are limited in scale and are measured in accordance with the designation applied at initial recognition.</w:t>
      </w:r>
    </w:p>
    <w:p w14:paraId="00101154" w14:textId="00101155">
      <w:pPr>
        <w:pStyle w:val="Normal"/>
        <w:jc w:val="left"/>
      </w:pPr>
      <w:r>
        <w:t xml:space="preserve">The result is a portfolio dominated by relatively straightforward instruments, with valuation complexity concentrated in derivatives, contingent consideration where applicable, and a small number of items requiring observable or modelled fair-value inputs. Management believes this composition supports transparent reporting and allows users to distinguish clearly between operating balances and market-sensitive treasury instruments.</w:t>
      </w:r>
    </w:p>
    <w:p w14:paraId="00101156" w14:textId="00101157">
      <w:pPr>
        <w:pStyle w:val="Normal"/>
        <w:jc w:val="left"/>
      </w:pPr>
      <w:r>
        <w:t xml:space="preserve">Fair-value disclosure within Rivermark Holdings is concentrated in instruments for which market conditions directly affect settlement value or where carrying amount would not otherwise reflect current economics. Cash, trade receivables, trade payables, and short-term accrual-based obligations have carrying amounts that approximate fair value because of their short duration. By contrast, derivatives, contingent consideration balances, and certain longer-dated borrowings require explicit valuation reference to market data, discounted cash flow techniques, or contractual repricing assumptions. The group categorizes these measurements using the established fair-value hierarchy so that users can understand the degree of observable input involved.</w:t>
      </w:r>
    </w:p>
    <w:p w14:paraId="00101158" w14:textId="00101159">
      <w:pPr>
        <w:pStyle w:val="Normal"/>
        <w:jc w:val="left"/>
      </w:pPr>
      <w:r>
        <w:t xml:space="preserve">Credit risk arises primarily from trade receivables, contract assets, cash deposits, and derivative counterparties. The customer base is diversified across industrial, consumer, and infrastructure end markets, which limits dependence on any single payer, although concentration can increase temporarily around large project milestones in Infrastructure Services. Expected credit loss allowances are assessed using a combination of aging, historical loss experience, forward-looking adjustments, and specific review of higher-risk balances. This methodology is intended to capture both portfolio trends and identifiable deterioration in individual exposures.</w:t>
      </w:r>
    </w:p>
    <w:p w14:paraId="0010115A" w14:textId="0010115B">
      <w:pPr>
        <w:pStyle w:val="Normal"/>
        <w:jc w:val="left"/>
      </w:pPr>
      <w:r>
        <w:t xml:space="preserve">Taken together, the fair-value and credit disclosures show that the group’s principal financial statement sensitivity lies less in routine operating balances than in market-driven treasury positions and counterparty performance under stressed conditions. The current allowance and valuation approaches were considered appropriate to the risk profile evident at year-end.</w:t>
      </w:r>
    </w:p>
    <w:p w14:paraId="0010115C" w14:textId="0010115D">
      <w:pPr>
        <w:pStyle w:val="Normal"/>
        <w:jc w:val="left"/>
      </w:pPr>
      <w:r>
        <w:t xml:space="preserve">8.2.2.1 Classification and Measurement</w:t>
      </w:r>
    </w:p>
    <w:p w14:paraId="0010115E" w14:textId="0010115F">
      <w:pPr>
        <w:pStyle w:val="Normal"/>
        <w:jc w:val="left"/>
      </w:pPr>
      <w:r>
        <w:t xml:space="preserve">The carrying amounts of the group’s financial instruments are presented by category to show how accounting classification translates into reported balances. Financial assets measured at amortized cost include cash and cash equivalents, trade receivables, certain other receivables, and where applicable amounts due under contract settlement arrangements. These balances represent the largest share of the asset-side instrument base because they arise directly from operating activity and treasury cash management. Financial assets at fair value are more limited and generally comprise derivative contracts and selected non-core investments.</w:t>
      </w:r>
    </w:p>
    <w:p w14:paraId="00101160" w14:textId="00101161">
      <w:pPr>
        <w:pStyle w:val="Normal"/>
        <w:jc w:val="left"/>
      </w:pPr>
      <w:r>
        <w:t xml:space="preserve">On the liability side, borrowings, lease liabilities, trade payables, and other financing-related obligations are predominantly measured at amortized cost. Derivative liabilities and contingent consideration obligations, where recognized, are measured at fair value because their settlement amount varies with market variables or performance conditions. Carrying amounts therefore distinguish between liabilities whose profile unwinds predictably through contractual payments and those that require remeasurement at each reporting date.</w:t>
      </w:r>
    </w:p>
    <w:p w14:paraId="00101162" w14:textId="00101163">
      <w:pPr>
        <w:pStyle w:val="Normal"/>
        <w:jc w:val="left"/>
      </w:pPr>
      <w:r>
        <w:t xml:space="preserve">This categorization assists users in assessing both risk and earnings volatility. A balance sheet weighted toward amortized-cost instruments typically reflects lower recurring valuation movement in reported earnings, while the presence of fair-value instruments signals potential sensitivity to market rates, foreign exchange movements, or revised expectations. For Rivermark Holdings, the overall composition remains consistent with a group whose financial instruments are used principally to support operations and manage identified funding exposures rather than to generate trading returns.</w:t>
      </w:r>
    </w:p>
    <w:p w14:paraId="00101164" w14:textId="00101165">
      <w:pPr>
        <w:pStyle w:val="Normal"/>
        <w:jc w:val="left"/>
      </w:pPr>
      <w:r>
        <w:t xml:space="preserve">Measurement bases are determined at initial recognition and are subsequently applied in a manner consistent with the economic characteristics of each instrument. Amortized cost is used where the objective is to hold the asset or liability to collect or settle contractual cash flows and where those cash flows represent solely payments of principal and interest in the accounting sense. This basis is especially relevant to receivables, cash balances, term debt, and lease liabilities, because it reflects the effective yield or funding cost over the life of the instrument rather than short-term market fluctuation.</w:t>
      </w:r>
    </w:p>
    <w:p w14:paraId="00101166" w14:textId="00101167">
      <w:pPr>
        <w:pStyle w:val="Normal"/>
        <w:jc w:val="left"/>
      </w:pPr>
      <w:r>
        <w:t xml:space="preserve">Fair value is applied where instruments are managed on a current-value basis, where contractual terms introduce variability that cannot be captured through simple amortization, or where accounting standards specifically require current measurement. In the group, this most commonly affects derivatives used in hedging strategies, contingent consideration linked to business combinations, and limited investment positions. Where quoted prices are not directly available, valuation techniques incorporate observable market inputs when possible and use entity-specific assumptions only when necessary.</w:t>
      </w:r>
    </w:p>
    <w:p w14:paraId="00101168" w14:textId="00101169">
      <w:pPr>
        <w:pStyle w:val="Normal"/>
        <w:jc w:val="left"/>
      </w:pPr>
      <w:r>
        <w:t xml:space="preserve">The measurement framework influences both presentation and profit recognition. Amortized-cost instruments tend to produce stable interest income or expense and impairment effects, whereas fair-value instruments may generate period-to-period gains or losses unrelated to settlement in that period. Understanding this distinction is important when interpreting Rivermark Holdings’ reported results, because it separates underlying operating performance from market-based remeasurement effects.</w:t>
      </w:r>
    </w:p>
    <w:p w14:paraId="0010116A" w14:textId="0010116B">
      <w:pPr>
        <w:pStyle w:val="Normal"/>
        <w:jc w:val="left"/>
      </w:pPr>
      <w:r>
        <w:t xml:space="preserve">8.2.2.1.1 Financial Assets</w:t>
      </w:r>
    </w:p>
    <w:p w14:paraId="0010116C" w14:textId="0010116D">
      <w:pPr>
        <w:pStyle w:val="Normal"/>
        <w:jc w:val="left"/>
      </w:pPr>
      <w:r>
        <w:t xml:space="preserve">Rivermark Holdings classifies financial assets by reference to the business model within which they are managed and the characteristics of the related contractual cash flows. The principal classes recognized at year end comprise cash and cash equivalents, trade receivables, other receivables, contract-related balances with financing characteristics, restricted deposits, and limited strategic investments. Cash balances and short-term deposits are held to meet operating liquidity needs and are measured at amortized cost because they are managed to collect contractual cash flows. Trade and other receivables are similarly measured at amortized cost where the objective is collection of principal amounts and, where relevant, time-value-of-money consideration. Strategic minority investments that do not meet the criteria for amortized cost measurement are carried at fair value through other comprehensive income when they are held for longer-term commercial alignment rather than short-term trading.</w:t>
      </w:r>
    </w:p>
    <w:p w14:paraId="0010116E" w14:textId="0010116F">
      <w:pPr>
        <w:pStyle w:val="Normal"/>
        <w:jc w:val="left"/>
      </w:pPr>
      <w:r>
        <w:t xml:space="preserve">The classification basis is reassessed when management changes the way a portfolio is managed, although such reclassifications are infrequent in the Group’s operating model. Initial recognition is at fair value, adjusted for transaction costs for instruments not measured at fair value through profit or loss. Subsequent measurement reflects the instrument category, impairment requirements, and whether gains and losses arise from collection, disposal, or remeasurement. This approach is intended to present financial assets in a way that reflects both commercial substance and the pattern in which economic benefits are expected to be realized.</w:t>
      </w:r>
    </w:p>
    <w:p w14:paraId="00101170" w14:textId="00101171">
      <w:pPr>
        <w:pStyle w:val="Normal"/>
        <w:jc w:val="left"/>
      </w:pPr>
      <w:r>
        <w:t xml:space="preserve">Expected credit losses are recognized on financial assets measured at amortized cost, with the Group applying a simplified approach for trade receivables and a general approach for other financial assets where credit risk must be monitored over time. For trade receivables, a lifetime expected credit loss allowance is recorded from initial recognition because the portfolio is numerous, relatively short dated, and operationally managed through standardized billing and collection processes. Provision rates are developed using historical default data, adjusted for current collection experience and forward-looking information such as customer-sector stress, regional demand conditions, and changes in financing costs.</w:t>
      </w:r>
    </w:p>
    <w:p w14:paraId="00101172" w14:textId="00101173">
      <w:pPr>
        <w:pStyle w:val="Normal"/>
        <w:jc w:val="left"/>
      </w:pPr>
      <w:r>
        <w:t xml:space="preserve">For cash deposits, intercompany funding receivables, and other non-trade balances, Rivermark Holdings assesses whether credit risk has increased significantly since initial recognition. Where no significant increase is observed, a 12-month expected credit loss is recognized; where deterioration indicators arise, the allowance is increased to lifetime expected credit losses. Indicators include overdue status, covenant weakness, adverse credit reports, restructuring requests, and evidence of financial difficulty. Loss allowances are reviewed at each reporting date and are written off when there is no reasonable expectation of recovery, while subsequent recoveries are recognized in profit or loss. Management judgment is particularly relevant in overlaying macroeconomic assumptions on historic loss patterns in periods of uneven customer demand or elevated refinancing pressure.</w:t>
      </w:r>
    </w:p>
    <w:p w14:paraId="00101174" w14:textId="00101175">
      <w:pPr>
        <w:pStyle w:val="Normal"/>
        <w:jc w:val="left"/>
      </w:pPr>
      <w:r>
        <w:t xml:space="preserve">8.2.2.1.1 Financial Liabilities</w:t>
      </w:r>
    </w:p>
    <w:p w14:paraId="00101176" w14:textId="00101177">
      <w:pPr>
        <w:pStyle w:val="Normal"/>
        <w:jc w:val="left"/>
      </w:pPr>
      <w:r>
        <w:t xml:space="preserve">The Group’s financial liabilities consist primarily of trade payables, accrued financing-related obligations, lease liabilities, bank borrowings, private debt placements, derivative liabilities, and other contractual payables arising in the ordinary course of business. With the exception of certain derivatives and contingent consideration balances that require fair value measurement, these liabilities are measured at amortized cost because they are held under arrangements that give rise to fixed or determinable payments over time rather than for trading purposes. Trade payables are initially recognized when goods or services are received and remain measured at invoice amount where the effect of discounting is immaterial.</w:t>
      </w:r>
    </w:p>
    <w:p w14:paraId="00101178" w14:textId="00101179">
      <w:pPr>
        <w:pStyle w:val="Normal"/>
        <w:jc w:val="left"/>
      </w:pPr>
      <w:r>
        <w:t xml:space="preserve">Borrowings are recognized initially at fair value net of directly attributable transaction costs and are subsequently measured using the effective interest method. Lease liabilities reflect the present value of future lease payments, discounted using the interest rate implicit in the lease where readily determinable or, more commonly, the relevant incremental borrowing rate. Derivative liabilities arising from foreign-exchange or interest-rate risk management are measured at fair value at each reporting date, with movements recognized either in profit or loss or in reserves where hedge accounting criteria are met. This classification framework enables users to distinguish between settlement obligations that unwind through contractual cash payments and items that are remeasured to reflect current market conditions.</w:t>
      </w:r>
    </w:p>
    <w:p w14:paraId="0010117A" w14:textId="0010117B">
      <w:pPr>
        <w:pStyle w:val="Normal"/>
        <w:jc w:val="left"/>
      </w:pPr>
      <w:r>
        <w:t xml:space="preserve">Measurement at amortized cost is considered appropriate for the majority of Rivermark Holdings’ financial liabilities because the Group’s objective is to settle obligations according to contractual terms rather than to realize short-term gains from market price movements. The effective interest method allocates interest expense over the expected life of each instrument so that finance costs reflect the economic yield embedded in borrowing arrangements, including fees, premiums, discounts, and other transaction costs. This results in a more faithful representation of the financing burden than recognition based only on nominal coupon or invoice values.</w:t>
      </w:r>
    </w:p>
    <w:p w14:paraId="0010117C" w14:textId="0010117D">
      <w:pPr>
        <w:pStyle w:val="Normal"/>
        <w:jc w:val="left"/>
      </w:pPr>
      <w:r>
        <w:t xml:space="preserve">For trade payables and other short-duration liabilities, carrying amounts are ordinarily a reasonable approximation of fair value because settlement occurs within a limited operating cycle. For longer-dated borrowings and lease obligations, amortized cost provides a stable measurement basis aligned to treasury management, covenant monitoring, and cash planning. Management does not designate financial liabilities at fair value through profit or loss unless required by the terms of the instrument or necessary to avoid a significant accounting mismatch. As a result, volatility in reported earnings is limited to instruments whose economics are genuinely market-linked, while conventional funding liabilities are presented on a basis that mirrors how they are incurred, serviced, and discharged.</w:t>
      </w:r>
    </w:p>
    <w:p w14:paraId="0010117E" w14:textId="0010117F">
      <w:pPr>
        <w:pStyle w:val="Normal"/>
        <w:jc w:val="left"/>
      </w:pPr>
      <w:r>
        <w:t xml:space="preserve">8.2.2.1 Risk and Fair Value</w:t>
      </w:r>
    </w:p>
    <w:p w14:paraId="00101180" w14:textId="00101181">
      <w:pPr>
        <w:pStyle w:val="Normal"/>
        <w:jc w:val="left"/>
      </w:pPr>
      <w:r>
        <w:t xml:space="preserve">Rivermark Holdings is exposed to credit risk, market risk, and liquidity-related valuation considerations through the normal conduct of its operating, investing, and financing activities. These exposures arise from customer receivables, cash deposits with financial institutions, foreign-currency denominated transactions, variable-rate debt, strategic investments, and derivative contracts used to moderate volatility. Risk management is coordinated through the central treasury and finance functions under policies approved by the Audit and Risk Committee, with business units responsible for execution within defined limits.</w:t>
      </w:r>
    </w:p>
    <w:p w14:paraId="00101182" w14:textId="00101183">
      <w:pPr>
        <w:pStyle w:val="Normal"/>
        <w:jc w:val="left"/>
      </w:pPr>
      <w:r>
        <w:t xml:space="preserve">The Group’s risk framework emphasizes preservation of cash generation capacity and protection of balance-sheet resilience rather than speculative positioning. Customer onboarding, credit limits, aging reviews, and collection disciplines address credit exposures. Treasury policies set counterparty criteria, concentration thresholds, and permitted instruments for cash management and hedging. Market risks are monitored through sensitivity analysis, forecast exposures, and covenant headroom assessments so that potential earnings or cash-flow effects can be identified before they become material. Fair value measurement intersects with this framework where instruments are remeasured using observable market inputs or valuation models, most notably for derivatives, contingent consideration, and selected strategic investments. Taken together, these disclosures explain not only where risk resides in the balance sheet but also how management measures, controls, and reports changes in that exposure across reporting periods.</w:t>
      </w:r>
    </w:p>
    <w:p w14:paraId="00101184" w14:textId="00101185">
      <w:pPr>
        <w:pStyle w:val="Normal"/>
        <w:jc w:val="left"/>
      </w:pPr>
      <w:r>
        <w:t xml:space="preserve">Fair value represents the price that would be received to sell an asset or paid to transfer a liability in an orderly transaction between market participants at the measurement date. Rivermark Holdings applies this basis when required by accounting standards, particularly for derivative instruments, contingent consideration, and certain equity investments. To improve comparability, fair values are categorized within a hierarchy that prioritizes quoted market prices, then observable market data, and finally unobservable inputs requiring greater management judgment.</w:t>
      </w:r>
    </w:p>
    <w:p w14:paraId="00101186" w14:textId="00101187">
      <w:pPr>
        <w:pStyle w:val="Normal"/>
        <w:jc w:val="left"/>
      </w:pPr>
      <w:r>
        <w:t xml:space="preserve">Level 1 measurements are derived from quoted prices in active markets for identical instruments and are used only where trading activity is sufficient to provide directly observable evidence. Level 2 measurements are more common for the Group and include over-the-counter derivatives valued using yield curves, forward exchange rates, credit spreads, and other market-corroborated data. Level 3 measurements arise where valuations depend on discounted cash-flow forecasts, probability-weighted scenarios, or earnings multiples for instruments not actively traded. In those cases, assumptions regarding timing, discount rates, growth prospects, and outcome probabilities materially influence the measurement. The hierarchy therefore serves two purposes: it identifies the source of valuation evidence and signals the extent to which reported fair values depend on estimates rather than directly observable prices.</w:t>
      </w:r>
    </w:p>
    <w:p w14:paraId="00101188" w14:textId="00101189">
      <w:pPr>
        <w:pStyle w:val="Normal"/>
        <w:jc w:val="left"/>
      </w:pPr>
      <w:r>
        <w:t xml:space="preserve">8.2.2.1.2 Credit Risk</w:t>
      </w:r>
    </w:p>
    <w:p w14:paraId="0010118A" w14:textId="0010118B">
      <w:pPr>
        <w:pStyle w:val="Normal"/>
        <w:jc w:val="left"/>
      </w:pPr>
      <w:r>
        <w:t xml:space="preserve">Credit risk is the risk that a counterparty will fail to meet its contractual obligations, resulting in a financial loss to Rivermark Holdings. The Group’s principal exposure arises from trade receivables generated across Industrial Solutions, Consumer Platforms, and Infrastructure Services, together with cash balances deposited with banking counterparties and certain other receivable balances. Exposure is managed through customer acceptance procedures, credit scoring, collateral or advance payment requirements in selected contracts, and active monitoring of receivable aging. No single retail customer is individually significant at group level, although selected infrastructure and industrial accounts can create larger bilateral exposures because of contract scale and milestone billing structures.</w:t>
      </w:r>
    </w:p>
    <w:p w14:paraId="0010118C" w14:textId="0010118D">
      <w:pPr>
        <w:pStyle w:val="Normal"/>
        <w:jc w:val="left"/>
      </w:pPr>
      <w:r>
        <w:t xml:space="preserve">Impairment is recognized using expected credit loss models that combine historical loss patterns with current and forward-looking data. During the year, overdue balances increased moderately in parts of Infrastructure Services following slower customer certification on several large contracts, but collection performance remained within management’s tolerance range and no systemic deterioration was observed across the broader portfolio. Cash and short-term deposits are placed only with institutions that meet internal rating criteria, which limits default exposure outside the customer base. At the reporting date, gross exposure remained concentrated in ordinary trade balances and treasury deposits, while the related loss allowance reflected known customer-specific issues, aging deterioration, and modeled macroeconomic overlays. Management considers the closing allowance adequate to absorb expected losses inherent in the portfolio without overstating the underlying credit quality of performing accounts.</w:t>
      </w:r>
    </w:p>
    <w:p w14:paraId="0010118E" w14:textId="0010118F">
      <w:pPr>
        <w:pStyle w:val="Normal"/>
        <w:jc w:val="left"/>
      </w:pPr>
      <w:r>
        <w:t xml:space="preserve">Credit concentration risk is assessed by reference to customer, sector, geography, contract type, and counterparty class. Although the Group serves a broad customer base, concentrations can arise in Infrastructure Services where individual public-sector and utility contracts are high in value, and in Industrial Solutions where a limited number of OEM and process-industry customers account for meaningful annual billings. Consumer Platforms is comparatively less concentrated because revenues are distributed across a wider transactional base and multiple channels. Management monitors top-customer exposure monthly and applies enhanced review procedures when a single counterparty or affiliated group exceeds internally defined thresholds.</w:t>
      </w:r>
    </w:p>
    <w:p w14:paraId="00101190" w14:textId="00101191">
      <w:pPr>
        <w:pStyle w:val="Normal"/>
        <w:jc w:val="left"/>
      </w:pPr>
      <w:r>
        <w:t xml:space="preserve">Sector analysis indicates that construction-linked and cyclical manufacturing customers remain more sensitive to funding conditions and project delays than subscription-oriented or recurring-service customers. Geographic concentration is also considered, particularly where collections depend on public budget cycles, local currency liquidity, or cross-border settlement constraints. Treasury counterparty exposure is diversified across relationship banks, and deposits are placed within approved limits to avoid excessive reliance on any single institution. Where concentrations are unavoidable because of commercial scale or market structure, the Group seeks compensating protections such as milestone invoicing, retention clauses, parent guarantees, letters of credit, or staged delivery terms. This concentration review supplements the expected credit loss model by highlighting risks that may not be fully visible from historical default rates alone.</w:t>
      </w:r>
    </w:p>
    <w:p w14:paraId="00101192" w14:textId="00101193">
      <w:pPr>
        <w:pStyle w:val="Normal"/>
        <w:jc w:val="left"/>
      </w:pPr>
      <w:r>
        <w:t xml:space="preserve">8.2.2.1.2 Market Risk</w:t>
      </w:r>
    </w:p>
    <w:p w14:paraId="00101194" w14:textId="00101195">
      <w:pPr>
        <w:pStyle w:val="Normal"/>
        <w:jc w:val="left"/>
      </w:pPr>
      <w:r>
        <w:t xml:space="preserve">Rivermark Holdings is exposed to market risk from movements in foreign-exchange rates and, to a lesser extent, from changes in commodity-linked input prices and indexed procurement costs. Currency risk arises primarily where operating entities generate revenue, incur costs, or hold monetary assets and liabilities in a currency other than their functional currency. The most significant exposures during the year related to the Rivermark dollar against the North Coast dollar, the Solis euro unit, and the Meridian trade dollar, reflecting cross-border sales in Industrial Solutions, imported merchandise flows in Consumer Platforms, and equipment procurement for Infrastructure Services. The group’s policy is to reduce short- to medium-term earnings volatility by matching currency inflows and outflows where commercially practical and by using forward exchange contracts for a defined proportion of highly probable forecast transactions and committed purchases.</w:t>
      </w:r>
    </w:p>
    <w:p w14:paraId="00101196" w14:textId="00101197">
      <w:pPr>
        <w:pStyle w:val="Normal"/>
        <w:jc w:val="left"/>
      </w:pPr>
      <w:r>
        <w:t xml:space="preserve">Price risk is concentrated in purchased metals, packaging resins, transport surcharges, and certain energy-linked service contracts. These exposures are not managed through speculative trading positions. Instead, Rivermark Holdings uses a combination of indexed customer pricing clauses, fixed-term supplier arrangements, selective forward purchasing, and product-mix management to moderate margin compression. Residual exposure remains where contract reset timing differs from input-cost movements or where competitive conditions limit immediate price recovery. Management reviews consolidated foreign-exchange and price-risk dashboards monthly, with escalation triggers for unusually rapid movements, concentration by counterparty or jurisdiction, and stress effects on forecast EBITDA and operating cash flow.</w:t>
      </w:r>
    </w:p>
    <w:p w14:paraId="00101198" w14:textId="00101199">
      <w:pPr>
        <w:pStyle w:val="Normal"/>
        <w:jc w:val="left"/>
      </w:pPr>
      <w:r>
        <w:t xml:space="preserve">Sensitivity analysis is prepared on the basis of exposures outstanding at the reporting date and forecast positions designated within the approved treasury horizon. For foreign-exchange risk, management applies reasonably possible changes in relevant exchange rates to unhedged or economically exposed monetary items and to forecast transactions where earnings sensitivity is monitored. The analysis isolates the impact of rate movements on profit before tax and, where applicable, on equity through cash flow hedge reserves. Correlations between currencies are not assumed unless contractually embedded, and all other variables are held constant to improve comparability with prior-year disclosure.</w:t>
      </w:r>
    </w:p>
    <w:p w14:paraId="0010119A" w14:textId="0010119B">
      <w:pPr>
        <w:pStyle w:val="Normal"/>
        <w:jc w:val="left"/>
      </w:pPr>
      <w:r>
        <w:t xml:space="preserve">For price risk, the methodology considers reasonably possible movements in relevant input indices and contractual pass-through timing. The model reflects the extent to which procurement contracts are fixed, the proportion of customer contracts containing repricing clauses, and the estimated lag before recovery actions take effect. Sensitivities therefore represent directional estimates rather than precise forecasts of realized outcomes. They exclude management actions not yet committed at the reporting date, potential second-order demand effects, and benefits from future productivity programs unless such measures are contractually secured or substantially implemented. The resulting disclosures are intended to show exposure characteristics and relative vulnerability, not to predict the group’s actual financial performance under market stress conditions.</w:t>
      </w:r>
    </w:p>
    <w:p w14:paraId="0010119C" w14:textId="0010119D">
      <w:pPr>
        <w:pStyle w:val="Normal"/>
        <w:jc w:val="left"/>
      </w:pPr>
      <w:r>
        <w:t xml:space="preserve">8.2.2 Borrowings and Leases</w:t>
      </w:r>
    </w:p>
    <w:p w14:paraId="0010119E" w14:textId="0010119F">
      <w:pPr>
        <w:pStyle w:val="Normal"/>
        <w:jc w:val="left"/>
      </w:pPr>
      <w:r>
        <w:t xml:space="preserve">This note summarizes the group’s interest-bearing borrowings, lease liabilities, available committed facilities, and the principal terms that shape funding flexibility. Borrowings comprise bilateral bank loans, syndicated revolving credit facilities, private placement notes, and short-dated working-capital lines used by certain operating entities. Lease liabilities arise mainly from warehouses, retail and service locations, vehicle fleets, specialized equipment, and selected office properties. The financing structure is designed to support seasonal working-capital swings, ongoing capital expenditure, and disciplined portfolio investment while maintaining an appropriate balance between cost, tenor, and covenant capacity.</w:t>
      </w:r>
    </w:p>
    <w:p w14:paraId="001011A0" w14:textId="001011A1">
      <w:pPr>
        <w:pStyle w:val="Normal"/>
        <w:jc w:val="left"/>
      </w:pPr>
      <w:r>
        <w:t xml:space="preserve">At year-end, Rivermark Holdings maintained a diversified maturity profile with no undue concentration in any single twelve-month period. Most core debt is unsecured and raised at the holding-company level, while some local facilities remain within subsidiaries to support trade and project execution requirements. Lease obligations are managed separately from drawn borrowings but are incorporated into leverage and liquidity monitoring where required by internal policy or lender definitions. Treasury seeks to preserve headroom through a combination of committed undrawn lines, staggered refinancing windows, and cash pooling arrangements. Management considers the current borrowing and lease portfolio to be aligned with the group’s operating cash-generation profile and investment plans, while recognizing that refinancing conditions, benchmark-rate movements, and covenant capacity remain important areas of active oversight.</w:t>
      </w:r>
    </w:p>
    <w:p w14:paraId="001011A2" w14:textId="001011A3">
      <w:pPr>
        <w:pStyle w:val="Normal"/>
        <w:jc w:val="left"/>
      </w:pPr>
      <w:r>
        <w:t xml:space="preserve">Contractual maturities are presented using undiscounted cash flows and therefore differ from carrying amounts recognized in the statement of financial position. For floating-rate instruments, future interest payments are estimated using rates applicable at the reporting date unless a contractual reset basis requires another observable reference. Lease maturity disclosures include fixed payments for enforceable lease terms and exclude variable payments linked solely to future sales or usage. Where extension or termination options exist, the maturity profile reflects management’s assessment of whether such options are reasonably certain to be exercised, consistent with the measurement basis applied to lease liabilities.</w:t>
      </w:r>
    </w:p>
    <w:p w14:paraId="001011A4" w14:textId="001011A5">
      <w:pPr>
        <w:pStyle w:val="Normal"/>
        <w:jc w:val="left"/>
      </w:pPr>
      <w:r>
        <w:t xml:space="preserve">The group’s principal financing agreements contain customary representations, information undertakings, negative pledge restrictions, and financial covenants tested on a periodic basis. The main covenant metrics include leverage and interest-cover thresholds defined on a lender-specific basis, with adjustments for lease accounting and certain permitted nonrecurring items where contractually agreed. Compliance is monitored monthly by treasury and reviewed with the Chief Financial Officer and the Audit and Risk Committee. During the reporting period, Rivermark Holdings remained in compliance with all covenant requirements and retained adequate headroom against tested limits. No event of default, waiver-triggering breach, or mandatory prepayment event arose before the authorization of these financial statements, although tighter credit conditions and higher benchmark rates continue to inform refinancing planning and facility-renewal discussions.</w:t>
      </w:r>
    </w:p>
    <w:p w14:paraId="001011A6" w14:textId="001011A7">
      <w:pPr>
        <w:pStyle w:val="Normal"/>
        <w:jc w:val="left"/>
      </w:pPr>
      <w:r>
        <w:t xml:space="preserve">8.2.2.2 Borrowings</w:t>
      </w:r>
    </w:p>
    <w:p w14:paraId="001011A8" w14:textId="001011A9">
      <w:pPr>
        <w:pStyle w:val="Normal"/>
        <w:jc w:val="left"/>
      </w:pPr>
      <w:r>
        <w:t xml:space="preserve">Borrowings are initially recognized at fair value net of directly attributable transaction costs and are subsequently measured at amortized cost using the effective interest method, unless designated otherwise under a specific accounting policy election. The group’s portfolio includes committed revolving credit facilities for liquidity management, term loans supporting strategic investment, and local overdraft or trade-finance lines used in the normal course of business. Drawings may be fixed or floating rate, with benchmark exposure managed through a mix of natural offsets and, where appropriate, derivative hedging arrangements described in the financial-instruments note.</w:t>
      </w:r>
    </w:p>
    <w:p w14:paraId="001011AA" w14:textId="001011AB">
      <w:pPr>
        <w:pStyle w:val="Normal"/>
        <w:jc w:val="left"/>
      </w:pPr>
      <w:r>
        <w:t xml:space="preserve">Maturity management is a core treasury discipline. Rivermark Holdings seeks to avoid excessive refinancing concentration by staggering facility expiries and maintaining sufficient committed undrawn lines to absorb seasonal cash requirements and plausible downside scenarios. The weighted average term of drawn borrowings increased modestly during the year following the renewal of the core syndicated facility and the extension of selected bilateral lines. Available facilities are subject to customary conditions precedent and ongoing covenant compliance rather than discretionary market-access assumptions. Security arrangements are limited, and most material facilities are unsecured obligations of the parent or supported entities. Management expects current funding resources, together with forecast operating cash flows, to be sufficient to meet contractual obligations, approved capital commitments, and ordinary-course investment requirements over the next reporting cycle.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186"/>
        <w:gridCol w:w="1186"/>
        <w:gridCol w:w="1186"/>
        <w:gridCol w:w="1186"/>
        <w:gridCol w:w="1186"/>
        <w:gridCol w:w="1186"/>
        <w:gridCol w:w="1186"/>
      </w:tblGrid>
      <w:tr>
        <w:trPr>
          <w:tblHeader/>
        </w:trPr>
        <w:tc>
          <w:tcPr>
            <w:vAlign w:val="center"/>
            <w:tcBorders>
              <w:top w:val="single" w:sz="4" w:space="0" w:color="auto"/>
              <w:left w:val="single" w:sz="4" w:space="0" w:color="auto"/>
              <w:bottom w:val="single" w:sz="4" w:space="0" w:color="auto"/>
              <w:right w:val="single" w:sz="4" w:space="0" w:color="auto"/>
            </w:tcBorders>
          </w:tcPr>
          <w:p w14:paraId="001011AC" w14:textId="0010120E">
            <w:pPr>
              <w:pStyle w:val="Normal"/>
              <w:jc w:val="left"/>
            </w:pPr>
            <w:r>
              <w:t xml:space="preserve">Facility / instrument</w:t>
            </w:r>
          </w:p>
        </w:tc>
        <w:tc>
          <w:tcPr>
            <w:vAlign w:val="center"/>
            <w:tcBorders>
              <w:top w:val="single" w:sz="4" w:space="0" w:color="auto"/>
              <w:left w:val="single" w:sz="4" w:space="0" w:color="auto"/>
              <w:bottom w:val="single" w:sz="4" w:space="0" w:color="auto"/>
              <w:right w:val="single" w:sz="4" w:space="0" w:color="auto"/>
            </w:tcBorders>
          </w:tcPr>
          <w:p w14:paraId="001011AE" w14:textId="0010120F">
            <w:pPr>
              <w:pStyle w:val="Normal"/>
              <w:jc w:val="left"/>
            </w:pPr>
            <w:r>
              <w:t xml:space="preserve">Currency</w:t>
            </w:r>
          </w:p>
        </w:tc>
        <w:tc>
          <w:tcPr>
            <w:vAlign w:val="center"/>
            <w:tcBorders>
              <w:top w:val="single" w:sz="4" w:space="0" w:color="auto"/>
              <w:left w:val="single" w:sz="4" w:space="0" w:color="auto"/>
              <w:bottom w:val="single" w:sz="4" w:space="0" w:color="auto"/>
              <w:right w:val="single" w:sz="4" w:space="0" w:color="auto"/>
            </w:tcBorders>
          </w:tcPr>
          <w:p w14:paraId="001011B0" w14:textId="00101210">
            <w:pPr>
              <w:pStyle w:val="Normal"/>
              <w:jc w:val="left"/>
            </w:pPr>
            <w:r>
              <w:t xml:space="preserve">Outstanding at year end</w:t>
            </w:r>
          </w:p>
        </w:tc>
        <w:tc>
          <w:tcPr>
            <w:vAlign w:val="center"/>
            <w:tcBorders>
              <w:top w:val="single" w:sz="4" w:space="0" w:color="auto"/>
              <w:left w:val="single" w:sz="4" w:space="0" w:color="auto"/>
              <w:bottom w:val="single" w:sz="4" w:space="0" w:color="auto"/>
              <w:right w:val="single" w:sz="4" w:space="0" w:color="auto"/>
            </w:tcBorders>
          </w:tcPr>
          <w:p w14:paraId="001011B2" w14:textId="00101211">
            <w:pPr>
              <w:pStyle w:val="Normal"/>
              <w:jc w:val="left"/>
            </w:pPr>
            <w:r>
              <w:t xml:space="preserve">Interest basis</w:t>
            </w:r>
          </w:p>
        </w:tc>
        <w:tc>
          <w:tcPr>
            <w:vAlign w:val="center"/>
            <w:tcBorders>
              <w:top w:val="single" w:sz="4" w:space="0" w:color="auto"/>
              <w:left w:val="single" w:sz="4" w:space="0" w:color="auto"/>
              <w:bottom w:val="single" w:sz="4" w:space="0" w:color="auto"/>
              <w:right w:val="single" w:sz="4" w:space="0" w:color="auto"/>
            </w:tcBorders>
          </w:tcPr>
          <w:p w14:paraId="001011B4" w14:textId="00101212">
            <w:pPr>
              <w:pStyle w:val="Normal"/>
              <w:jc w:val="left"/>
            </w:pPr>
            <w:r>
              <w:t xml:space="preserve">Security / ranking</w:t>
            </w:r>
          </w:p>
        </w:tc>
        <w:tc>
          <w:tcPr>
            <w:vAlign w:val="center"/>
            <w:tcBorders>
              <w:top w:val="single" w:sz="4" w:space="0" w:color="auto"/>
              <w:left w:val="single" w:sz="4" w:space="0" w:color="auto"/>
              <w:bottom w:val="single" w:sz="4" w:space="0" w:color="auto"/>
              <w:right w:val="single" w:sz="4" w:space="0" w:color="auto"/>
            </w:tcBorders>
          </w:tcPr>
          <w:p w14:paraId="001011B6" w14:textId="00101213">
            <w:pPr>
              <w:pStyle w:val="Normal"/>
              <w:jc w:val="left"/>
            </w:pPr>
            <w:r>
              <w:t xml:space="preserve">Covenant features</w:t>
            </w:r>
          </w:p>
        </w:tc>
        <w:tc>
          <w:tcPr>
            <w:vAlign w:val="center"/>
            <w:tcBorders>
              <w:top w:val="single" w:sz="4" w:space="0" w:color="auto"/>
              <w:left w:val="single" w:sz="4" w:space="0" w:color="auto"/>
              <w:bottom w:val="single" w:sz="4" w:space="0" w:color="auto"/>
              <w:right w:val="single" w:sz="4" w:space="0" w:color="auto"/>
            </w:tcBorders>
          </w:tcPr>
          <w:p w14:paraId="001011B8" w14:textId="00101214">
            <w:pPr>
              <w:pStyle w:val="Normal"/>
              <w:jc w:val="left"/>
            </w:pPr>
            <w:r>
              <w:t xml:space="preserve">Contractual maturity</w:t>
            </w:r>
          </w:p>
        </w:tc>
      </w:tr>
      <w:tr>
        <w:tc>
          <w:tcPr>
            <w:vAlign w:val="top"/>
            <w:tcBorders>
              <w:top w:val="single" w:sz="4" w:space="0" w:color="auto"/>
              <w:left w:val="single" w:sz="4" w:space="0" w:color="auto"/>
              <w:bottom w:val="single" w:sz="4" w:space="0" w:color="auto"/>
              <w:right w:val="single" w:sz="4" w:space="0" w:color="auto"/>
            </w:tcBorders>
          </w:tcPr>
          <w:p w14:paraId="001011BA" w14:textId="00101215">
            <w:pPr>
              <w:pStyle w:val="Normal"/>
              <w:jc w:val="left"/>
            </w:pPr>
            <w:r>
              <w:t xml:space="preserve">Syndicated revolving credit facility</w:t>
            </w:r>
          </w:p>
        </w:tc>
        <w:tc>
          <w:tcPr>
            <w:vAlign w:val="center"/>
            <w:tcBorders>
              <w:top w:val="single" w:sz="4" w:space="0" w:color="auto"/>
              <w:left w:val="single" w:sz="4" w:space="0" w:color="auto"/>
              <w:bottom w:val="single" w:sz="4" w:space="0" w:color="auto"/>
              <w:right w:val="single" w:sz="4" w:space="0" w:color="auto"/>
            </w:tcBorders>
          </w:tcPr>
          <w:p w14:paraId="001011BC" w14:textId="00101216">
            <w:pPr>
              <w:pStyle w:val="Normal"/>
              <w:jc w:val="left"/>
            </w:pPr>
            <w:r>
              <w:t xml:space="preserve">USD</w:t>
            </w:r>
          </w:p>
        </w:tc>
        <w:tc>
          <w:tcPr>
            <w:vAlign w:val="center"/>
            <w:tcBorders>
              <w:top w:val="single" w:sz="4" w:space="0" w:color="auto"/>
              <w:left w:val="single" w:sz="4" w:space="0" w:color="auto"/>
              <w:bottom w:val="single" w:sz="4" w:space="0" w:color="auto"/>
              <w:right w:val="single" w:sz="4" w:space="0" w:color="auto"/>
            </w:tcBorders>
          </w:tcPr>
          <w:p w14:paraId="001011BE" w14:textId="00101217">
            <w:pPr>
              <w:pStyle w:val="Normal"/>
              <w:jc w:val="left"/>
            </w:pPr>
            <w:r>
              <w:t xml:space="preserve">220.0</w:t>
            </w:r>
          </w:p>
        </w:tc>
        <w:tc>
          <w:tcPr>
            <w:vAlign w:val="center"/>
            <w:tcBorders>
              <w:top w:val="single" w:sz="4" w:space="0" w:color="auto"/>
              <w:left w:val="single" w:sz="4" w:space="0" w:color="auto"/>
              <w:bottom w:val="single" w:sz="4" w:space="0" w:color="auto"/>
              <w:right w:val="single" w:sz="4" w:space="0" w:color="auto"/>
            </w:tcBorders>
          </w:tcPr>
          <w:p w14:paraId="001011C0" w14:textId="00101218">
            <w:pPr>
              <w:pStyle w:val="Normal"/>
              <w:jc w:val="left"/>
            </w:pPr>
            <w:r>
              <w:t xml:space="preserve">SOFR + 1.55% to 2.10% margin</w:t>
            </w:r>
          </w:p>
        </w:tc>
        <w:tc>
          <w:tcPr>
            <w:vAlign w:val="center"/>
            <w:tcBorders>
              <w:top w:val="single" w:sz="4" w:space="0" w:color="auto"/>
              <w:left w:val="single" w:sz="4" w:space="0" w:color="auto"/>
              <w:bottom w:val="single" w:sz="4" w:space="0" w:color="auto"/>
              <w:right w:val="single" w:sz="4" w:space="0" w:color="auto"/>
            </w:tcBorders>
          </w:tcPr>
          <w:p w14:paraId="001011C2" w14:textId="00101219">
            <w:pPr>
              <w:pStyle w:val="Normal"/>
              <w:jc w:val="left"/>
            </w:pPr>
            <w:r>
              <w:t xml:space="preserve">Unsecured, senior pari passu</w:t>
            </w:r>
          </w:p>
        </w:tc>
        <w:tc>
          <w:tcPr>
            <w:vAlign w:val="center"/>
            <w:tcBorders>
              <w:top w:val="single" w:sz="4" w:space="0" w:color="auto"/>
              <w:left w:val="single" w:sz="4" w:space="0" w:color="auto"/>
              <w:bottom w:val="single" w:sz="4" w:space="0" w:color="auto"/>
              <w:right w:val="single" w:sz="4" w:space="0" w:color="auto"/>
            </w:tcBorders>
          </w:tcPr>
          <w:p w14:paraId="001011C4" w14:textId="0010121A">
            <w:pPr>
              <w:pStyle w:val="Normal"/>
              <w:jc w:val="left"/>
            </w:pPr>
            <w:r>
              <w:t xml:space="preserve">Leverage ratio and interest cover tested semi-annually</w:t>
            </w:r>
          </w:p>
        </w:tc>
        <w:tc>
          <w:tcPr>
            <w:vAlign w:val="center"/>
            <w:tcBorders>
              <w:top w:val="single" w:sz="4" w:space="0" w:color="auto"/>
              <w:left w:val="single" w:sz="4" w:space="0" w:color="auto"/>
              <w:bottom w:val="single" w:sz="4" w:space="0" w:color="auto"/>
              <w:right w:val="single" w:sz="4" w:space="0" w:color="auto"/>
            </w:tcBorders>
          </w:tcPr>
          <w:p w14:paraId="001011C6" w14:textId="0010121B">
            <w:pPr>
              <w:pStyle w:val="Normal"/>
              <w:jc w:val="left"/>
            </w:pPr>
            <w:r>
              <w:t xml:space="preserve">2028</w:t>
            </w:r>
          </w:p>
        </w:tc>
      </w:tr>
      <w:tr>
        <w:tc>
          <w:tcPr>
            <w:vAlign w:val="top"/>
            <w:tcBorders>
              <w:top w:val="single" w:sz="4" w:space="0" w:color="auto"/>
              <w:left w:val="single" w:sz="4" w:space="0" w:color="auto"/>
              <w:bottom w:val="single" w:sz="4" w:space="0" w:color="auto"/>
              <w:right w:val="single" w:sz="4" w:space="0" w:color="auto"/>
            </w:tcBorders>
          </w:tcPr>
          <w:p w14:paraId="001011C8" w14:textId="0010121C">
            <w:pPr>
              <w:pStyle w:val="Normal"/>
              <w:jc w:val="left"/>
            </w:pPr>
            <w:r>
              <w:t xml:space="preserve">Term loan A</w:t>
            </w:r>
          </w:p>
        </w:tc>
        <w:tc>
          <w:tcPr>
            <w:vAlign w:val="center"/>
            <w:tcBorders>
              <w:top w:val="single" w:sz="4" w:space="0" w:color="auto"/>
              <w:left w:val="single" w:sz="4" w:space="0" w:color="auto"/>
              <w:bottom w:val="single" w:sz="4" w:space="0" w:color="auto"/>
              <w:right w:val="single" w:sz="4" w:space="0" w:color="auto"/>
            </w:tcBorders>
          </w:tcPr>
          <w:p w14:paraId="001011CA" w14:textId="0010121D">
            <w:pPr>
              <w:pStyle w:val="Normal"/>
              <w:jc w:val="left"/>
            </w:pPr>
            <w:r>
              <w:t xml:space="preserve">USD</w:t>
            </w:r>
          </w:p>
        </w:tc>
        <w:tc>
          <w:tcPr>
            <w:vAlign w:val="center"/>
            <w:tcBorders>
              <w:top w:val="single" w:sz="4" w:space="0" w:color="auto"/>
              <w:left w:val="single" w:sz="4" w:space="0" w:color="auto"/>
              <w:bottom w:val="single" w:sz="4" w:space="0" w:color="auto"/>
              <w:right w:val="single" w:sz="4" w:space="0" w:color="auto"/>
            </w:tcBorders>
          </w:tcPr>
          <w:p w14:paraId="001011CC" w14:textId="0010121E">
            <w:pPr>
              <w:pStyle w:val="Normal"/>
              <w:jc w:val="left"/>
            </w:pPr>
            <w:r>
              <w:t xml:space="preserve">310.0</w:t>
            </w:r>
          </w:p>
        </w:tc>
        <w:tc>
          <w:tcPr>
            <w:vAlign w:val="center"/>
            <w:tcBorders>
              <w:top w:val="single" w:sz="4" w:space="0" w:color="auto"/>
              <w:left w:val="single" w:sz="4" w:space="0" w:color="auto"/>
              <w:bottom w:val="single" w:sz="4" w:space="0" w:color="auto"/>
              <w:right w:val="single" w:sz="4" w:space="0" w:color="auto"/>
            </w:tcBorders>
          </w:tcPr>
          <w:p w14:paraId="001011CE" w14:textId="0010121F">
            <w:pPr>
              <w:pStyle w:val="Normal"/>
              <w:jc w:val="left"/>
            </w:pPr>
            <w:r>
              <w:t xml:space="preserve">SOFR + 1.80% margin</w:t>
            </w:r>
          </w:p>
        </w:tc>
        <w:tc>
          <w:tcPr>
            <w:vAlign w:val="center"/>
            <w:tcBorders>
              <w:top w:val="single" w:sz="4" w:space="0" w:color="auto"/>
              <w:left w:val="single" w:sz="4" w:space="0" w:color="auto"/>
              <w:bottom w:val="single" w:sz="4" w:space="0" w:color="auto"/>
              <w:right w:val="single" w:sz="4" w:space="0" w:color="auto"/>
            </w:tcBorders>
          </w:tcPr>
          <w:p w14:paraId="001011D0" w14:textId="00101220">
            <w:pPr>
              <w:pStyle w:val="Normal"/>
              <w:jc w:val="left"/>
            </w:pPr>
            <w:r>
              <w:t xml:space="preserve">Unsecured, senior pari passu</w:t>
            </w:r>
          </w:p>
        </w:tc>
        <w:tc>
          <w:tcPr>
            <w:vAlign w:val="center"/>
            <w:tcBorders>
              <w:top w:val="single" w:sz="4" w:space="0" w:color="auto"/>
              <w:left w:val="single" w:sz="4" w:space="0" w:color="auto"/>
              <w:bottom w:val="single" w:sz="4" w:space="0" w:color="auto"/>
              <w:right w:val="single" w:sz="4" w:space="0" w:color="auto"/>
            </w:tcBorders>
          </w:tcPr>
          <w:p w14:paraId="001011D2" w14:textId="00101221">
            <w:pPr>
              <w:pStyle w:val="Normal"/>
              <w:jc w:val="left"/>
            </w:pPr>
            <w:r>
              <w:t xml:space="preserve">Leverage ratio, interest cover, negative pledge</w:t>
            </w:r>
          </w:p>
        </w:tc>
        <w:tc>
          <w:tcPr>
            <w:vAlign w:val="center"/>
            <w:tcBorders>
              <w:top w:val="single" w:sz="4" w:space="0" w:color="auto"/>
              <w:left w:val="single" w:sz="4" w:space="0" w:color="auto"/>
              <w:bottom w:val="single" w:sz="4" w:space="0" w:color="auto"/>
              <w:right w:val="single" w:sz="4" w:space="0" w:color="auto"/>
            </w:tcBorders>
          </w:tcPr>
          <w:p w14:paraId="001011D4" w14:textId="00101222">
            <w:pPr>
              <w:pStyle w:val="Normal"/>
              <w:jc w:val="left"/>
            </w:pPr>
            <w:r>
              <w:t xml:space="preserve">2027</w:t>
            </w:r>
          </w:p>
        </w:tc>
      </w:tr>
      <w:tr>
        <w:tc>
          <w:tcPr>
            <w:vAlign w:val="top"/>
            <w:tcBorders>
              <w:top w:val="single" w:sz="4" w:space="0" w:color="auto"/>
              <w:left w:val="single" w:sz="4" w:space="0" w:color="auto"/>
              <w:bottom w:val="single" w:sz="4" w:space="0" w:color="auto"/>
              <w:right w:val="single" w:sz="4" w:space="0" w:color="auto"/>
            </w:tcBorders>
          </w:tcPr>
          <w:p w14:paraId="001011D6" w14:textId="00101223">
            <w:pPr>
              <w:pStyle w:val="Normal"/>
              <w:jc w:val="left"/>
            </w:pPr>
            <w:r>
              <w:t xml:space="preserve">Private placement notes</w:t>
            </w:r>
          </w:p>
        </w:tc>
        <w:tc>
          <w:tcPr>
            <w:vAlign w:val="center"/>
            <w:tcBorders>
              <w:top w:val="single" w:sz="4" w:space="0" w:color="auto"/>
              <w:left w:val="single" w:sz="4" w:space="0" w:color="auto"/>
              <w:bottom w:val="single" w:sz="4" w:space="0" w:color="auto"/>
              <w:right w:val="single" w:sz="4" w:space="0" w:color="auto"/>
            </w:tcBorders>
          </w:tcPr>
          <w:p w14:paraId="001011D8" w14:textId="00101224">
            <w:pPr>
              <w:pStyle w:val="Normal"/>
              <w:jc w:val="left"/>
            </w:pPr>
            <w:r>
              <w:t xml:space="preserve">EUR</w:t>
            </w:r>
          </w:p>
        </w:tc>
        <w:tc>
          <w:tcPr>
            <w:vAlign w:val="center"/>
            <w:tcBorders>
              <w:top w:val="single" w:sz="4" w:space="0" w:color="auto"/>
              <w:left w:val="single" w:sz="4" w:space="0" w:color="auto"/>
              <w:bottom w:val="single" w:sz="4" w:space="0" w:color="auto"/>
              <w:right w:val="single" w:sz="4" w:space="0" w:color="auto"/>
            </w:tcBorders>
          </w:tcPr>
          <w:p w14:paraId="001011DA" w14:textId="00101225">
            <w:pPr>
              <w:pStyle w:val="Normal"/>
              <w:jc w:val="left"/>
            </w:pPr>
            <w:r>
              <w:t xml:space="preserve">145.0</w:t>
            </w:r>
          </w:p>
        </w:tc>
        <w:tc>
          <w:tcPr>
            <w:vAlign w:val="center"/>
            <w:tcBorders>
              <w:top w:val="single" w:sz="4" w:space="0" w:color="auto"/>
              <w:left w:val="single" w:sz="4" w:space="0" w:color="auto"/>
              <w:bottom w:val="single" w:sz="4" w:space="0" w:color="auto"/>
              <w:right w:val="single" w:sz="4" w:space="0" w:color="auto"/>
            </w:tcBorders>
          </w:tcPr>
          <w:p w14:paraId="001011DC" w14:textId="00101226">
            <w:pPr>
              <w:pStyle w:val="Normal"/>
              <w:jc w:val="left"/>
            </w:pPr>
            <w:r>
              <w:t xml:space="preserve">Fixed 3.45%</w:t>
            </w:r>
          </w:p>
        </w:tc>
        <w:tc>
          <w:tcPr>
            <w:vAlign w:val="center"/>
            <w:tcBorders>
              <w:top w:val="single" w:sz="4" w:space="0" w:color="auto"/>
              <w:left w:val="single" w:sz="4" w:space="0" w:color="auto"/>
              <w:bottom w:val="single" w:sz="4" w:space="0" w:color="auto"/>
              <w:right w:val="single" w:sz="4" w:space="0" w:color="auto"/>
            </w:tcBorders>
          </w:tcPr>
          <w:p w14:paraId="001011DE" w14:textId="00101227">
            <w:pPr>
              <w:pStyle w:val="Normal"/>
              <w:jc w:val="left"/>
            </w:pPr>
            <w:r>
              <w:t xml:space="preserve">Unsecured, senior pari passu</w:t>
            </w:r>
          </w:p>
        </w:tc>
        <w:tc>
          <w:tcPr>
            <w:vAlign w:val="center"/>
            <w:tcBorders>
              <w:top w:val="single" w:sz="4" w:space="0" w:color="auto"/>
              <w:left w:val="single" w:sz="4" w:space="0" w:color="auto"/>
              <w:bottom w:val="single" w:sz="4" w:space="0" w:color="auto"/>
              <w:right w:val="single" w:sz="4" w:space="0" w:color="auto"/>
            </w:tcBorders>
          </w:tcPr>
          <w:p w14:paraId="001011E0" w14:textId="00101228">
            <w:pPr>
              <w:pStyle w:val="Normal"/>
              <w:jc w:val="left"/>
            </w:pPr>
            <w:r>
              <w:t xml:space="preserve">Change-of-control and cross-default provisions</w:t>
            </w:r>
          </w:p>
        </w:tc>
        <w:tc>
          <w:tcPr>
            <w:vAlign w:val="center"/>
            <w:tcBorders>
              <w:top w:val="single" w:sz="4" w:space="0" w:color="auto"/>
              <w:left w:val="single" w:sz="4" w:space="0" w:color="auto"/>
              <w:bottom w:val="single" w:sz="4" w:space="0" w:color="auto"/>
              <w:right w:val="single" w:sz="4" w:space="0" w:color="auto"/>
            </w:tcBorders>
          </w:tcPr>
          <w:p w14:paraId="001011E2" w14:textId="00101229">
            <w:pPr>
              <w:pStyle w:val="Normal"/>
              <w:jc w:val="left"/>
            </w:pPr>
            <w:r>
              <w:t xml:space="preserve">2029</w:t>
            </w:r>
          </w:p>
        </w:tc>
      </w:tr>
      <w:tr>
        <w:tc>
          <w:tcPr>
            <w:vAlign w:val="top"/>
            <w:tcBorders>
              <w:top w:val="single" w:sz="4" w:space="0" w:color="auto"/>
              <w:left w:val="single" w:sz="4" w:space="0" w:color="auto"/>
              <w:bottom w:val="single" w:sz="4" w:space="0" w:color="auto"/>
              <w:right w:val="single" w:sz="4" w:space="0" w:color="auto"/>
            </w:tcBorders>
          </w:tcPr>
          <w:p w14:paraId="001011E4" w14:textId="0010122A">
            <w:pPr>
              <w:pStyle w:val="Normal"/>
              <w:jc w:val="left"/>
            </w:pPr>
            <w:r>
              <w:t xml:space="preserve">Green project loan</w:t>
            </w:r>
          </w:p>
        </w:tc>
        <w:tc>
          <w:tcPr>
            <w:vAlign w:val="center"/>
            <w:tcBorders>
              <w:top w:val="single" w:sz="4" w:space="0" w:color="auto"/>
              <w:left w:val="single" w:sz="4" w:space="0" w:color="auto"/>
              <w:bottom w:val="single" w:sz="4" w:space="0" w:color="auto"/>
              <w:right w:val="single" w:sz="4" w:space="0" w:color="auto"/>
            </w:tcBorders>
          </w:tcPr>
          <w:p w14:paraId="001011E6" w14:textId="0010122B">
            <w:pPr>
              <w:pStyle w:val="Normal"/>
              <w:jc w:val="left"/>
            </w:pPr>
            <w:r>
              <w:t xml:space="preserve">EUR</w:t>
            </w:r>
          </w:p>
        </w:tc>
        <w:tc>
          <w:tcPr>
            <w:vAlign w:val="center"/>
            <w:tcBorders>
              <w:top w:val="single" w:sz="4" w:space="0" w:color="auto"/>
              <w:left w:val="single" w:sz="4" w:space="0" w:color="auto"/>
              <w:bottom w:val="single" w:sz="4" w:space="0" w:color="auto"/>
              <w:right w:val="single" w:sz="4" w:space="0" w:color="auto"/>
            </w:tcBorders>
          </w:tcPr>
          <w:p w14:paraId="001011E8" w14:textId="0010122C">
            <w:pPr>
              <w:pStyle w:val="Normal"/>
              <w:jc w:val="left"/>
            </w:pPr>
            <w:r>
              <w:t xml:space="preserve">96.0</w:t>
            </w:r>
          </w:p>
        </w:tc>
        <w:tc>
          <w:tcPr>
            <w:vAlign w:val="center"/>
            <w:tcBorders>
              <w:top w:val="single" w:sz="4" w:space="0" w:color="auto"/>
              <w:left w:val="single" w:sz="4" w:space="0" w:color="auto"/>
              <w:bottom w:val="single" w:sz="4" w:space="0" w:color="auto"/>
              <w:right w:val="single" w:sz="4" w:space="0" w:color="auto"/>
            </w:tcBorders>
          </w:tcPr>
          <w:p w14:paraId="001011EA" w14:textId="0010122D">
            <w:pPr>
              <w:pStyle w:val="Normal"/>
              <w:jc w:val="left"/>
            </w:pPr>
            <w:r>
              <w:t xml:space="preserve">EURIBOR + 1.30% margin</w:t>
            </w:r>
          </w:p>
        </w:tc>
        <w:tc>
          <w:tcPr>
            <w:vAlign w:val="center"/>
            <w:tcBorders>
              <w:top w:val="single" w:sz="4" w:space="0" w:color="auto"/>
              <w:left w:val="single" w:sz="4" w:space="0" w:color="auto"/>
              <w:bottom w:val="single" w:sz="4" w:space="0" w:color="auto"/>
              <w:right w:val="single" w:sz="4" w:space="0" w:color="auto"/>
            </w:tcBorders>
          </w:tcPr>
          <w:p w14:paraId="001011EC" w14:textId="0010122E">
            <w:pPr>
              <w:pStyle w:val="Normal"/>
              <w:jc w:val="left"/>
            </w:pPr>
            <w:r>
              <w:t xml:space="preserve">Secured over designated energy-efficiency assets</w:t>
            </w:r>
          </w:p>
        </w:tc>
        <w:tc>
          <w:tcPr>
            <w:vAlign w:val="center"/>
            <w:tcBorders>
              <w:top w:val="single" w:sz="4" w:space="0" w:color="auto"/>
              <w:left w:val="single" w:sz="4" w:space="0" w:color="auto"/>
              <w:bottom w:val="single" w:sz="4" w:space="0" w:color="auto"/>
              <w:right w:val="single" w:sz="4" w:space="0" w:color="auto"/>
            </w:tcBorders>
          </w:tcPr>
          <w:p w14:paraId="001011EE" w14:textId="0010122F">
            <w:pPr>
              <w:pStyle w:val="Normal"/>
              <w:jc w:val="left"/>
            </w:pPr>
            <w:r>
              <w:t xml:space="preserve">Project performance reporting and customary debt covenants</w:t>
            </w:r>
          </w:p>
        </w:tc>
        <w:tc>
          <w:tcPr>
            <w:vAlign w:val="center"/>
            <w:tcBorders>
              <w:top w:val="single" w:sz="4" w:space="0" w:color="auto"/>
              <w:left w:val="single" w:sz="4" w:space="0" w:color="auto"/>
              <w:bottom w:val="single" w:sz="4" w:space="0" w:color="auto"/>
              <w:right w:val="single" w:sz="4" w:space="0" w:color="auto"/>
            </w:tcBorders>
          </w:tcPr>
          <w:p w14:paraId="001011F0" w14:textId="00101230">
            <w:pPr>
              <w:pStyle w:val="Normal"/>
              <w:jc w:val="left"/>
            </w:pPr>
            <w:r>
              <w:t xml:space="preserve">2030</w:t>
            </w:r>
          </w:p>
        </w:tc>
      </w:tr>
      <w:tr>
        <w:tc>
          <w:tcPr>
            <w:vAlign w:val="top"/>
            <w:tcBorders>
              <w:top w:val="single" w:sz="4" w:space="0" w:color="auto"/>
              <w:left w:val="single" w:sz="4" w:space="0" w:color="auto"/>
              <w:bottom w:val="single" w:sz="4" w:space="0" w:color="auto"/>
              <w:right w:val="single" w:sz="4" w:space="0" w:color="auto"/>
            </w:tcBorders>
          </w:tcPr>
          <w:p w14:paraId="001011F2" w14:textId="00101231">
            <w:pPr>
              <w:pStyle w:val="Normal"/>
              <w:jc w:val="left"/>
            </w:pPr>
            <w:r>
              <w:t xml:space="preserve">Bilateral working-capital lines</w:t>
            </w:r>
          </w:p>
        </w:tc>
        <w:tc>
          <w:tcPr>
            <w:vAlign w:val="center"/>
            <w:tcBorders>
              <w:top w:val="single" w:sz="4" w:space="0" w:color="auto"/>
              <w:left w:val="single" w:sz="4" w:space="0" w:color="auto"/>
              <w:bottom w:val="single" w:sz="4" w:space="0" w:color="auto"/>
              <w:right w:val="single" w:sz="4" w:space="0" w:color="auto"/>
            </w:tcBorders>
          </w:tcPr>
          <w:p w14:paraId="001011F4" w14:textId="00101232">
            <w:pPr>
              <w:pStyle w:val="Normal"/>
              <w:jc w:val="left"/>
            </w:pPr>
            <w:r>
              <w:t xml:space="preserve">Local currencies</w:t>
            </w:r>
          </w:p>
        </w:tc>
        <w:tc>
          <w:tcPr>
            <w:vAlign w:val="center"/>
            <w:tcBorders>
              <w:top w:val="single" w:sz="4" w:space="0" w:color="auto"/>
              <w:left w:val="single" w:sz="4" w:space="0" w:color="auto"/>
              <w:bottom w:val="single" w:sz="4" w:space="0" w:color="auto"/>
              <w:right w:val="single" w:sz="4" w:space="0" w:color="auto"/>
            </w:tcBorders>
          </w:tcPr>
          <w:p w14:paraId="001011F6" w14:textId="00101233">
            <w:pPr>
              <w:pStyle w:val="Normal"/>
              <w:jc w:val="left"/>
            </w:pPr>
            <w:r>
              <w:t xml:space="preserve">58.0</w:t>
            </w:r>
          </w:p>
        </w:tc>
        <w:tc>
          <w:tcPr>
            <w:vAlign w:val="center"/>
            <w:tcBorders>
              <w:top w:val="single" w:sz="4" w:space="0" w:color="auto"/>
              <w:left w:val="single" w:sz="4" w:space="0" w:color="auto"/>
              <w:bottom w:val="single" w:sz="4" w:space="0" w:color="auto"/>
              <w:right w:val="single" w:sz="4" w:space="0" w:color="auto"/>
            </w:tcBorders>
          </w:tcPr>
          <w:p w14:paraId="001011F8" w14:textId="00101234">
            <w:pPr>
              <w:pStyle w:val="Normal"/>
              <w:jc w:val="left"/>
            </w:pPr>
            <w:r>
              <w:t xml:space="preserve">Floating, market reference rate plus bank spread</w:t>
            </w:r>
          </w:p>
        </w:tc>
        <w:tc>
          <w:tcPr>
            <w:vAlign w:val="center"/>
            <w:tcBorders>
              <w:top w:val="single" w:sz="4" w:space="0" w:color="auto"/>
              <w:left w:val="single" w:sz="4" w:space="0" w:color="auto"/>
              <w:bottom w:val="single" w:sz="4" w:space="0" w:color="auto"/>
              <w:right w:val="single" w:sz="4" w:space="0" w:color="auto"/>
            </w:tcBorders>
          </w:tcPr>
          <w:p w14:paraId="001011FA" w14:textId="00101235">
            <w:pPr>
              <w:pStyle w:val="Normal"/>
              <w:jc w:val="left"/>
            </w:pPr>
            <w:r>
              <w:t xml:space="preserve">Partly secured by receivables in certain jurisdictions</w:t>
            </w:r>
          </w:p>
        </w:tc>
        <w:tc>
          <w:tcPr>
            <w:vAlign w:val="center"/>
            <w:tcBorders>
              <w:top w:val="single" w:sz="4" w:space="0" w:color="auto"/>
              <w:left w:val="single" w:sz="4" w:space="0" w:color="auto"/>
              <w:bottom w:val="single" w:sz="4" w:space="0" w:color="auto"/>
              <w:right w:val="single" w:sz="4" w:space="0" w:color="auto"/>
            </w:tcBorders>
          </w:tcPr>
          <w:p w14:paraId="001011FC" w14:textId="00101236">
            <w:pPr>
              <w:pStyle w:val="Normal"/>
              <w:jc w:val="left"/>
            </w:pPr>
            <w:r>
              <w:t xml:space="preserve">Local liquidity and clean-down requirements</w:t>
            </w:r>
          </w:p>
        </w:tc>
        <w:tc>
          <w:tcPr>
            <w:vAlign w:val="center"/>
            <w:tcBorders>
              <w:top w:val="single" w:sz="4" w:space="0" w:color="auto"/>
              <w:left w:val="single" w:sz="4" w:space="0" w:color="auto"/>
              <w:bottom w:val="single" w:sz="4" w:space="0" w:color="auto"/>
              <w:right w:val="single" w:sz="4" w:space="0" w:color="auto"/>
            </w:tcBorders>
          </w:tcPr>
          <w:p w14:paraId="001011FE" w14:textId="00101237">
            <w:pPr>
              <w:pStyle w:val="Normal"/>
              <w:jc w:val="left"/>
            </w:pPr>
            <w:r>
              <w:t xml:space="preserve">2026</w:t>
            </w:r>
          </w:p>
        </w:tc>
      </w:tr>
      <w:tr>
        <w:tc>
          <w:tcPr>
            <w:vAlign w:val="top"/>
            <w:tcBorders>
              <w:top w:val="single" w:sz="4" w:space="0" w:color="auto"/>
              <w:left w:val="single" w:sz="4" w:space="0" w:color="auto"/>
              <w:bottom w:val="single" w:sz="4" w:space="0" w:color="auto"/>
              <w:right w:val="single" w:sz="4" w:space="0" w:color="auto"/>
            </w:tcBorders>
          </w:tcPr>
          <w:p w14:paraId="00101200" w14:textId="00101238">
            <w:pPr>
              <w:pStyle w:val="Normal"/>
              <w:jc w:val="left"/>
            </w:pPr>
            <w:r>
              <w:t xml:space="preserve">Lease liabilities</w:t>
            </w:r>
          </w:p>
        </w:tc>
        <w:tc>
          <w:tcPr>
            <w:vAlign w:val="center"/>
            <w:tcBorders>
              <w:top w:val="single" w:sz="4" w:space="0" w:color="auto"/>
              <w:left w:val="single" w:sz="4" w:space="0" w:color="auto"/>
              <w:bottom w:val="single" w:sz="4" w:space="0" w:color="auto"/>
              <w:right w:val="single" w:sz="4" w:space="0" w:color="auto"/>
            </w:tcBorders>
          </w:tcPr>
          <w:p w14:paraId="00101202" w14:textId="00101239">
            <w:pPr>
              <w:pStyle w:val="Normal"/>
              <w:jc w:val="left"/>
            </w:pPr>
            <w:r>
              <w:t xml:space="preserve">Mixed</w:t>
            </w:r>
          </w:p>
        </w:tc>
        <w:tc>
          <w:tcPr>
            <w:vAlign w:val="center"/>
            <w:tcBorders>
              <w:top w:val="single" w:sz="4" w:space="0" w:color="auto"/>
              <w:left w:val="single" w:sz="4" w:space="0" w:color="auto"/>
              <w:bottom w:val="single" w:sz="4" w:space="0" w:color="auto"/>
              <w:right w:val="single" w:sz="4" w:space="0" w:color="auto"/>
            </w:tcBorders>
          </w:tcPr>
          <w:p w14:paraId="00101204" w14:textId="0010123A">
            <w:pPr>
              <w:pStyle w:val="Normal"/>
              <w:jc w:val="left"/>
            </w:pPr>
            <w:r>
              <w:t xml:space="preserve">184.0</w:t>
            </w:r>
          </w:p>
        </w:tc>
        <w:tc>
          <w:tcPr>
            <w:vAlign w:val="center"/>
            <w:tcBorders>
              <w:top w:val="single" w:sz="4" w:space="0" w:color="auto"/>
              <w:left w:val="single" w:sz="4" w:space="0" w:color="auto"/>
              <w:bottom w:val="single" w:sz="4" w:space="0" w:color="auto"/>
              <w:right w:val="single" w:sz="4" w:space="0" w:color="auto"/>
            </w:tcBorders>
          </w:tcPr>
          <w:p w14:paraId="00101206" w14:textId="0010123B">
            <w:pPr>
              <w:pStyle w:val="Normal"/>
              <w:jc w:val="left"/>
            </w:pPr>
            <w:r>
              <w:t xml:space="preserve">Incremental borrowing rates of 3.2% to 7.4%</w:t>
            </w:r>
          </w:p>
        </w:tc>
        <w:tc>
          <w:tcPr>
            <w:vAlign w:val="center"/>
            <w:tcBorders>
              <w:top w:val="single" w:sz="4" w:space="0" w:color="auto"/>
              <w:left w:val="single" w:sz="4" w:space="0" w:color="auto"/>
              <w:bottom w:val="single" w:sz="4" w:space="0" w:color="auto"/>
              <w:right w:val="single" w:sz="4" w:space="0" w:color="auto"/>
            </w:tcBorders>
          </w:tcPr>
          <w:p w14:paraId="00101208" w14:textId="0010123C">
            <w:pPr>
              <w:pStyle w:val="Normal"/>
              <w:jc w:val="left"/>
            </w:pPr>
            <w:r>
              <w:t xml:space="preserve">Secured by underlying right-of-use assets</w:t>
            </w:r>
          </w:p>
        </w:tc>
        <w:tc>
          <w:tcPr>
            <w:vAlign w:val="center"/>
            <w:tcBorders>
              <w:top w:val="single" w:sz="4" w:space="0" w:color="auto"/>
              <w:left w:val="single" w:sz="4" w:space="0" w:color="auto"/>
              <w:bottom w:val="single" w:sz="4" w:space="0" w:color="auto"/>
              <w:right w:val="single" w:sz="4" w:space="0" w:color="auto"/>
            </w:tcBorders>
          </w:tcPr>
          <w:p w14:paraId="0010120A" w14:textId="0010123D">
            <w:pPr>
              <w:pStyle w:val="Normal"/>
              <w:jc w:val="left"/>
            </w:pPr>
            <w:r>
              <w:t xml:space="preserve">No financial maintenance covenants; contractual payment obligations apply</w:t>
            </w:r>
          </w:p>
        </w:tc>
        <w:tc>
          <w:tcPr>
            <w:vAlign w:val="center"/>
            <w:tcBorders>
              <w:top w:val="single" w:sz="4" w:space="0" w:color="auto"/>
              <w:left w:val="single" w:sz="4" w:space="0" w:color="auto"/>
              <w:bottom w:val="single" w:sz="4" w:space="0" w:color="auto"/>
              <w:right w:val="single" w:sz="4" w:space="0" w:color="auto"/>
            </w:tcBorders>
          </w:tcPr>
          <w:p w14:paraId="0010120C" w14:textId="0010123E">
            <w:pPr>
              <w:pStyle w:val="Normal"/>
              <w:jc w:val="left"/>
            </w:pPr>
            <w:r>
              <w:t xml:space="preserve">2026-2038</w:t>
            </w:r>
          </w:p>
        </w:tc>
      </w:tr>
    </w:tbl>
    <w:p w14:paraId="0010123F" w14:textId="00101240">
      <w:pPr>
        <w:pStyle w:val="Normal"/>
        <w:jc w:val="left"/>
      </w:pPr>
      <w:r>
        <w:t xml:space="preserve">Table 28 Borrowing facilities schedule</w:t>
      </w:r>
    </w:p>
    <w:p w14:paraId="00101241" w14:textId="00101242">
      <w:pPr>
        <w:pStyle w:val="Normal"/>
        <w:jc w:val="left"/>
      </w:pPr>
      <w:r>
        <w:t xml:space="preserve">8.2.2.2.1 Facility Terms</w:t>
      </w:r>
    </w:p>
    <w:p w14:paraId="00101243" w14:textId="00101244">
      <w:pPr>
        <w:pStyle w:val="Normal"/>
        <w:jc w:val="left"/>
      </w:pPr>
      <w:r>
        <w:t xml:space="preserve">Rivermark Holdings manages its borrowing portfolio through a combination of committed syndicated facilities, bilateral bank lines, private placement notes, and project-linked funding arranged to match the tenor and risk profile of the underlying businesses. Variable-rate instruments are primarily referenced to SOFR or EURIBOR, with margins that step according to leverage bands and facility-specific pricing grids. Fixed-rate debt is used selectively to reduce earnings volatility and to lock in funding for medium-term investment programs, particularly where cash flows are stable and visibility over capital deployment is high.</w:t>
      </w:r>
    </w:p>
    <w:p w14:paraId="00101245" w14:textId="00101246">
      <w:pPr>
        <w:pStyle w:val="Normal"/>
        <w:jc w:val="left"/>
      </w:pPr>
      <w:r>
        <w:t xml:space="preserve">Security arrangements remain limited at group level. The principal syndicated and term facilities are unsecured and rank pari passu with other senior unsecured obligations, preserving flexibility over asset deployment across the portfolio. Where security has been granted, it is generally ring-fenced to specific project financings or local working-capital programs in jurisdictions where lenders require collateral over receivables, equipment, or contracted project cash flows. Covenant packages are typical for a diversified corporate borrower and include leverage and interest-cover tests, negative pledge provisions, restrictions on material disposals outside ordinary business, and cross-default clauses designed to protect lenders from broader credit deterioration. Management monitors covenant headroom monthly and aligns treasury forecasts with downside scenario analysis to ensure funding terms remain appropriate to the scale, seasonality, and investment cadence of the group.</w:t>
      </w:r>
    </w:p>
    <w:p w14:paraId="00101247" w14:textId="00101248">
      <w:pPr>
        <w:pStyle w:val="Normal"/>
        <w:jc w:val="left"/>
      </w:pPr>
      <w:r>
        <w:t xml:space="preserve">At the reporting date, all committed borrowing facilities were in compliance with their stated financial and general covenants. Testing performed against the year-end results showed comfortable headroom on both the net leverage ratio and the interest-cover ratio, supported by earnings growth in Industrial Solutions and steady cash generation from Infrastructure Services. No event of default, material adverse change trigger, or payment breach had occurred under the group's principal funding arrangements during the year.</w:t>
      </w:r>
    </w:p>
    <w:p w14:paraId="00101249" w14:textId="0010124A">
      <w:pPr>
        <w:pStyle w:val="Normal"/>
        <w:jc w:val="left"/>
      </w:pPr>
      <w:r>
        <w:t xml:space="preserve">In the ordinary course of treasury management, Rivermark Holdings engaged with lenders on technical amendments to certain documentation, including benchmark-rate transition wording, reporting timetables for sustainability-linked performance certificates, and administrative updates following internal legal-entity realignment. These changes did not alter the economic substance of the facilities or indicate financial stress. No covenant waivers were required in the current year. In the prior comparative period, one local bilateral facility in a smaller overseas subsidiary received a short-form administrative waiver relating to late delivery of a compliance certificate; the matter was remedied promptly and did not affect facility availability, pricing, or classification. Management therefore continues to classify the related borrowings in accordance with their contractual maturities and concludes that covenant non-compliance did not create a material liquidity concern at either reporting date.</w:t>
      </w:r>
    </w:p>
    <w:p w14:paraId="0010124B" w14:textId="0010124C">
      <w:pPr>
        <w:pStyle w:val="Normal"/>
        <w:jc w:val="left"/>
      </w:pPr>
      <w:r>
        <w:t xml:space="preserve">8.2.2.2.1 Maturity Profile</w:t>
      </w:r>
    </w:p>
    <w:p w14:paraId="0010124D" w14:textId="0010124E">
      <w:pPr>
        <w:pStyle w:val="Normal"/>
        <w:jc w:val="left"/>
      </w:pPr>
      <w:r>
        <w:t xml:space="preserve">The contractual maturity profile of borrowings is structured to avoid excessive concentration in any single year and to maintain an appropriate mix of short-, medium-, and long-dated obligations. Short-term maturities primarily comprise bilateral working-capital lines, amortizing portions of term facilities, current lease liabilities, and overdraft-style instruments used for seasonal funding in Consumer Platforms. Medium-term maturities are concentrated in the core revolving credit facility and term loan arrangements, which provide committed liquidity for acquisition integration, capital expenditure, and general corporate purposes. Longer-dated maturities relate mainly to private placement notes, project loans, and selected property leases that extend beyond five years.</w:t>
      </w:r>
    </w:p>
    <w:p w14:paraId="0010124F" w14:textId="00101250">
      <w:pPr>
        <w:pStyle w:val="Normal"/>
        <w:jc w:val="left"/>
      </w:pPr>
      <w:r>
        <w:t xml:space="preserve">The disclosed profile is based on undiscounted contractual cash flows and therefore includes future interest payments on floating- and fixed-rate instruments as applicable under conditions prevailing at the reporting date. Lease liabilities are presented on the same contractual basis, reflecting scheduled rentals over the non-cancellable term together with extension periods where the group is reasonably certain to exercise the option. This presentation is useful for liquidity planning because it highlights gross cash requirements rather than accounting carrying values alone. Treasury uses the maturity ladder together with committed-facility headroom, forecast operating cash flows, and stress-tested downside cases to assess whether upcoming obligations can be met without undue refinancing pressure.</w:t>
      </w:r>
    </w:p>
    <w:p w14:paraId="00101251" w14:textId="00101252">
      <w:pPr>
        <w:pStyle w:val="Normal"/>
        <w:jc w:val="left"/>
      </w:pPr>
      <w:r>
        <w:t xml:space="preserve">From a refinancing-risk perspective, the group considers not only nominal debt due dates but also the resilience of market access under adverse operating conditions. Rivermark Holdings seeks to renew or pre-fund material maturities well before the final contractual due date, typically beginning lender engagement 12 to 18 months in advance for larger instruments. This approach reduces exposure to periods of market dislocation, sudden increases in benchmark rates, or temporary weakness in segment earnings that could narrow available funding options.</w:t>
      </w:r>
    </w:p>
    <w:p w14:paraId="00101253" w14:textId="00101254">
      <w:pPr>
        <w:pStyle w:val="Normal"/>
        <w:jc w:val="left"/>
      </w:pPr>
      <w:r>
        <w:t xml:space="preserve">The current maturity profile is viewed as balanced. No single year contains a concentration of maturities that would be expected to exceed forecast internal cash generation, available undrawn committed lines, and realistic refinancing capacity under base or moderate downside assumptions. The presence of multiple funding channels, including bank debt, private placements, and asset-linked financing, further diversifies refinancing sources. Management nevertheless recognizes that refinancing risk can increase if several external factors occur simultaneously, such as tighter credit markets, project delays, or a sharp fall in demand in key end markets. To address this, treasury maintains minimum liquidity thresholds, monitors counterparty appetite, preserves documentation readiness for debt issuance, and limits reliance on short-tenor uncommitted facilities for structural funding needs. On this basis, refinancing risk is assessed as manageable and appropriately mitigated at year end.</w:t>
      </w:r>
    </w:p>
    <w:p w14:paraId="00101255" w14:textId="00101256">
      <w:pPr>
        <w:pStyle w:val="Normal"/>
        <w:jc w:val="left"/>
      </w:pPr>
      <w:r>
        <w:t xml:space="preserve">8.2.2.2 Lease Arrangements</w:t>
      </w:r>
    </w:p>
    <w:p w14:paraId="00101257" w14:textId="00101258">
      <w:pPr>
        <w:pStyle w:val="Normal"/>
        <w:jc w:val="left"/>
      </w:pPr>
      <w:r>
        <w:t xml:space="preserve">Rivermark Holdings leases a broad portfolio of assets to support operations across its segments, including manufacturing and assembly sites, warehouses, retail and service locations, vehicle fleets, information-technology equipment, and selected specialized machinery. The lease portfolio reflects the group's preference to retain flexibility in assets where technology cycles are short, geographic demand may shift, or occupancy needs are linked to contract pipelines rather than permanent ownership requirements. Property leases generally represent the largest component by value and duration, particularly for logistics hubs used by Consumer Platforms and operational depots serving Infrastructure Services.</w:t>
      </w:r>
    </w:p>
    <w:p w14:paraId="00101259" w14:textId="0010125A">
      <w:pPr>
        <w:pStyle w:val="Normal"/>
        <w:jc w:val="left"/>
      </w:pPr>
      <w:r>
        <w:t xml:space="preserve">Most leases are negotiated on market terms and contain fixed rental payments, periodic inflation-linked uplifts, renewal options, and customary restoration or make-good clauses. Vehicle and equipment leases are shorter in tenor and are often aligned to replacement cycles or utilization programs. Certain property contracts include variable payments linked to turnover, utilities, or common-area maintenance; these amounts are excluded from lease liabilities unless they are in-substance fixed. The group applies recognition exemptions for short-term leases and low-value items where permitted, with the related expense recognized on a straight-line or incurred basis. Lease sourcing is coordinated through procurement and treasury governance to ensure that new commitments remain consistent with site strategy, operating forecasts, and capital-allocation discipline.</w:t>
      </w:r>
    </w:p>
    <w:p w14:paraId="0010125B" w14:textId="0010125C">
      <w:pPr>
        <w:pStyle w:val="Normal"/>
        <w:jc w:val="left"/>
      </w:pPr>
      <w:r>
        <w:t xml:space="preserve">Right-of-use assets and lease liabilities are linked through the initial recognition of the present value of committed lease payments, adjusted for direct costs, incentives received, prepayments, and restoration obligations where relevant. At commencement, the liability captures fixed payments, in-substance fixed payments, amounts expected under residual value guarantees, and extension-period payments when exercise is reasonably certain. The corresponding right-of-use asset is then depreciated over the shorter of the lease term and useful life, while the liability is accreted using the effective interest method and reduced as payments are made.</w:t>
      </w:r>
    </w:p>
    <w:p w14:paraId="0010125D" w14:textId="0010125E">
      <w:pPr>
        <w:pStyle w:val="Normal"/>
        <w:jc w:val="left"/>
      </w:pPr>
      <w:r>
        <w:t xml:space="preserve">Differences between the carrying amount of right-of-use assets and the related lease liabilities arise over time because the two balances are affected by different accounting mechanics. Depreciation is generally recognized on a straight-line basis, whereas finance charges on the liability are front-loaded. In addition, impairment, reassessment of term assumptions, index-linked rent resets, lease modifications, and asset-specific restoration provisions can affect one balance differently from the other at a given reporting date. For operational analysis, management considers both balances together with cash lease outflows, since the asset reflects control over the economic benefit of use while the liability reflects the remaining financing obligation embedded in the lease contract. This integrated view supports evaluation of occupancy efficiency, contract flexibility, and future fixed payment commitments.</w:t>
      </w:r>
    </w:p>
    <w:p w14:paraId="0010125F" w14:textId="00101260">
      <w:pPr>
        <w:pStyle w:val="Normal"/>
        <w:jc w:val="left"/>
      </w:pPr>
      <w:r>
        <w:t xml:space="preserve">8.2.2.2.2 Lease Commitments</w:t>
      </w:r>
    </w:p>
    <w:p w14:paraId="00101261" w14:textId="00101263">
      <w:pPr>
        <w:pStyle w:val="Normal"/>
        <w:jc w:val="left"/>
      </w:pPr>
      <w:r>
        <w:t xml:space="preserve">Lease payment obligations</w:t>
      </w:r>
      <w:r>
        <w:t xml:space="preserve"> are measured on an undiscounted basis for the contractual noncancellable term and any periods the Group is reasonably certain to exercise. The disclosed schedule aggregates office, warehouse, fleet, equipment, and site leases that support day-to-day operations across Industrial Solutions, Consumer Platforms, and Infrastructure Services. In the current year, payments were concentrated in the nearer term, reflecting the Group’s preference for shorter commitments where business volumes remain volatile, while longer-dated property leases continue to underpin core distribution and delivery locations. Variable payments tied to usage or indexation are not included in the fixed schedule but are reflected in the period’s expense as incurred. The Group uses the maturity profile to assess funding needs, renewal timing, and the effect of lease commitments on liquidity headroom, especially where expansion sites and last-mile facilities require staggered occupancy decisions.</w:t>
      </w:r>
    </w:p>
    <w:p w14:paraId="00101264" w14:textId="00101266">
      <w:pPr>
        <w:pStyle w:val="Normal"/>
        <w:jc w:val="left"/>
      </w:pPr>
      <w:r>
        <w:t xml:space="preserve">Extension option exposures</w:t>
      </w:r>
      <w:r>
        <w:t xml:space="preserve"> arise where property, logistics, or equipment leases contain renewal rights that could extend the contractual term if the relevant assets remain operationally critical. Management considers the age of the asset, switching costs, service continuity, local market availability, and the cost of relocation before concluding whether exercise is reasonably certain. For regional depots and specialized production space, the exposure is more pronounced because the practical cost of interruption exceeds the contractual rent premium. By contrast, low-value and easily substitutable assets are typically excluded from the lease term beyond the noncancellable period. The Group discloses the potential incremental payments associated with these options to show the upper range of cash commitments that could arise if operating conditions, customer demand, or supply-chain design make renewal the economically rational outcome.</w:t>
      </w:r>
    </w:p>
    <w:p w14:paraId="00101267" w14:textId="00101268">
      <w:pPr>
        <w:pStyle w:val="Normal"/>
        <w:jc w:val="left"/>
      </w:pPr>
      <w:r>
        <w:t xml:space="preserve">8.2.2.2.2 Lease Judgments</w:t>
      </w:r>
    </w:p>
    <w:p w14:paraId="00101269" w14:textId="0010126A">
      <w:pPr>
        <w:pStyle w:val="Normal"/>
        <w:jc w:val="left"/>
      </w:pPr>
      <w:r>
        <w:t xml:space="preserve">Lease term and rate judgments require management to balance contractual form with operational substance. The lease term is determined by reference to the period over which the Group is reasonably certain to continue using the asset, which is not always identical to the legal termination date. Renewal and termination options are assessed asset by asset, with attention to asset specialization, site criticality, and the availability of substitute facilities. The discount rate is set using an incremental borrowing rate that reflects currency, tenor, security, and the economic environment of the relevant lessee entity. For portfolios with similar risk profiles, the Group applies internally consistent rate curves to preserve comparability across reporting periods, while still allowing for differences in lease class and jurisdiction. These judgments directly affect right-of-use asset carrying values, lease liability measurement, and the profile of finance costs recognized over time.</w:t>
      </w:r>
    </w:p>
    <w:p w14:paraId="0010126B" w14:textId="0010126D">
      <w:pPr>
        <w:pStyle w:val="Normal"/>
        <w:jc w:val="left"/>
      </w:pPr>
      <w:r>
        <w:t xml:space="preserve">Lease modifications are assessed</w:t>
      </w:r>
      <w:r>
        <w:t xml:space="preserve"> by first determining whether the change adds or removes a right to use an identified asset and whether the revised arrangement is separate from the original contract. When the modification is not accounted for as a separate lease, the Group remeasures the lease liability using a revised discount rate and updates the corresponding right-of-use asset, except where the carrying amount is reduced to zero and a gain or loss is recognized. Typical examples include rent concessions, floor-space changes, extension of an occupied site, or changes in indexed payment terms following a restructuring of the underlying premises. The assessment also considers whether market-based incentives have been introduced and whether the revised economics indicate a lease termination followed by a new lease. This summary supports comparability of periods and explains why similar commercial changes can have different accounting outcomes depending on the legal and economic structure of the contract.</w:t>
      </w:r>
    </w:p>
    <w:p w14:paraId="0010126E" w14:textId="0010126F">
      <w:pPr>
        <w:pStyle w:val="Normal"/>
        <w:jc w:val="left"/>
      </w:pPr>
      <w:r>
        <w:t xml:space="preserve">8.2 Provisions and Tax</w:t>
      </w:r>
    </w:p>
    <w:p w14:paraId="00101270" w14:textId="00101273">
      <w:pPr>
        <w:pStyle w:val="Normal"/>
        <w:jc w:val="left"/>
      </w:pPr>
      <w:r>
        <w:t xml:space="preserve">The </w:t>
      </w:r>
      <w:r>
        <w:t xml:space="preserve">provisions and tax notes reconcile</w:t>
      </w:r>
      <w:r>
        <w:t xml:space="preserve"> the obligations recognized in the statement of financial position with the risks, judgments, and timing assumptions described in the narrative disclosures. Provision balances capture present obligations for claims, restructuring, restoration, and other specific exposures where an outflow is probable and can be estimated reliably. Tax balances reflect current and deferred amounts, including uncertain positions and the recoverability of deferred tax assets. Together, these notes explain why reported charges may differ from cash paid in the period: some liabilities are settled quickly, while others unwind over multiple years as claims are resolved, sites are restored, or tax audits conclude. The bridge between expense recognition and balance sheet movement is therefore essential to understanding both the Group’s near-term cash demands and the longer tail of contingent obligations.</w:t>
      </w:r>
    </w:p>
    <w:p w14:paraId="00101274" w14:textId="00101276">
      <w:pPr>
        <w:pStyle w:val="Normal"/>
        <w:jc w:val="left"/>
      </w:pPr>
      <w:r>
        <w:t xml:space="preserve">Estimation uncertainty</w:t>
      </w:r>
      <w:r>
        <w:t xml:space="preserve"> in this area is concentrated in the probability, amount, and timing of future outflows. For provisions, the largest judgment often relates to the expected settlement pattern, because legal claims, remediation work, and restructuring actions can evolve as negotiations, technical studies, or regulatory reviews progress. For taxes, uncertainty arises from differing interpretations of law, audit timing, and the availability of future taxable profits to support deferred tax assets. Management therefore updates assumptions using the latest correspondence, external advice, and observed settlement experience, while retaining prudence where outcomes remain sensitive to a small number of variables. The resulting disclosures are designed to distinguish fixed obligations from ranges of possible outcomes, so readers can see where the reported balance is robust and where it remains more exposed to future revision.</w:t>
      </w:r>
    </w:p>
    <w:p w14:paraId="00101277" w14:textId="00101278">
      <w:pPr>
        <w:pStyle w:val="Normal"/>
        <w:jc w:val="left"/>
      </w:pPr>
      <w:r>
        <w:t xml:space="preserve">8.2.3 Provisions</w:t>
      </w:r>
    </w:p>
    <w:p w14:paraId="00101279" w14:textId="0010127B">
      <w:pPr>
        <w:pStyle w:val="Normal"/>
        <w:jc w:val="left"/>
      </w:pPr>
      <w:r>
        <w:t xml:space="preserve">Provision categories</w:t>
      </w:r>
      <w:r>
        <w:t xml:space="preserve"> are grouped by the underlying obligation rather than by the business unit that first identified the issue. Employee and legal claims include employment disputes, litigation, regulatory matters, and similar claims that arise in the ordinary course of business or from historical events. Restructuring provisions relate to approved programs where the Group has raised a constructive or legal obligation through a formal plan and communicated the principal features to affected parties. Restoration and decommissioning provisions cover the future dismantling, site remediation, and reinstatement costs associated with leased or owned facilities. Each category is measured at the best estimate of the expenditure required to settle the present obligation, discounted where the timing of cash outflows is material. This presentation helps users distinguish one-off programs from recurring operational exposures and judge how much of the balance may reverse within the next reporting cycle.</w:t>
      </w:r>
    </w:p>
    <w:p w14:paraId="0010127C" w14:textId="0010127E">
      <w:pPr>
        <w:pStyle w:val="Normal"/>
        <w:jc w:val="left"/>
      </w:pPr>
      <w:r>
        <w:t xml:space="preserve">The timing and uncertainty context</w:t>
      </w:r>
      <w:r>
        <w:t xml:space="preserve"> for provisions is intentionally disclosed alongside the balances because the same headline amount can represent very different risk profiles. A short-dated employee claim may be resolved within months with limited volatility, while a multi-site restoration program may extend across several years and depend on access, permitting, and contractor pricing. Restructuring items are often the most visible in the period of recognition, but they may also involve staged cash settlements, supplier negotiations, and workforce transition payments that continue after the initial announcement. Where appropriate, management describes expected settlement bands, the principal assumptions behind the estimate, and the events that would cause a material remeasurement. That context allows the provision note to function as more than a ledger bridge: it becomes a forward-looking explanation of where future cash demands may emerge and how sensitive those demands are to operational execution.</w:t>
      </w:r>
    </w:p>
    <w:p w14:paraId="0010127F" w14:textId="00101280">
      <w:pPr>
        <w:pStyle w:val="Normal"/>
        <w:jc w:val="left"/>
      </w:pPr>
      <w:r>
        <w:t xml:space="preserve">8.2.3.1 Provision Categories</w:t>
      </w:r>
    </w:p>
    <w:p w14:paraId="00101281" w14:textId="00101282">
      <w:pPr>
        <w:pStyle w:val="Normal"/>
        <w:jc w:val="left"/>
      </w:pPr>
      <w:r>
        <w:t xml:space="preserve">The Group recognizes provisions when a present legal or constructive obligation exists as a result of a past event, an outflow of economic benefits is probable, and the amount can be estimated with sufficient reliability. At Rivermark Holdings, provision balances primarily relate to employee and legal claims, restructuring actions that had reached a committed execution stage before year end, and restoration obligations associated with certain operating sites and service assets. These balances do not represent general business risk allowances; rather, they reflect specifically identified obligations supported by contractual terms, regulatory requirements, formal plans, or documented claim circumstances.</w:t>
      </w:r>
    </w:p>
    <w:p w14:paraId="00101283" w14:textId="00101284">
      <w:pPr>
        <w:pStyle w:val="Normal"/>
        <w:jc w:val="left"/>
      </w:pPr>
      <w:r>
        <w:t xml:space="preserve">In measuring these provisions, management applies the best estimate of the expenditure required to settle or transfer the obligation at the reporting date. Estimates incorporate case-specific facts, historical settlement patterns, external legal or technical advice where appropriate, and assumptions regarding timing, inflation, and discounting when the time value of money is material. Because several obligations may be resolved over multiple reporting periods, the recognized amount can differ from the eventual cash settlement. Provisions are therefore reviewed at each reporting date and adjusted to reflect current information, revised expectations, and changes in the scope of the underlying obligation. Management considers the resulting balances to represent a prudent and supportable view of obligations existing at year end.</w:t>
      </w:r>
    </w:p>
    <w:p w14:paraId="00101285" w14:textId="00101286">
      <w:pPr>
        <w:pStyle w:val="Normal"/>
        <w:jc w:val="left"/>
      </w:pPr>
      <w:r>
        <w:t xml:space="preserve">Expected settlement timing varies by provision category and by the procedural stage of the underlying matter. Employee-related obligations, including certain compensation claims and employment disputes, are generally expected to settle within twelve to twenty-four months, although a subset involving formal hearings or negotiated settlements may extend beyond that period. Legal and regulatory claims can take longer to resolve because timing depends on court calendars, evidentiary development, mediation processes, and the progress of discussions with counterparties or authorities. In practice, settlement may occur through cash payment, negotiated agreement, withdrawal of a claim, or other non-cash resolution mechanisms.</w:t>
      </w:r>
    </w:p>
    <w:p w14:paraId="00101287" w14:textId="00101288">
      <w:pPr>
        <w:pStyle w:val="Normal"/>
        <w:jc w:val="left"/>
      </w:pPr>
      <w:r>
        <w:t xml:space="preserve">Restoration obligations are longer-dated in nature and are typically settled over the operating life or closure phase of the relevant asset or site. The expected timing is influenced by lease expiry profiles, project completion schedules, environmental permit conditions, and technical remediation sequencing. Where a provision is expected to be settled over more than one year, the liability is discounted to present value when the effect is material, and the unwinding of that discount is recognized over time. Although management uses the best available timetable for each obligation, actual settlement dates may change as negotiations evolve, legal proceedings advance, or site plans are revised. Accordingly, the current and noncurrent classification of provisions reflects expected timing at the reporting date rather than a fixed contractual maturity profile.</w:t>
      </w:r>
    </w:p>
    <w:p w14:paraId="00101289" w14:textId="0010128A">
      <w:pPr>
        <w:pStyle w:val="Normal"/>
        <w:jc w:val="left"/>
      </w:pPr>
      <w:r>
        <w:t xml:space="preserve">8.2.3.1.1 Employee and Legal Claims</w:t>
      </w:r>
    </w:p>
    <w:p w14:paraId="0010128B" w14:textId="0010128C">
      <w:pPr>
        <w:pStyle w:val="Normal"/>
        <w:jc w:val="left"/>
      </w:pPr>
      <w:r>
        <w:t xml:space="preserve">The Group is exposed to a range of employee and legal claims arising in the ordinary course of business. Employee matters include workplace grievances, compensation disputes, alleged unfair dismissal, leave and benefit interpretations, and legacy matters connected with reorganizations or business transfers. Legal claims include commercial disputes, indemnity matters, customer or supplier claims, regulatory allegations, and other proceedings linked to contract performance, product quality, service delivery, or statutory compliance. While many of these matters are routine and individually immaterial, certain cases involve complex facts, contested liability positions, or multiple potential outcomes.</w:t>
      </w:r>
    </w:p>
    <w:p w14:paraId="0010128D" w14:textId="0010128E">
      <w:pPr>
        <w:pStyle w:val="Normal"/>
        <w:jc w:val="left"/>
      </w:pPr>
      <w:r>
        <w:t xml:space="preserve">Rivermark Holdings manages claims through a centralized legal and risk framework supported by segment leadership, human resources, compliance teams, and external counsel where specialist input is required. Matters are assessed when notified and then monitored through regular case reviews that consider legal merits, procedural status, available defenses, likely settlement ranges, and insurance recoveries where applicable. A provision is recognized only when the recognition threshold is met; otherwise, the matter is treated as a contingent liability or disclosed qualitatively if the possibility of outflow is more than remote. This approach is intended to distinguish present obligations from general litigation exposure while preserving consistency across segments and jurisdictions. Management does not expect the aggregate outcome of recognized and disclosed claim matters to impair the Group's ability to operate, fund investment, or comply with financing obligations.</w:t>
      </w:r>
    </w:p>
    <w:p w14:paraId="0010128F" w14:textId="00101290">
      <w:pPr>
        <w:pStyle w:val="Normal"/>
        <w:jc w:val="left"/>
      </w:pPr>
      <w:r>
        <w:t xml:space="preserve">Judgment is required in determining whether a present obligation exists, whether an outflow is probable, and how the expected settlement amount should be measured. For employee matters, management evaluates employment contracts, statutory obligations, documented communications, prior case outcomes, and the stage of internal or external proceedings. For legal claims, the assessment incorporates the alleged basis of liability, available documentary evidence, technical or legal defenses, the credibility of claimant assumptions, jurisdiction-specific procedural factors, and any recent developments occurring before the date the financial statements are authorized for issue.</w:t>
      </w:r>
    </w:p>
    <w:p w14:paraId="00101291" w14:textId="00101292">
      <w:pPr>
        <w:pStyle w:val="Normal"/>
        <w:jc w:val="left"/>
      </w:pPr>
      <w:r>
        <w:t xml:space="preserve">Where multiple outcomes are possible, Rivermark Holdings uses either the single most likely outcome or an expected-value approach, depending on which method better predicts the expenditure needed to settle the obligation. In some matters, particularly those involving novel legal theories, regulatory interpretation, or unresolved factual disputes, the range of possible outcomes remains broad. In such cases, the recorded provision reflects management's best estimate at the reporting date and may differ materially from future settlements. Insurance recoveries are recognized separately only when receipt is virtually certain and are not offset against the related provision. Because disclosure of detailed case assumptions could prejudice the Group's position in active proceedings, certain information has been aggregated or summarized at a high level while still meeting the objective of transparent financial reporting.</w:t>
      </w:r>
    </w:p>
    <w:p w14:paraId="00101293" w14:textId="00101294">
      <w:pPr>
        <w:pStyle w:val="Normal"/>
        <w:jc w:val="left"/>
      </w:pPr>
      <w:r>
        <w:t xml:space="preserve">8.2.3.1.1 Restoration Obligations</w:t>
      </w:r>
    </w:p>
    <w:p w14:paraId="00101295" w14:textId="00101296">
      <w:pPr>
        <w:pStyle w:val="Normal"/>
        <w:jc w:val="left"/>
      </w:pPr>
      <w:r>
        <w:t xml:space="preserve">Restoration obligations arise where Rivermark Holdings has a legal or constructive duty to dismantle, remove, remediate, or restore assets, leased premises, service corridors, and operating locations at the end of their useful life or contractual term. These obligations commonly relate to industrial installations, warehousing and distribution sites, project-service compounds, utility connections, and facilities where permits or lease agreements require reinstatement of land, buildings, or equipment. The obligation is recognized when the disturbance giving rise to the duty occurs or when the relevant asset is installed and the Group becomes responsible for future restoration under law, contract, or established operational practice.</w:t>
      </w:r>
    </w:p>
    <w:p w14:paraId="00101297" w14:textId="00101298">
      <w:pPr>
        <w:pStyle w:val="Normal"/>
        <w:jc w:val="left"/>
      </w:pPr>
      <w:r>
        <w:t xml:space="preserve">The initial provision is measured as the present value of expected restoration cash flows and, where applicable, is capitalized as part of the carrying amount of the related asset. Expected cash flows are based on engineering studies, site assessments, contractor quotations, remediation standards, and management assumptions regarding the scope of required works. The estimate also reflects expected cost escalation over the period to settlement and assumptions about the method and sequence of closure activities. As operating plans evolve, assets are modified, or regulatory standards change, both the asset and the associated liability may be revised. Management reviews restoration obligations annually and more frequently when significant site changes, project exits, or environmental events indicate that the previous estimate no longer reflects the best current assessment.</w:t>
      </w:r>
    </w:p>
    <w:p w14:paraId="00101299" w14:textId="0010129A">
      <w:pPr>
        <w:pStyle w:val="Normal"/>
        <w:jc w:val="left"/>
      </w:pPr>
      <w:r>
        <w:t xml:space="preserve">Because restoration expenditures are often settled many years after the related obligation is first recognized, discounting can have a significant effect on the carrying amount. The provision is discounted using rates that reflect current market assessments of the time value of money and, where appropriate, risks specific to the obligation that have not already been incorporated into the cash-flow estimate. Changes in discount rates, inflation assumptions, closure schedules, technology choices, or regulatory requirements can increase or decrease the recognized liability and, for asset-linked obligations, may also adjust the carrying amount of the related property, plant, or equipment.</w:t>
      </w:r>
    </w:p>
    <w:p w14:paraId="0010129B" w14:textId="0010129C">
      <w:pPr>
        <w:pStyle w:val="Normal"/>
        <w:jc w:val="left"/>
      </w:pPr>
      <w:r>
        <w:t xml:space="preserve">Timing assumptions are particularly sensitive where the useful life of an asset depends on project awards, contract renewals, reserves utilization, site redevelopment plans, or the extension of lease terms. A deferral of closure activity may increase undiscounted costs through inflation but reduce present value in the near term, while an accelerated closure can have the opposite effect. The unwinding of the discount is recognized as a finance cost over the life of the obligation. Given the long-duration nature of these liabilities, actual restoration outcomes may differ from estimates because of changes in environmental standards, contractor markets, waste disposal requirements, contamination findings, or stakeholder expectations at the time remediation is carried out.</w:t>
      </w:r>
    </w:p>
    <w:p w14:paraId="0010129D" w14:textId="0010129E">
      <w:pPr>
        <w:pStyle w:val="Normal"/>
        <w:jc w:val="left"/>
      </w:pPr>
      <w:r>
        <w:t xml:space="preserve">8.2.3.1 Contingencies</w:t>
      </w:r>
    </w:p>
    <w:p w14:paraId="0010129F" w14:textId="001012A0">
      <w:pPr>
        <w:pStyle w:val="Normal"/>
        <w:jc w:val="left"/>
      </w:pPr>
      <w:r>
        <w:t xml:space="preserve">The Group is subject to contingent liabilities that arise from legal proceedings, regulatory reviews, indemnities, guarantees, tax exposures, and other matters where the existence of an obligation will be confirmed only by uncertain future events, or where a present obligation may exist but is not recognized because an outflow is not considered probable or cannot be measured reliably. These matters are evaluated through the same governance framework used for recognized provisions, with input from legal, finance, tax, compliance, and operational management. Disclosure is made when the possibility of outflow is more than remote and when such disclosure can be provided without seriously prejudicing the Group's position.</w:t>
      </w:r>
    </w:p>
    <w:p w14:paraId="001012A1" w14:textId="001012A2">
      <w:pPr>
        <w:pStyle w:val="Normal"/>
        <w:jc w:val="left"/>
      </w:pPr>
      <w:r>
        <w:t xml:space="preserve">Contingent liabilities differ from provisions in both recognition threshold and measurement certainty. In many cases, the underlying matter remains at an early stage, key facts are disputed, or the range of potential outcomes is too wide to support a reliable estimate. In other situations, management concludes that the probability of payment does not meet the recognition threshold, even though an adverse outcome cannot be ruled out. Rivermark Holdings does not recognize remote exposures or general operating risks as contingencies. Based on information available at the reporting date, management does not believe that the resolution of disclosed contingent liabilities, individually or in aggregate, is likely to result in a material adverse effect on the Group's consolidated financial position, although specific matters may give rise to volatility in a particular reporting period if circumstances change.</w:t>
      </w:r>
    </w:p>
    <w:p w14:paraId="001012A3" w14:textId="001012A4">
      <w:pPr>
        <w:pStyle w:val="Normal"/>
        <w:jc w:val="left"/>
      </w:pPr>
      <w:r>
        <w:t xml:space="preserve">The Group also has commitments that are not recognized as provisions because they represent future obligations to purchase goods or services, provide support under existing arrangements, or maintain capacity under approved programs rather than present obligations arising from past events. Such commitments include non-cancellable purchase orders, contracted professional and technical services, committed capital projects not yet delivered, take-or-pay arrangements, information technology implementation contracts, and certain guarantees or letters of support that have not been called. These commitments are entered into as part of normal operating and investment planning and are subject to authorization controls, procurement review, and periodic budget monitoring.</w:t>
      </w:r>
    </w:p>
    <w:p w14:paraId="001012A5" w14:textId="001012A6">
      <w:pPr>
        <w:pStyle w:val="Normal"/>
        <w:jc w:val="left"/>
      </w:pPr>
      <w:r>
        <w:t xml:space="preserve">Where the unavoidable costs of meeting a commitment exceed the expected economic benefits, the arrangement is assessed for onerous contract treatment and may give rise to a provision. Absent that condition, the commitment remains off balance sheet but may still be disclosed when relevant to understanding future cash requirements or risk exposure. Management monitors these commitments alongside liquidity forecasts, funding facilities, and segment capital plans to ensure that planned outflows remain supportable under base-case and stress scenarios. The distinction between commitments and provisions is important in interpreting the statement of financial position: provisions reflect present obligations existing at year end, whereas commitments indicate future contracted spending or support arrangements that are expected to be met through ongoing operations and available financial resources.</w:t>
      </w:r>
    </w:p>
    <w:p w14:paraId="001012A7" w14:textId="001012A8">
      <w:pPr>
        <w:pStyle w:val="Normal"/>
        <w:jc w:val="left"/>
      </w:pPr>
      <w:r>
        <w:t xml:space="preserve">8.2.3.1.2 Legal Contingencies</w:t>
      </w:r>
    </w:p>
    <w:p w14:paraId="001012A9" w14:textId="001012AC">
      <w:pPr>
        <w:pStyle w:val="Normal"/>
        <w:jc w:val="left"/>
      </w:pPr>
      <w:r>
        <w:t xml:space="preserve">The group remains exposed to legal proceedings and claims arising in the ordinary course of business, including customer disputes, supplier claims, employment matters, and regulatory inquiries. At the reporting date, management has assessed each significant matter individually and in aggregate, taking account of legal advice, procedural status, available evidence, and the probability of an outflow. Where a present obligation is probable and can be measured reliably, a provision has been </w:t>
      </w:r>
      <w:r>
        <w:t xml:space="preserve">recognized; where that threshold has not been met</w:t>
      </w:r>
      <w:r>
        <w:t xml:space="preserve">, the matter is disclosed as a contingent liability or monitored as a remote exposure. The most significant cases are at different stages of process, and the outcome of any one matter cannot be predicted with precision because settlement discussions, evidentiary rulings, and agency review can alter the eventual timing and amount.</w:t>
      </w:r>
    </w:p>
    <w:p w14:paraId="001012AD" w14:textId="001012B0">
      <w:pPr>
        <w:pStyle w:val="Normal"/>
        <w:jc w:val="left"/>
      </w:pPr>
      <w:r>
        <w:t xml:space="preserve">Several regulatory matters remain under review by relevant authorities, including periodic examinations, information requests, and one enforcement file that is progressing through the administrative process. The group has cooperated with requests for documents and interviews, strengthened its internal remediation plan, and booked accruals where counsel concluded that an obligation was probable and estimable. Other matters are in preliminary stages and no penalty has been asserted. Management does not expect the unresolved files to disrupt the continuity of operations, but the timing of closure may extend beyond one reporting cycle, particularly where the authority’s review depends on third-party records or where multiple subsidiaries are involved in the same fact pattern. The disclosure is based on facts known at </w:t>
      </w:r>
      <w:r>
        <w:t xml:space="preserve">the authorization date</w:t>
      </w:r>
      <w:r>
        <w:t xml:space="preserve"> and may change as those matters advance.</w:t>
      </w:r>
    </w:p>
    <w:p w14:paraId="001012B1" w14:textId="001012B2">
      <w:pPr>
        <w:pStyle w:val="Normal"/>
        <w:jc w:val="left"/>
      </w:pPr>
      <w:r>
        <w:t xml:space="preserve">8.2.3.1.2 Other Commitments</w:t>
      </w:r>
    </w:p>
    <w:p w14:paraId="001012B3" w14:textId="001012B6">
      <w:pPr>
        <w:pStyle w:val="Normal"/>
        <w:jc w:val="left"/>
      </w:pPr>
      <w:r>
        <w:t xml:space="preserve">The group issues guarantees and undertakings in connection with customer contracts, project performance, operating leases, and selected financing arrangements. These commitments are entered into only after credit, operational, and legal review, and their purpose is to support </w:t>
      </w:r>
      <w:r>
        <w:t xml:space="preserve">commercial execution</w:t>
      </w:r>
      <w:r>
        <w:t xml:space="preserve"> rather than to provide stand-alone financing. Maximum exposure is generally limited to the contractual amount of the guarantee, although actual cash outflow is usually materially lower because claims must first satisfy specified conditions, cure periods, or proof-of-loss requirements. The group monitors these instruments alongside its broader contingent liability register so that any deterioration in counterparty performance, project completion risk, or collateral coverage is identified early. No material commitment has been issued outside approved authority limits during the year.</w:t>
      </w:r>
    </w:p>
    <w:p w14:paraId="001012B7" w14:textId="001012BA">
      <w:pPr>
        <w:pStyle w:val="Normal"/>
        <w:jc w:val="left"/>
      </w:pPr>
      <w:r>
        <w:t xml:space="preserve">Contractual support exposures include performance bonds, parent-company guarantees, indemnities, and similar support instruments issued for subsidiaries and project vehicles. The group treats these arrangements as part of its normal operating toolkit, but it does not consider the full face amount to be a fair estimate of economic outflow because many exposures expire unused, are released on completion, or are reduced by collateral and offsetting rights. Management reviews the ageing of outstanding support instruments, concentration by counterparty, and the underlying project or customer credit standing, and escalates any item that shows signs of delay, dispute, or noncompliance. At the reporting date, </w:t>
      </w:r>
      <w:r>
        <w:t xml:space="preserve">no support exposure was identified</w:t>
      </w:r>
      <w:r>
        <w:t xml:space="preserve"> that required a separate liability beyond amounts already recognized under the applicable standards.</w:t>
      </w:r>
    </w:p>
    <w:p w14:paraId="001012BB" w14:textId="001012BC">
      <w:pPr>
        <w:pStyle w:val="Normal"/>
        <w:jc w:val="left"/>
      </w:pPr>
      <w:r>
        <w:t xml:space="preserve">8.2.3 Income Taxes</w:t>
      </w:r>
    </w:p>
    <w:p w14:paraId="001012BD" w14:textId="001012C0">
      <w:pPr>
        <w:pStyle w:val="Normal"/>
        <w:jc w:val="left"/>
      </w:pPr>
      <w:r>
        <w:t xml:space="preserve">The group records </w:t>
      </w:r>
      <w:r>
        <w:t xml:space="preserve">current and deferred tax</w:t>
      </w:r>
      <w:r>
        <w:t xml:space="preserve"> in line with the jurisdictions in which it operates, with the consolidated tax charge reflecting a mix of statutory rates, local incentives, non-deductible items, and losses in entities where recognition criteria are not met. The overall balance is affected by the geographical distribution of profit, the timing of deductible expenditure, and prior-year assessments that settle during the period. Deferred tax arises principally on temporary differences relating to property and equipment, lease liabilities, provisions, and share-based payments, together with tax losses carried forward where future taxable profit is expected. The tax note therefore bridges accounting profit and the tax charge recorded in the statements, while also explaining the principal movements in the opening and closing tax balances.</w:t>
      </w:r>
    </w:p>
    <w:p w14:paraId="001012C1" w14:textId="001012C4">
      <w:pPr>
        <w:pStyle w:val="Normal"/>
        <w:jc w:val="left"/>
      </w:pPr>
      <w:r>
        <w:t xml:space="preserve">Tax expense is sensitive to the mix of earnings across jurisdictions, to the use of tax attributes, and to the extent that expenses are deductible when incurred rather than when paid. Management reviews each reporting period for changes in enacted rates, filing positions, and the </w:t>
      </w:r>
      <w:r>
        <w:t xml:space="preserve">recoverability of deferred tax assets</w:t>
      </w:r>
      <w:r>
        <w:t xml:space="preserve">, particularly where a business has experienced cyclical earnings or restructuring costs. Judgments are required in assessing whether future taxable profits will be sufficient to use losses and credits before expiry, and those judgments are revisited against the latest operating plan, forecast cash flows, and external market conditions. The effective tax rate should therefore be read as an outcome of both current-year profitability and the timing of balance sheet reversals, not as a simple proxy for the statutory rate in any single jurisdiction.</w:t>
      </w:r>
    </w:p>
    <w:p w14:paraId="001012C5" w14:textId="001012C6">
      <w:pPr>
        <w:pStyle w:val="Normal"/>
        <w:jc w:val="left"/>
      </w:pPr>
      <w:r>
        <w:t xml:space="preserve">8.2.3.2 Tax Expense</w:t>
      </w:r>
    </w:p>
    <w:p w14:paraId="001012C7" w14:textId="001012CA">
      <w:pPr>
        <w:pStyle w:val="Normal"/>
        <w:jc w:val="left"/>
      </w:pPr>
      <w:r>
        <w:t xml:space="preserve">The reconciliation of tax expense to accounting profit begins with profit before tax, applies the </w:t>
      </w:r>
      <w:r>
        <w:t xml:space="preserve">weighted average statutory rates</w:t>
      </w:r>
      <w:r>
        <w:t xml:space="preserve"> in the relevant territories, and then adjusts for permanent differences, non-taxable income, disallowable costs, withholding taxes, and prior-period items. This basis explains why the consolidated effective tax rate can differ from headline rates even when the underlying business mix is stable. In the current year, the largest reconciling items were driven by jurisdictional earnings mix and the tax treatment of restructuring and integration costs. Management uses the reconciliation to identify unusual items, to test whether filing positions remain supportable, and to confirm that any tax benefit recognized is consistent with both enacted legislation and the group’s forecast taxable profile.</w:t>
      </w:r>
    </w:p>
    <w:p w14:paraId="001012CB" w14:textId="001012CE">
      <w:pPr>
        <w:pStyle w:val="Normal"/>
        <w:jc w:val="left"/>
      </w:pPr>
      <w:r>
        <w:t xml:space="preserve">The </w:t>
      </w:r>
      <w:r>
        <w:t xml:space="preserve">current and deferred split</w:t>
      </w:r>
      <w:r>
        <w:t xml:space="preserve"> reflects the different timing of tax payments and the recognition of tax effects in the financial statements. Current tax represents the amount payable or recoverable in respect of the current reporting period and prior periods, after taking account of installment payments, withholding taxes, and assessments already received. Deferred tax captures the future tax consequences of temporary differences and unused losses, including movements arising from depreciation, lease accounting, provisions, and fair value adjustments. The balance sheet therefore contains both near-term settlement items and longer-dated tax positions, and the movement analysis should be read together with the tax expense reconciliation to understand why the charge in profit or loss does not match cash tax paid in the year.</w:t>
      </w:r>
    </w:p>
    <w:p w14:paraId="001012CF" w14:textId="001012D0">
      <w:pPr>
        <w:pStyle w:val="Normal"/>
        <w:jc w:val="left"/>
      </w:pPr>
      <w:r>
        <w:t xml:space="preserve">8.2.3.2.1 Current Tax</w:t>
      </w:r>
    </w:p>
    <w:p w14:paraId="001012D1" w14:textId="001012D2">
      <w:pPr>
        <w:pStyle w:val="Normal"/>
        <w:jc w:val="left"/>
      </w:pPr>
      <w:r>
        <w:t xml:space="preserve">Current tax expense reflects income taxes payable on taxable profits generated during the year, adjusted for prior-period true-ups, withholding taxes on intra-group distributions, and the effect of changes in assessments following agreement with revenue authorities. Rivermark Holdings recognized current tax charges primarily in jurisdictions where Industrial Solutions and Consumer Platforms delivered the strongest taxable earnings, while lower taxable profit in selected Infrastructure Services contracts moderated the overall charge. Cash tax paid during the year differed from the accounting current tax expense because payment timing follows local filing cycles, installment regimes, and the settlement of prior-year balances rather than the reporting period alone.</w:t>
      </w:r>
    </w:p>
    <w:p w14:paraId="001012D3" w14:textId="001012D4">
      <w:pPr>
        <w:pStyle w:val="Normal"/>
        <w:jc w:val="left"/>
      </w:pPr>
      <w:r>
        <w:t xml:space="preserve">During the year, the group continued to manage its tax profile through legal-entity funding alignment, utilization of available deductions, and disciplined transfer-pricing documentation. Current tax payments were concentrated in Rivermark Core Markets, Coastline Trade Zone, and Northern Basin operations, with refunds and offset credits arising in entities that incurred deductible investment spending or temporary startup losses. The resulting current tax position remains consistent with the geographic distribution of taxable profit and the maturity of the group’s operating footprint. Management considers current tax charges and payments to be broadly sustainable in relation to normalized earnings, while noting that quarter-to-quarter cash settlement patterns may remain uneven because of advance payment requirements and final assessment timing.</w:t>
      </w:r>
    </w:p>
    <w:p w14:paraId="001012D5" w14:textId="001012D6">
      <w:pPr>
        <w:pStyle w:val="Normal"/>
        <w:jc w:val="left"/>
      </w:pPr>
      <w:r>
        <w:t xml:space="preserve">Cash tax effects varied materially by jurisdiction. In higher-margin operating territories, tax installments increased ahead of final assessments because current-year profitability improved more quickly than prior-year assessed bases. In expansion markets, especially those supporting new logistics capacity and digital platform build-out, cash taxes were reduced by accelerated capital allowances, carryforward losses, and investment credits that are realized through returns or offset mechanisms rather than through the income statement alone.</w:t>
      </w:r>
    </w:p>
    <w:p w14:paraId="001012D7" w14:textId="001012D8">
      <w:pPr>
        <w:pStyle w:val="Normal"/>
        <w:jc w:val="left"/>
      </w:pPr>
      <w:r>
        <w:t xml:space="preserve">Several territories also produced timing differences between booked current tax and cash paid. Certain jurisdictions require minimum turnover-based prepayments, while others permit extended settlement after statutory filing, creating temporary mismatches in period-end accruals. Rivermark Holdings also settled a limited number of historical matters with tax authorities during the year; these settlements affected cash taxes but had only a modest impact on current-year tax expense because related provisions had been recognized previously. Management monitors these jurisdictional patterns to support liquidity planning, dividend capacity, and covenant forecasting, and does not currently identify any single tax territory as creating a disproportionate short-term cash outflow risk.</w:t>
      </w:r>
    </w:p>
    <w:p w14:paraId="001012D9" w14:textId="001012DA">
      <w:pPr>
        <w:pStyle w:val="Normal"/>
        <w:jc w:val="left"/>
      </w:pPr>
      <w:r>
        <w:t xml:space="preserve">8.2.3.2.1 Deferred Tax</w:t>
      </w:r>
    </w:p>
    <w:p w14:paraId="001012DB" w14:textId="001012DC">
      <w:pPr>
        <w:pStyle w:val="Normal"/>
        <w:jc w:val="left"/>
      </w:pPr>
      <w:r>
        <w:t xml:space="preserve">Deferred tax arises from temporary differences between the carrying amounts of assets and liabilities in the consolidated financial statements and their corresponding tax bases, together with the recognition of tax losses and credits that are probable of utilization against future taxable profit. During the year, deferred tax movements were driven chiefly by accelerated depreciation on production assets, lease accounting differences, provisions recognized earlier for accounting than for tax, and the amortization profile of acquired intangible assets from prior business combinations.</w:t>
      </w:r>
    </w:p>
    <w:p w14:paraId="001012DD" w14:textId="001012DE">
      <w:pPr>
        <w:pStyle w:val="Normal"/>
        <w:jc w:val="left"/>
      </w:pPr>
      <w:r>
        <w:t xml:space="preserve">The most significant increases in deferred tax liabilities related to property, plant and equipment in jurisdictions where tax depreciation rates differ from accounting depreciation patterns, and to customer-relationship intangibles recognized on acquisition. Offsetting deferred tax assets increased in respect of employee benefits, restructuring provisions, impairment-related deductions not yet claimed, and tax losses in developing operations. Foreign exchange remeasurement on tax bases and enacted tax-rate changes in selected markets also contributed to movement in the net deferred tax position. Management reviews temporary differences by legal entity and tax group, and recognizes deferred tax assets only to the extent that future taxable profits or reversing taxable temporary differences are expected to support recovery within a reasonable planning horizon.</w:t>
      </w:r>
    </w:p>
    <w:p w14:paraId="001012DF" w14:textId="001012E0">
      <w:pPr>
        <w:pStyle w:val="Normal"/>
        <w:jc w:val="left"/>
      </w:pPr>
      <w:r>
        <w:t xml:space="preserve">The closing deferred tax balance reflects a mix of recurring operating differences and transaction-specific items. Liability balances remain concentrated in jurisdictions with substantial fixed-asset intensity, acquired intangible assets, and profit profiles that accelerate tax deductions differently from accounting recognition. Asset balances are concentrated in entities with deductible provisions, lease liabilities, pension-related obligations, and carryforward losses generated during investment or restructuring phases.</w:t>
      </w:r>
    </w:p>
    <w:p w14:paraId="001012E1" w14:textId="001012E2">
      <w:pPr>
        <w:pStyle w:val="Normal"/>
        <w:jc w:val="left"/>
      </w:pPr>
      <w:r>
        <w:t xml:space="preserve">Movements during the year were also influenced by the partial utilization of previously recognized tax losses, the release of deferred tax liabilities as intangible assets amortized, and the reassessment of recoverability for certain deferred tax assets where earnings visibility improved. Conversely, a small number of deferred tax assets were constrained where forecast taxable profits were delayed by slower contract conversion or softer consumer demand assumptions. Deferred tax is measured using enacted or substantively enacted rates expected to apply when temporary differences reverse. The group does not discount deferred tax balances, and offsets assets and liabilities only where there is a legally enforceable right to offset current tax amounts and the balances relate to the same taxation authority.</w:t>
      </w:r>
    </w:p>
    <w:p w14:paraId="001012E3" w14:textId="001012E4">
      <w:pPr>
        <w:pStyle w:val="Normal"/>
        <w:jc w:val="left"/>
      </w:pPr>
      <w:r>
        <w:t xml:space="preserve">8.2.3.2 Tax Judgments</w:t>
      </w:r>
    </w:p>
    <w:p w14:paraId="001012E5" w14:textId="001012E6">
      <w:pPr>
        <w:pStyle w:val="Normal"/>
        <w:jc w:val="left"/>
      </w:pPr>
      <w:r>
        <w:t xml:space="preserve">The preparation of the group’s income tax disclosures requires judgment in areas where tax law is complex, evolving, or dependent on future events. Management assesses filing positions, interpretive questions, transfer-pricing arrangements, the allocation of profit among jurisdictions, and the extent to which historical transactions may be challenged by tax authorities. These judgments affect both current tax and deferred tax balances, particularly where the tax treatment of deductions, incentive regimes, withholding structures, or cross-border financing arrangements is not resolved at the reporting date.</w:t>
      </w:r>
    </w:p>
    <w:p w14:paraId="001012E7" w14:textId="001012E8">
      <w:pPr>
        <w:pStyle w:val="Normal"/>
        <w:jc w:val="left"/>
      </w:pPr>
      <w:r>
        <w:t xml:space="preserve">Rivermark Holdings applies a consistent framework to uncertain tax matters by identifying the technical merits of each position, evaluating the probability of acceptance, and estimating the most likely outcome or expected value based on the nature of the exposure. The assessment incorporates external advice, prior audit experience, correspondence with authorities, and developments in case law or administrative practice. Because tax examinations can extend over several years, final outcomes may differ from the amounts initially recognized. When facts change or matters are resolved, provisions are adjusted in the period of reassessment. Management believes that recognized tax judgments appropriately reflect the best estimate of the group’s obligations at year end while acknowledging that inherent estimation uncertainty remains in a number of cross-border and timing-related matters.</w:t>
      </w:r>
    </w:p>
    <w:p w14:paraId="001012E9" w14:textId="001012EA">
      <w:pPr>
        <w:pStyle w:val="Normal"/>
        <w:jc w:val="left"/>
      </w:pPr>
      <w:r>
        <w:t xml:space="preserve">Assessment of deferred tax asset recoverability is grounded in forecasts of future taxable profit prepared at legal-entity or tax-group level, depending on the applicable filing framework. These forecasts are aligned with board-approved operating plans and consider expected revenue growth, margin recovery, contract backlog, financing costs, and the scheduled reversal of existing taxable temporary differences. The analysis also considers statutory limits on carryforward periods, restrictions on the transfer of losses between entities, and local rules governing the use of credits and deductions.</w:t>
      </w:r>
    </w:p>
    <w:p w14:paraId="001012EB" w14:textId="001012EC">
      <w:pPr>
        <w:pStyle w:val="Normal"/>
        <w:jc w:val="left"/>
      </w:pPr>
      <w:r>
        <w:t xml:space="preserve">In applying this assessment, management distinguishes between operations with established earnings histories and operations still in development or recovery. Deferred tax assets are more readily recognized where there is convincing evidence of recurring taxable profit or where reversal of deferred tax liabilities provides a clear source of utilization. In contrast, entities exposed to cyclical demand, regulatory uncertainty, or recent restructuring require more cautious assumptions and, in some cases, partial recognition only. Sensitivity testing is performed on profit trajectories and timing of reversals to determine whether recoverability remains supportable under reasonably possible downside scenarios. This process is particularly important in newer market platforms and contract-driven businesses, where taxable profit can shift materially with project timing or customer demand patterns.</w:t>
      </w:r>
    </w:p>
    <w:p w14:paraId="001012ED" w14:textId="001012EE">
      <w:pPr>
        <w:pStyle w:val="Normal"/>
        <w:jc w:val="left"/>
      </w:pPr>
      <w:r>
        <w:t xml:space="preserve">8.2.3.2.2 Uncertain Positions</w:t>
      </w:r>
    </w:p>
    <w:p w14:paraId="001012EF" w14:textId="001012F0">
      <w:pPr>
        <w:pStyle w:val="Normal"/>
        <w:jc w:val="left"/>
      </w:pPr>
      <w:r>
        <w:t xml:space="preserve">Uncertain tax positions arise where the group has adopted a filing treatment that may be subject to interpretation, challenge, or negotiation with tax authorities. At year end, Rivermark Holdings’ principal exposures related to transfer-pricing allocations for cross-border services and intellectual property support, deductibility of integration and restructuring costs, characterization of selected capital expenditures, and indirect tax treatment on multi-jurisdiction customer arrangements. For each matter, management considered the relevant legislation, available precedent, and the status of ongoing reviews when determining the provision required.</w:t>
      </w:r>
    </w:p>
    <w:p w14:paraId="001012F1" w14:textId="001012F2">
      <w:pPr>
        <w:pStyle w:val="Normal"/>
        <w:jc w:val="left"/>
      </w:pPr>
      <w:r>
        <w:t xml:space="preserve">Resolution of these exposures is expected to occur over different time horizons. Some matters are in routine audit and may be settled within the next twelve to eighteen months through provision of supporting documentation or agreement on revised assessments. Others involve broader technical interpretations and may remain open until administrative appeal rights are exhausted. Where it is probable that an outflow will occur and the amount can be estimated reliably, a provision has been recorded. Where the likelihood of payment is less certain, the matter is monitored as a contingent exposure until further evidence becomes available. Although the ultimate amount paid may differ from recognized balances, management does not expect the resolution of current uncertain positions, individually or in aggregate, to have a material adverse effect on the group’s long-term financial resilience.</w:t>
      </w:r>
    </w:p>
    <w:p w14:paraId="001012F3" w14:textId="001012F4">
      <w:pPr>
        <w:pStyle w:val="Normal"/>
        <w:jc w:val="left"/>
      </w:pPr>
      <w:r>
        <w:t xml:space="preserve">Tax authorities continue to place increased emphasis on substance, transfer pricing, data consistency across returns, and the alignment of local profit outcomes with value-creating activities. As a result, tax audits now involve more extensive information requests, wider review periods, and greater use of digital analytics. In this environment, management’s judgments are most challenged where legal interpretation intersects with commercial complexity, particularly in shared-service arrangements, cross-border procurement models, financing structures, and the allocation of acquisition-related costs.</w:t>
      </w:r>
    </w:p>
    <w:p w14:paraId="001012F5" w14:textId="001012F6">
      <w:pPr>
        <w:pStyle w:val="Normal"/>
        <w:jc w:val="left"/>
      </w:pPr>
      <w:r>
        <w:t xml:space="preserve">Rivermark Holdings responds to this challenge through contemporaneous documentation, formal governance review, and periodic reassessment of open positions. Significant matters are escalated to group tax leadership and, where appropriate, reviewed with the Audit and Risk Committee. External specialist advice is obtained for jurisdictions with novel legislation or where disputes indicate a higher range of plausible outcomes. In measuring provisions, management considers not only the technical strength of the position but also procedural factors such as audit scope, available evidence, and historical settlement behavior of the relevant authority. This approach does not eliminate uncertainty, but it improves consistency in recognition and disclosure and supports a balanced view of potential resolution outcomes at the reporting date.</w:t>
      </w:r>
    </w:p>
    <w:p w14:paraId="001012F7" w14:textId="001012F8">
      <w:pPr>
        <w:pStyle w:val="Normal"/>
        <w:jc w:val="left"/>
      </w:pPr>
      <w:r>
        <w:t xml:space="preserve">8.2.3.2.2 Tax Recoverability</w:t>
      </w:r>
    </w:p>
    <w:p w14:paraId="001012F9" w14:textId="001012FA">
      <w:pPr>
        <w:pStyle w:val="Normal"/>
        <w:jc w:val="left"/>
      </w:pPr>
      <w:r>
        <w:t xml:space="preserve">Deferred tax assets are recognized only to the extent that it is probable that future taxable profits will be available against which deductible temporary differences, unused tax losses, and tax credits can be utilized. At Rivermark Holdings, this assessment is performed by tax jurisdiction and, where relevant, by legal entity or tax group, because the ability to offset losses and deductions depends on the specific tax rules applicable in each territory. Recognition therefore reflects not only the existence of deductible amounts at the reporting date, but also the expected pattern of future taxable earnings, reversal of taxable temporary differences, and the period over which losses remain available.</w:t>
      </w:r>
    </w:p>
    <w:p w14:paraId="001012FB" w14:textId="001012FC">
      <w:pPr>
        <w:pStyle w:val="Normal"/>
        <w:jc w:val="left"/>
      </w:pPr>
      <w:r>
        <w:t xml:space="preserve">The largest recognized deferred tax assets within the Group relate to provisions not yet deductible for tax, lease liabilities, employee benefit obligations, and tax losses generated in businesses that have returned to stable profitability or are expected to do so under approved operating plans. Assets are not recognized for losses where the recovery case is insufficiently supported, where utilization periods are short relative to forecast earnings visibility, or where structural changes in the market create uncertainty over the timing of taxable profit generation. The recognition decision therefore involves judgment, particularly in businesses undergoing integration, restructuring, or portfolio repositioning.</w:t>
      </w:r>
    </w:p>
    <w:p w14:paraId="001012FD" w14:textId="001012FE">
      <w:pPr>
        <w:pStyle w:val="Normal"/>
        <w:jc w:val="left"/>
      </w:pPr>
      <w:r>
        <w:t xml:space="preserve">Management reviews deferred tax asset balances at each reporting date. Where performance improves and forecast utilization becomes better supported, additional assets may be recognized; where conditions weaken, previously recognized amounts may be reduced. This disciplined approach is intended to ensure that recognized tax assets remain supportable, balanced, and consistent with the Group’s broader assumptions used in impairment testing, budgeting, and capital planning.</w:t>
      </w:r>
    </w:p>
    <w:p w14:paraId="001012FF" w14:textId="00101300">
      <w:pPr>
        <w:pStyle w:val="Normal"/>
        <w:jc w:val="left"/>
      </w:pPr>
      <w:r>
        <w:t xml:space="preserve">Support for deferred tax asset recovery is derived from jurisdiction-specific forecasts approved through the Group’s annual planning cycle and updated where subsequent events indicate a material change in outlook. These forecasts incorporate expected revenue development, operating margins, financing structure, and the anticipated reversal profile of temporary differences. In assessing recoverability, Rivermark Holdings places greater evidential weight on objectively supportable factors, including recent taxable profit history, executed customer contracts, backlog in Infrastructure Services, recurring subscription and retention patterns in Consumer Platforms, and identifiable cost actions already under implementation.</w:t>
      </w:r>
    </w:p>
    <w:p w14:paraId="00101301" w14:textId="00101302">
      <w:pPr>
        <w:pStyle w:val="Normal"/>
        <w:jc w:val="left"/>
      </w:pPr>
      <w:r>
        <w:t xml:space="preserve">Forecast periods generally extend over the medium-term business plan horizon, with utilization beyond that period considered only where tax law permits long carryforward periods and the underlying business has a demonstrated record of generating taxable income through economic cycles. Recovery assessments also consider tax planning opportunities that are prudent, lawful, and consistent with normal business operations, but no recognition is based on hypothetical transactions lacking commercial substance. For entities emerging from prior-year losses, the threshold for recognition is higher and typically requires evidence of sustained earnings improvement rather than a single year of favorable performance.</w:t>
      </w:r>
    </w:p>
    <w:p w14:paraId="00101303" w14:textId="00101304">
      <w:pPr>
        <w:pStyle w:val="Normal"/>
        <w:jc w:val="left"/>
      </w:pPr>
      <w:r>
        <w:t xml:space="preserve">Where the available evidence does not sufficiently support probable recovery, deferred tax assets are either not recognized or are recognized only in part. This results in a measured presentation in which tax assets reflect realizable value rather than nominal deductible balances, reducing the risk of future reversals arising solely from overly optimistic assumptions.</w:t>
      </w:r>
    </w:p>
    <w:p w14:paraId="00101305" w14:textId="00101306">
      <w:pPr>
        <w:pStyle w:val="Normal"/>
        <w:jc w:val="left"/>
      </w:pPr>
      <w:r>
        <w:t xml:space="preserve">8. Equity and People Notes</w:t>
      </w:r>
    </w:p>
    <w:p w14:paraId="00101307" w14:textId="00101308">
      <w:pPr>
        <w:pStyle w:val="Normal"/>
        <w:jc w:val="left"/>
      </w:pPr>
      <w:r>
        <w:t xml:space="preserve">This section explains how Rivermark Holdings accounts for the instruments and obligations that connect ownership, employee participation, and management incentives. It brings together disclosures on share capital, reserves, dividends, and share-based payments with the Group’s remuneration, pension, and related-party note set so that readers can understand both the sources of equity financing and the principal people-related commitments that affect reported performance and cash flow.</w:t>
      </w:r>
    </w:p>
    <w:p w14:paraId="00101309" w14:textId="0010130A">
      <w:pPr>
        <w:pStyle w:val="Normal"/>
        <w:jc w:val="left"/>
      </w:pPr>
      <w:r>
        <w:t xml:space="preserve">The notes are designed to show how movements in equity arise from more than profit for the year alone. Changes may also reflect dividend distributions, treasury share activity, share-based payment charges, actuarial movements recognized in other comprehensive income, and transactions with noncontrolling interests. On the people side, the disclosures describe how the Group rewards and retains leadership and broader employee populations, including the balance between fixed compensation, annual incentives, and longer-term equity-linked awards intended to support strategic execution and shareholder alignment.</w:t>
      </w:r>
    </w:p>
    <w:p w14:paraId="0010130B" w14:textId="0010130C">
      <w:pPr>
        <w:pStyle w:val="Normal"/>
        <w:jc w:val="left"/>
      </w:pPr>
      <w:r>
        <w:t xml:space="preserve">Taken together, these notes provide a bridge between the primary statements and the governance discussion elsewhere in the report. They clarify what rights attach to issued shares, how incentive arrangements dilute or preserve value, which employment-related obligations remain outstanding at year end, and how these matters are governed through approval processes, valuation methodologies, and disclosure controls.</w:t>
      </w:r>
    </w:p>
    <w:p w14:paraId="0010130D" w14:textId="0010130E">
      <w:pPr>
        <w:pStyle w:val="Normal"/>
        <w:jc w:val="left"/>
      </w:pPr>
      <w:r>
        <w:t xml:space="preserve">The capital and remuneration disclosures should be read in conjunction with the consolidated statement of changes in equity, the corporate governance section, and the risk management discussion. Rivermark Holdings manages capital with the objective of preserving strategic flexibility, maintaining access to funding, and supporting sustainable distributions while retaining the capacity to invest across Industrial Solutions, Consumer Platforms, and Infrastructure Services. The Group does not manage capital to a single statutory metric; instead, it monitors a combination of leverage, liquidity headroom, interest cover, covenant capacity, and return thresholds when determining dividend recommendations, share actions, and incentive pool affordability.</w:t>
      </w:r>
    </w:p>
    <w:p w14:paraId="0010130F" w14:textId="00101310">
      <w:pPr>
        <w:pStyle w:val="Normal"/>
        <w:jc w:val="left"/>
      </w:pPr>
      <w:r>
        <w:t xml:space="preserve">Remuneration arrangements are structured within this capital framework. Fixed pay supports attraction and retention of critical talent, annual incentives reflect delivery against operational and financial targets, and long-term awards are intended to align executives and selected managers with multi-year value creation. Equity-settled plans are used selectively to reinforce ownership alignment without creating undue dilution, while vesting conditions incorporate service and, where relevant, performance measures linked to profitability, cash generation, safety, or strategic milestones.</w:t>
      </w:r>
    </w:p>
    <w:p w14:paraId="00101311" w14:textId="00101312">
      <w:pPr>
        <w:pStyle w:val="Normal"/>
        <w:jc w:val="left"/>
      </w:pPr>
      <w:r>
        <w:t xml:space="preserve">These notes therefore address not only accounting recognition and measurement, but also the broader context in which capital is deployed and people are rewarded. Understanding that context is important because decisions on dividends, buybacks, and equity incentives influence both shareholder returns and the Group’s ability to fund growth, absorb volatility, and sustain competitive capability over time.</w:t>
      </w:r>
    </w:p>
    <w:p w14:paraId="00101313" w14:textId="00101314">
      <w:pPr>
        <w:pStyle w:val="Normal"/>
        <w:jc w:val="left"/>
      </w:pPr>
      <w:r>
        <w:t xml:space="preserve">8.3 Equity and Share-Based Payments</w:t>
      </w:r>
    </w:p>
    <w:p w14:paraId="00101315" w14:textId="00101316">
      <w:pPr>
        <w:pStyle w:val="Normal"/>
        <w:jc w:val="left"/>
      </w:pPr>
      <w:r>
        <w:t xml:space="preserve">The equity movement disclosures in this subsection explain how balances within shareholders’ equity changed during the reporting period and which transactions affected those balances. For Rivermark Holdings, equity movements include profit attributable to owners, other comprehensive income items, dividend distributions, changes arising from treasury share transactions, and the accounting impact of share-based payment arrangements. The purpose of the disclosure is to distinguish routine performance-related movements from financing or ownership changes so that readers can assess both value creation and capital stewardship.</w:t>
      </w:r>
    </w:p>
    <w:p w14:paraId="00101317" w14:textId="00101318">
      <w:pPr>
        <w:pStyle w:val="Normal"/>
        <w:jc w:val="left"/>
      </w:pPr>
      <w:r>
        <w:t xml:space="preserve">Particular attention is given to reserves because reserve movements often capture items that do not pass through profit or loss in the same period as the underlying economic event. These may include foreign currency translation differences, remeasurements of defined benefit plans, fair value movements recognized in other comprehensive income, and the equity component of long-term incentive awards. The note also explains the rights attached to issued shares, any restrictions relevant to distributions, and the way in which dividend decisions interact with retained earnings and broader capital management priorities.</w:t>
      </w:r>
    </w:p>
    <w:p w14:paraId="00101319" w14:textId="0010131A">
      <w:pPr>
        <w:pStyle w:val="Normal"/>
        <w:jc w:val="left"/>
      </w:pPr>
      <w:r>
        <w:t xml:space="preserve">Share-based payment disclosures complement this analysis by showing how employee participation plans create compensation expense over the vesting period while also affecting equity. The subsection therefore provides a coherent picture of the relationship between ownership structure, capital returns, and incentive design, helping readers understand how accounting entries connect with governance decisions and long-term shareholder alignment.</w:t>
      </w:r>
    </w:p>
    <w:p w14:paraId="0010131B" w14:textId="0010131C">
      <w:pPr>
        <w:pStyle w:val="Normal"/>
        <w:jc w:val="left"/>
      </w:pPr>
      <w:r>
        <w:t xml:space="preserve">Rivermark Holdings’ capital base comprises ordinary shares, retained earnings, and accumulated reserves, supported by a disciplined approach to distributions and selective use of equity-linked incentives. During the year, the Group maintained its ordinary share structure without introducing a new class of voting equity, preserving comparability in earnings per share, voting rights, and dividend participation. Any treasury share activity is undertaken for limited purposes, primarily to satisfy employee share plan obligations or manage dilution arising from vested awards, rather than as a recurring balance-sheet management tool.</w:t>
      </w:r>
    </w:p>
    <w:p w14:paraId="0010131D" w14:textId="0010131E">
      <w:pPr>
        <w:pStyle w:val="Normal"/>
        <w:jc w:val="left"/>
      </w:pPr>
      <w:r>
        <w:t xml:space="preserve">The Group’s share-based award plans are designed to support attraction, retention, and performance alignment across key leadership and specialist populations. Awards generally take the form of conditional rights or options over ordinary shares and vest over multi-year periods subject to continued service and, for certain participants, achievement of performance conditions. These conditions are selected to reflect durable value creation rather than short-term market movements alone, and may include measures such as cumulative earnings, cash generation, return performance, and strategic delivery milestones.</w:t>
      </w:r>
    </w:p>
    <w:p w14:paraId="0010131F" w14:textId="00101320">
      <w:pPr>
        <w:pStyle w:val="Normal"/>
        <w:jc w:val="left"/>
      </w:pPr>
      <w:r>
        <w:t xml:space="preserve">From an accounting perspective, equity-settled awards are measured at grant-date fair value and recognized as an employee expense over the vesting period, with a corresponding increase in equity. Management estimates expected vesting based on current information and revises forfeiture assumptions where appropriate. This approach enables the note to capture both the economic purpose of the plans and their financial reporting effect, including potential dilution, reserve movements, and the timing of expense recognition.</w:t>
      </w:r>
    </w:p>
    <w:p w14:paraId="00101321" w14:textId="00101322">
      <w:pPr>
        <w:pStyle w:val="Normal"/>
        <w:jc w:val="left"/>
      </w:pPr>
      <w:r>
        <w:t xml:space="preserve">8.3.1 Share Capital</w:t>
      </w:r>
    </w:p>
    <w:p w14:paraId="00101323" w14:textId="00101324">
      <w:pPr>
        <w:pStyle w:val="Normal"/>
        <w:jc w:val="left"/>
      </w:pPr>
      <w:r>
        <w:t xml:space="preserve">Rivermark Holdings’ share capital consists of ordinary shares that rank equally for voting, dividend, and capital distribution purposes unless otherwise required by law or specific treasury share restrictions. Each issued ordinary share carries one vote at general meetings and participates equally in dividends declared by the Board and approved where required by shareholders. The Group has not issued preference shares or other classes of equity with differentiated economic rights during the reporting period, which simplifies the presentation of ownership interests and supports transparency in per-share metrics.</w:t>
      </w:r>
    </w:p>
    <w:p w14:paraId="00101325" w14:textId="00101326">
      <w:pPr>
        <w:pStyle w:val="Normal"/>
        <w:jc w:val="left"/>
      </w:pPr>
      <w:r>
        <w:t xml:space="preserve">The issued share balance changes only when shares are newly issued, repurchased, cancelled, or transferred from treasury to satisfy employee plans or other approved corporate purposes. Movements are disclosed separately so that readers can distinguish between capital raised from shareholders, shares removed from circulation, and internal transactions affecting the weighted average number of shares used in earnings per share calculations. Where treasury shares are held, those shares do not generally carry voting or dividend rights while held by the Group.</w:t>
      </w:r>
    </w:p>
    <w:p w14:paraId="00101327" w14:textId="00101328">
      <w:pPr>
        <w:pStyle w:val="Normal"/>
        <w:jc w:val="left"/>
      </w:pPr>
      <w:r>
        <w:t xml:space="preserve">The note also explains the legal and governance context around share capital. Authority to issue, repurchase, or otherwise alter share capital is subject to the Group’s constitutional documents, shareholder approvals where required, and applicable market regulations. This framework is important because share capital is not simply a historical balance: it is the legal foundation of ownership, the reference point for dilution analysis, and a central mechanism through which the Group balances investor returns, employee participation, and long-term financing flexibility.</w:t>
      </w:r>
    </w:p>
    <w:p w14:paraId="00101329" w14:textId="0010132A">
      <w:pPr>
        <w:pStyle w:val="Normal"/>
        <w:jc w:val="left"/>
      </w:pPr>
      <w:r>
        <w:t xml:space="preserve">The Group’s capital management objective is to maintain an efficient equity base that supports resilience, investment capacity, and disciplined shareholder returns. Share capital is monitored alongside retained earnings, distributable reserves, net debt, and forecast cash generation to assess whether the balance sheet remains appropriate for current operations and planned strategic activity. Management evaluates capital actions in the context of covenant headroom, acquisition opportunities, pension obligations, tax exposures, and cyclical risk across the portfolio, rather than in isolation.</w:t>
      </w:r>
    </w:p>
    <w:p w14:paraId="0010132B" w14:textId="0010132C">
      <w:pPr>
        <w:pStyle w:val="Normal"/>
        <w:jc w:val="left"/>
      </w:pPr>
      <w:r>
        <w:t xml:space="preserve">Within this framework, ordinary shares serve as the permanent core of funding and as the reference instrument for ownership alignment. Rivermark Holdings seeks to avoid unnecessary complexity in its capital structure, preferring a stable common equity base over multiple layers of hybrid instruments unless a specific transaction or market condition justifies otherwise. Dividend recommendations are therefore considered only after reviewing funding requirements, capital expenditure commitments, working capital needs, and the capacity to absorb downside scenarios without impairing strategic execution.</w:t>
      </w:r>
    </w:p>
    <w:p w14:paraId="0010132D" w14:textId="0010132E">
      <w:pPr>
        <w:pStyle w:val="Normal"/>
        <w:jc w:val="left"/>
      </w:pPr>
      <w:r>
        <w:t xml:space="preserve">This context also informs the accounting treatment of capital transactions. Costs directly attributable to issuing shares are recognized in equity, repurchases reduce equity when completed, and shares held for employee award settlement are presented consistently with treasury share policy. By linking accounting presentation to capital discipline, the note helps explain how reported equity balances support both stewardship and flexibility in the Group’s broader financing model.</w:t>
      </w:r>
    </w:p>
    <w:p w14:paraId="0010132F" w14:textId="00101330">
      <w:pPr>
        <w:pStyle w:val="Normal"/>
        <w:jc w:val="left"/>
      </w:pPr>
      <w:r>
        <w:t xml:space="preserve">8.3.1.1 Issued Capital</w:t>
      </w:r>
    </w:p>
    <w:p w14:paraId="00101331" w14:textId="00101332">
      <w:pPr>
        <w:pStyle w:val="Normal"/>
        <w:jc w:val="left"/>
      </w:pPr>
      <w:r>
        <w:t xml:space="preserve">Share capital movements during the year reflected a combination of ordinary-course equity administration, settlement of employee award exercises, and the continued management of the Group’s capital structure. Issued share capital remained the core component of shareholders’ equity, and the year-end balance was shaped by the balance between new issues, cancellations and any shares held in treasury for planned corporate purposes. The Group continued to monitor these movements with the objective of preserving capital flexibility while maintaining transparency over the number of shares in issue, the rights attached to those shares, and the extent to which any reserved shares might later be reissued or cancelled.</w:t>
      </w:r>
    </w:p>
    <w:p w14:paraId="00101333" w14:textId="00101334">
      <w:pPr>
        <w:pStyle w:val="Normal"/>
        <w:jc w:val="left"/>
      </w:pPr>
      <w:r>
        <w:t xml:space="preserve">The principal changes in issued shares arose from the exercise and settlement of share-based awards, the vesting of long-term incentive arrangements, and limited repurchases undertaken under approved capital management authorities. In each case, movements were recorded at the time legal title passed or when the shares were cancelled in accordance with the relevant corporate approvals. The Group’s disclosed issued share count therefore represents both the legal capital outstanding at period end and the cumulative effect of routine share administration throughout the year. Where shares were repurchased, the accounting treatment depended on whether they were retained as treasury shares or formally cancelled, and the resulting impact was reflected in equity rather than in profit or loss.</w:t>
      </w:r>
    </w:p>
    <w:p w14:paraId="00101335" w14:textId="00101336">
      <w:pPr>
        <w:pStyle w:val="Normal"/>
        <w:jc w:val="left"/>
      </w:pPr>
      <w:r>
        <w:t xml:space="preserve">8.3.1.1.1 Share Movements</w:t>
      </w:r>
    </w:p>
    <w:p w14:paraId="00101337" w14:textId="00101338">
      <w:pPr>
        <w:pStyle w:val="Normal"/>
        <w:jc w:val="left"/>
      </w:pPr>
      <w:r>
        <w:t xml:space="preserve">Share issues were generally associated with the exercise of employee awards and, in limited circumstances, with consideration for acquisitions or strategic funding actions approved by the Board. Repurchases were made only within delegated authorities and were intended to support capital discipline, manage dilution from incentive plans, or provide flexibility for future corporate uses. Cancellations reduced issued share capital directly, whereas shares retained after repurchase were presented separately within equity until subsequently reissued or cancelled. Across all categories, the Group applied a consistent control framework to ensure that movements were authorized, properly recorded, and aligned with the approved purpose of the transaction.</w:t>
      </w:r>
    </w:p>
    <w:p w14:paraId="00101339" w14:textId="0010133A">
      <w:pPr>
        <w:pStyle w:val="Normal"/>
        <w:jc w:val="left"/>
      </w:pPr>
      <w:r>
        <w:t xml:space="preserve">Treasury shares are held only when management expects a practical future use, such as satisfying employee awards, supporting small-scale corporate settlements, or preserving optionality under approved capital programs. Treasury holdings are not treated as distributable assets and do not confer ordinary economic benefits while retained by the Group. For accounting purposes, the cost of treasury shares is deducted from equity and any subsequent reissue or cancellation is reflected directly within shareholders’ funds. The Group reviews treasury balances periodically to confirm that the holdings remain consistent with Board authority, market conditions, and the intended timing of future use.</w:t>
      </w:r>
    </w:p>
    <w:p w14:paraId="0010133B" w14:textId="0010133C">
      <w:pPr>
        <w:pStyle w:val="Normal"/>
        <w:jc w:val="left"/>
      </w:pPr>
      <w:r>
        <w:t xml:space="preserve">8.3.1.1.1 Share Rights</w:t>
      </w:r>
    </w:p>
    <w:p w14:paraId="0010133D" w14:textId="0010133E">
      <w:pPr>
        <w:pStyle w:val="Normal"/>
        <w:jc w:val="left"/>
      </w:pPr>
      <w:r>
        <w:t xml:space="preserve">The ordinary shares of Rivermark Holdings carry the standard rights to participate in dividends when declared, to attend and vote at general meetings, and to share proportionately in any residual assets on liquidation after satisfaction of prior-ranking claims. No separate class of ordinary share is presented in these statements, and no conversion, redemption, or preference features attach to the issued capital unless otherwise disclosed in the relevant note. Restrictions arise only from the usual legal and procedural requirements governing transfer, record date entitlements, and the maintenance of register entries. Any shares held by the Group itself are excluded from those entitlements while they remain in treasury, but they may be reactivated if reissued under an approved transaction.</w:t>
      </w:r>
    </w:p>
    <w:p w14:paraId="0010133F" w14:textId="00101340">
      <w:pPr>
        <w:pStyle w:val="Normal"/>
        <w:jc w:val="left"/>
      </w:pPr>
      <w:r>
        <w:t xml:space="preserve">Voting rights are ordinarily attached one vote per share, subject to the procedural rules of the relevant meeting and any legal limitations arising from treasury holdings or shares not yet registered in the member’s name by the record date. Dividend rights are proportionate to the number of shares held on the applicable record date and are subject to Board recommendation and shareholder approval where required. The Group does not have material restrictions that would prevent ordinary shareholders from participating in declared distributions, although the timing and amount of any payment remain dependent on the Group’s liquidity, solvency position, and broader capital allocation decisions. These rights and restrictions are intended to ensure both equitable participation and disciplined capital management.</w:t>
      </w:r>
    </w:p>
    <w:p w14:paraId="00101341" w14:textId="00101342">
      <w:pPr>
        <w:pStyle w:val="Normal"/>
        <w:jc w:val="left"/>
      </w:pPr>
      <w:r>
        <w:t xml:space="preserve">8.3.1.1 Reserves and Dividends</w:t>
      </w:r>
    </w:p>
    <w:p w14:paraId="00101343" w14:textId="00101344">
      <w:pPr>
        <w:pStyle w:val="Normal"/>
        <w:jc w:val="left"/>
      </w:pPr>
      <w:r>
        <w:t xml:space="preserve">Equity reserves comprise share premium, retained earnings, translation reserves, and other designated reserves established in accordance with applicable accounting standards and corporate law. Movements in these reserves reflect the effects of profit retention, foreign currency translation, fair value adjustments recognized in other comprehensive income, share-based payment charges, and transactions involving shares in issue or treasury. Dividends are accounted for as distributions of equity when declared and approved, and they are recognized against retained earnings at that point rather than when paid. The composition of reserves therefore provides a clear bridge between cumulative performance, capital management decisions, and the amounts available for future distribution.</w:t>
      </w:r>
    </w:p>
    <w:p w14:paraId="00101345" w14:textId="00101346">
      <w:pPr>
        <w:pStyle w:val="Normal"/>
        <w:jc w:val="left"/>
      </w:pPr>
      <w:r>
        <w:t xml:space="preserve">Distribution capacity is assessed by reference to the Group’s available reserves, current and forecast liquidity, borrowing covenants, and the Board’s assessment of the long-term funding needs of the business. Although accounting reserves provide an important starting point, the Group also considers operating cash generation, near-term investment commitments, and the maintenance of prudent headroom under stress scenarios before recommending any dividend. This approach allows the Group to balance shareholder returns with resilience, ensuring that distributions do not compromise the ability to fund working capital, capital expenditure, or strategic initiatives. Accordingly, reserves are reviewed not only as a historical record of accumulated earnings but also as an indicator of the Group’s future flexibility.</w:t>
      </w:r>
    </w:p>
    <w:p w14:paraId="00101347" w14:textId="00101348">
      <w:pPr>
        <w:pStyle w:val="Normal"/>
        <w:jc w:val="left"/>
      </w:pPr>
      <w:r>
        <w:t xml:space="preserve">8.3.1.1.2 Reserve Movements</w:t>
      </w:r>
    </w:p>
    <w:p w14:paraId="00101349" w14:textId="0010134A">
      <w:pPr>
        <w:pStyle w:val="Normal"/>
        <w:jc w:val="left"/>
      </w:pPr>
      <w:r>
        <w:t xml:space="preserve">Equity reserves moved during the year primarily through foreign currency translation differences, cash flow hedge remeasurements, share-based payment recognition, and transfers within equity following the vesting or exercise of employee awards. Translation movements reflected the effect of year-end exchange rates on the net assets of overseas operations, most notably in the Industrial Solutions and Infrastructure Services businesses where operating entities hold functional currencies different from the presentation currency. Hedge reserve changes arose as derivative gains and losses were recognized in other comprehensive income to the extent that hedging relationships remained effective, with amounts reclassified to profit or loss when the underlying forecast transactions occurred.</w:t>
      </w:r>
    </w:p>
    <w:p w14:paraId="0010134B" w14:textId="0010134C">
      <w:pPr>
        <w:pStyle w:val="Normal"/>
        <w:jc w:val="left"/>
      </w:pPr>
      <w:r>
        <w:t xml:space="preserve">Other reserve changes related to the recognition of equity-settled incentive expense and to transfers from the share-based payment reserve to retained earnings or share capital when awards were settled. No reserve movement resulted in a distribution to shareholders unless approved as a dividend in accordance with applicable corporate requirements. Management monitors reserve balances not only for statutory presentation, but also to assess the sustainability of distributable profits, capital flexibility, and the effect of market variables on accumulated equity.</w:t>
      </w:r>
    </w:p>
    <w:p w14:paraId="0010134D" w14:textId="0010134E">
      <w:pPr>
        <w:pStyle w:val="Normal"/>
        <w:jc w:val="left"/>
      </w:pPr>
      <w:r>
        <w:t xml:space="preserve">The foreign currency translation reserve records exchange differences arising on the consolidation of subsidiaries and branches whose functional currencies differ from Rivermark Holdings' presentation currency. The cash flow hedge reserve contains the effective portion of gains and losses on qualifying hedging instruments until the hedged cash flows affect earnings. The share-based payment reserve accumulates the grant-date fair value of equity-settled awards recognized over the relevant vesting periods.</w:t>
      </w:r>
    </w:p>
    <w:p w14:paraId="0010134F" w14:textId="00101350">
      <w:pPr>
        <w:pStyle w:val="Normal"/>
        <w:jc w:val="left"/>
      </w:pPr>
      <w:r>
        <w:t xml:space="preserve">In addition, the group maintains a merger and reorganization reserve reflecting historical common-control transactions and capital restructurings completed in prior periods. Where local law or subsidiary statutes require amounts to be retained and not distributed, such balances are presented within non-distributable reserves. Retained earnings remain the principal source from which ordinary dividends may be declared, subject to solvency, covenant, and board approval conditions. Reserve balances are therefore interpreted together, since some components capture unrealized valuation effects while others represent permanent equity contributions or legally restricted amounts that are not freely available for distribution.</w:t>
      </w:r>
    </w:p>
    <w:p w14:paraId="00101351" w14:textId="00101352">
      <w:pPr>
        <w:pStyle w:val="Normal"/>
        <w:jc w:val="left"/>
      </w:pPr>
      <w:r>
        <w:t xml:space="preserve">8.3.1.1.2 Dividend Policy</w:t>
      </w:r>
    </w:p>
    <w:p w14:paraId="00101353" w14:textId="00101354">
      <w:pPr>
        <w:pStyle w:val="Normal"/>
        <w:jc w:val="left"/>
      </w:pPr>
      <w:r>
        <w:t xml:space="preserve">Rivermark Holdings seeks to maintain a dividend policy that is progressive over the medium term while preserving balance-sheet resilience and flexibility for reinvestment. The board considers ordinary dividends after reviewing annual earnings, free cash flow generation, forecast liquidity, covenant headroom, capital expenditure requirements, acquisition commitments, and the wider risk outlook. Interim distributions may be considered when trading, cash conversion, and funding conditions support payment without constraining strategic priorities.</w:t>
      </w:r>
    </w:p>
    <w:p w14:paraId="00101355" w14:textId="00101356">
      <w:pPr>
        <w:pStyle w:val="Normal"/>
        <w:jc w:val="left"/>
      </w:pPr>
      <w:r>
        <w:t xml:space="preserve">The declaration cycle is aligned with the annual reporting timetable. A final dividend, if proposed, is typically announced with the year-end results and submitted for shareholder approval at the annual meeting. Interim dividends, where declared, are approved directly by the board during the financial year. In assessing timing, the group also reviews legal entity distributable reserves, projected tax cash flows, and any restrictions arising from financing arrangements or regulatory obligations in relevant jurisdictions. This approach is intended to give shareholders visibility on capital returns while ensuring that distributions remain consistent with sustainable long-term value creation.</w:t>
      </w:r>
    </w:p>
    <w:p w14:paraId="00101357" w14:textId="00101358">
      <w:pPr>
        <w:pStyle w:val="Normal"/>
        <w:jc w:val="left"/>
      </w:pPr>
      <w:r>
        <w:t xml:space="preserve">The approval and payment process begins with a treasury and finance recommendation prepared after completion of year-end close procedures and liquidity forecasting. That recommendation is reviewed by executive management and then presented to the board together with scenario analysis covering base, downside, and stress cases. For a final dividend, the board's recommendation does not create a present obligation until shareholders approve the proposal at the annual meeting; accordingly, the amount is disclosed but not recognized as a liability at the reporting date. Interim dividends, once formally approved by the board before period end, are recognized in equity when the obligation arises.</w:t>
      </w:r>
    </w:p>
    <w:p w14:paraId="00101359" w14:textId="0010135A">
      <w:pPr>
        <w:pStyle w:val="Normal"/>
        <w:jc w:val="left"/>
      </w:pPr>
      <w:r>
        <w:t xml:space="preserve">Following approval, the company secretary coordinates the record date, ex-dividend date, and payment date with the share registrar and market operators. Payments are made through standard shareholder settlement channels in the relevant listing market, with withholding tax and shareholder election procedures administered where applicable. Management also confirms that the proposed payment remains compatible with banking covenants, working capital needs, and the group's near-term investment program before release of funds.</w:t>
      </w:r>
    </w:p>
    <w:p w14:paraId="0010135B" w14:textId="0010135C">
      <w:pPr>
        <w:pStyle w:val="Normal"/>
        <w:jc w:val="left"/>
      </w:pPr>
      <w:r>
        <w:t xml:space="preserve">8.3.1 Share-Based Payments</w:t>
      </w:r>
    </w:p>
    <w:p w14:paraId="0010135D" w14:textId="0010135E">
      <w:pPr>
        <w:pStyle w:val="Normal"/>
        <w:jc w:val="left"/>
      </w:pPr>
      <w:r>
        <w:t xml:space="preserve">Rivermark Holdings operates share-based payment arrangements to align executive and selected employee rewards with long-term shareholder value creation, capital discipline, and sustained operating performance. The principal plans in issue during the year comprised performance share awards for senior management, restricted share awards for critical leadership and specialist roles, and limited market-purchase matching awards under employee retention arrangements. Equity-settled awards are measured at grant-date fair value and recognized as an employee expense over the vesting period, with a corresponding credit to equity.</w:t>
      </w:r>
    </w:p>
    <w:p w14:paraId="0010135F" w14:textId="00101360">
      <w:pPr>
        <w:pStyle w:val="Normal"/>
        <w:jc w:val="left"/>
      </w:pPr>
      <w:r>
        <w:t xml:space="preserve">Disclosures in this note explain the main plan terms, participant eligibility, award movements, vesting conditions, valuation assumptions, and the expense recognized in the period. For awards subject to market or total shareholder return conditions, fair value is determined using valuation techniques that incorporate expected volatility and peer-relative outcomes at grant date. For awards with non-market performance conditions, the grant-date fair value is not subsequently adjusted for those conditions; instead, the number of awards expected to vest is revised over time based on management's estimate of performance achievement and employee retention. Cash-settled arrangements, where applicable, are immaterial in the current year.</w:t>
      </w:r>
    </w:p>
    <w:p w14:paraId="00101361" w14:textId="00101362">
      <w:pPr>
        <w:pStyle w:val="Normal"/>
        <w:jc w:val="left"/>
      </w:pPr>
      <w:r>
        <w:t xml:space="preserve">Vesting periods generally range from one to three years for restricted and annual incentive-linked awards and up to three years plus any holding requirement for long-term performance awards. Vesting depends on a combination of continued employment, earnings growth, return-on-invested-capital, cash generation, and, for selected grants, relative shareholder return or strategic milestone delivery. Where awards include dividend equivalents, those rights accrue only on the portion that ultimately vests unless plan rules specify otherwise.</w:t>
      </w:r>
    </w:p>
    <w:p w14:paraId="00101363" w14:textId="00101364">
      <w:pPr>
        <w:pStyle w:val="Normal"/>
        <w:jc w:val="left"/>
      </w:pPr>
      <w:r>
        <w:t xml:space="preserve">Grant-date fair value for plain share awards normally equals the market price of Rivermark Holdings shares adjusted, where relevant, for restrictions on transfer. Awards containing market conditions are valued using simulation or option-pricing methods, while forfeiture assumptions are applied through the estimated vesting profile rather than by reducing fair value itself. The group reviews vesting expectations at each reporting date and recognizes any catch-up adjustment in current-period expense. Modifications are accounted for in accordance with the incremental fair value principle, and cancellations are recognized immediately when the related service condition is no longer expected to be rendered.</w:t>
      </w:r>
    </w:p>
    <w:p w14:paraId="00101365" w14:textId="00101366">
      <w:pPr>
        <w:pStyle w:val="Normal"/>
        <w:jc w:val="left"/>
      </w:pPr>
      <w:r>
        <w:t xml:space="preserve">8.3.1.2 Award Plans</w:t>
      </w:r>
    </w:p>
    <w:p w14:paraId="00101367" w14:textId="00101368">
      <w:pPr>
        <w:pStyle w:val="Normal"/>
        <w:jc w:val="left"/>
      </w:pPr>
      <w:r>
        <w:t xml:space="preserve">The group's principal equity incentive arrangement is the Rivermark Long-Term Incentive Plan, under which eligible executives and senior leaders may receive conditional rights over ordinary shares. Awards normally vest at the end of a three-year performance period, subject to continued service and achievement of predetermined performance conditions approved by the People and Ethics Committee. Performance measures are selected to reflect the group's strategic priorities and typically include a mix of earnings quality, return discipline, cash generation, and strategic execution indicators. The committee may apply malus or clawback where outcomes are found to have been materially misstated or where participant conduct falls below required standards.</w:t>
      </w:r>
    </w:p>
    <w:p w14:paraId="00101369" w14:textId="0010136A">
      <w:pPr>
        <w:pStyle w:val="Normal"/>
        <w:jc w:val="left"/>
      </w:pPr>
      <w:r>
        <w:t xml:space="preserve">In addition, selected employees may receive restricted share awards aimed at retention, leadership succession, or the integration of acquired teams. These awards generally vest solely with continued employment over the specified period, although some grants include project-delivery or role-transition conditions. Shares may be newly issued or purchased in the market and held through a plan trustee until vesting or release, depending on the operational design of the plan.</w:t>
      </w:r>
    </w:p>
    <w:p w14:paraId="0010136B" w14:textId="0010136C">
      <w:pPr>
        <w:pStyle w:val="Normal"/>
        <w:jc w:val="left"/>
      </w:pPr>
      <w:r>
        <w:t xml:space="preserve">Participants in share-based payment plans are concentrated in the executive leadership team, segment management, high-potential functional leaders, and specialist employees whose roles are considered material to technology, commercial, transformation, or delivery capability. Broader employee populations are not covered by the long-term performance plans, although limited retention or recognition grants may be issued in exceptional circumstances, particularly following acquisitions or during critical implementation phases for major group initiatives.</w:t>
      </w:r>
    </w:p>
    <w:p w14:paraId="0010136D" w14:textId="0010136E">
      <w:pPr>
        <w:pStyle w:val="Normal"/>
        <w:jc w:val="left"/>
      </w:pPr>
      <w:r>
        <w:t xml:space="preserve">At year end, the covered population represented a small proportion of total employees but a significant share of positions with direct influence over capital allocation, portfolio execution, customer development, and enterprise risk outcomes. Eligibility is reviewed annually by the People and Ethics Committee to ensure that awards remain focused on roles where long-term alignment is most relevant. Participation does not guarantee future grants, and grant size varies by organizational level, market benchmarks, and individual performance. This targeted approach is intended to preserve incentive value, avoid undue dilution, and connect reward outcomes to responsibilities that materially shape group performance.</w:t>
      </w:r>
    </w:p>
    <w:p w14:paraId="0010136F" w14:textId="00101370">
      <w:pPr>
        <w:pStyle w:val="Normal"/>
        <w:jc w:val="left"/>
      </w:pPr>
      <w:r>
        <w:t xml:space="preserve">8.3.1.2.1 Award Movements</w:t>
      </w:r>
    </w:p>
    <w:p w14:paraId="00101371" w14:textId="00101372">
      <w:pPr>
        <w:pStyle w:val="Normal"/>
        <w:jc w:val="left"/>
      </w:pPr>
      <w:r>
        <w:t xml:space="preserve">During the year, Rivermark Holdings continued to operate equity-settled long-term incentive arrangements for eligible executives, senior managers, and selected critical talent in technology, operations, and commercial leadership. Awards granted in the current period comprised performance share rights and restricted share awards, with grant volumes calibrated to role scope, market benchmarking, and annual remuneration policy settings approved by the People and Ethics Committee. A portion of earlier-cycle awards reached the end of their vesting periods during the year, resulting in vested awards that reflected both continued service and assessed performance against predetermined measures.</w:t>
      </w:r>
    </w:p>
    <w:p w14:paraId="00101373" w14:textId="00101374">
      <w:pPr>
        <w:pStyle w:val="Normal"/>
        <w:jc w:val="left"/>
      </w:pPr>
      <w:r>
        <w:t xml:space="preserve">Exercises during the year primarily related to options and vested rights from grants made in earlier periods. Exercise activity was lower than grant activity, consistent with the mix shift toward performance-based instruments with longer vesting horizons. Where employees exercised vested awards, settlement was made through the issue or transfer of ordinary shares, net of applicable withholding requirements. The number of awards outstanding at year end therefore reflects new grants issued during the period, less vested, exercised, cancelled, and forfeited instruments. Management considers the year-end balance of outstanding awards to remain aligned with the group's retention and performance objectives, while maintaining acceptable levels of shareholder dilution and cost discipline.</w:t>
      </w:r>
    </w:p>
    <w:p w14:paraId="00101375" w14:textId="00101376">
      <w:pPr>
        <w:pStyle w:val="Normal"/>
        <w:jc w:val="left"/>
      </w:pPr>
      <w:r>
        <w:t xml:space="preserve">Forfeitures during the reporting period were concentrated in three categories: normal employee turnover before completion of the service period, failure to satisfy minimum internal conduct and compliance requirements, and lapse of performance-based awards where threshold conditions were not met. The highest incidence of forfeiture remained within middle-management populations in businesses undergoing portfolio reshaping, particularly where role consolidation or market exits altered expected retention periods. By contrast, forfeiture rates for executive and specialist participants were comparatively lower, reflecting targeted retention actions and more stable succession planning.</w:t>
      </w:r>
    </w:p>
    <w:p w14:paraId="00101377" w14:textId="00101378">
      <w:pPr>
        <w:pStyle w:val="Normal"/>
        <w:jc w:val="left"/>
      </w:pPr>
      <w:r>
        <w:t xml:space="preserve">The group applies differentiated historical forfeiture assumptions by participant cohort, geography, and plan type. Awards with only service conditions generally exhibit more stable forfeiture experience and are adjusted using observed resignation and retirement patterns. Awards containing market or non-market performance conditions are reviewed separately because the pattern of cancellation may reflect both employee exits and the probability of target achievement. Rivermark Holdings updates forfeiture estimates prospectively when current-year evidence indicates a sustained change in behavior rather than a temporary fluctuation. On that basis, the year-end forfeiture profile did not indicate structural deterioration in plan retention effectiveness, although selected operating units with higher labor mobility were assigned moderately elevated expected lapse rates for future accounting estimates.</w:t>
      </w:r>
    </w:p>
    <w:p w14:paraId="00101379" w14:textId="0010137A">
      <w:pPr>
        <w:pStyle w:val="Normal"/>
        <w:jc w:val="left"/>
      </w:pPr>
      <w:r>
        <w:t xml:space="preserve">8.3.1.2.1 Vesting Conditions</w:t>
      </w:r>
    </w:p>
    <w:p w14:paraId="0010137B" w14:textId="0010137C">
      <w:pPr>
        <w:pStyle w:val="Normal"/>
        <w:jc w:val="left"/>
      </w:pPr>
      <w:r>
        <w:t xml:space="preserve">Most awards under Rivermark Holdings' share-based payment plans are subject to a combination of service and, where applicable, performance terms. Service conditions generally require continued employment over a vesting period of three years, although certain retention-oriented awards granted in connection with transformation programs may vest over two to four years depending on role criticality and market circumstances. Participants who leave the group voluntarily before the relevant vesting date typically forfeit unvested awards, except in limited good-leaver cases such as retirement, death, disability, or approved restructuring exits, where prorated vesting may apply in accordance with plan rules.</w:t>
      </w:r>
    </w:p>
    <w:p w14:paraId="0010137D" w14:textId="0010137E">
      <w:pPr>
        <w:pStyle w:val="Normal"/>
        <w:jc w:val="left"/>
      </w:pPr>
      <w:r>
        <w:t xml:space="preserve">Performance conditions are attached principally to performance share rights awarded to executive leadership and designated senior management. These conditions include earnings growth, return on invested capital, free cash flow generation, and selected strategic or sustainability scorecard measures where the committee considers them material to long-term value creation. Each metric is assigned a weighting and assessed over the applicable performance period, with vesting usually ranging from zero to a capped maximum outcome. Restricted share awards used for retention or succession purposes normally carry service conditions only. The group uses these differentiated vesting structures to balance pay-for-performance discipline with retention needs in roles where continuity of leadership, integration delivery, and specialist capability are critical.</w:t>
      </w:r>
    </w:p>
    <w:p w14:paraId="0010137F" w14:textId="00101380">
      <w:pPr>
        <w:pStyle w:val="Normal"/>
        <w:jc w:val="left"/>
      </w:pPr>
      <w:r>
        <w:t xml:space="preserve">Assessment of vesting conditions is performed through a structured governance process led by the group remuneration function, validated by finance, and reviewed by the People and Ethics Committee before year-end financial close. Service conditions are assessed using participant-level employment records, approved leave status, and known exit events up to the reporting date. For good-leaver cases and corporate transactions, plan administrators evaluate contractual entitlements against the governing plan rules to determine whether continued vesting, accelerated vesting, or forfeiture is appropriate.</w:t>
      </w:r>
    </w:p>
    <w:p w14:paraId="00101381" w14:textId="00101382">
      <w:pPr>
        <w:pStyle w:val="Normal"/>
        <w:jc w:val="left"/>
      </w:pPr>
      <w:r>
        <w:t xml:space="preserve">Performance conditions are assessed according to the specific nature of the target. Non-market conditions, such as earnings, cash generation, or operational milestones, are re-estimated at each reporting date using the latest approved forecasts and actual year-to-date performance. Market conditions, where used, are embedded in the fair value at grant date and are not subsequently adjusted for changes in expected market outcomes, although the group still monitors the number of awards expected to remain in force through the service period. This distinction is central to the accounting treatment. Management applies judgment when evaluating whether short-term underperformance represents temporary timing variance or indicates that threshold achievement is no longer probable. Any resulting change in vesting expectation is recognized prospectively through compensation expense over the remaining vesting period.</w:t>
      </w:r>
    </w:p>
    <w:p w14:paraId="00101383" w14:textId="00101384">
      <w:pPr>
        <w:pStyle w:val="Normal"/>
        <w:jc w:val="left"/>
      </w:pPr>
      <w:r>
        <w:t xml:space="preserve">8.3.1.2 Valuation and Expense</w:t>
      </w:r>
    </w:p>
    <w:p w14:paraId="00101385" w14:textId="00101386">
      <w:pPr>
        <w:pStyle w:val="Normal"/>
        <w:jc w:val="left"/>
      </w:pPr>
      <w:r>
        <w:t xml:space="preserve">The fair value of awards granted by Rivermark Holdings is measured at grant date using valuation techniques appropriate to the instrument design. Restricted share awards are generally valued by reference to the market price of Rivermark Holdings ordinary shares at grant date, adjusted where necessary for expected dividend treatment during the vesting period. Share options and more complex performance-linked instruments are valued using option-pricing or simulation models that capture the relevant contractual features, including exercise price, expected term, volatility, dividend assumptions, and the effect of market-based vesting conditions.</w:t>
      </w:r>
    </w:p>
    <w:p w14:paraId="00101387" w14:textId="00101388">
      <w:pPr>
        <w:pStyle w:val="Normal"/>
        <w:jc w:val="left"/>
      </w:pPr>
      <w:r>
        <w:t xml:space="preserve">The purpose of the valuation process is to establish a reliable grant-date basis for expense recognition over the vesting term. Non-market performance conditions do not affect the initial fair value of the award, but instead influence the number of instruments expected to vest. By contrast, market conditions are incorporated directly into the model output at grant date. Rivermark Holdings uses external market data where available and supplements this with historical trading and employee behavior information to derive supportable assumptions. Management considers the resulting values to be reasonable representations of the economic cost of the awards issued, while acknowledging that all model-based valuations require judgment and are sensitive to changes in selected inputs.</w:t>
      </w:r>
    </w:p>
    <w:p w14:paraId="00101389" w14:textId="0010138A">
      <w:pPr>
        <w:pStyle w:val="Normal"/>
        <w:jc w:val="left"/>
      </w:pPr>
      <w:r>
        <w:t xml:space="preserve">Compensation expense for equity-settled awards is recognized over the vesting period, with a corresponding increase in equity. The expense recognized in each reporting period reflects the grant-date fair value of awards expected to vest, allocated on a straight-line basis unless the pattern of vesting or service delivery supports another systematic method. This approach ensures that remuneration cost is matched to the period in which employees provide the related services. Where awards are cash-settled, the liability is remeasured at each reporting date to fair value until settlement, with changes recognized in profit or loss.</w:t>
      </w:r>
    </w:p>
    <w:p w14:paraId="0010138B" w14:textId="0010138C">
      <w:pPr>
        <w:pStyle w:val="Normal"/>
        <w:jc w:val="left"/>
      </w:pPr>
      <w:r>
        <w:t xml:space="preserve">For awards subject to service and non-market performance conditions, Rivermark Holdings revises its estimate of the number of awards expected to vest as facts and expectations evolve. The cumulative expense is then adjusted so that the recognized amount at each reporting date reflects the latest estimate of vested outcomes. No reversal is made for failure to meet a market condition if the employee has satisfied the required service period, because that condition is already reflected in grant-date fair value. Expense recognition is also adjusted for modifications, cancellations, and settlements in accordance with the underlying accounting standard. Management monitors the resulting charge against remuneration budgets and dilution limits, but accounting recognition is driven by the substance of the award terms rather than by cash impact.</w:t>
      </w:r>
    </w:p>
    <w:p w14:paraId="0010138D" w14:textId="0010138E">
      <w:pPr>
        <w:pStyle w:val="Normal"/>
        <w:jc w:val="left"/>
      </w:pPr>
      <w:r>
        <w:t xml:space="preserve">8.3.1.2.2 Valuation Assumptions</w:t>
      </w:r>
    </w:p>
    <w:p w14:paraId="0010138F" w14:textId="00101390">
      <w:pPr>
        <w:pStyle w:val="Normal"/>
        <w:jc w:val="left"/>
      </w:pPr>
      <w:r>
        <w:t xml:space="preserve">Key inputs used in valuing Rivermark Holdings' share-based awards include the quoted share price at grant date, exercise price where relevant, expected volatility, expected life of the instrument, risk-free interest rate, expected dividend yield, and the probability distribution of market-based performance outcomes. Expected volatility is derived from a combination of historical share-price behavior over periods aligned to the expected term of the award and, where useful, peer observations for comparability. Expected life reflects contractual maturity adjusted for observed employee exercise behavior, post-vesting holding patterns, and the likelihood of early exercise for in-the-money options.</w:t>
      </w:r>
    </w:p>
    <w:p w14:paraId="00101391" w14:textId="00101392">
      <w:pPr>
        <w:pStyle w:val="Normal"/>
        <w:jc w:val="left"/>
      </w:pPr>
      <w:r>
        <w:t xml:space="preserve">Dividend assumptions are based on the group's current distribution policy and medium-term planning expectations. Risk-free rates are referenced to government bond yields with maturities approximating the expected term of the instrument. For awards with relative or absolute market conditions, simulation techniques are used to estimate the effect of those conditions on fair value, including correlations where comparator indices or peer groups are involved. The group does not incorporate future service-related forfeitures into grant-date fair value; instead, those are assessed separately for expense recognition purposes. Taken together, these assumptions provide the analytical basis for a consistent valuation framework across award types while allowing plan-specific characteristics to be reflected where necessary.</w:t>
      </w:r>
    </w:p>
    <w:p w14:paraId="00101393" w14:textId="00101394">
      <w:pPr>
        <w:pStyle w:val="Normal"/>
        <w:jc w:val="left"/>
      </w:pPr>
      <w:r>
        <w:t xml:space="preserve">Because the valuation of share-based awards relies on estimates rather than directly observable settlement prices at grant date, the resulting fair value is sensitive to changes in selected model inputs. In general, higher assumed volatility increases the value of option-like instruments because it expands the probability of favorable future share-price outcomes. A longer expected term also tends to increase value, although the effect may be moderated by dividend yield and exercise-price structure. Conversely, a higher expected dividend yield can reduce the value of certain options where participants do not receive equivalent dividend benefits before exercise.</w:t>
      </w:r>
    </w:p>
    <w:p w14:paraId="00101395" w14:textId="00101396">
      <w:pPr>
        <w:pStyle w:val="Normal"/>
        <w:jc w:val="left"/>
      </w:pPr>
      <w:r>
        <w:t xml:space="preserve">Rivermark Holdings performs sensitivity reviews for material grants, particularly where awards include market conditions or unusually long terms. These reviews are not used to restate grant-date fair values after issuance, but they support committee oversight by illustrating which assumptions have the greatest influence on reported expense. The group also considers whether changes in market conditions between the grant date and reporting date indicate the need for enhanced disclosure regarding estimation uncertainty. Based on the characteristics of plans outstanding at year end, management concluded that volatility and expected term remained the most judgment-sensitive assumptions, while risk-free rate movements had a comparatively smaller effect on valuation outcomes. No sensitivity identified a basis to conclude that recognized grant-date values were outside a reasonable estimation range.</w:t>
      </w:r>
    </w:p>
    <w:p w14:paraId="00101397" w14:textId="00101398">
      <w:pPr>
        <w:pStyle w:val="Normal"/>
        <w:jc w:val="left"/>
      </w:pPr>
      <w:r>
        <w:t xml:space="preserve">8.3.1.2.2 Expense Recognition</w:t>
      </w:r>
    </w:p>
    <w:p w14:paraId="00101399" w14:textId="0010139A">
      <w:pPr>
        <w:pStyle w:val="Normal"/>
        <w:jc w:val="left"/>
      </w:pPr>
      <w:r>
        <w:t xml:space="preserve">Share-based payment expense is recognized over the period in which employees and executives become unconditionally entitled to the award, which for most plans is the vesting period from grant date to the satisfaction of service and, where applicable, performance conditions. Equity-settled awards are measured at grant-date fair value and that amount is not subsequently remeasured for market movements; instead, the charge is allocated on a straight-line basis or, where the vesting profile is graded, by tranche to reflect the pattern in which benefits are earned. Cash-settled elements, including limited deferred cash plans in certain jurisdictions, are remeasured to fair value at each reporting date until settlement, with resulting changes recognized in personnel expense.</w:t>
      </w:r>
    </w:p>
    <w:p w14:paraId="0010139B" w14:textId="0010139C">
      <w:pPr>
        <w:pStyle w:val="Normal"/>
        <w:jc w:val="left"/>
      </w:pPr>
      <w:r>
        <w:t xml:space="preserve">Settlement occurs through the issue of Rivermark Holdings shares, net-share settlement for tax withholding, or cash payment depending on the plan rules. Amounts recognized in profit or loss are credited to equity for equity-settled awards and to liabilities for cash-settled awards. Where awards are modified, cancelled, or replaced, the group recognizes the original grant-date charge for services already received and any incremental fair value arising from the modification over the remaining vesting period. This approach aligns the accounting outcome with the economic substance of compensation granted in exchange for employee service.</w:t>
      </w:r>
    </w:p>
    <w:p w14:paraId="0010139D" w14:textId="0010139E">
      <w:pPr>
        <w:pStyle w:val="Normal"/>
        <w:jc w:val="left"/>
      </w:pPr>
      <w:r>
        <w:t xml:space="preserve">Expected forfeitures are reviewed at each reporting date using current information on employee turnover, retirement eligibility, business restructuring actions, and individual performance populations. The initial estimate applied at grant date is therefore not treated as static; it is revised where experience or forward-looking evidence indicates that the number of awards expected to vest has changed. Any update to the forfeiture estimate is accounted for prospectively through a cumulative catch-up adjustment so that the total expense recognized reflects the latest estimate of awards for which the related service conditions are expected to be satisfied.</w:t>
      </w:r>
    </w:p>
    <w:p w14:paraId="0010139F" w14:textId="001013A0">
      <w:pPr>
        <w:pStyle w:val="Normal"/>
        <w:jc w:val="left"/>
      </w:pPr>
      <w:r>
        <w:t xml:space="preserve">During the year, Rivermark Holdings refined assumptions for voluntary attrition in selected growth functions and adjusted expected vesting levels in connection with leadership transitions in Consumer Platforms and Industrial Solutions. These revisions did not alter grant-date fair value, but they changed the timing and amount of expense recognized in the current period. Actual forfeitures, when they occur, are recorded against the accumulated equity reserve or liability balance associated with the relevant plan. Differences between estimated and actual outcomes are therefore absorbed through the normal remeasurement process, ensuring that recognized compensation cost remains supportable and consistent with the underlying employee benefit obligation.</w:t>
      </w:r>
    </w:p>
    <w:p w14:paraId="001013A1" w14:textId="001013A2">
      <w:pPr>
        <w:pStyle w:val="Normal"/>
        <w:jc w:val="left"/>
      </w:pPr>
      <w:r>
        <w:t xml:space="preserve">8.3 Employee Benefits</w:t>
      </w:r>
    </w:p>
    <w:p w14:paraId="001013A3" w14:textId="001013A4">
      <w:pPr>
        <w:pStyle w:val="Normal"/>
        <w:jc w:val="left"/>
      </w:pPr>
      <w:r>
        <w:t xml:space="preserve">This note brings together remuneration, short-term employee benefits, post-employment obligations, and other long-service commitments to present a coherent bridge between personnel cost recognized in the consolidated statement of profit or loss and the closing benefit-related balances in the statement of financial position. The group operates a mixed model comprising salary and bonus arrangements, equity-linked incentives, defined contribution retirement plans across most operating entities, and a limited number of legacy defined benefit plans in long-established jurisdictions. Benefit costs are therefore affected by current-year service, actuarial remeasurements, employer contributions, cash settlements, and changes in workforce composition.</w:t>
      </w:r>
    </w:p>
    <w:p w14:paraId="001013A5" w14:textId="001013A6">
      <w:pPr>
        <w:pStyle w:val="Normal"/>
        <w:jc w:val="left"/>
      </w:pPr>
      <w:r>
        <w:t xml:space="preserve">For disclosure purposes, Rivermark Holdings distinguishes between compensation for key management personnel, obligations arising from broad-based workforce arrangements, and balances connected with funded or unfunded retirement promises. The bridge from opening to closing obligations reflects service cost, interest cost where applicable, benefits paid, plan amendments, actuarial gains and losses recognized in other comprehensive income, and foreign-exchange translation on overseas plans. Management uses these disclosures to evaluate affordability, retention incentives, and long-term funding requirements. Together with the share-based payment note, this section explains how labor-related commitments convert from operating expense into cash outflow, pension assets or liabilities, and equity reserves over time.</w:t>
      </w:r>
    </w:p>
    <w:p w14:paraId="001013A7" w14:textId="001013A8">
      <w:pPr>
        <w:pStyle w:val="Normal"/>
        <w:jc w:val="left"/>
      </w:pPr>
      <w:r>
        <w:t xml:space="preserve">Employee benefit disclosures should be read in conjunction with the remuneration discussion in Corporate Governance and the share-based payment disclosures in the equity note. The present section focuses on the amounts recognized under accounting standards, rather than on policy commentary alone. Accordingly, compensation is presented by category of benefit, while retirement obligations are described with reference to funding status, actuarial assumptions, and the timing of expected cash contributions. This structure allows readers to distinguish annual remuneration outcomes from longer-duration commitments that may crystallize over many years.</w:t>
      </w:r>
    </w:p>
    <w:p w14:paraId="001013A9" w14:textId="001013AA">
      <w:pPr>
        <w:pStyle w:val="Normal"/>
        <w:jc w:val="left"/>
      </w:pPr>
      <w:r>
        <w:t xml:space="preserve">Rivermark Holdings employs staff across multiple regulatory environments, and local labor legislation influences the design of pension, healthcare, leave, and termination arrangements. Defined contribution plans represent the principal retirement mechanism for the current workforce, with employer obligations generally limited to periodic contributions. Legacy defined benefit plans remain relevant in a small number of entities acquired in earlier years and expose the group to discount-rate, inflation, salary-growth, and longevity assumptions. Management believes that combining remuneration, pension, and benefit disclosures in a single note improves transparency around total workforce cost, leadership incentives, and the balance-sheet sensitivity associated with long-term post-employment commitments.</w:t>
      </w:r>
    </w:p>
    <w:p w14:paraId="001013AB" w14:textId="001013AC">
      <w:pPr>
        <w:pStyle w:val="Normal"/>
        <w:jc w:val="left"/>
      </w:pPr>
      <w:r>
        <w:t xml:space="preserve">8.3.2 Remuneration</w:t>
      </w:r>
    </w:p>
    <w:p w14:paraId="001013AD" w14:textId="001013AE">
      <w:pPr>
        <w:pStyle w:val="Normal"/>
        <w:jc w:val="left"/>
      </w:pPr>
      <w:r>
        <w:t xml:space="preserve">Remuneration disclosures summarize the compensation provided to directors, executive management, and, where required, other key management personnel for services rendered during the reporting period. The objective is to show not only the total amount charged to profit or loss, but also the mix between fixed pay, annual incentives, long-term incentives, pension-related benefits, and other employment benefits. For Rivermark Holdings, this mix is designed to balance market competitiveness with prudent cost control and alignment to operational, financial, and strategic performance.</w:t>
      </w:r>
    </w:p>
    <w:p w14:paraId="001013AF" w14:textId="001013B0">
      <w:pPr>
        <w:pStyle w:val="Normal"/>
        <w:jc w:val="left"/>
      </w:pPr>
      <w:r>
        <w:t xml:space="preserve">The accounting disclosure differs from cash paid in the year because certain elements are accrued, deferred, or recognized over a vesting period. Annual bonuses are recognized in the period in which the related performance is achieved and a constructive obligation exists, while equity-linked awards are spread over future service periods as explained in the share-based payment note. Pension and post-employment amounts are measured under the relevant plan mechanics and may include current service cost, employer contributions, or actuarially determined expense. Together, these disclosures provide a fuller view of total compensation than salary alone and support assessment of incentive alignment, retention design, and the long-term cost profile of executive and management reward arrangements.</w:t>
      </w:r>
    </w:p>
    <w:p w14:paraId="001013B1" w14:textId="001013B2">
      <w:pPr>
        <w:pStyle w:val="Normal"/>
        <w:jc w:val="left"/>
      </w:pPr>
      <w:r>
        <w:t xml:space="preserve">For the purposes of this note, short-term benefits include salaries, wages, payroll taxes borne by the employer, annual cash bonuses, paid leave, medical support programs, and other noncash benefits expected to be settled wholly within twelve months after the end of the reporting period in which employees render the related service. Post-employment benefits include employer contributions to defined contribution plans and the service cost, net interest, and remeasurement components associated with defined benefit arrangements where such plans remain in place. Other long-term benefits include deferred compensation and certain service-based awards settled beyond twelve months, while termination benefits are recognized when the group can no longer withdraw the offer of those benefits or recognizes related restructuring costs.</w:t>
      </w:r>
    </w:p>
    <w:p w14:paraId="001013B3" w14:textId="001013B4">
      <w:pPr>
        <w:pStyle w:val="Normal"/>
        <w:jc w:val="left"/>
      </w:pPr>
      <w:r>
        <w:t xml:space="preserve">Key management compensation comprises benefits provided to directors and senior executives with authority and responsibility for planning, directing, and controlling the activities of Rivermark Holdings. Benefit categories are disclosed on a consistent basis year over year to support comparability, although local payroll presentation may vary by jurisdiction. Amounts shown exclude reimbursements of business expenses but include taxable benefits and employer-funded obligations where required by accounting standards. These definitions are used throughout the employee benefit and related-party notes to ensure that the same underlying compensation components are not double counted or inconsistently classified.</w:t>
      </w:r>
    </w:p>
    <w:p w14:paraId="001013B5" w14:textId="001013B6">
      <w:pPr>
        <w:pStyle w:val="Normal"/>
        <w:jc w:val="left"/>
      </w:pPr>
      <w:r>
        <w:t xml:space="preserve">8.3.2.1 Executive Pay</w:t>
      </w:r>
    </w:p>
    <w:p w14:paraId="001013B7" w14:textId="001013B8">
      <w:pPr>
        <w:pStyle w:val="Normal"/>
        <w:jc w:val="left"/>
      </w:pPr>
      <w:r>
        <w:t xml:space="preserve">Executive pay at Rivermark Holdings is composed of fixed remuneration and variable remuneration, with the latter linked to annual and multi-year performance conditions. Fixed pay includes base salary, contractual allowances, standard benefits, and, where applicable, pension support. It is set with reference to role scope, experience, market positioning, and internal equity across the leadership team. Fixed elements are intended to provide stable compensation for delivering the ongoing responsibilities of office and for maintaining leadership continuity across the group’s diversified operating portfolio.</w:t>
      </w:r>
    </w:p>
    <w:p w14:paraId="001013B9" w14:textId="001013BA">
      <w:pPr>
        <w:pStyle w:val="Normal"/>
        <w:jc w:val="left"/>
      </w:pPr>
      <w:r>
        <w:t xml:space="preserve">Variable remuneration is used to align executive outcomes with shareholder interests and business performance. Annual variable pay is tied to measures such as revenue quality, adjusted operating profit, free cash flow, safety performance, and strategic execution milestones. The final outcome may increase or decrease within approved ranges depending on actual results and the People and Ethics Committee’s review of risk, conduct, and quality-of-earnings considerations. In years where threshold conditions are not met, no annual incentive is payable beyond fixed compensation. This structure is designed to reward delivery without encouraging disproportionate risk-taking, and it creates a clear relationship between performance achieved in Industrial Solutions, Consumer Platforms, Infrastructure Services, and the consolidated outcomes reported for the group.</w:t>
      </w:r>
    </w:p>
    <w:p w14:paraId="001013BB" w14:textId="001013BC">
      <w:pPr>
        <w:pStyle w:val="Normal"/>
        <w:jc w:val="left"/>
      </w:pPr>
      <w:r>
        <w:t xml:space="preserve">Long-term incentive arrangements are intended to support retention, reinforce stewardship, and link a significant portion of executive reward to sustained value creation rather than a single-year result. Under the group’s principal plans, awards are granted annually in the form of performance rights or restricted share units, with vesting generally occurring after three years subject to continued service and the achievement of pre-established performance conditions. These conditions typically include relative or absolute earnings growth, return on invested capital, cash generation, and selected strategic measures that reflect the group’s medium-term transformation agenda.</w:t>
      </w:r>
    </w:p>
    <w:p w14:paraId="001013BD" w14:textId="001013BE">
      <w:pPr>
        <w:pStyle w:val="Normal"/>
        <w:jc w:val="left"/>
      </w:pPr>
      <w:r>
        <w:t xml:space="preserve">The long-term structure complements annual incentives by emphasizing outcomes that may not be visible in one reporting cycle, such as portfolio repositioning, digital capability building, major project execution, and disciplined capital deployment. Award levels are approved within a governance framework overseen by the People and Ethics Committee, and vesting outcomes may be moderated where conduct, risk management, or underlying financial quality are inconsistent with headline performance. Because the awards are primarily equity-settled, executives are exposed to the long-term performance of Rivermark Holdings shares after grant, strengthening alignment with investors. Expense recognition for these plans follows grant-date fair value principles, while actual delivered value to participants ultimately depends on vesting performance and the share price at settlement.</w:t>
      </w:r>
    </w:p>
    <w:p w14:paraId="001013BF" w14:textId="001013C0">
      <w:pPr>
        <w:pStyle w:val="Normal"/>
        <w:jc w:val="left"/>
      </w:pPr>
      <w:r>
        <w:t xml:space="preserve">8.3.2.1.1 Annual Incentives</w:t>
      </w:r>
    </w:p>
    <w:p w14:paraId="001013C1" w14:textId="001013C2">
      <w:pPr>
        <w:pStyle w:val="Normal"/>
        <w:jc w:val="left"/>
      </w:pPr>
      <w:r>
        <w:t xml:space="preserve">For the year ended 31 December 2025, annual incentive outcomes for executive directors and members of the Group Executive Committee reflected a mixed but generally solid operating result. Scorecards combined financial measures, strategic delivery milestones, cash discipline, safety performance, and selected leadership objectives. Group revenue and adjusted operating profit improved year on year, and operating cash conversion remained within the target corridor, which supported above-threshold results for core financial metrics. At the same time, outcomes were moderated by a less favorable working-capital close in Infrastructure Services and slower-than-planned commercialization of certain Consumer Platforms initiatives.</w:t>
      </w:r>
    </w:p>
    <w:p w14:paraId="001013C3" w14:textId="001013C4">
      <w:pPr>
        <w:pStyle w:val="Normal"/>
        <w:jc w:val="left"/>
      </w:pPr>
      <w:r>
        <w:t xml:space="preserve">The remuneration committee assessed not only formulaic scorecard outputs but also the quality and sustainability of performance. Safety performance improved on a frequency basis, yet a small number of serious incidents led to partial downward adjustment within the nonfinancial component. Strategic measures showed good progress in procurement productivity, digital channel expansion, and portfolio simplification, though not all transformation milestones were achieved on the original timetable. As a result, annual incentive payouts for executive participants were determined within a range of 68% to 84% of target opportunity, with no participant achieving maximum payout. The board considered this range consistent with shareholder experience, underlying earnings delivery, and the need to preserve alignment between reward, risk, and long-term value creation.</w:t>
      </w:r>
    </w:p>
    <w:p w14:paraId="001013C5" w14:textId="001013C6">
      <w:pPr>
        <w:pStyle w:val="Normal"/>
        <w:jc w:val="left"/>
      </w:pPr>
      <w:r>
        <w:t xml:space="preserve">Annual bonus outcomes are governed under a formal framework approved by the People and Ethics Committee and endorsed by the board before the start of each performance year. Threshold, target, and stretch levels are set for each metric, and weightings are documented in individual award letters and retained within the group remuneration register. Financial metrics are measured using audited or committee-validated results, while strategic and people-related measures are supported by documented evidence from operating reviews, safety reports, and internal control attestations. Where an outcome is influenced by acquisitions, restructuring, or other material nonrecurring events, the committee may exercise judgment to normalize the assessment, provided the rationale is clearly recorded.</w:t>
      </w:r>
    </w:p>
    <w:p w14:paraId="001013C7" w14:textId="001013C8">
      <w:pPr>
        <w:pStyle w:val="Normal"/>
        <w:jc w:val="left"/>
      </w:pPr>
      <w:r>
        <w:t xml:space="preserve">The framework also contains explicit risk-adjustment features. Bonus outcomes may be reduced for control failures, misconduct, significant restatements, or outcomes achieved in a manner inconsistent with Rivermark Holdings' values and conduct standards. The committee reviewed management's certification of scorecard data, internal audit observations relevant to incentive measures, and any speak-up matters that could bear on reward decisions. No override was applied to increase formulaic results in 2025. A limited downward moderation was applied in selected cases to reflect safety and execution quality considerations. Deferred portions, clawback triggers, and malus provisions remain in force after grant, strengthening the link between short-term performance recognition and longer-term accountability.</w:t>
      </w:r>
    </w:p>
    <w:p w14:paraId="001013C9" w14:textId="001013CA">
      <w:pPr>
        <w:pStyle w:val="Normal"/>
        <w:jc w:val="left"/>
      </w:pPr>
      <w:r>
        <w:t xml:space="preserve">8.3.2.1.1 Long-Term Awards</w:t>
      </w:r>
    </w:p>
    <w:p w14:paraId="001013CB" w14:textId="001013CC">
      <w:pPr>
        <w:pStyle w:val="Normal"/>
        <w:jc w:val="left"/>
      </w:pPr>
      <w:r>
        <w:t xml:space="preserve">Long-term incentive awards are designed to align senior leaders with multi-year shareholder and strategic outcomes rather than annual trading fluctuations. Under the Rivermark Holdings Long-Term Value Plan, awards are normally granted as performance rights with a face value set as a percentage of base salary. Vesting depends on performance measured over a three-year period and is followed, for executive directors, by a holding requirement that extends exposure beyond the formal performance cycle. The principal measures for the current grant include relative total shareholder return, cumulative adjusted earnings growth, and return on invested capital, with a smaller underpin linked to strategic resilience indicators such as safety and portfolio quality.</w:t>
      </w:r>
    </w:p>
    <w:p w14:paraId="001013CD" w14:textId="001013CE">
      <w:pPr>
        <w:pStyle w:val="Normal"/>
        <w:jc w:val="left"/>
      </w:pPr>
      <w:r>
        <w:t xml:space="preserve">The remuneration committee selected these measures to balance market performance with internal value creation. Relative total shareholder return tests the company's performance against a defined peer group and discourages reward for general market uplift alone. Cumulative adjusted earnings growth reflects the capacity to expand earnings through disciplined execution, while return on invested capital emphasizes capital efficiency and guards against uneconomic expansion. Each measure is subject to threshold and maximum vesting schedules, and straight-line vesting between those points does not apply unless expressly specified in grant terms. If underlying performance is achieved through outcomes later shown to be unsustainable or inconsistent with risk standards, the committee retains discretion to reduce vesting. Awards do not carry dividend rights before vesting, although vested shares may receive dividend equivalents where plan rules permit.</w:t>
      </w:r>
    </w:p>
    <w:p w14:paraId="001013CF" w14:textId="001013D0">
      <w:pPr>
        <w:pStyle w:val="Normal"/>
        <w:jc w:val="left"/>
      </w:pPr>
      <w:r>
        <w:t xml:space="preserve">The standard vesting horizon for long-term awards is three years from grant, with testing undertaken after the close of the relevant performance period using board-approved calculations. For executive directors, vested shares are generally subject to an additional two-year holding expectation, creating an effective alignment period of up to five years from grant. This structure is intended to reinforce sustained decision-making in capital allocation, operational improvement, and succession development, rather than short-term optimization of annual metrics.</w:t>
      </w:r>
    </w:p>
    <w:p w14:paraId="001013D1" w14:textId="001013D2">
      <w:pPr>
        <w:pStyle w:val="Normal"/>
        <w:jc w:val="left"/>
      </w:pPr>
      <w:r>
        <w:t xml:space="preserve">Awards granted to other senior managers follow the same three-year performance framework, although post-vesting holding requirements may vary by jurisdiction and role. In limited circumstances, including retirement, death, disability, or approved restructuring events, vesting may be pro-rated for service and tested against the original performance conditions unless plan rules require otherwise. Unvested awards normally lapse on resignation for reasons other than approved good-leaver status, and vested outcomes remain subject to malus and clawback provisions where there is evidence of misconduct, material error, or serious control failure. The committee reviews the vesting calendar each year to confirm that overlapping grant cycles, performance periods, and shareholding requirements continue to produce a coherent long-term remuneration profile across the leadership population.</w:t>
      </w:r>
    </w:p>
    <w:p w14:paraId="001013D3" w14:textId="001013D4">
      <w:pPr>
        <w:pStyle w:val="Normal"/>
        <w:jc w:val="left"/>
      </w:pPr>
      <w:r>
        <w:t xml:space="preserve">8.3.2.1 Benefits Schedule</w:t>
      </w:r>
    </w:p>
    <w:p w14:paraId="001013D5" w14:textId="001013D6">
      <w:pPr>
        <w:pStyle w:val="Normal"/>
        <w:jc w:val="left"/>
      </w:pPr>
      <w:r>
        <w:t xml:space="preserve">Employee benefit disclosures comprise short-term benefits, post-employment benefits, other long-term benefits, and share-based payment arrangements, presented in a manner that distinguishes key management personnel from the broader employee population where required by accounting standards. Short-term benefits include salaries, annual bonuses, employer payroll taxes, medical coverage, vehicle and housing allowances in certain markets, and other noncash benefits consumed within twelve months of service. Post-employment benefits primarily relate to defined contribution pension plans, social security equivalents, and a small number of legacy defined benefit arrangements maintained in closed or mature employee groups.</w:t>
      </w:r>
    </w:p>
    <w:p w14:paraId="001013D7" w14:textId="001013D8">
      <w:pPr>
        <w:pStyle w:val="Normal"/>
        <w:jc w:val="left"/>
      </w:pPr>
      <w:r>
        <w:t xml:space="preserve">Other long-term benefits include long-service awards, deferred cash retention arrangements, and certain jurisdiction-specific leave entitlements that are not expected to be settled wholly within the next twelve months. Share-based payments are disclosed separately because recognition depends on grant-date fair value and vesting conditions rather than cash settlement timing. Rivermark Holdings uses a centralized framework for benefit classification so that similar arrangements are reported consistently across Industrial Solutions, Consumer Platforms, and Infrastructure Services. This improves comparability between jurisdictions that use different market practices while preserving local legal compliance. Benefit costs are recognized in the period in which employees render service, with accruals and obligations measured using the assumptions appropriate to each benefit type, including expected forfeiture rates, discount rates, and actuarial inputs where relevant.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13D9" w14:textId="0010141F">
            <w:pPr>
              <w:pStyle w:val="Normal"/>
              <w:jc w:val="left"/>
            </w:pPr>
            <w:r>
              <w:t xml:space="preserve">Benefit category</w:t>
            </w:r>
          </w:p>
        </w:tc>
        <w:tc>
          <w:tcPr>
            <w:vAlign w:val="center"/>
            <w:tcBorders>
              <w:top w:val="single" w:sz="4" w:space="0" w:color="auto"/>
              <w:left w:val="single" w:sz="4" w:space="0" w:color="auto"/>
              <w:bottom w:val="single" w:sz="4" w:space="0" w:color="auto"/>
              <w:right w:val="single" w:sz="4" w:space="0" w:color="auto"/>
            </w:tcBorders>
          </w:tcPr>
          <w:p w14:paraId="001013DB" w14:textId="00101420">
            <w:pPr>
              <w:pStyle w:val="Normal"/>
              <w:jc w:val="left"/>
            </w:pPr>
            <w:r>
              <w:t xml:space="preserve">Key management personnel</w:t>
            </w:r>
          </w:p>
        </w:tc>
        <w:tc>
          <w:tcPr>
            <w:vAlign w:val="center"/>
            <w:tcBorders>
              <w:top w:val="single" w:sz="4" w:space="0" w:color="auto"/>
              <w:left w:val="single" w:sz="4" w:space="0" w:color="auto"/>
              <w:bottom w:val="single" w:sz="4" w:space="0" w:color="auto"/>
              <w:right w:val="single" w:sz="4" w:space="0" w:color="auto"/>
            </w:tcBorders>
          </w:tcPr>
          <w:p w14:paraId="001013DD" w14:textId="00101421">
            <w:pPr>
              <w:pStyle w:val="Normal"/>
              <w:jc w:val="left"/>
            </w:pPr>
            <w:r>
              <w:t xml:space="preserve">Corporate and management employees</w:t>
            </w:r>
          </w:p>
        </w:tc>
        <w:tc>
          <w:tcPr>
            <w:vAlign w:val="center"/>
            <w:tcBorders>
              <w:top w:val="single" w:sz="4" w:space="0" w:color="auto"/>
              <w:left w:val="single" w:sz="4" w:space="0" w:color="auto"/>
              <w:bottom w:val="single" w:sz="4" w:space="0" w:color="auto"/>
              <w:right w:val="single" w:sz="4" w:space="0" w:color="auto"/>
            </w:tcBorders>
          </w:tcPr>
          <w:p w14:paraId="001013DF" w14:textId="00101422">
            <w:pPr>
              <w:pStyle w:val="Normal"/>
              <w:jc w:val="left"/>
            </w:pPr>
            <w:r>
              <w:t xml:space="preserve">Operational workforce</w:t>
            </w:r>
          </w:p>
        </w:tc>
        <w:tc>
          <w:tcPr>
            <w:vAlign w:val="center"/>
            <w:tcBorders>
              <w:top w:val="single" w:sz="4" w:space="0" w:color="auto"/>
              <w:left w:val="single" w:sz="4" w:space="0" w:color="auto"/>
              <w:bottom w:val="single" w:sz="4" w:space="0" w:color="auto"/>
              <w:right w:val="single" w:sz="4" w:space="0" w:color="auto"/>
            </w:tcBorders>
          </w:tcPr>
          <w:p w14:paraId="001013E1" w14:textId="00101423">
            <w:pPr>
              <w:pStyle w:val="Normal"/>
              <w:jc w:val="left"/>
            </w:pPr>
            <w:r>
              <w:t xml:space="preserve">Total current year</w:t>
            </w:r>
          </w:p>
        </w:tc>
      </w:tr>
      <w:tr>
        <w:tc>
          <w:tcPr>
            <w:vAlign w:val="top"/>
            <w:tcBorders>
              <w:top w:val="single" w:sz="4" w:space="0" w:color="auto"/>
              <w:left w:val="single" w:sz="4" w:space="0" w:color="auto"/>
              <w:bottom w:val="single" w:sz="4" w:space="0" w:color="auto"/>
              <w:right w:val="single" w:sz="4" w:space="0" w:color="auto"/>
            </w:tcBorders>
          </w:tcPr>
          <w:p w14:paraId="001013E3" w14:textId="00101424">
            <w:pPr>
              <w:pStyle w:val="Normal"/>
              <w:jc w:val="left"/>
            </w:pPr>
            <w:r>
              <w:t xml:space="preserve">Short-term benefits</w:t>
            </w:r>
          </w:p>
        </w:tc>
        <w:tc>
          <w:tcPr>
            <w:vAlign w:val="center"/>
            <w:tcBorders>
              <w:top w:val="single" w:sz="4" w:space="0" w:color="auto"/>
              <w:left w:val="single" w:sz="4" w:space="0" w:color="auto"/>
              <w:bottom w:val="single" w:sz="4" w:space="0" w:color="auto"/>
              <w:right w:val="single" w:sz="4" w:space="0" w:color="auto"/>
            </w:tcBorders>
          </w:tcPr>
          <w:p w14:paraId="001013E5" w14:textId="00101425">
            <w:pPr>
              <w:pStyle w:val="Normal"/>
              <w:jc w:val="left"/>
            </w:pPr>
            <w:r>
              <w:t xml:space="preserve">14.8</w:t>
            </w:r>
          </w:p>
        </w:tc>
        <w:tc>
          <w:tcPr>
            <w:vAlign w:val="center"/>
            <w:tcBorders>
              <w:top w:val="single" w:sz="4" w:space="0" w:color="auto"/>
              <w:left w:val="single" w:sz="4" w:space="0" w:color="auto"/>
              <w:bottom w:val="single" w:sz="4" w:space="0" w:color="auto"/>
              <w:right w:val="single" w:sz="4" w:space="0" w:color="auto"/>
            </w:tcBorders>
          </w:tcPr>
          <w:p w14:paraId="001013E7" w14:textId="00101426">
            <w:pPr>
              <w:pStyle w:val="Normal"/>
              <w:jc w:val="left"/>
            </w:pPr>
            <w:r>
              <w:t xml:space="preserve">72.5</w:t>
            </w:r>
          </w:p>
        </w:tc>
        <w:tc>
          <w:tcPr>
            <w:vAlign w:val="center"/>
            <w:tcBorders>
              <w:top w:val="single" w:sz="4" w:space="0" w:color="auto"/>
              <w:left w:val="single" w:sz="4" w:space="0" w:color="auto"/>
              <w:bottom w:val="single" w:sz="4" w:space="0" w:color="auto"/>
              <w:right w:val="single" w:sz="4" w:space="0" w:color="auto"/>
            </w:tcBorders>
          </w:tcPr>
          <w:p w14:paraId="001013E9" w14:textId="00101427">
            <w:pPr>
              <w:pStyle w:val="Normal"/>
              <w:jc w:val="left"/>
            </w:pPr>
            <w:r>
              <w:t xml:space="preserve">318.7</w:t>
            </w:r>
          </w:p>
        </w:tc>
        <w:tc>
          <w:tcPr>
            <w:vAlign w:val="center"/>
            <w:tcBorders>
              <w:top w:val="single" w:sz="4" w:space="0" w:color="auto"/>
              <w:left w:val="single" w:sz="4" w:space="0" w:color="auto"/>
              <w:bottom w:val="single" w:sz="4" w:space="0" w:color="auto"/>
              <w:right w:val="single" w:sz="4" w:space="0" w:color="auto"/>
            </w:tcBorders>
          </w:tcPr>
          <w:p w14:paraId="001013EB" w14:textId="00101428">
            <w:pPr>
              <w:pStyle w:val="Normal"/>
              <w:jc w:val="left"/>
            </w:pPr>
            <w:r>
              <w:t xml:space="preserve">406.0</w:t>
            </w:r>
          </w:p>
        </w:tc>
      </w:tr>
      <w:tr>
        <w:tc>
          <w:tcPr>
            <w:vAlign w:val="top"/>
            <w:tcBorders>
              <w:top w:val="single" w:sz="4" w:space="0" w:color="auto"/>
              <w:left w:val="single" w:sz="4" w:space="0" w:color="auto"/>
              <w:bottom w:val="single" w:sz="4" w:space="0" w:color="auto"/>
              <w:right w:val="single" w:sz="4" w:space="0" w:color="auto"/>
            </w:tcBorders>
          </w:tcPr>
          <w:p w14:paraId="001013ED" w14:textId="00101429">
            <w:pPr>
              <w:pStyle w:val="Normal"/>
              <w:jc w:val="left"/>
            </w:pPr>
            <w:r>
              <w:t xml:space="preserve">Post-employment benefits</w:t>
            </w:r>
          </w:p>
        </w:tc>
        <w:tc>
          <w:tcPr>
            <w:vAlign w:val="center"/>
            <w:tcBorders>
              <w:top w:val="single" w:sz="4" w:space="0" w:color="auto"/>
              <w:left w:val="single" w:sz="4" w:space="0" w:color="auto"/>
              <w:bottom w:val="single" w:sz="4" w:space="0" w:color="auto"/>
              <w:right w:val="single" w:sz="4" w:space="0" w:color="auto"/>
            </w:tcBorders>
          </w:tcPr>
          <w:p w14:paraId="001013EF" w14:textId="0010142A">
            <w:pPr>
              <w:pStyle w:val="Normal"/>
              <w:jc w:val="left"/>
            </w:pPr>
            <w:r>
              <w:t xml:space="preserve">2.6</w:t>
            </w:r>
          </w:p>
        </w:tc>
        <w:tc>
          <w:tcPr>
            <w:vAlign w:val="center"/>
            <w:tcBorders>
              <w:top w:val="single" w:sz="4" w:space="0" w:color="auto"/>
              <w:left w:val="single" w:sz="4" w:space="0" w:color="auto"/>
              <w:bottom w:val="single" w:sz="4" w:space="0" w:color="auto"/>
              <w:right w:val="single" w:sz="4" w:space="0" w:color="auto"/>
            </w:tcBorders>
          </w:tcPr>
          <w:p w14:paraId="001013F1" w14:textId="0010142B">
            <w:pPr>
              <w:pStyle w:val="Normal"/>
              <w:jc w:val="left"/>
            </w:pPr>
            <w:r>
              <w:t xml:space="preserve">12.9</w:t>
            </w:r>
          </w:p>
        </w:tc>
        <w:tc>
          <w:tcPr>
            <w:vAlign w:val="center"/>
            <w:tcBorders>
              <w:top w:val="single" w:sz="4" w:space="0" w:color="auto"/>
              <w:left w:val="single" w:sz="4" w:space="0" w:color="auto"/>
              <w:bottom w:val="single" w:sz="4" w:space="0" w:color="auto"/>
              <w:right w:val="single" w:sz="4" w:space="0" w:color="auto"/>
            </w:tcBorders>
          </w:tcPr>
          <w:p w14:paraId="001013F3" w14:textId="0010142C">
            <w:pPr>
              <w:pStyle w:val="Normal"/>
              <w:jc w:val="left"/>
            </w:pPr>
            <w:r>
              <w:t xml:space="preserve">41.8</w:t>
            </w:r>
          </w:p>
        </w:tc>
        <w:tc>
          <w:tcPr>
            <w:vAlign w:val="center"/>
            <w:tcBorders>
              <w:top w:val="single" w:sz="4" w:space="0" w:color="auto"/>
              <w:left w:val="single" w:sz="4" w:space="0" w:color="auto"/>
              <w:bottom w:val="single" w:sz="4" w:space="0" w:color="auto"/>
              <w:right w:val="single" w:sz="4" w:space="0" w:color="auto"/>
            </w:tcBorders>
          </w:tcPr>
          <w:p w14:paraId="001013F5" w14:textId="0010142D">
            <w:pPr>
              <w:pStyle w:val="Normal"/>
              <w:jc w:val="left"/>
            </w:pPr>
            <w:r>
              <w:t xml:space="preserve">57.3</w:t>
            </w:r>
          </w:p>
        </w:tc>
      </w:tr>
      <w:tr>
        <w:tc>
          <w:tcPr>
            <w:vAlign w:val="top"/>
            <w:tcBorders>
              <w:top w:val="single" w:sz="4" w:space="0" w:color="auto"/>
              <w:left w:val="single" w:sz="4" w:space="0" w:color="auto"/>
              <w:bottom w:val="single" w:sz="4" w:space="0" w:color="auto"/>
              <w:right w:val="single" w:sz="4" w:space="0" w:color="auto"/>
            </w:tcBorders>
          </w:tcPr>
          <w:p w14:paraId="001013F7" w14:textId="0010142E">
            <w:pPr>
              <w:pStyle w:val="Normal"/>
              <w:jc w:val="left"/>
            </w:pPr>
            <w:r>
              <w:t xml:space="preserve">Share-based payments</w:t>
            </w:r>
          </w:p>
        </w:tc>
        <w:tc>
          <w:tcPr>
            <w:vAlign w:val="center"/>
            <w:tcBorders>
              <w:top w:val="single" w:sz="4" w:space="0" w:color="auto"/>
              <w:left w:val="single" w:sz="4" w:space="0" w:color="auto"/>
              <w:bottom w:val="single" w:sz="4" w:space="0" w:color="auto"/>
              <w:right w:val="single" w:sz="4" w:space="0" w:color="auto"/>
            </w:tcBorders>
          </w:tcPr>
          <w:p w14:paraId="001013F9" w14:textId="0010142F">
            <w:pPr>
              <w:pStyle w:val="Normal"/>
              <w:jc w:val="left"/>
            </w:pPr>
            <w:r>
              <w:t xml:space="preserve">6.4</w:t>
            </w:r>
          </w:p>
        </w:tc>
        <w:tc>
          <w:tcPr>
            <w:vAlign w:val="center"/>
            <w:tcBorders>
              <w:top w:val="single" w:sz="4" w:space="0" w:color="auto"/>
              <w:left w:val="single" w:sz="4" w:space="0" w:color="auto"/>
              <w:bottom w:val="single" w:sz="4" w:space="0" w:color="auto"/>
              <w:right w:val="single" w:sz="4" w:space="0" w:color="auto"/>
            </w:tcBorders>
          </w:tcPr>
          <w:p w14:paraId="001013FB" w14:textId="00101430">
            <w:pPr>
              <w:pStyle w:val="Normal"/>
              <w:jc w:val="left"/>
            </w:pPr>
            <w:r>
              <w:t xml:space="preserve">8.7</w:t>
            </w:r>
          </w:p>
        </w:tc>
        <w:tc>
          <w:tcPr>
            <w:vAlign w:val="center"/>
            <w:tcBorders>
              <w:top w:val="single" w:sz="4" w:space="0" w:color="auto"/>
              <w:left w:val="single" w:sz="4" w:space="0" w:color="auto"/>
              <w:bottom w:val="single" w:sz="4" w:space="0" w:color="auto"/>
              <w:right w:val="single" w:sz="4" w:space="0" w:color="auto"/>
            </w:tcBorders>
          </w:tcPr>
          <w:p w14:paraId="001013FD" w14:textId="00101431">
            <w:pPr>
              <w:pStyle w:val="Normal"/>
              <w:jc w:val="left"/>
            </w:pPr>
            <w:r>
              <w:t xml:space="preserve">3.9</w:t>
            </w:r>
          </w:p>
        </w:tc>
        <w:tc>
          <w:tcPr>
            <w:vAlign w:val="center"/>
            <w:tcBorders>
              <w:top w:val="single" w:sz="4" w:space="0" w:color="auto"/>
              <w:left w:val="single" w:sz="4" w:space="0" w:color="auto"/>
              <w:bottom w:val="single" w:sz="4" w:space="0" w:color="auto"/>
              <w:right w:val="single" w:sz="4" w:space="0" w:color="auto"/>
            </w:tcBorders>
          </w:tcPr>
          <w:p w14:paraId="001013FF" w14:textId="00101432">
            <w:pPr>
              <w:pStyle w:val="Normal"/>
              <w:jc w:val="left"/>
            </w:pPr>
            <w:r>
              <w:t xml:space="preserve">19.0</w:t>
            </w:r>
          </w:p>
        </w:tc>
      </w:tr>
      <w:tr>
        <w:tc>
          <w:tcPr>
            <w:vAlign w:val="top"/>
            <w:tcBorders>
              <w:top w:val="single" w:sz="4" w:space="0" w:color="auto"/>
              <w:left w:val="single" w:sz="4" w:space="0" w:color="auto"/>
              <w:bottom w:val="single" w:sz="4" w:space="0" w:color="auto"/>
              <w:right w:val="single" w:sz="4" w:space="0" w:color="auto"/>
            </w:tcBorders>
          </w:tcPr>
          <w:p w14:paraId="00101401" w14:textId="00101433">
            <w:pPr>
              <w:pStyle w:val="Normal"/>
              <w:jc w:val="left"/>
            </w:pPr>
            <w:r>
              <w:t xml:space="preserve">Termination and restructuring benefits</w:t>
            </w:r>
          </w:p>
        </w:tc>
        <w:tc>
          <w:tcPr>
            <w:vAlign w:val="center"/>
            <w:tcBorders>
              <w:top w:val="single" w:sz="4" w:space="0" w:color="auto"/>
              <w:left w:val="single" w:sz="4" w:space="0" w:color="auto"/>
              <w:bottom w:val="single" w:sz="4" w:space="0" w:color="auto"/>
              <w:right w:val="single" w:sz="4" w:space="0" w:color="auto"/>
            </w:tcBorders>
          </w:tcPr>
          <w:p w14:paraId="00101403" w14:textId="00101434">
            <w:pPr>
              <w:pStyle w:val="Normal"/>
              <w:jc w:val="left"/>
            </w:pPr>
            <w:r>
              <w:t xml:space="preserve">0.3</w:t>
            </w:r>
          </w:p>
        </w:tc>
        <w:tc>
          <w:tcPr>
            <w:vAlign w:val="center"/>
            <w:tcBorders>
              <w:top w:val="single" w:sz="4" w:space="0" w:color="auto"/>
              <w:left w:val="single" w:sz="4" w:space="0" w:color="auto"/>
              <w:bottom w:val="single" w:sz="4" w:space="0" w:color="auto"/>
              <w:right w:val="single" w:sz="4" w:space="0" w:color="auto"/>
            </w:tcBorders>
          </w:tcPr>
          <w:p w14:paraId="00101405" w14:textId="00101435">
            <w:pPr>
              <w:pStyle w:val="Normal"/>
              <w:jc w:val="left"/>
            </w:pPr>
            <w:r>
              <w:t xml:space="preserve">1.4</w:t>
            </w:r>
          </w:p>
        </w:tc>
        <w:tc>
          <w:tcPr>
            <w:vAlign w:val="center"/>
            <w:tcBorders>
              <w:top w:val="single" w:sz="4" w:space="0" w:color="auto"/>
              <w:left w:val="single" w:sz="4" w:space="0" w:color="auto"/>
              <w:bottom w:val="single" w:sz="4" w:space="0" w:color="auto"/>
              <w:right w:val="single" w:sz="4" w:space="0" w:color="auto"/>
            </w:tcBorders>
          </w:tcPr>
          <w:p w14:paraId="00101407" w14:textId="00101436">
            <w:pPr>
              <w:pStyle w:val="Normal"/>
              <w:jc w:val="left"/>
            </w:pPr>
            <w:r>
              <w:t xml:space="preserve">4.8</w:t>
            </w:r>
          </w:p>
        </w:tc>
        <w:tc>
          <w:tcPr>
            <w:vAlign w:val="center"/>
            <w:tcBorders>
              <w:top w:val="single" w:sz="4" w:space="0" w:color="auto"/>
              <w:left w:val="single" w:sz="4" w:space="0" w:color="auto"/>
              <w:bottom w:val="single" w:sz="4" w:space="0" w:color="auto"/>
              <w:right w:val="single" w:sz="4" w:space="0" w:color="auto"/>
            </w:tcBorders>
          </w:tcPr>
          <w:p w14:paraId="00101409" w14:textId="00101437">
            <w:pPr>
              <w:pStyle w:val="Normal"/>
              <w:jc w:val="left"/>
            </w:pPr>
            <w:r>
              <w:t xml:space="preserve">6.5</w:t>
            </w:r>
          </w:p>
        </w:tc>
      </w:tr>
      <w:tr>
        <w:tc>
          <w:tcPr>
            <w:vAlign w:val="top"/>
            <w:tcBorders>
              <w:top w:val="single" w:sz="4" w:space="0" w:color="auto"/>
              <w:left w:val="single" w:sz="4" w:space="0" w:color="auto"/>
              <w:bottom w:val="single" w:sz="4" w:space="0" w:color="auto"/>
              <w:right w:val="single" w:sz="4" w:space="0" w:color="auto"/>
            </w:tcBorders>
          </w:tcPr>
          <w:p w14:paraId="0010140B" w14:textId="00101438">
            <w:pPr>
              <w:pStyle w:val="Normal"/>
              <w:jc w:val="left"/>
            </w:pPr>
            <w:r>
              <w:t xml:space="preserve">Other long-term benefits</w:t>
            </w:r>
          </w:p>
        </w:tc>
        <w:tc>
          <w:tcPr>
            <w:vAlign w:val="center"/>
            <w:tcBorders>
              <w:top w:val="single" w:sz="4" w:space="0" w:color="auto"/>
              <w:left w:val="single" w:sz="4" w:space="0" w:color="auto"/>
              <w:bottom w:val="single" w:sz="4" w:space="0" w:color="auto"/>
              <w:right w:val="single" w:sz="4" w:space="0" w:color="auto"/>
            </w:tcBorders>
          </w:tcPr>
          <w:p w14:paraId="0010140D" w14:textId="00101439">
            <w:pPr>
              <w:pStyle w:val="Normal"/>
              <w:jc w:val="left"/>
            </w:pPr>
            <w:r>
              <w:t xml:space="preserve">0.7</w:t>
            </w:r>
          </w:p>
        </w:tc>
        <w:tc>
          <w:tcPr>
            <w:vAlign w:val="center"/>
            <w:tcBorders>
              <w:top w:val="single" w:sz="4" w:space="0" w:color="auto"/>
              <w:left w:val="single" w:sz="4" w:space="0" w:color="auto"/>
              <w:bottom w:val="single" w:sz="4" w:space="0" w:color="auto"/>
              <w:right w:val="single" w:sz="4" w:space="0" w:color="auto"/>
            </w:tcBorders>
          </w:tcPr>
          <w:p w14:paraId="0010140F" w14:textId="0010143A">
            <w:pPr>
              <w:pStyle w:val="Normal"/>
              <w:jc w:val="left"/>
            </w:pPr>
            <w:r>
              <w:t xml:space="preserve">2.1</w:t>
            </w:r>
          </w:p>
        </w:tc>
        <w:tc>
          <w:tcPr>
            <w:vAlign w:val="center"/>
            <w:tcBorders>
              <w:top w:val="single" w:sz="4" w:space="0" w:color="auto"/>
              <w:left w:val="single" w:sz="4" w:space="0" w:color="auto"/>
              <w:bottom w:val="single" w:sz="4" w:space="0" w:color="auto"/>
              <w:right w:val="single" w:sz="4" w:space="0" w:color="auto"/>
            </w:tcBorders>
          </w:tcPr>
          <w:p w14:paraId="00101411" w14:textId="0010143B">
            <w:pPr>
              <w:pStyle w:val="Normal"/>
              <w:jc w:val="left"/>
            </w:pPr>
            <w:r>
              <w:t xml:space="preserve">5.4</w:t>
            </w:r>
          </w:p>
        </w:tc>
        <w:tc>
          <w:tcPr>
            <w:vAlign w:val="center"/>
            <w:tcBorders>
              <w:top w:val="single" w:sz="4" w:space="0" w:color="auto"/>
              <w:left w:val="single" w:sz="4" w:space="0" w:color="auto"/>
              <w:bottom w:val="single" w:sz="4" w:space="0" w:color="auto"/>
              <w:right w:val="single" w:sz="4" w:space="0" w:color="auto"/>
            </w:tcBorders>
          </w:tcPr>
          <w:p w14:paraId="00101413" w14:textId="0010143C">
            <w:pPr>
              <w:pStyle w:val="Normal"/>
              <w:jc w:val="left"/>
            </w:pPr>
            <w:r>
              <w:t xml:space="preserve">8.2</w:t>
            </w:r>
          </w:p>
        </w:tc>
      </w:tr>
      <w:tr>
        <w:tc>
          <w:tcPr>
            <w:vAlign w:val="top"/>
            <w:tcBorders>
              <w:top w:val="single" w:sz="4" w:space="0" w:color="auto"/>
              <w:left w:val="single" w:sz="4" w:space="0" w:color="auto"/>
              <w:bottom w:val="single" w:sz="4" w:space="0" w:color="auto"/>
              <w:right w:val="single" w:sz="4" w:space="0" w:color="auto"/>
            </w:tcBorders>
          </w:tcPr>
          <w:p w14:paraId="00101415" w14:textId="0010143D">
            <w:pPr>
              <w:pStyle w:val="Normal"/>
              <w:jc w:val="left"/>
            </w:pPr>
            <w:r>
              <w:t xml:space="preserve">Total employee benefits expense</w:t>
            </w:r>
          </w:p>
        </w:tc>
        <w:tc>
          <w:tcPr>
            <w:vAlign w:val="center"/>
            <w:tcBorders>
              <w:top w:val="single" w:sz="4" w:space="0" w:color="auto"/>
              <w:left w:val="single" w:sz="4" w:space="0" w:color="auto"/>
              <w:bottom w:val="single" w:sz="4" w:space="0" w:color="auto"/>
              <w:right w:val="single" w:sz="4" w:space="0" w:color="auto"/>
            </w:tcBorders>
          </w:tcPr>
          <w:p w14:paraId="00101417" w14:textId="0010143E">
            <w:pPr>
              <w:pStyle w:val="Normal"/>
              <w:jc w:val="left"/>
            </w:pPr>
            <w:r>
              <w:t xml:space="preserve">24.8</w:t>
            </w:r>
          </w:p>
        </w:tc>
        <w:tc>
          <w:tcPr>
            <w:vAlign w:val="center"/>
            <w:tcBorders>
              <w:top w:val="single" w:sz="4" w:space="0" w:color="auto"/>
              <w:left w:val="single" w:sz="4" w:space="0" w:color="auto"/>
              <w:bottom w:val="single" w:sz="4" w:space="0" w:color="auto"/>
              <w:right w:val="single" w:sz="4" w:space="0" w:color="auto"/>
            </w:tcBorders>
          </w:tcPr>
          <w:p w14:paraId="00101419" w14:textId="0010143F">
            <w:pPr>
              <w:pStyle w:val="Normal"/>
              <w:jc w:val="left"/>
            </w:pPr>
            <w:r>
              <w:t xml:space="preserve">97.6</w:t>
            </w:r>
          </w:p>
        </w:tc>
        <w:tc>
          <w:tcPr>
            <w:vAlign w:val="center"/>
            <w:tcBorders>
              <w:top w:val="single" w:sz="4" w:space="0" w:color="auto"/>
              <w:left w:val="single" w:sz="4" w:space="0" w:color="auto"/>
              <w:bottom w:val="single" w:sz="4" w:space="0" w:color="auto"/>
              <w:right w:val="single" w:sz="4" w:space="0" w:color="auto"/>
            </w:tcBorders>
          </w:tcPr>
          <w:p w14:paraId="0010141B" w14:textId="00101440">
            <w:pPr>
              <w:pStyle w:val="Normal"/>
              <w:jc w:val="left"/>
            </w:pPr>
            <w:r>
              <w:t xml:space="preserve">374.6</w:t>
            </w:r>
          </w:p>
        </w:tc>
        <w:tc>
          <w:tcPr>
            <w:vAlign w:val="center"/>
            <w:tcBorders>
              <w:top w:val="single" w:sz="4" w:space="0" w:color="auto"/>
              <w:left w:val="single" w:sz="4" w:space="0" w:color="auto"/>
              <w:bottom w:val="single" w:sz="4" w:space="0" w:color="auto"/>
              <w:right w:val="single" w:sz="4" w:space="0" w:color="auto"/>
            </w:tcBorders>
          </w:tcPr>
          <w:p w14:paraId="0010141D" w14:textId="00101441">
            <w:pPr>
              <w:pStyle w:val="Normal"/>
              <w:jc w:val="left"/>
            </w:pPr>
            <w:r>
              <w:t xml:space="preserve">497.0</w:t>
            </w:r>
          </w:p>
        </w:tc>
      </w:tr>
    </w:tbl>
    <w:p w14:paraId="00101442" w14:textId="00101443">
      <w:pPr>
        <w:pStyle w:val="Normal"/>
        <w:jc w:val="left"/>
      </w:pPr>
      <w:r>
        <w:t xml:space="preserve">Table 28 Employee benefits schedule by category and recipient group</w:t>
      </w:r>
    </w:p>
    <w:p w14:paraId="00101444" w14:textId="00101445">
      <w:pPr>
        <w:pStyle w:val="Normal"/>
        <w:jc w:val="left"/>
      </w:pPr>
      <w:r>
        <w:t xml:space="preserve">8.3.2.1.2 Short-Term Benefits</w:t>
      </w:r>
    </w:p>
    <w:p w14:paraId="00101446" w14:textId="00101447">
      <w:pPr>
        <w:pStyle w:val="Normal"/>
        <w:jc w:val="left"/>
      </w:pPr>
      <w:r>
        <w:t xml:space="preserve">Short-term benefits comprise salaries, wages, annual performance bonuses, payroll taxes, paid leave, medical support, transport allowances, and other noncash benefits provided within twelve months of the reporting date. Across Rivermark Holdings, these benefits represent the largest component of total employee cost because the group operates labor-intensive service and operating platforms alongside specialist technical functions. Fixed salary remained the primary cost element, while variable compensation reflected segment profitability, operating cash conversion, safety performance, and selected individual objectives linked to customer retention and project delivery.</w:t>
      </w:r>
    </w:p>
    <w:p w14:paraId="00101448" w14:textId="00101449">
      <w:pPr>
        <w:pStyle w:val="Normal"/>
        <w:jc w:val="left"/>
      </w:pPr>
      <w:r>
        <w:t xml:space="preserve">Noncash benefits principally included medical coverage, vehicle benefits for eligible management roles, subsidized meals at selected sites, housing support in remote operating locations, and limited relocation assistance for critical hires. Bonus accruals were measured on the basis of approved scorecards and management estimates of year-end achievement. Where final outcomes had not yet been determined at the reporting date, accruals were recognized using the best available estimate of performance against plan. The year-on-year increase in short-term benefits mainly reflected selective headcount growth in Infrastructure Services, wage inflation in field operations, and a higher incentive outturn in Industrial Solutions following improved margin delivery.</w:t>
      </w:r>
    </w:p>
    <w:p w14:paraId="0010144A" w14:textId="0010144B">
      <w:pPr>
        <w:pStyle w:val="Normal"/>
        <w:jc w:val="left"/>
      </w:pPr>
      <w:r>
        <w:t xml:space="preserve">Short-term employee benefit expense increased at a slower rate than revenue, indicating some operating leverage despite broad-based compensation pressure across the group. Salary progression was influenced by market adjustments for engineering, digital commerce, and project management roles, which remained the most competitive labor categories during the year. Annual incentive cost also rose, but the increase was concentrated in businesses that exceeded profitability and working-capital targets, while lower payouts in underperforming activities moderated the total charge.</w:t>
      </w:r>
    </w:p>
    <w:p w14:paraId="0010144C" w14:textId="0010144D">
      <w:pPr>
        <w:pStyle w:val="Normal"/>
        <w:jc w:val="left"/>
      </w:pPr>
      <w:r>
        <w:t xml:space="preserve">Accrued leave and bonus balances are included within current liabilities because settlement is expected in the next financial year. Management reviews these balances monthly using payroll records, approved entitlement rules, and business-unit forecasts. Noncash benefit costs were stable as a proportion of payroll, reflecting limited changes to plan design and continued use of group procurement arrangements for health and mobility programs. No material curtailments or one-off settlements were recognized in relation to short-term benefit arrangements during the reporting period, and no significant estimation uncertainty was identified beyond normal bonus and leave-accrual assumptions.</w:t>
      </w:r>
    </w:p>
    <w:p w14:paraId="0010144E" w14:textId="0010144F">
      <w:pPr>
        <w:pStyle w:val="Normal"/>
        <w:jc w:val="left"/>
      </w:pPr>
      <w:r>
        <w:t xml:space="preserve">8.3.2.1.2 Post-Employment Benefits</w:t>
      </w:r>
    </w:p>
    <w:p w14:paraId="00101450" w14:textId="00101451">
      <w:pPr>
        <w:pStyle w:val="Normal"/>
        <w:jc w:val="left"/>
      </w:pPr>
      <w:r>
        <w:t xml:space="preserve">Post-employment benefits include defined contribution plans, statutory social insurance obligations, and legacy defined benefit arrangements maintained for a limited population of current and former employees. For defined contribution plans, Rivermark Holdings recognizes expense as services are rendered, with contributions paid to independently administered funds or public schemes in accordance with local employment legislation and plan rules. These arrangements form the majority of post-employment cost and are widely used across Consumer Platforms and Infrastructure Services because of their administrative simplicity and reduced balance-sheet volatility.</w:t>
      </w:r>
    </w:p>
    <w:p w14:paraId="00101452" w14:textId="00101453">
      <w:pPr>
        <w:pStyle w:val="Normal"/>
        <w:jc w:val="left"/>
      </w:pPr>
      <w:r>
        <w:t xml:space="preserve">A smaller portion of post-employment expense relates to defined benefit obligations in jurisdictions where inherited plans remain in place following earlier acquisitions. The annual charge for these plans reflects current service cost, net interest on the net defined benefit liability, and the effect of any plan amendments recognized in the period. Employer contributions to funded arrangements were made in line with actuarial funding advice and minimum regulatory requirements. The increase in post-employment cost during the year was driven mainly by payroll growth in defined contribution populations and by a higher net interest component on defined benefit obligations following changes in discount rates and opening liability levels.</w:t>
      </w:r>
    </w:p>
    <w:p w14:paraId="00101454" w14:textId="00101455">
      <w:pPr>
        <w:pStyle w:val="Normal"/>
        <w:jc w:val="left"/>
      </w:pPr>
      <w:r>
        <w:t xml:space="preserve">The post-employment benefit obligation reported by the group is shaped by several components that differ in accounting treatment. Defined contribution costs are recognized directly in operating expense when incurred and give rise only to short-term contribution payables where unpaid at year end. By contrast, defined benefit accounting requires the recognition of a net obligation or net asset equal to the present value of future obligations less the fair value of plan assets. This measurement incorporates demographic assumptions such as mortality, retirement age, and staff turnover, together with financial assumptions including discount rates, salary growth, and inflation.</w:t>
      </w:r>
    </w:p>
    <w:p w14:paraId="00101456" w14:textId="00101457">
      <w:pPr>
        <w:pStyle w:val="Normal"/>
        <w:jc w:val="left"/>
      </w:pPr>
      <w:r>
        <w:t xml:space="preserve">Remeasurements arising from changes in assumptions and experience adjustments are recorded in other comprehensive income rather than operating profit, which reduces income-statement volatility from market movements but can still materially affect equity. In assessing post-employment benefit components, management also considers any asset ceiling restrictions, funding commitments, and legal obligations to make additional contributions. The year-end position did not indicate any material plan curtailment, settlement, or special funding event; however, sensitivity to discount-rate movements remains significant for the legacy defined benefit portfolio and is discussed in the following disclosures.</w:t>
      </w:r>
    </w:p>
    <w:p w14:paraId="00101458" w14:textId="00101459">
      <w:pPr>
        <w:pStyle w:val="Normal"/>
        <w:jc w:val="left"/>
      </w:pPr>
      <w:r>
        <w:t xml:space="preserve">8.3.2 Pensions and Other Benefits</w:t>
      </w:r>
    </w:p>
    <w:p w14:paraId="0010145A" w14:textId="0010145B">
      <w:pPr>
        <w:pStyle w:val="Normal"/>
        <w:jc w:val="left"/>
      </w:pPr>
      <w:r>
        <w:t xml:space="preserve">This note addresses Rivermark Holdings' defined benefit pension arrangements, post-retirement medical support in limited jurisdictions, and other long-term employee benefit obligations where the group bears actuarial or funding risk beyond the immediate payroll cycle. The disclosure focuses on plans that are material by size, risk profile, or judgmental complexity. Most active employees participate in defined contribution arrangements and therefore do not create long-duration balance-sheet exposures; however, several acquired businesses continue to sponsor closed or largely closed defined benefit plans for employees and pensioners.</w:t>
      </w:r>
    </w:p>
    <w:p w14:paraId="0010145C" w14:textId="0010145D">
      <w:pPr>
        <w:pStyle w:val="Normal"/>
        <w:jc w:val="left"/>
      </w:pPr>
      <w:r>
        <w:t xml:space="preserve">The scope of disclosure includes the nature of benefits promised, the funding status of plan assets and obligations, the basis of actuarial measurement, and the sensitivity of reported balances to reasonably possible changes in assumptions. Other long-term benefits, such as long-service awards and deferred retention arrangements, are presented where relevant because their measurement also depends on actuarial estimates, although they are not funded in the same manner as pension plans. The note should be read together with the employee benefits schedule above, which summarizes total benefit expense by category, and with the subsequent sections that explain plan movements, actuarial assumptions, and sensitivity outcomes.</w:t>
      </w:r>
    </w:p>
    <w:p w14:paraId="0010145E" w14:textId="0010145F">
      <w:pPr>
        <w:pStyle w:val="Normal"/>
        <w:jc w:val="left"/>
      </w:pPr>
      <w:r>
        <w:t xml:space="preserve">Defined benefit accounting requires significant estimation because obligations are settled over long periods and depend on factors that may change materially after the reporting date. Rivermark Holdings therefore uses independent qualified actuaries to value its principal plans using the projected unit credit method. This approach attributes benefit entitlement to periods of service and discounts expected future cash outflows to present value using market yields on high-quality corporate bonds, or equivalent benchmark rates where deep markets are not available. The resulting measurements are inherently sensitive to discount-rate assumptions, inflation expectations, salary progression for active members, life expectancy, and member option behavior.</w:t>
      </w:r>
    </w:p>
    <w:p w14:paraId="00101460" w14:textId="00101461">
      <w:pPr>
        <w:pStyle w:val="Normal"/>
        <w:jc w:val="left"/>
      </w:pPr>
      <w:r>
        <w:t xml:space="preserve">Management reviews actuarial outputs for consistency with plan rules, historical experience, regulatory funding requirements, and broader market conditions. Particular attention is given to whether economic assumptions remain aligned with the year-end environment and whether any amendments, special contributions, settlements, or curtailments should be reflected in the valuation. Because several plans are closed to new members, duration and pensioner mortality assumptions have a proportionately greater effect than salary growth assumptions. While the group considers the estimates used to be reasonable and supportable, actual outcomes may differ from assumptions and those differences can create future remeasurement gains or losses recognized outside operating profit.</w:t>
      </w:r>
    </w:p>
    <w:p w14:paraId="00101462" w14:textId="00101463">
      <w:pPr>
        <w:pStyle w:val="Normal"/>
        <w:jc w:val="left"/>
      </w:pPr>
      <w:r>
        <w:t xml:space="preserve">8.3.2.2 Defined Benefit Plans</w:t>
      </w:r>
    </w:p>
    <w:p w14:paraId="00101464" w14:textId="00101465">
      <w:pPr>
        <w:pStyle w:val="Normal"/>
        <w:jc w:val="left"/>
      </w:pPr>
      <w:r>
        <w:t xml:space="preserve">The Group sponsors a limited number of funded defined benefit arrangements that remain relevant primarily in legacy Industrial Solutions and Infrastructure Services businesses. These plans provide retirement benefits based on salary history, years of service, or a combination of both, and are distinct from the broader defined contribution programs now used for most active employees. At the reporting date, the pension note is therefore driven by two related balances: the present value of the defined benefit obligation and the fair value of plan assets held in legally separate trusts or similar funding vehicles.</w:t>
      </w:r>
    </w:p>
    <w:p w14:paraId="00101466" w14:textId="00101467">
      <w:pPr>
        <w:pStyle w:val="Normal"/>
        <w:jc w:val="left"/>
      </w:pPr>
      <w:r>
        <w:t xml:space="preserve">The net defined benefit position reflects the extent to which accumulated plan assets cover the discounted value of future promised payments. In practice, the liability is affected not only by benefit accrual and contributions in the year, but also by changes in discount rates, inflation assumptions, longevity expectations, salary progression, and actual asset performance. Because these variables move in different directions over time, the funded status can change materially even where benefit design and cash funding remain stable.</w:t>
      </w:r>
    </w:p>
    <w:p w14:paraId="00101468" w14:textId="00101469">
      <w:pPr>
        <w:pStyle w:val="Normal"/>
        <w:jc w:val="left"/>
      </w:pPr>
      <w:r>
        <w:t xml:space="preserve">Rivermark Holdings measures these obligations using actuarial techniques consistent with the characteristics of each plan and the demographics of participating members. The resulting balances are presented net on the statement of financial position, while the note below explains the principal movements in obligations and assets, the sources of remeasurement, and the assumptions used in assessing the year-end position.</w:t>
      </w:r>
    </w:p>
    <w:p w14:paraId="0010146A" w14:textId="0010146B">
      <w:pPr>
        <w:pStyle w:val="Normal"/>
        <w:jc w:val="left"/>
      </w:pPr>
      <w:r>
        <w:t xml:space="preserve">Movements in the defined benefit balances during the year should be read as the combined effect of operating, financing, and market-related factors rather than as a simple cash funding measure. The obligation increases through current service cost for active members, interest cost arising from the passage of time, and actuarial losses where assumptions such as discount rates or life expectancy change unfavorably. It decreases through benefits paid, settlements, curtailments, and, in some plans, amendments that reduce future entitlements.</w:t>
      </w:r>
    </w:p>
    <w:p w14:paraId="0010146C" w14:textId="0010146D">
      <w:pPr>
        <w:pStyle w:val="Normal"/>
        <w:jc w:val="left"/>
      </w:pPr>
      <w:r>
        <w:t xml:space="preserve">On the asset side, employer contributions and actual investment returns are the main drivers of change. Since accounting requires the obligation to be discounted using year-end market yields and plan assets to be measured at fair value at the reporting date, significant volatility may arise from capital market conditions near year-end. This can create accounting remeasurements that do not necessarily correspond to short-term liquidity pressure.</w:t>
      </w:r>
    </w:p>
    <w:p w14:paraId="0010146E" w14:textId="0010146F">
      <w:pPr>
        <w:pStyle w:val="Normal"/>
        <w:jc w:val="left"/>
      </w:pPr>
      <w:r>
        <w:t xml:space="preserve">Management reviews the actuarial movement analysis to understand whether year-on-year changes arise from demographic experience, assumption updates, benefit cash outflows, or investment performance. That analysis supports funding discussions with trustees and helps the Group assess the sustainability of legacy pension commitments within its overall capital allocation framework.</w:t>
      </w:r>
    </w:p>
    <w:p w14:paraId="00101470" w14:textId="00101471">
      <w:pPr>
        <w:pStyle w:val="Normal"/>
        <w:jc w:val="left"/>
      </w:pPr>
      <w:r>
        <w:t xml:space="preserve">8.3.2.2.1 Obligation Movements</w:t>
      </w:r>
    </w:p>
    <w:p w14:paraId="00101472" w14:textId="00101473">
      <w:pPr>
        <w:pStyle w:val="Normal"/>
        <w:jc w:val="left"/>
      </w:pPr>
      <w:r>
        <w:t xml:space="preserve">The present value of defined benefit obligations changed over the year as a result of normal service accrual, finance cost, benefit payments, and actuarial reassessment. For the small active population still accruing benefits, current service cost reflected an additional year of earned service and updated pensionable salary where relevant. Interest cost was recognized by applying the discount rate at the start of the year to the opening obligation, consistent with the accounting basis for unwinding the liability over time.</w:t>
      </w:r>
    </w:p>
    <w:p w14:paraId="00101474" w14:textId="00101475">
      <w:pPr>
        <w:pStyle w:val="Normal"/>
        <w:jc w:val="left"/>
      </w:pPr>
      <w:r>
        <w:t xml:space="preserve">Benefit payments to pensioners reduced the obligation as obligations were settled in cash when due. In addition, minor demographic experience adjustments arose where actual retirements, withdrawals, or mortality outcomes differed from prior expectations. The most significant movement, however, related to remeasurement at year-end, particularly the effect of revised discount rates and inflation-linked assumptions on the valuation of future benefit payments.</w:t>
      </w:r>
    </w:p>
    <w:p w14:paraId="00101476" w14:textId="00101477">
      <w:pPr>
        <w:pStyle w:val="Normal"/>
        <w:jc w:val="left"/>
      </w:pPr>
      <w:r>
        <w:t xml:space="preserve">No major plan closure or settlement occurred during the year, and there were no material amendments creating past service cost. Accordingly, the movement in obligations was mainly attributable to market-driven actuarial effects and ordinary plan run-off. This pattern is consistent with the maturity of the Group's remaining defined benefit plans, where pensioner liabilities form a large share of the obligation and sensitivity to macroeconomic assumptions is greater than sensitivity to new service accrual.</w:t>
      </w:r>
    </w:p>
    <w:p w14:paraId="00101478" w14:textId="00101479">
      <w:pPr>
        <w:pStyle w:val="Normal"/>
        <w:jc w:val="left"/>
      </w:pPr>
      <w:r>
        <w:t xml:space="preserve">Service cost recognized in operating profit comprised current service cost for active members and administrative expenses that are directly attributable to plan management where those costs were not charged against plan assets. Net interest on the net defined benefit liability was recognized in finance costs and reflects the time value of money on the opening funded status. These recurring components are distinguished from remeasurement items, which are recorded in other comprehensive income and are not recycled through profit or loss in subsequent periods.</w:t>
      </w:r>
    </w:p>
    <w:p w14:paraId="0010147A" w14:textId="0010147B">
      <w:pPr>
        <w:pStyle w:val="Normal"/>
        <w:jc w:val="left"/>
      </w:pPr>
      <w:r>
        <w:t xml:space="preserve">Remeasurements included actuarial gains and losses on the obligation arising from changes in financial assumptions, notably discount rates and inflation, together with experience adjustments where actual outcomes differed from assumptions previously adopted. They also included the difference between the actual return on plan assets and the interest income amount recognized through net interest. This presentation allows users to separate period service and financing effects from valuation changes caused by market conditions and assumption updates.</w:t>
      </w:r>
    </w:p>
    <w:p w14:paraId="0010147C" w14:textId="0010147D">
      <w:pPr>
        <w:pStyle w:val="Normal"/>
        <w:jc w:val="left"/>
      </w:pPr>
      <w:r>
        <w:t xml:space="preserve">For Rivermark Holdings, the year-on-year volatility in pension accounting was driven more by remeasurement than by underlying benefit accrual. That outcome reflects the mature status of the plans, the relatively modest active service base, and the sensitivity of long-duration obligations to shifts in bond yields and other actuarial inputs at the reporting date.</w:t>
      </w:r>
    </w:p>
    <w:p w14:paraId="0010147E" w14:textId="0010147F">
      <w:pPr>
        <w:pStyle w:val="Normal"/>
        <w:jc w:val="left"/>
      </w:pPr>
      <w:r>
        <w:t xml:space="preserve">8.3.2.2.1 Plan Assets</w:t>
      </w:r>
    </w:p>
    <w:p w14:paraId="00101480" w14:textId="00101481">
      <w:pPr>
        <w:pStyle w:val="Normal"/>
        <w:jc w:val="left"/>
      </w:pPr>
      <w:r>
        <w:t xml:space="preserve">Plan assets are held in segregated funds or trust structures established to meet benefit payments as they fall due and are generally not available to the Group's creditors. The investment objective is to balance long-term return generation with capital preservation and liquidity, taking account of the duration and profile of the related pension obligations. Asset allocation is therefore designed with reference to liability characteristics rather than on a stand-alone investment basis.</w:t>
      </w:r>
    </w:p>
    <w:p w14:paraId="00101482" w14:textId="00101483">
      <w:pPr>
        <w:pStyle w:val="Normal"/>
        <w:jc w:val="left"/>
      </w:pPr>
      <w:r>
        <w:t xml:space="preserve">Across the Group's legacy plans, the portfolio includes quoted equity securities, government and corporate bonds, pooled diversified funds, cash, and limited exposure to alternative assets where permitted by plan rules and trustee mandates. Debt securities and liability-aware instruments form an important component for mature plans because they better align with the duration and sensitivity of pension obligations. Equity and diversified growth holdings are retained to support long-term returns, although their relative weighting has declined over time as plans have matured.</w:t>
      </w:r>
    </w:p>
    <w:p w14:paraId="00101484" w14:textId="00101485">
      <w:pPr>
        <w:pStyle w:val="Normal"/>
        <w:jc w:val="left"/>
      </w:pPr>
      <w:r>
        <w:t xml:space="preserve">Fair values are determined using quoted market prices where available or, for pooled and indirectly held investments, by reference to fund net asset values and other observable valuation inputs. The composition of plan assets is monitored regularly by trustees and management, with attention to concentration, liquidity, counterparty exposure, and consistency between asset strategy and the Group's expected funding path.</w:t>
      </w:r>
    </w:p>
    <w:p w14:paraId="00101486" w14:textId="00101487">
      <w:pPr>
        <w:pStyle w:val="Normal"/>
        <w:jc w:val="left"/>
      </w:pPr>
      <w:r>
        <w:t xml:space="preserve">Actual asset performance during the year reflected a mixed market environment in which bond valuations, credit spreads, and risk-asset returns moved unevenly across reporting periods. Because the accounting measurement uses fair value at the reporting date, reported plan asset returns can differ materially from long-term strategic return expectations. The Group therefore focuses not only on absolute return, but also on how asset performance interacts with changes in the present value of obligations.</w:t>
      </w:r>
    </w:p>
    <w:p w14:paraId="00101488" w14:textId="00101489">
      <w:pPr>
        <w:pStyle w:val="Normal"/>
        <w:jc w:val="left"/>
      </w:pPr>
      <w:r>
        <w:t xml:space="preserve">The asset mix contains an inherent trade-off. Higher allocations to growth assets such as equities and diversified return funds may improve expected long-run funding outcomes, but they also increase short-term volatility in the funded position. Larger allocations to bonds and liability-matching instruments reduce mismatch risk between assets and obligations, though they may lower expected returns over extended periods. The current portfolio reflects the maturity of the underlying plans and a preference for controlled funding volatility over aggressive return targeting.</w:t>
      </w:r>
    </w:p>
    <w:p w14:paraId="0010148A" w14:textId="0010148B">
      <w:pPr>
        <w:pStyle w:val="Normal"/>
        <w:jc w:val="left"/>
      </w:pPr>
      <w:r>
        <w:t xml:space="preserve">Risk is managed through investment guidelines approved by trustees, diversification requirements, periodic asset-liability studies, and monitoring of external managers. The plans are not materially exposed to direct concentrations in Rivermark Holdings securities or owner-occupied property. Where pooled funds are used, underlying exposures are reviewed to ensure that market, liquidity, and credit risks remain within tolerance levels consistent with benefit security and expected cash payment needs.</w:t>
      </w:r>
    </w:p>
    <w:p w14:paraId="0010148C" w14:textId="0010148D">
      <w:pPr>
        <w:pStyle w:val="Normal"/>
        <w:jc w:val="left"/>
      </w:pPr>
      <w:r>
        <w:t xml:space="preserve">8.3.2.2 Actuarial Assumptions</w:t>
      </w:r>
    </w:p>
    <w:p w14:paraId="0010148E" w14:textId="0010148F">
      <w:pPr>
        <w:pStyle w:val="Normal"/>
        <w:jc w:val="left"/>
      </w:pPr>
      <w:r>
        <w:t xml:space="preserve">The measurement of defined benefit obligations requires a coherent set of actuarial assumptions reflecting market conditions at the reporting date and plan-specific demographic expectations. Financial assumptions determine the present value of future cash flows and include the discount rate, inflation, and, where relevant, pension increase and salary growth assumptions. Demographic assumptions address the expected timing and duration of benefit payments, including mortality, retirement age, employee turnover, and the incidence of dependants' benefits.</w:t>
      </w:r>
    </w:p>
    <w:p w14:paraId="00101490" w14:textId="00101491">
      <w:pPr>
        <w:pStyle w:val="Normal"/>
        <w:jc w:val="left"/>
      </w:pPr>
      <w:r>
        <w:t xml:space="preserve">Rivermark Holdings develops these assumptions with support from qualified external actuaries and with reference to the currency, duration, and jurisdiction of each plan. The discount rate is derived from high-quality corporate bond yields, adjusted to align with the estimated term of the obligations. Inflation-related assumptions are based on market indicators and longer-term expectations in the countries where the plans operate, while mortality assumptions draw on published tables, plan experience, and allowance for future improvements in life expectancy.</w:t>
      </w:r>
    </w:p>
    <w:p w14:paraId="00101492" w14:textId="00101493">
      <w:pPr>
        <w:pStyle w:val="Normal"/>
        <w:jc w:val="left"/>
      </w:pPr>
      <w:r>
        <w:t xml:space="preserve">Although each assumption is selected individually, the valuation outcome depends on how the full assumption set operates together. A lower discount rate, for example, increases the present value of obligations, while higher inflation may also raise projected pension payments in plans with indexed benefits. For this reason, management reviews assumptions as an integrated package and evaluates their reasonableness against both market evidence and historical plan experience.</w:t>
      </w:r>
    </w:p>
    <w:p w14:paraId="00101494" w14:textId="00101495">
      <w:pPr>
        <w:pStyle w:val="Normal"/>
        <w:jc w:val="left"/>
      </w:pPr>
      <w:r>
        <w:t xml:space="preserve">Sensitivity analysis is provided to illustrate how reasonably possible changes in key actuarial assumptions would affect the defined benefit obligation at the reporting date. The analysis is intended to help readers understand the directional exposure of the liability to estimation uncertainty; it is not a forecast of future funding outcomes, nor does it capture the full effect of management actions, asset rebalancing, or changes in member behavior that might occur if assumptions moved materially over time.</w:t>
      </w:r>
    </w:p>
    <w:p w14:paraId="00101496" w14:textId="00101497">
      <w:pPr>
        <w:pStyle w:val="Normal"/>
        <w:jc w:val="left"/>
      </w:pPr>
      <w:r>
        <w:t xml:space="preserve">In preparing these sensitivities, each principal assumption is typically changed in isolation while all other variables are held constant. This method is consistent with common financial reporting practice, but it has limitations because assumptions in practice may be correlated. For example, a movement in discount rates may be accompanied by changes in inflation expectations and asset values, while salary trends and retirement behavior may evolve together in response to broader economic conditions.</w:t>
      </w:r>
    </w:p>
    <w:p w14:paraId="00101498" w14:textId="00101499">
      <w:pPr>
        <w:pStyle w:val="Normal"/>
        <w:jc w:val="left"/>
      </w:pPr>
      <w:r>
        <w:t xml:space="preserve">Accordingly, the sensitivity disclosures should be interpreted as indicative stress points rather than as a complete range of potential outcomes. They are nonetheless useful in showing that long-duration pension obligations remain particularly sensitive to discount rates, inflation-linked benefit escalation, and longevity assumptions, even where the plans are closed to new entrants and the absolute scale of the liability is declining over time.</w:t>
      </w:r>
    </w:p>
    <w:p w14:paraId="0010149A" w14:textId="0010149B">
      <w:pPr>
        <w:pStyle w:val="Normal"/>
        <w:jc w:val="left"/>
      </w:pPr>
      <w:r>
        <w:t xml:space="preserve">8.3.2.2.2 Key Assumptions</w:t>
      </w:r>
    </w:p>
    <w:p w14:paraId="0010149C" w14:textId="0010149D">
      <w:pPr>
        <w:pStyle w:val="Normal"/>
        <w:jc w:val="left"/>
      </w:pPr>
      <w:r>
        <w:t xml:space="preserve">The principal actuarial assumptions used to measure Rivermark Holdings’ defined benefit obligations are the discount rate and longevity assumptions, as these variables have the most significant effect on the present value of future benefit payments. The discount rate is determined by reference to yields on high-quality corporate bonds denominated in the same currency as the relevant obligation and with maturities that approximate the timing profile of projected pension cash outflows. Where deep market observations are limited for longer durations, the yield curve is extrapolated using observable points and adjusted to maintain consistency with the duration of the plan liabilities.</w:t>
      </w:r>
    </w:p>
    <w:p w14:paraId="0010149E" w14:textId="0010149F">
      <w:pPr>
        <w:pStyle w:val="Normal"/>
        <w:jc w:val="left"/>
      </w:pPr>
      <w:r>
        <w:t xml:space="preserve">Longevity assumptions reflect the expected life span of current and future pensioners and are derived from nationally recognized mortality tables, adjusted where appropriate for the demographic characteristics and historical experience of the group’s participating employee populations. Rivermark Holdings also considers expected improvements in mortality over time rather than relying solely on current-period death rates. A lower discount rate increases the present value of obligations, while longer life expectancy extends the period over which benefits are expected to be paid and therefore also increases the defined benefit liability. Management reviews these assumptions annually with external actuaries to ensure that they remain supportable, internally consistent, and aligned with current market evidence and observed member experience.</w:t>
      </w:r>
    </w:p>
    <w:p w14:paraId="001014A0" w14:textId="001014A1">
      <w:pPr>
        <w:pStyle w:val="Normal"/>
        <w:jc w:val="left"/>
      </w:pPr>
      <w:r>
        <w:t xml:space="preserve">Demographic assumptions are established using a combination of external actuarial reference data and plan-specific experience studies. Mortality, retirement age, employee turnover, disability incidence, and spouse or dependant assumptions are evaluated by qualified independent actuaries using the most recent membership census, historical claim patterns, and relevant published statistical tables for the jurisdictions in which the material plans operate. Where plan experience is credible and sufficiently stable, assumptions are refined to reflect the actual profile of Rivermark Holdings’ workforce and pensioner base rather than adopting generalized market averages without adjustment.</w:t>
      </w:r>
    </w:p>
    <w:p w14:paraId="001014A2" w14:textId="001014A3">
      <w:pPr>
        <w:pStyle w:val="Normal"/>
        <w:jc w:val="left"/>
      </w:pPr>
      <w:r>
        <w:t xml:space="preserve">The group’s larger plans in mature jurisdictions provide enough history to support experience-based calibration of retirement timing and withdrawal behavior, while smaller plans rely more heavily on standard actuarial benchmarks. Assumptions are selected on a best-estimate basis and are intended to represent expected long-term outcomes, not short-term fluctuations. Management also considers whether recent restructuring activity, workforce aging, or benefit design changes could materially alter expected demographic patterns. The resulting assumptions are reviewed for consistency across valuation models and compared against prior-year settings to identify unusual shifts requiring additional justification or governance review.</w:t>
      </w:r>
    </w:p>
    <w:p w14:paraId="001014A4" w14:textId="001014A5">
      <w:pPr>
        <w:pStyle w:val="Normal"/>
        <w:jc w:val="left"/>
      </w:pPr>
      <w:r>
        <w:t xml:space="preserve">8.3.2.2.2 Sensitivity Results</w:t>
      </w:r>
    </w:p>
    <w:p w14:paraId="001014A6" w14:textId="001014A7">
      <w:pPr>
        <w:pStyle w:val="Normal"/>
        <w:jc w:val="left"/>
      </w:pPr>
      <w:r>
        <w:t xml:space="preserve">Sensitivity analysis illustrates how reasonably possible changes in key actuarial assumptions would affect the defined benefit obligation at the reporting date, while holding all other assumptions constant for measurement purposes. For Rivermark Holdings’ principal plans, a 50 basis point decrease in the discount rate would increase the present value of the obligation by approximately 6.4%, whereas a 50 basis point increase would reduce the obligation by approximately 5.9%. A one-year increase in assumed life expectancy for pensioners and deferred members would increase the obligation by about 3.1%, while a one-year decrease would reduce the obligation by roughly 2.8%.</w:t>
      </w:r>
    </w:p>
    <w:p w14:paraId="001014A8" w14:textId="001014A9">
      <w:pPr>
        <w:pStyle w:val="Normal"/>
        <w:jc w:val="left"/>
      </w:pPr>
      <w:r>
        <w:t xml:space="preserve">These outcomes are directionally consistent across the group’s plans, although the magnitude varies depending on plan duration, benefit formula, membership age profile, and the proportion of pensioners relative to active members. Plans with longer-duration liabilities are more sensitive to discount rate movements because a greater share of projected cash flows arises in later periods. Likewise, mature plans with a high number of pensioners tend to show greater longevity sensitivity. The disclosed sensitivities are intended to assist users in understanding measurement uncertainty and do not represent management forecasts of actual year-to-year changes in pension expense or funding requirements.</w:t>
      </w:r>
    </w:p>
    <w:p w14:paraId="001014AA" w14:textId="001014AB">
      <w:pPr>
        <w:pStyle w:val="Normal"/>
        <w:jc w:val="left"/>
      </w:pPr>
      <w:r>
        <w:t xml:space="preserve">The sensitivity calculations are prepared by remeasuring the closing defined benefit obligation using alternative assumptions for the specified variable while leaving the remaining assumptions unchanged. This approach provides a clear indication of the isolated effect of each major assumption; however, it does not fully capture the way assumptions may interact in practice. For example, changes in discount rates may coincide with changes in inflation expectations, salary growth, or asset returns, and actual demographic experience may differ across member cohorts rather than move uniformly as modeled.</w:t>
      </w:r>
    </w:p>
    <w:p w14:paraId="001014AC" w14:textId="001014AD">
      <w:pPr>
        <w:pStyle w:val="Normal"/>
        <w:jc w:val="left"/>
      </w:pPr>
      <w:r>
        <w:t xml:space="preserve">Accordingly, the sensitivities should be interpreted as analytical stress points rather than precise predictions of future balance-sheet volatility. The relationship between assumption changes and the obligation is also not always linear, particularly for plans with indexed benefits, minimum guarantees, or uneven cash-flow profiles. In addition, the disclosed percentage movements are based on the liability position at the reporting date and may change materially in future periods as membership characteristics, market yields, and benefit design evolve. Rivermark Holdings uses the sensitivity outputs as one element of pension risk oversight, alongside funding reviews, asset-liability matching analysis, and periodic actuarial monitoring.</w:t>
      </w:r>
    </w:p>
    <w:p w14:paraId="001014AE" w14:textId="001014AF">
      <w:pPr>
        <w:pStyle w:val="Normal"/>
        <w:jc w:val="left"/>
      </w:pPr>
      <w:r>
        <w:t xml:space="preserve">8.3 Related Parties and Events</w:t>
      </w:r>
    </w:p>
    <w:p w14:paraId="001014B0" w14:textId="001014B1">
      <w:pPr>
        <w:pStyle w:val="Normal"/>
        <w:jc w:val="left"/>
      </w:pPr>
      <w:r>
        <w:t xml:space="preserve">This note sets out Rivermark Holdings’ disclosures relating to transactions and balances with related parties and to events occurring after the reporting date. The purpose of the section is to explain whether relationships with group entities, associates, joint ventures, directors, key management personnel, and other connected parties have affected the financial statements through transactions, commitments, receivables, payables, or governance arrangements. The note also identifies significant post-year-end developments that either provide additional evidence about conditions existing at the reporting date or represent new events requiring separate disclosure.</w:t>
      </w:r>
    </w:p>
    <w:p w14:paraId="001014B2" w14:textId="001014B3">
      <w:pPr>
        <w:pStyle w:val="Normal"/>
        <w:jc w:val="left"/>
      </w:pPr>
      <w:r>
        <w:t xml:space="preserve">Related-party information is presented to support transparency over the extent to which reported results, financial position, or decision-making may have been influenced by parties with the ability to exercise control, joint control, or significant influence. Subsequent-event disclosures complement that analysis by clarifying whether material developments arose between the reporting date and the authorization of the financial statements. Together, these disclosures help users distinguish between conditions already reflected in recognized amounts and matters that may affect future performance, liquidity, capital allocation, or governance judgments.</w:t>
      </w:r>
    </w:p>
    <w:p w14:paraId="001014B4" w14:textId="001014B5">
      <w:pPr>
        <w:pStyle w:val="Normal"/>
        <w:jc w:val="left"/>
      </w:pPr>
      <w:r>
        <w:t xml:space="preserve">Events after the reporting period are reviewed through a structured reporting process that covers major operating units, treasury, legal, tax, human resources, and segment leadership. The objective is to determine whether information obtained after year end provides evidence of conditions that existed at the reporting date and therefore requires adjustment to recognized amounts, or whether the event relates to conditions arising subsequently and is therefore disclosed only if material. Management applies judgment in evaluating the timing, evidential quality, and financial significance of each event identified.</w:t>
      </w:r>
    </w:p>
    <w:p w14:paraId="001014B6" w14:textId="001014B7">
      <w:pPr>
        <w:pStyle w:val="Normal"/>
        <w:jc w:val="left"/>
      </w:pPr>
      <w:r>
        <w:t xml:space="preserve">Typical matters considered include significant acquisitions or disposals, major financing transactions, settlement of litigation, impairment indicators, customer insolvencies, restructuring decisions, dividend declarations, and material incidents affecting operations or compliance. The review remains open until the date on which the board authorizes the financial statements for issue. Where an event is determined to be nonadjusting but material, the disclosure explains the nature of the event and, when practicable, an estimate of its financial effect. If such an estimate cannot be made reliably, that limitation is stated. This approach is intended to ensure that readers understand both the reporting cut-off applied in the statements and the principal developments emerging immediately after year end.</w:t>
      </w:r>
    </w:p>
    <w:p w14:paraId="001014B8" w14:textId="001014B9">
      <w:pPr>
        <w:pStyle w:val="Normal"/>
        <w:jc w:val="left"/>
      </w:pPr>
      <w:r>
        <w:t xml:space="preserve">8.3.3 Related-Party Transactions</w:t>
      </w:r>
    </w:p>
    <w:p w14:paraId="001014BA" w14:textId="001014BB">
      <w:pPr>
        <w:pStyle w:val="Normal"/>
        <w:jc w:val="left"/>
      </w:pPr>
      <w:r>
        <w:t xml:space="preserve">Related-party transactions include transfers of resources, services, or obligations between Rivermark Holdings and a related party, regardless of whether a price is charged. For the purposes of this note, related parties comprise subsidiaries, associates, joint ventures, key management personnel, close family members of those individuals where relevant, and entities controlled or significantly influenced by such persons. The group discloses material transactions and outstanding balances with these parties when they are necessary to understand the potential effect of the relationship on the financial statements.</w:t>
      </w:r>
    </w:p>
    <w:p w14:paraId="001014BC" w14:textId="001014BD">
      <w:pPr>
        <w:pStyle w:val="Normal"/>
        <w:jc w:val="left"/>
      </w:pPr>
      <w:r>
        <w:t xml:space="preserve">Intragroup balances and transactions are eliminated on consolidation and therefore are not presented in the consolidated financial statements except where disclosure is relevant to explain ownership structures, noncontrolling interests, or note-specific judgments. Transactions with associates and joint ventures may include service arrangements, procurement, shared facilities, financing balances, guarantees, and dividends. Disclosures relating to key management personnel include compensation, benefit arrangements, and any other material dealings conducted in the ordinary course or under specifically approved terms. The note is intended to provide users with a clear view of whether transactions were conducted on normal commercial terms, whether balances remain outstanding at year end, and whether any commitments or contingent exposures exist with connected parties.</w:t>
      </w:r>
    </w:p>
    <w:p w14:paraId="001014BE" w14:textId="001014BF">
      <w:pPr>
        <w:pStyle w:val="Normal"/>
        <w:jc w:val="left"/>
      </w:pPr>
      <w:r>
        <w:t xml:space="preserve">All material related-party transactions are subject to the group’s governance framework for conflict identification, review, and approval. Directors and senior executives are required to submit periodic declarations of interests, including external directorships, investment interests, and close relationships that may give rise to actual or perceived conflicts. Where a proposed transaction involves a disclosed interest, the matter is escalated to the Company Secretary, Group Legal, and where appropriate the Audit and Risk Committee or the Board for review before execution.</w:t>
      </w:r>
    </w:p>
    <w:p w14:paraId="001014C0" w14:textId="001014C1">
      <w:pPr>
        <w:pStyle w:val="Normal"/>
        <w:jc w:val="left"/>
      </w:pPr>
      <w:r>
        <w:t xml:space="preserve">Approval protocols depend on the nature, size, and sensitivity of the transaction. Routine dealings with associates and joint ventures conducted under established commercial arrangements may be approved within delegated authority limits, while non-routine transactions involving directors, executives, or connected entities require enhanced scrutiny, recusal by the interested person, and formal documentation of the basis on which the arrangement is considered fair and in the interests of Rivermark Holdings. The finance function monitors outstanding related-party balances during period-end close procedures, and disclosures are compiled using confirmations from legal entity controllers and governance registers. This process supports completeness of reporting and helps ensure that any transactions requiring specific board awareness are identified on a timely basis.</w:t>
      </w:r>
    </w:p>
    <w:p w14:paraId="001014C2" w14:textId="001014C3">
      <w:pPr>
        <w:pStyle w:val="Normal"/>
        <w:jc w:val="left"/>
      </w:pPr>
      <w:r>
        <w:t xml:space="preserve">8.3.3.1 Related Entities</w:t>
      </w:r>
    </w:p>
    <w:p w14:paraId="001014C4" w14:textId="001014C5">
      <w:pPr>
        <w:pStyle w:val="Normal"/>
        <w:jc w:val="left"/>
      </w:pPr>
      <w:r>
        <w:t xml:space="preserve">Transactions with related parties arise in the ordinary course of operating the group, financing shared activities, and allocating services among entities that are under common ownership or are otherwise connected through joint governance arrangements. These relationships include intercompany sales of goods and services, management charges, funding advances, intercompany borrowings, lease arrangements, and settlements linked to centralized treasury and administrative functions. The underlying commercial purpose is to support group-wide operations while preserving clear accountability for each legal entity’s results and obligations.</w:t>
      </w:r>
    </w:p>
    <w:p w14:paraId="001014C6" w14:textId="001014C7">
      <w:pPr>
        <w:pStyle w:val="Normal"/>
        <w:jc w:val="left"/>
      </w:pPr>
      <w:r>
        <w:t xml:space="preserve">The group manages these relationships through formal approval processes, transfer-pricing policies, and periodic review of balances outstanding at period end. Where one entity provides labor, financing, infrastructure, or administrative support to another, the resulting transactions are recorded on terms intended to reflect the nature of the services supplied and the allocation of costs incurred. Management considers whether the arrangement gives rise to control, joint control, or significant influence, and whether disclosures are required to help readers understand the effect of those relationships on cash flows, profitability, and covenant headroom.</w:t>
      </w:r>
    </w:p>
    <w:p w14:paraId="001014C8" w14:textId="001014C9">
      <w:pPr>
        <w:pStyle w:val="Normal"/>
        <w:jc w:val="left"/>
      </w:pPr>
      <w:r>
        <w:t xml:space="preserve">8.3.3.1.1 Group Entities</w:t>
      </w:r>
    </w:p>
    <w:p w14:paraId="001014CA" w14:textId="001014CB">
      <w:pPr>
        <w:pStyle w:val="Normal"/>
        <w:jc w:val="left"/>
      </w:pPr>
      <w:r>
        <w:t xml:space="preserve">Transactions with group entities primarily relate to shared services, central procurement, treasury funding, and intercompany recharges for technology, finance, legal, and human resources support. In the normal course of operations, subsidiaries may sell inventory or provide contracted services to other group companies, while central entities may charge for brand, strategy, and administrative support. Balances outstanding are monitored regularly and are generally settled in cash, netted through treasury accounts, or rolled into formal loan arrangements when the commercial substance is long term. Revenue and expenses arising from these internal arrangements are eliminated on consolidation, but they remain relevant for assessing local performance, working capital usage, and statutory distributable reserves at the entity level.</w:t>
      </w:r>
    </w:p>
    <w:p w14:paraId="001014CC" w14:textId="001014CD">
      <w:pPr>
        <w:pStyle w:val="Normal"/>
        <w:jc w:val="left"/>
      </w:pPr>
      <w:r>
        <w:t xml:space="preserve">Related-party balances within the group are eliminated in full on consolidation, including intercompany receivables, payables, loans, interest, dividends, and unrealized profits in inventory or noncurrent assets where such balances arise from intragroup transfers. Settlements are based on documented invoices, treasury notices, or loan confirmations and are typically completed through centralized cash management rather than external funding. Any differences between legal-form settlement and consolidated presentation are explained through the elimination process, so that the consolidated statements present the group as a single economic entity while preserving the underlying legal obligations of the transacting companies.</w:t>
      </w:r>
    </w:p>
    <w:p w14:paraId="001014CE" w14:textId="001014CF">
      <w:pPr>
        <w:pStyle w:val="Normal"/>
        <w:jc w:val="left"/>
      </w:pPr>
      <w:r>
        <w:t xml:space="preserve">8.3.3.1.1 Associates and Ventures</w:t>
      </w:r>
    </w:p>
    <w:p w14:paraId="001014D0" w14:textId="001014D1">
      <w:pPr>
        <w:pStyle w:val="Normal"/>
        <w:jc w:val="left"/>
      </w:pPr>
      <w:r>
        <w:t xml:space="preserve">Transactions with investees that are accounted for as associates or joint ventures are more limited in scope, but they may include purchases of materials, subcontracting of services, shared project costs, seconded personnel, and funding support under shareholder agreements. These transactions are entered into to secure capacity, access specialist capability, or coordinate delivery on long-cycle programs where the investee operates as part of a wider commercial ecosystem. Amounts due from or due to these investees are monitored separately from group entity balances, because they are not eliminated and may affect the presentation of share of profit, equity-accounted carrying values, and cash received from dividends or repayments.</w:t>
      </w:r>
    </w:p>
    <w:p w14:paraId="001014D2" w14:textId="001014D3">
      <w:pPr>
        <w:pStyle w:val="Normal"/>
        <w:jc w:val="left"/>
      </w:pPr>
      <w:r>
        <w:t xml:space="preserve">Arm length assessment focuses on contract terms, market comparables, and the practical economics of the arrangement rather than legal form alone. Management considers pricing benchmarks, bidding evidence, service scope, credit terms, and whether the investee bears substantive operating risk in order to assess whether the transaction is consistent with third-party behavior. Where formal benchmarks are not available, the group uses observable inputs from similar arrangements or cost-plus structures supported by documented margin assumptions. The resulting disclosure aims to distinguish routine commercial dealings from transfers that may indicate preferential treatment, embedded financing, or noncash support requiring separate explanation.</w:t>
      </w:r>
    </w:p>
    <w:p w14:paraId="001014D4" w14:textId="001014D5">
      <w:pPr>
        <w:pStyle w:val="Normal"/>
        <w:jc w:val="left"/>
      </w:pPr>
      <w:r>
        <w:t xml:space="preserve">8.3.3.1 Key Management</w:t>
      </w:r>
    </w:p>
    <w:p w14:paraId="001014D6" w14:textId="001014D7">
      <w:pPr>
        <w:pStyle w:val="Normal"/>
        <w:jc w:val="left"/>
      </w:pPr>
      <w:r>
        <w:t xml:space="preserve">Key management balances include short-term remuneration accruals, bonus obligations, pension contributions, share-based payment liabilities, and, where applicable, ordinary-course receivables or payables arising from expense reimbursements and director-related services. The group does not generally extend material unsecured lending to key management personnel, and any such transactions would require explicit approval and disclosure. Compensation and balance disclosures are presented together so that readers can assess both the cost of leadership and the extent to which management’s interests are aligned with shareholders through performance-linked incentives, deferrals, and long-term award vesting conditions.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14D8" w14:textId="0010152C">
            <w:pPr>
              <w:pStyle w:val="Normal"/>
              <w:jc w:val="left"/>
            </w:pPr>
            <w:r>
              <w:t xml:space="preserve">Category</w:t>
            </w:r>
          </w:p>
        </w:tc>
        <w:tc>
          <w:tcPr>
            <w:vAlign w:val="center"/>
            <w:tcBorders>
              <w:top w:val="single" w:sz="4" w:space="0" w:color="auto"/>
              <w:left w:val="single" w:sz="4" w:space="0" w:color="auto"/>
              <w:bottom w:val="single" w:sz="4" w:space="0" w:color="auto"/>
              <w:right w:val="single" w:sz="4" w:space="0" w:color="auto"/>
            </w:tcBorders>
          </w:tcPr>
          <w:p w14:paraId="001014DA" w14:textId="0010152D">
            <w:pPr>
              <w:pStyle w:val="Normal"/>
              <w:jc w:val="left"/>
            </w:pPr>
            <w:r>
              <w:t xml:space="preserve">Balance at year end</w:t>
            </w:r>
          </w:p>
        </w:tc>
        <w:tc>
          <w:tcPr>
            <w:vAlign w:val="center"/>
            <w:tcBorders>
              <w:top w:val="single" w:sz="4" w:space="0" w:color="auto"/>
              <w:left w:val="single" w:sz="4" w:space="0" w:color="auto"/>
              <w:bottom w:val="single" w:sz="4" w:space="0" w:color="auto"/>
              <w:right w:val="single" w:sz="4" w:space="0" w:color="auto"/>
            </w:tcBorders>
          </w:tcPr>
          <w:p w14:paraId="001014DC" w14:textId="0010152E">
            <w:pPr>
              <w:pStyle w:val="Normal"/>
              <w:jc w:val="left"/>
            </w:pPr>
            <w:r>
              <w:t xml:space="preserve">Transactions during the year</w:t>
            </w:r>
          </w:p>
        </w:tc>
        <w:tc>
          <w:tcPr>
            <w:vAlign w:val="center"/>
            <w:tcBorders>
              <w:top w:val="single" w:sz="4" w:space="0" w:color="auto"/>
              <w:left w:val="single" w:sz="4" w:space="0" w:color="auto"/>
              <w:bottom w:val="single" w:sz="4" w:space="0" w:color="auto"/>
              <w:right w:val="single" w:sz="4" w:space="0" w:color="auto"/>
            </w:tcBorders>
          </w:tcPr>
          <w:p w14:paraId="001014DE" w14:textId="0010152F">
            <w:pPr>
              <w:pStyle w:val="Normal"/>
              <w:jc w:val="left"/>
            </w:pPr>
            <w:r>
              <w:t xml:space="preserve">Terms and conditions</w:t>
            </w:r>
          </w:p>
        </w:tc>
        <w:tc>
          <w:tcPr>
            <w:vAlign w:val="center"/>
            <w:tcBorders>
              <w:top w:val="single" w:sz="4" w:space="0" w:color="auto"/>
              <w:left w:val="single" w:sz="4" w:space="0" w:color="auto"/>
              <w:bottom w:val="single" w:sz="4" w:space="0" w:color="auto"/>
              <w:right w:val="single" w:sz="4" w:space="0" w:color="auto"/>
            </w:tcBorders>
          </w:tcPr>
          <w:p w14:paraId="001014E0" w14:textId="00101530">
            <w:pPr>
              <w:pStyle w:val="Normal"/>
              <w:jc w:val="left"/>
            </w:pPr>
            <w:r>
              <w:t xml:space="preserve">Security</w:t>
            </w:r>
          </w:p>
        </w:tc>
        <w:tc>
          <w:tcPr>
            <w:vAlign w:val="center"/>
            <w:tcBorders>
              <w:top w:val="single" w:sz="4" w:space="0" w:color="auto"/>
              <w:left w:val="single" w:sz="4" w:space="0" w:color="auto"/>
              <w:bottom w:val="single" w:sz="4" w:space="0" w:color="auto"/>
              <w:right w:val="single" w:sz="4" w:space="0" w:color="auto"/>
            </w:tcBorders>
          </w:tcPr>
          <w:p w14:paraId="001014E2" w14:textId="00101531">
            <w:pPr>
              <w:pStyle w:val="Normal"/>
              <w:jc w:val="left"/>
            </w:pPr>
            <w:r>
              <w:t xml:space="preserve">Impairment allowance</w:t>
            </w:r>
          </w:p>
        </w:tc>
      </w:tr>
      <w:tr>
        <w:tc>
          <w:tcPr>
            <w:vAlign w:val="top"/>
            <w:tcBorders>
              <w:top w:val="single" w:sz="4" w:space="0" w:color="auto"/>
              <w:left w:val="single" w:sz="4" w:space="0" w:color="auto"/>
              <w:bottom w:val="single" w:sz="4" w:space="0" w:color="auto"/>
              <w:right w:val="single" w:sz="4" w:space="0" w:color="auto"/>
            </w:tcBorders>
          </w:tcPr>
          <w:p w14:paraId="001014E4" w14:textId="00101532">
            <w:pPr>
              <w:pStyle w:val="Normal"/>
              <w:jc w:val="left"/>
            </w:pPr>
            <w:r>
              <w:t xml:space="preserve">Executive loans and advances</w:t>
            </w:r>
          </w:p>
        </w:tc>
        <w:tc>
          <w:tcPr>
            <w:vAlign w:val="center"/>
            <w:tcBorders>
              <w:top w:val="single" w:sz="4" w:space="0" w:color="auto"/>
              <w:left w:val="single" w:sz="4" w:space="0" w:color="auto"/>
              <w:bottom w:val="single" w:sz="4" w:space="0" w:color="auto"/>
              <w:right w:val="single" w:sz="4" w:space="0" w:color="auto"/>
            </w:tcBorders>
          </w:tcPr>
          <w:p w14:paraId="001014E6" w14:textId="00101533">
            <w:pPr>
              <w:pStyle w:val="Normal"/>
              <w:jc w:val="left"/>
            </w:pPr>
            <w:r>
              <w:t xml:space="preserve">0.8</w:t>
            </w:r>
          </w:p>
        </w:tc>
        <w:tc>
          <w:tcPr>
            <w:vAlign w:val="center"/>
            <w:tcBorders>
              <w:top w:val="single" w:sz="4" w:space="0" w:color="auto"/>
              <w:left w:val="single" w:sz="4" w:space="0" w:color="auto"/>
              <w:bottom w:val="single" w:sz="4" w:space="0" w:color="auto"/>
              <w:right w:val="single" w:sz="4" w:space="0" w:color="auto"/>
            </w:tcBorders>
          </w:tcPr>
          <w:p w14:paraId="001014E8" w14:textId="00101534">
            <w:pPr>
              <w:pStyle w:val="Normal"/>
              <w:jc w:val="left"/>
            </w:pPr>
            <w:r>
              <w:t xml:space="preserve">0.3 advanced; 0.2 repaid</w:t>
            </w:r>
          </w:p>
        </w:tc>
        <w:tc>
          <w:tcPr>
            <w:vAlign w:val="center"/>
            <w:tcBorders>
              <w:top w:val="single" w:sz="4" w:space="0" w:color="auto"/>
              <w:left w:val="single" w:sz="4" w:space="0" w:color="auto"/>
              <w:bottom w:val="single" w:sz="4" w:space="0" w:color="auto"/>
              <w:right w:val="single" w:sz="4" w:space="0" w:color="auto"/>
            </w:tcBorders>
          </w:tcPr>
          <w:p w14:paraId="001014EA" w14:textId="00101535">
            <w:pPr>
              <w:pStyle w:val="Normal"/>
              <w:jc w:val="left"/>
            </w:pPr>
            <w:r>
              <w:t xml:space="preserve">Short-term housing and relocation support; repayable within 24 months</w:t>
            </w:r>
          </w:p>
        </w:tc>
        <w:tc>
          <w:tcPr>
            <w:vAlign w:val="center"/>
            <w:tcBorders>
              <w:top w:val="single" w:sz="4" w:space="0" w:color="auto"/>
              <w:left w:val="single" w:sz="4" w:space="0" w:color="auto"/>
              <w:bottom w:val="single" w:sz="4" w:space="0" w:color="auto"/>
              <w:right w:val="single" w:sz="4" w:space="0" w:color="auto"/>
            </w:tcBorders>
          </w:tcPr>
          <w:p w14:paraId="001014EC" w14:textId="00101536">
            <w:pPr>
              <w:pStyle w:val="Normal"/>
              <w:jc w:val="left"/>
            </w:pPr>
            <w:r>
              <w:t xml:space="preserve">None</w:t>
            </w:r>
          </w:p>
        </w:tc>
        <w:tc>
          <w:tcPr>
            <w:vAlign w:val="center"/>
            <w:tcBorders>
              <w:top w:val="single" w:sz="4" w:space="0" w:color="auto"/>
              <w:left w:val="single" w:sz="4" w:space="0" w:color="auto"/>
              <w:bottom w:val="single" w:sz="4" w:space="0" w:color="auto"/>
              <w:right w:val="single" w:sz="4" w:space="0" w:color="auto"/>
            </w:tcBorders>
          </w:tcPr>
          <w:p w14:paraId="001014EE" w14:textId="00101537">
            <w:pPr>
              <w:pStyle w:val="Normal"/>
              <w:jc w:val="left"/>
            </w:pPr>
            <w:r>
              <w:t xml:space="preserve">Nil</w:t>
            </w:r>
          </w:p>
        </w:tc>
      </w:tr>
      <w:tr>
        <w:tc>
          <w:tcPr>
            <w:vAlign w:val="top"/>
            <w:tcBorders>
              <w:top w:val="single" w:sz="4" w:space="0" w:color="auto"/>
              <w:left w:val="single" w:sz="4" w:space="0" w:color="auto"/>
              <w:bottom w:val="single" w:sz="4" w:space="0" w:color="auto"/>
              <w:right w:val="single" w:sz="4" w:space="0" w:color="auto"/>
            </w:tcBorders>
          </w:tcPr>
          <w:p w14:paraId="001014F0" w14:textId="00101538">
            <w:pPr>
              <w:pStyle w:val="Normal"/>
              <w:jc w:val="left"/>
            </w:pPr>
            <w:r>
              <w:t xml:space="preserve">Expense reimbursements payable</w:t>
            </w:r>
          </w:p>
        </w:tc>
        <w:tc>
          <w:tcPr>
            <w:vAlign w:val="center"/>
            <w:tcBorders>
              <w:top w:val="single" w:sz="4" w:space="0" w:color="auto"/>
              <w:left w:val="single" w:sz="4" w:space="0" w:color="auto"/>
              <w:bottom w:val="single" w:sz="4" w:space="0" w:color="auto"/>
              <w:right w:val="single" w:sz="4" w:space="0" w:color="auto"/>
            </w:tcBorders>
          </w:tcPr>
          <w:p w14:paraId="001014F2" w14:textId="00101539">
            <w:pPr>
              <w:pStyle w:val="Normal"/>
              <w:jc w:val="left"/>
            </w:pPr>
            <w:r>
              <w:t xml:space="preserve">0.2</w:t>
            </w:r>
          </w:p>
        </w:tc>
        <w:tc>
          <w:tcPr>
            <w:vAlign w:val="center"/>
            <w:tcBorders>
              <w:top w:val="single" w:sz="4" w:space="0" w:color="auto"/>
              <w:left w:val="single" w:sz="4" w:space="0" w:color="auto"/>
              <w:bottom w:val="single" w:sz="4" w:space="0" w:color="auto"/>
              <w:right w:val="single" w:sz="4" w:space="0" w:color="auto"/>
            </w:tcBorders>
          </w:tcPr>
          <w:p w14:paraId="001014F4" w14:textId="0010153A">
            <w:pPr>
              <w:pStyle w:val="Normal"/>
              <w:jc w:val="left"/>
            </w:pPr>
            <w:r>
              <w:t xml:space="preserve">6.1 reimbursed and settled through payroll or cash</w:t>
            </w:r>
          </w:p>
        </w:tc>
        <w:tc>
          <w:tcPr>
            <w:vAlign w:val="center"/>
            <w:tcBorders>
              <w:top w:val="single" w:sz="4" w:space="0" w:color="auto"/>
              <w:left w:val="single" w:sz="4" w:space="0" w:color="auto"/>
              <w:bottom w:val="single" w:sz="4" w:space="0" w:color="auto"/>
              <w:right w:val="single" w:sz="4" w:space="0" w:color="auto"/>
            </w:tcBorders>
          </w:tcPr>
          <w:p w14:paraId="001014F6" w14:textId="0010153B">
            <w:pPr>
              <w:pStyle w:val="Normal"/>
              <w:jc w:val="left"/>
            </w:pPr>
            <w:r>
              <w:t xml:space="preserve">Non-interest bearing; normally settled within 30 days</w:t>
            </w:r>
          </w:p>
        </w:tc>
        <w:tc>
          <w:tcPr>
            <w:vAlign w:val="center"/>
            <w:tcBorders>
              <w:top w:val="single" w:sz="4" w:space="0" w:color="auto"/>
              <w:left w:val="single" w:sz="4" w:space="0" w:color="auto"/>
              <w:bottom w:val="single" w:sz="4" w:space="0" w:color="auto"/>
              <w:right w:val="single" w:sz="4" w:space="0" w:color="auto"/>
            </w:tcBorders>
          </w:tcPr>
          <w:p w14:paraId="001014F8" w14:textId="0010153C">
            <w:pPr>
              <w:pStyle w:val="Normal"/>
              <w:jc w:val="left"/>
            </w:pPr>
            <w:r>
              <w:t xml:space="preserve">None</w:t>
            </w:r>
          </w:p>
        </w:tc>
        <w:tc>
          <w:tcPr>
            <w:vAlign w:val="center"/>
            <w:tcBorders>
              <w:top w:val="single" w:sz="4" w:space="0" w:color="auto"/>
              <w:left w:val="single" w:sz="4" w:space="0" w:color="auto"/>
              <w:bottom w:val="single" w:sz="4" w:space="0" w:color="auto"/>
              <w:right w:val="single" w:sz="4" w:space="0" w:color="auto"/>
            </w:tcBorders>
          </w:tcPr>
          <w:p w14:paraId="001014FA" w14:textId="0010153D">
            <w:pPr>
              <w:pStyle w:val="Normal"/>
              <w:jc w:val="left"/>
            </w:pPr>
            <w:r>
              <w:t xml:space="preserve">Nil</w:t>
            </w:r>
          </w:p>
        </w:tc>
      </w:tr>
      <w:tr>
        <w:tc>
          <w:tcPr>
            <w:vAlign w:val="top"/>
            <w:tcBorders>
              <w:top w:val="single" w:sz="4" w:space="0" w:color="auto"/>
              <w:left w:val="single" w:sz="4" w:space="0" w:color="auto"/>
              <w:bottom w:val="single" w:sz="4" w:space="0" w:color="auto"/>
              <w:right w:val="single" w:sz="4" w:space="0" w:color="auto"/>
            </w:tcBorders>
          </w:tcPr>
          <w:p w14:paraId="001014FC" w14:textId="0010153E">
            <w:pPr>
              <w:pStyle w:val="Normal"/>
              <w:jc w:val="left"/>
            </w:pPr>
            <w:r>
              <w:t xml:space="preserve">Deferred incentive accruals</w:t>
            </w:r>
          </w:p>
        </w:tc>
        <w:tc>
          <w:tcPr>
            <w:vAlign w:val="center"/>
            <w:tcBorders>
              <w:top w:val="single" w:sz="4" w:space="0" w:color="auto"/>
              <w:left w:val="single" w:sz="4" w:space="0" w:color="auto"/>
              <w:bottom w:val="single" w:sz="4" w:space="0" w:color="auto"/>
              <w:right w:val="single" w:sz="4" w:space="0" w:color="auto"/>
            </w:tcBorders>
          </w:tcPr>
          <w:p w14:paraId="001014FE" w14:textId="0010153F">
            <w:pPr>
              <w:pStyle w:val="Normal"/>
              <w:jc w:val="left"/>
            </w:pPr>
            <w:r>
              <w:t xml:space="preserve">4.6</w:t>
            </w:r>
          </w:p>
        </w:tc>
        <w:tc>
          <w:tcPr>
            <w:vAlign w:val="center"/>
            <w:tcBorders>
              <w:top w:val="single" w:sz="4" w:space="0" w:color="auto"/>
              <w:left w:val="single" w:sz="4" w:space="0" w:color="auto"/>
              <w:bottom w:val="single" w:sz="4" w:space="0" w:color="auto"/>
              <w:right w:val="single" w:sz="4" w:space="0" w:color="auto"/>
            </w:tcBorders>
          </w:tcPr>
          <w:p w14:paraId="00101500" w14:textId="00101540">
            <w:pPr>
              <w:pStyle w:val="Normal"/>
              <w:jc w:val="left"/>
            </w:pPr>
            <w:r>
              <w:t xml:space="preserve">12.9 recognized; 11.4 paid or vested</w:t>
            </w:r>
          </w:p>
        </w:tc>
        <w:tc>
          <w:tcPr>
            <w:vAlign w:val="center"/>
            <w:tcBorders>
              <w:top w:val="single" w:sz="4" w:space="0" w:color="auto"/>
              <w:left w:val="single" w:sz="4" w:space="0" w:color="auto"/>
              <w:bottom w:val="single" w:sz="4" w:space="0" w:color="auto"/>
              <w:right w:val="single" w:sz="4" w:space="0" w:color="auto"/>
            </w:tcBorders>
          </w:tcPr>
          <w:p w14:paraId="00101502" w14:textId="00101541">
            <w:pPr>
              <w:pStyle w:val="Normal"/>
              <w:jc w:val="left"/>
            </w:pPr>
            <w:r>
              <w:t xml:space="preserve">Payable under approved annual and long-term incentive plans</w:t>
            </w:r>
          </w:p>
        </w:tc>
        <w:tc>
          <w:tcPr>
            <w:vAlign w:val="center"/>
            <w:tcBorders>
              <w:top w:val="single" w:sz="4" w:space="0" w:color="auto"/>
              <w:left w:val="single" w:sz="4" w:space="0" w:color="auto"/>
              <w:bottom w:val="single" w:sz="4" w:space="0" w:color="auto"/>
              <w:right w:val="single" w:sz="4" w:space="0" w:color="auto"/>
            </w:tcBorders>
          </w:tcPr>
          <w:p w14:paraId="00101504" w14:textId="00101542">
            <w:pPr>
              <w:pStyle w:val="Normal"/>
              <w:jc w:val="left"/>
            </w:pPr>
            <w:r>
              <w:t xml:space="preserve">None</w:t>
            </w:r>
          </w:p>
        </w:tc>
        <w:tc>
          <w:tcPr>
            <w:vAlign w:val="center"/>
            <w:tcBorders>
              <w:top w:val="single" w:sz="4" w:space="0" w:color="auto"/>
              <w:left w:val="single" w:sz="4" w:space="0" w:color="auto"/>
              <w:bottom w:val="single" w:sz="4" w:space="0" w:color="auto"/>
              <w:right w:val="single" w:sz="4" w:space="0" w:color="auto"/>
            </w:tcBorders>
          </w:tcPr>
          <w:p w14:paraId="00101506" w14:textId="00101543">
            <w:pPr>
              <w:pStyle w:val="Normal"/>
              <w:jc w:val="left"/>
            </w:pPr>
            <w:r>
              <w:t xml:space="preserve">Nil</w:t>
            </w:r>
          </w:p>
        </w:tc>
      </w:tr>
      <w:tr>
        <w:tc>
          <w:tcPr>
            <w:vAlign w:val="top"/>
            <w:tcBorders>
              <w:top w:val="single" w:sz="4" w:space="0" w:color="auto"/>
              <w:left w:val="single" w:sz="4" w:space="0" w:color="auto"/>
              <w:bottom w:val="single" w:sz="4" w:space="0" w:color="auto"/>
              <w:right w:val="single" w:sz="4" w:space="0" w:color="auto"/>
            </w:tcBorders>
          </w:tcPr>
          <w:p w14:paraId="00101508" w14:textId="00101544">
            <w:pPr>
              <w:pStyle w:val="Normal"/>
              <w:jc w:val="left"/>
            </w:pPr>
            <w:r>
              <w:t xml:space="preserve">Share plan settlement balances</w:t>
            </w:r>
          </w:p>
        </w:tc>
        <w:tc>
          <w:tcPr>
            <w:vAlign w:val="center"/>
            <w:tcBorders>
              <w:top w:val="single" w:sz="4" w:space="0" w:color="auto"/>
              <w:left w:val="single" w:sz="4" w:space="0" w:color="auto"/>
              <w:bottom w:val="single" w:sz="4" w:space="0" w:color="auto"/>
              <w:right w:val="single" w:sz="4" w:space="0" w:color="auto"/>
            </w:tcBorders>
          </w:tcPr>
          <w:p w14:paraId="0010150A" w14:textId="00101545">
            <w:pPr>
              <w:pStyle w:val="Normal"/>
              <w:jc w:val="left"/>
            </w:pPr>
            <w:r>
              <w:t xml:space="preserve">0.5</w:t>
            </w:r>
          </w:p>
        </w:tc>
        <w:tc>
          <w:tcPr>
            <w:vAlign w:val="center"/>
            <w:tcBorders>
              <w:top w:val="single" w:sz="4" w:space="0" w:color="auto"/>
              <w:left w:val="single" w:sz="4" w:space="0" w:color="auto"/>
              <w:bottom w:val="single" w:sz="4" w:space="0" w:color="auto"/>
              <w:right w:val="single" w:sz="4" w:space="0" w:color="auto"/>
            </w:tcBorders>
          </w:tcPr>
          <w:p w14:paraId="0010150C" w14:textId="00101546">
            <w:pPr>
              <w:pStyle w:val="Normal"/>
              <w:jc w:val="left"/>
            </w:pPr>
            <w:r>
              <w:t xml:space="preserve">2.7 exercised or settled net of withholding</w:t>
            </w:r>
          </w:p>
        </w:tc>
        <w:tc>
          <w:tcPr>
            <w:vAlign w:val="center"/>
            <w:tcBorders>
              <w:top w:val="single" w:sz="4" w:space="0" w:color="auto"/>
              <w:left w:val="single" w:sz="4" w:space="0" w:color="auto"/>
              <w:bottom w:val="single" w:sz="4" w:space="0" w:color="auto"/>
              <w:right w:val="single" w:sz="4" w:space="0" w:color="auto"/>
            </w:tcBorders>
          </w:tcPr>
          <w:p w14:paraId="0010150E" w14:textId="00101547">
            <w:pPr>
              <w:pStyle w:val="Normal"/>
              <w:jc w:val="left"/>
            </w:pPr>
            <w:r>
              <w:t xml:space="preserve">Settled in shares or cash under plan rules</w:t>
            </w:r>
          </w:p>
        </w:tc>
        <w:tc>
          <w:tcPr>
            <w:vAlign w:val="center"/>
            <w:tcBorders>
              <w:top w:val="single" w:sz="4" w:space="0" w:color="auto"/>
              <w:left w:val="single" w:sz="4" w:space="0" w:color="auto"/>
              <w:bottom w:val="single" w:sz="4" w:space="0" w:color="auto"/>
              <w:right w:val="single" w:sz="4" w:space="0" w:color="auto"/>
            </w:tcBorders>
          </w:tcPr>
          <w:p w14:paraId="00101510" w14:textId="00101548">
            <w:pPr>
              <w:pStyle w:val="Normal"/>
              <w:jc w:val="left"/>
            </w:pPr>
            <w:r>
              <w:t xml:space="preserve">None</w:t>
            </w:r>
          </w:p>
        </w:tc>
        <w:tc>
          <w:tcPr>
            <w:vAlign w:val="center"/>
            <w:tcBorders>
              <w:top w:val="single" w:sz="4" w:space="0" w:color="auto"/>
              <w:left w:val="single" w:sz="4" w:space="0" w:color="auto"/>
              <w:bottom w:val="single" w:sz="4" w:space="0" w:color="auto"/>
              <w:right w:val="single" w:sz="4" w:space="0" w:color="auto"/>
            </w:tcBorders>
          </w:tcPr>
          <w:p w14:paraId="00101512" w14:textId="00101549">
            <w:pPr>
              <w:pStyle w:val="Normal"/>
              <w:jc w:val="left"/>
            </w:pPr>
            <w:r>
              <w:t xml:space="preserve">Nil</w:t>
            </w:r>
          </w:p>
        </w:tc>
      </w:tr>
      <w:tr>
        <w:tc>
          <w:tcPr>
            <w:vAlign w:val="top"/>
            <w:tcBorders>
              <w:top w:val="single" w:sz="4" w:space="0" w:color="auto"/>
              <w:left w:val="single" w:sz="4" w:space="0" w:color="auto"/>
              <w:bottom w:val="single" w:sz="4" w:space="0" w:color="auto"/>
              <w:right w:val="single" w:sz="4" w:space="0" w:color="auto"/>
            </w:tcBorders>
          </w:tcPr>
          <w:p w14:paraId="00101514" w14:textId="0010154A">
            <w:pPr>
              <w:pStyle w:val="Normal"/>
              <w:jc w:val="left"/>
            </w:pPr>
            <w:r>
              <w:t xml:space="preserve">Other receivables/(payables) with key management</w:t>
            </w:r>
          </w:p>
        </w:tc>
        <w:tc>
          <w:tcPr>
            <w:vAlign w:val="center"/>
            <w:tcBorders>
              <w:top w:val="single" w:sz="4" w:space="0" w:color="auto"/>
              <w:left w:val="single" w:sz="4" w:space="0" w:color="auto"/>
              <w:bottom w:val="single" w:sz="4" w:space="0" w:color="auto"/>
              <w:right w:val="single" w:sz="4" w:space="0" w:color="auto"/>
            </w:tcBorders>
          </w:tcPr>
          <w:p w14:paraId="00101516" w14:textId="0010154B">
            <w:pPr>
              <w:pStyle w:val="Normal"/>
              <w:jc w:val="left"/>
            </w:pPr>
            <w:r>
              <w:t xml:space="preserve">0.1</w:t>
            </w:r>
          </w:p>
        </w:tc>
        <w:tc>
          <w:tcPr>
            <w:vAlign w:val="center"/>
            <w:tcBorders>
              <w:top w:val="single" w:sz="4" w:space="0" w:color="auto"/>
              <w:left w:val="single" w:sz="4" w:space="0" w:color="auto"/>
              <w:bottom w:val="single" w:sz="4" w:space="0" w:color="auto"/>
              <w:right w:val="single" w:sz="4" w:space="0" w:color="auto"/>
            </w:tcBorders>
          </w:tcPr>
          <w:p w14:paraId="00101518" w14:textId="0010154C">
            <w:pPr>
              <w:pStyle w:val="Normal"/>
              <w:jc w:val="left"/>
            </w:pPr>
            <w:r>
              <w:t xml:space="preserve">0.4 net movements</w:t>
            </w:r>
          </w:p>
        </w:tc>
        <w:tc>
          <w:tcPr>
            <w:vAlign w:val="center"/>
            <w:tcBorders>
              <w:top w:val="single" w:sz="4" w:space="0" w:color="auto"/>
              <w:left w:val="single" w:sz="4" w:space="0" w:color="auto"/>
              <w:bottom w:val="single" w:sz="4" w:space="0" w:color="auto"/>
              <w:right w:val="single" w:sz="4" w:space="0" w:color="auto"/>
            </w:tcBorders>
          </w:tcPr>
          <w:p w14:paraId="0010151A" w14:textId="0010154D">
            <w:pPr>
              <w:pStyle w:val="Normal"/>
              <w:jc w:val="left"/>
            </w:pPr>
            <w:r>
              <w:t xml:space="preserve">Routine balances arising from travel, benefits, and payroll timing</w:t>
            </w:r>
          </w:p>
        </w:tc>
        <w:tc>
          <w:tcPr>
            <w:vAlign w:val="center"/>
            <w:tcBorders>
              <w:top w:val="single" w:sz="4" w:space="0" w:color="auto"/>
              <w:left w:val="single" w:sz="4" w:space="0" w:color="auto"/>
              <w:bottom w:val="single" w:sz="4" w:space="0" w:color="auto"/>
              <w:right w:val="single" w:sz="4" w:space="0" w:color="auto"/>
            </w:tcBorders>
          </w:tcPr>
          <w:p w14:paraId="0010151C" w14:textId="0010154E">
            <w:pPr>
              <w:pStyle w:val="Normal"/>
              <w:jc w:val="left"/>
            </w:pPr>
            <w:r>
              <w:t xml:space="preserve">None</w:t>
            </w:r>
          </w:p>
        </w:tc>
        <w:tc>
          <w:tcPr>
            <w:vAlign w:val="center"/>
            <w:tcBorders>
              <w:top w:val="single" w:sz="4" w:space="0" w:color="auto"/>
              <w:left w:val="single" w:sz="4" w:space="0" w:color="auto"/>
              <w:bottom w:val="single" w:sz="4" w:space="0" w:color="auto"/>
              <w:right w:val="single" w:sz="4" w:space="0" w:color="auto"/>
            </w:tcBorders>
          </w:tcPr>
          <w:p w14:paraId="0010151E" w14:textId="0010154F">
            <w:pPr>
              <w:pStyle w:val="Normal"/>
              <w:jc w:val="left"/>
            </w:pPr>
            <w:r>
              <w:t xml:space="preserve">Nil</w:t>
            </w:r>
          </w:p>
        </w:tc>
      </w:tr>
      <w:tr>
        <w:tc>
          <w:tcPr>
            <w:vAlign w:val="top"/>
            <w:tcBorders>
              <w:top w:val="single" w:sz="4" w:space="0" w:color="auto"/>
              <w:left w:val="single" w:sz="4" w:space="0" w:color="auto"/>
              <w:bottom w:val="single" w:sz="4" w:space="0" w:color="auto"/>
              <w:right w:val="single" w:sz="4" w:space="0" w:color="auto"/>
            </w:tcBorders>
          </w:tcPr>
          <w:p w14:paraId="00101520" w14:textId="00101550">
            <w:pPr>
              <w:pStyle w:val="Normal"/>
              <w:jc w:val="left"/>
            </w:pPr>
            <w:r>
              <w:t xml:space="preserve">Total</w:t>
            </w:r>
          </w:p>
        </w:tc>
        <w:tc>
          <w:tcPr>
            <w:vAlign w:val="center"/>
            <w:tcBorders>
              <w:top w:val="single" w:sz="4" w:space="0" w:color="auto"/>
              <w:left w:val="single" w:sz="4" w:space="0" w:color="auto"/>
              <w:bottom w:val="single" w:sz="4" w:space="0" w:color="auto"/>
              <w:right w:val="single" w:sz="4" w:space="0" w:color="auto"/>
            </w:tcBorders>
          </w:tcPr>
          <w:p w14:paraId="00101522" w14:textId="00101551">
            <w:pPr>
              <w:pStyle w:val="Normal"/>
              <w:jc w:val="left"/>
            </w:pPr>
            <w:r>
              <w:t xml:space="preserve">6.2</w:t>
            </w:r>
          </w:p>
        </w:tc>
        <w:tc>
          <w:tcPr>
            <w:vAlign w:val="center"/>
            <w:tcBorders>
              <w:top w:val="single" w:sz="4" w:space="0" w:color="auto"/>
              <w:left w:val="single" w:sz="4" w:space="0" w:color="auto"/>
              <w:bottom w:val="single" w:sz="4" w:space="0" w:color="auto"/>
              <w:right w:val="single" w:sz="4" w:space="0" w:color="auto"/>
            </w:tcBorders>
          </w:tcPr>
          <w:p w14:paraId="00101524" w14:textId="00101552">
            <w:pPr>
              <w:pStyle w:val="Normal"/>
              <w:jc w:val="left"/>
            </w:pPr>
            <w:r>
              <w:t xml:space="preserve">22.4 gross movements</w:t>
            </w:r>
          </w:p>
        </w:tc>
        <w:tc>
          <w:tcPr>
            <w:vAlign w:val="center"/>
            <w:tcBorders>
              <w:top w:val="single" w:sz="4" w:space="0" w:color="auto"/>
              <w:left w:val="single" w:sz="4" w:space="0" w:color="auto"/>
              <w:bottom w:val="single" w:sz="4" w:space="0" w:color="auto"/>
              <w:right w:val="single" w:sz="4" w:space="0" w:color="auto"/>
            </w:tcBorders>
          </w:tcPr>
          <w:p w14:paraId="00101526" w14:textId="00101553">
            <w:pPr>
              <w:pStyle w:val="Normal"/>
              <w:jc w:val="left"/>
            </w:pPr>
            <w:r>
              <w:t xml:space="preserve">Balances arose in the ordinary course under approved policies</w:t>
            </w:r>
          </w:p>
        </w:tc>
        <w:tc>
          <w:tcPr>
            <w:vAlign w:val="center"/>
            <w:tcBorders>
              <w:top w:val="single" w:sz="4" w:space="0" w:color="auto"/>
              <w:left w:val="single" w:sz="4" w:space="0" w:color="auto"/>
              <w:bottom w:val="single" w:sz="4" w:space="0" w:color="auto"/>
              <w:right w:val="single" w:sz="4" w:space="0" w:color="auto"/>
            </w:tcBorders>
          </w:tcPr>
          <w:p w14:paraId="00101528" w14:textId="00101554">
            <w:pPr>
              <w:pStyle w:val="Normal"/>
              <w:jc w:val="left"/>
            </w:pPr>
            <w:r>
              <w:t xml:space="preserve">None</w:t>
            </w:r>
          </w:p>
        </w:tc>
        <w:tc>
          <w:tcPr>
            <w:vAlign w:val="center"/>
            <w:tcBorders>
              <w:top w:val="single" w:sz="4" w:space="0" w:color="auto"/>
              <w:left w:val="single" w:sz="4" w:space="0" w:color="auto"/>
              <w:bottom w:val="single" w:sz="4" w:space="0" w:color="auto"/>
              <w:right w:val="single" w:sz="4" w:space="0" w:color="auto"/>
            </w:tcBorders>
          </w:tcPr>
          <w:p w14:paraId="0010152A" w14:textId="00101555">
            <w:pPr>
              <w:pStyle w:val="Normal"/>
              <w:jc w:val="left"/>
            </w:pPr>
            <w:r>
              <w:t xml:space="preserve">Nil</w:t>
            </w:r>
          </w:p>
        </w:tc>
      </w:tr>
    </w:tbl>
    <w:p w14:paraId="00101556" w14:textId="00101557">
      <w:pPr>
        <w:pStyle w:val="Normal"/>
        <w:jc w:val="left"/>
      </w:pPr>
      <w:r>
        <w:t xml:space="preserve">Table 32 Key management balances and transactions schedule</w:t>
      </w:r>
    </w:p>
    <w:p w14:paraId="00101558" w14:textId="00101559">
      <w:pPr>
        <w:pStyle w:val="Normal"/>
        <w:jc w:val="left"/>
      </w:pPr>
      <w:r>
        <w:t xml:space="preserve">8.3.3.1.2 Management Balances</w:t>
      </w:r>
    </w:p>
    <w:p w14:paraId="0010155A" w14:textId="0010155B">
      <w:pPr>
        <w:pStyle w:val="Normal"/>
        <w:jc w:val="left"/>
      </w:pPr>
      <w:r>
        <w:t xml:space="preserve">Transactions with key management personnel comprised remuneration-related accruals, payroll timing differences, approved expense reimbursements, and limited employee-style advances provided under standard group policies. Rivermark Holdings does not provide material unsecured financing to directors or executives outside ordinary compensation and mobility arrangements. Where temporary loans or advances were issued, they were made for relocation, tax equalization, or similar employment purposes, carried no unusual terms, and were subject to documented repayment schedules. During the reporting year, movements in balances mainly reflected the recognition of short-term incentive accruals, vesting and settlement of long-term awards, reimbursement of business expenses, and repayment of small outstanding advances.</w:t>
      </w:r>
    </w:p>
    <w:p w14:paraId="0010155C" w14:textId="0010155D">
      <w:pPr>
        <w:pStyle w:val="Normal"/>
        <w:jc w:val="left"/>
      </w:pPr>
      <w:r>
        <w:t xml:space="preserve">No balances were generated from trading relationships unrelated to employment or governance responsibilities. Amounts disclosed represent gross balances outstanding at year end and transaction flows recognized during the year before routine settlement through payroll, cash payment, or share delivery. The group monitors these balances through monthly payroll reconciliation, finance review, and legal oversight to confirm that transactions remain within approved remuneration frameworks and do not create preferential arrangements. Based on the review performed, management considers the balances to be recoverable or payable in the normal course and consistent with arm's-length administrative practice for executive employment matters.</w:t>
      </w:r>
    </w:p>
    <w:p w14:paraId="0010155E" w14:textId="0010155F">
      <w:pPr>
        <w:pStyle w:val="Normal"/>
        <w:jc w:val="left"/>
      </w:pPr>
      <w:r>
        <w:t xml:space="preserve">Outstanding balances with key management personnel at the reporting date were unsecured and, except for approved employee-style advances, non-interest bearing. Settlement terms were generally short dated and aligned to payroll cycles, award vesting dates, or documented reimbursement procedures. No guarantees were given or received in relation to these balances, and no collateral was pledged by either the group or the relevant individuals.</w:t>
      </w:r>
    </w:p>
    <w:p w14:paraId="00101560" w14:textId="00101561">
      <w:pPr>
        <w:pStyle w:val="Normal"/>
        <w:jc w:val="left"/>
      </w:pPr>
      <w:r>
        <w:t xml:space="preserve">The group recognized no impairment loss in respect of amounts due from key management personnel during the year and held no allowance at year end. This conclusion reflects the limited scale of receivable positions, the senior employment status of counterparties, and the routine nature of settlement mechanisms. Deferred incentive balances remain subject to the performance outcomes, service conditions, and board-approved remuneration determinations applicable to each award. Where balances are payable in shares, the number of instruments delivered is determined under the relevant plan rules and may vary with withholding taxes and final vesting outcomes.</w:t>
      </w:r>
    </w:p>
    <w:p w14:paraId="00101562" w14:textId="00101563">
      <w:pPr>
        <w:pStyle w:val="Normal"/>
        <w:jc w:val="left"/>
      </w:pPr>
      <w:r>
        <w:t xml:space="preserve">8.3.3.1.2 Approval Controls</w:t>
      </w:r>
    </w:p>
    <w:p w14:paraId="00101564" w14:textId="00101565">
      <w:pPr>
        <w:pStyle w:val="Normal"/>
        <w:jc w:val="left"/>
      </w:pPr>
      <w:r>
        <w:t xml:space="preserve">Rivermark Holdings maintains a formal control framework over related-party transactions involving directors, executives, associates, and other connected parties. All proposed transactions are assessed against the group related-party policy, delegated authority schedule, remuneration framework, and applicable legal requirements before commitment. Routine compensation items are initiated by People and Reward, validated by Finance, and, where relevant, reviewed by the People and Ethics Committee. Non-routine matters, including any proposed loan, guarantee, waiver, or significant contractual arrangement involving key management personnel, require pre-clearance by the General Counsel and approval under board or committee authority depending on materiality.</w:t>
      </w:r>
    </w:p>
    <w:p w14:paraId="00101566" w14:textId="00101567">
      <w:pPr>
        <w:pStyle w:val="Normal"/>
        <w:jc w:val="left"/>
      </w:pPr>
      <w:r>
        <w:t xml:space="preserve">Disclosure controls operate through quarterly declarations completed by directors and designated senior managers, supported by registers maintained by Company Secretariat and finance-led balance reviews. The process is designed to identify changes in interests, new relationships, unusual transactions, and year-end balances requiring disclosure in the financial statements. Exceptions are escalated to the Audit and Risk Committee when they may affect financial reporting, internal control conclusions, or stakeholder confidence. These controls are intended to ensure that related-party information is complete, timely, consistently measured, and appropriately presented in both governance reporting and the detailed note disclosures.</w:t>
      </w:r>
    </w:p>
    <w:p w14:paraId="00101568" w14:textId="00101569">
      <w:pPr>
        <w:pStyle w:val="Normal"/>
        <w:jc w:val="left"/>
      </w:pPr>
      <w:r>
        <w:t xml:space="preserve">The year-end review process begins with confirmation of the population of key management personnel and connected entities, followed by extraction of payroll, accounts payable, receivable, treasury, and share-plan records. Finance then reconciles identified balances to source systems and compares movements against approved remuneration outcomes, committee minutes, and signed declarations. Any item outside standard policy thresholds is investigated jointly by Finance, Legal, and Company Secretariat before inclusion or exclusion from disclosure.</w:t>
      </w:r>
    </w:p>
    <w:p w14:paraId="0010156A" w14:textId="0010156B">
      <w:pPr>
        <w:pStyle w:val="Normal"/>
        <w:jc w:val="left"/>
      </w:pPr>
      <w:r>
        <w:t xml:space="preserve">Draft disclosures are reviewed by the Group Financial Controller, the Chief People Officer for remuneration-related amounts, and the General Counsel for legal completeness. The Audit and Risk Committee receives a summary of significant judgments, including assessments of whether balances are ordinary-course employment items, whether terms are equivalent to standard employee arrangements, and whether any impairment or contingency should be recognized. Final authorization of the related-party note forms part of the broader approval of the consolidated financial statements by the Board, ensuring that disclosed balances and transactions reflect the information available up to the date of authorization for issue.</w:t>
      </w:r>
    </w:p>
    <w:p w14:paraId="0010156C" w14:textId="0010156D">
      <w:pPr>
        <w:pStyle w:val="Normal"/>
        <w:jc w:val="left"/>
      </w:pPr>
      <w:r>
        <w:t xml:space="preserve">8.3.3 Subsequent Events</w:t>
      </w:r>
    </w:p>
    <w:p w14:paraId="0010156E" w14:textId="0010156F">
      <w:pPr>
        <w:pStyle w:val="Normal"/>
        <w:jc w:val="left"/>
      </w:pPr>
      <w:r>
        <w:t xml:space="preserve">Events occurring after the reporting date and before authorization of the consolidated financial statements are evaluated to determine whether they provide evidence of conditions existing at year end or arise from conditions that developed afterward. Rivermark Holdings distinguishes between adjusting events, which require amounts recognized in the financial statements to be updated, and non-adjusting events, which are disclosed when material to an understanding of the group's financial position, performance, or prospects. The review covers financing actions, litigation developments, tax matters, acquisitions and disposals, major customer or contract changes, restructuring decisions, asset impairment indicators, and significant market or regulatory developments.</w:t>
      </w:r>
    </w:p>
    <w:p w14:paraId="00101570" w14:textId="00101571">
      <w:pPr>
        <w:pStyle w:val="Normal"/>
        <w:jc w:val="left"/>
      </w:pPr>
      <w:r>
        <w:t xml:space="preserve">The assessment is coordinated centrally by Group Finance with input from segment finance teams, Legal, Treasury, Tax, Sustainability, and Company Secretariat. Operating units are required to report material developments through a formal post-balance-sheet questionnaire and certification process. Matters identified are analyzed for their effect on measurement, classification, going-concern assumptions, covenant compliance, and disclosure completeness. Based on the procedures performed up to the authorization date, management concluded that identified events were either reflected where they related to pre-existing conditions or disclosed separately when they represented significant post-year-end developments.</w:t>
      </w:r>
    </w:p>
    <w:p w14:paraId="00101572" w14:textId="00101573">
      <w:pPr>
        <w:pStyle w:val="Normal"/>
        <w:jc w:val="left"/>
      </w:pPr>
      <w:r>
        <w:t xml:space="preserve">The consolidated financial statements incorporate consideration of subsequent events up to the date on which the Board authorized the report for issue. That date marks the end of the recognition and disclosure review period for events after the reporting period and is therefore critical to the preparation basis of these statements. Information received after authorization is not recognized in the current-year financial statements unless required by law or regulatory reissuance procedures.</w:t>
      </w:r>
    </w:p>
    <w:p w14:paraId="00101574" w14:textId="00101575">
      <w:pPr>
        <w:pStyle w:val="Normal"/>
        <w:jc w:val="left"/>
      </w:pPr>
      <w:r>
        <w:t xml:space="preserve">In determining the appropriate treatment of post-period matters, management considers the timing of the underlying condition, the reliability of available evidence, and whether the event affects estimates already made at year end. This includes reassessment of receivable recoverability, inventory valuation, provisions, taxation exposures, and the existence of impairment indicators. Where negotiations, court rulings, or financing actions progress after year end, judgment is applied to distinguish evidence of existing circumstances from entirely new events. The authorization framework ensures that the Board receives a summary of material subsequent events, the proposed accounting treatment, and the rationale for any disclosure-only conclusion before approving the statements.</w:t>
      </w:r>
    </w:p>
    <w:p w14:paraId="00101576" w14:textId="00101577">
      <w:pPr>
        <w:pStyle w:val="Normal"/>
        <w:jc w:val="left"/>
      </w:pPr>
      <w:r>
        <w:t xml:space="preserve">8.3.3.2 Adjusting Events</w:t>
      </w:r>
    </w:p>
    <w:p w14:paraId="00101578" w14:textId="00101579">
      <w:pPr>
        <w:pStyle w:val="Normal"/>
        <w:jc w:val="left"/>
      </w:pPr>
      <w:r>
        <w:t xml:space="preserve">An event is treated as adjusting when the reporting entity obtains, after the reporting date but before authorization of the statements, additional evidence about conditions that existed at the reporting date. The test is not whether the event is economically important in isolation, but whether it confirms, clarifies, or corrects the measurement or classification of balances already recognized at year-end. In practice, this includes settlements of litigation that existed at the reporting date, post-period receipt of customer information relevant to expected credit losses, confirmation of inventory net realizable value, and the resolution of tax positions where the underlying exposure arose before year-end.</w:t>
      </w:r>
    </w:p>
    <w:p w14:paraId="0010157A" w14:textId="0010157B">
      <w:pPr>
        <w:pStyle w:val="Normal"/>
        <w:jc w:val="left"/>
      </w:pPr>
      <w:r>
        <w:t xml:space="preserve">Where such evidence is obtained, management reassesses the related estimate and updates the reported amount to reflect the information available at the reporting date. The impact may be direct, as in a revised provision or impairment charge, or indirect, as in the reclassification of a liability between current and noncurrent categories. Any change is reflected in the primary statements and the relevant note disclosure, together with an explanation of the estimate that moved, the facts that triggered the reassessment, and the financial line items affected. The objective is to ensure that the statements present the best available measurement of pre-existing conditions rather than a later-period development.</w:t>
      </w:r>
    </w:p>
    <w:p w14:paraId="0010157C" w14:textId="0010157D">
      <w:pPr>
        <w:pStyle w:val="Normal"/>
        <w:jc w:val="left"/>
      </w:pPr>
      <w:r>
        <w:t xml:space="preserve">8.3.3.2.1 Recognized Adjustments</w:t>
      </w:r>
    </w:p>
    <w:p w14:paraId="0010157E" w14:textId="0010157F">
      <w:pPr>
        <w:pStyle w:val="Normal"/>
        <w:jc w:val="left"/>
      </w:pPr>
      <w:r>
        <w:t xml:space="preserve">Recognized adjustments are summarized in the related notes when post-year-end information changes amounts previously reported. The summary distinguishes between measurement updates, presentation reclassifications, and revisions to judgment about recoverability or probability. For each material item, management identifies the balance affected, the nature of the new evidence, and the period to which the evidence relates. This approach provides a clear bridge from the original estimate to the revised amount and allows readers to understand whether the change arose from better information, a correction of a prior assumption, or the confirmation of a year-end condition.</w:t>
      </w:r>
    </w:p>
    <w:p w14:paraId="00101580" w14:textId="00101582">
      <w:pPr>
        <w:pStyle w:val="Normal"/>
        <w:jc w:val="left"/>
      </w:pPr>
      <w:r>
        <w:t xml:space="preserve">Disclosure note:</w:t>
      </w:r>
      <w:r>
        <w:t xml:space="preserve"> The measurement update rationale for each recognized adjustment is based on the underlying condition existing at the reporting date, the degree of uncertainty attached to the original estimate, and the extent to which subsequent information narrows that uncertainty. Where the update affects fair value, expected credit loss, provision, or impairment measurement, the note describes the valuation inputs revised, the source of the new information, and any sensitivity that remains after the adjustment. The resulting disclosure is intended to show not only that the balance changed, but why the change is a refinement of a year-end measure rather than a new post-period transaction.</w:t>
      </w:r>
    </w:p>
    <w:p w14:paraId="00101583" w14:textId="00101584">
      <w:pPr>
        <w:pStyle w:val="Normal"/>
        <w:jc w:val="left"/>
      </w:pPr>
      <w:r>
        <w:t xml:space="preserve">8.3.3.2.1 Evidence and Judgments</w:t>
      </w:r>
    </w:p>
    <w:p w14:paraId="00101585" w14:textId="00101586">
      <w:pPr>
        <w:pStyle w:val="Normal"/>
        <w:jc w:val="left"/>
      </w:pPr>
      <w:r>
        <w:t xml:space="preserve">When considering subsequent events, management evaluates whether the available evidence is sufficiently direct, objective, and linked to conditions existing at the reporting date to justify an adjustment. Documentary evidence, legal correspondence, customer confirmations, supplier settlement records, and independent valuation updates are weighed together with internal forecasts and committee reviews. No single source is determinative in all cases; rather, the assessment depends on the quality of the evidence, the timing of the event, and the extent to which the event confirms a year-end position. This discipline is particularly important where outcomes are sensitive to assumptions about recoverability, claims, or market pricing.</w:t>
      </w:r>
    </w:p>
    <w:p w14:paraId="00101587" w14:textId="00101589">
      <w:pPr>
        <w:pStyle w:val="Normal"/>
        <w:jc w:val="left"/>
      </w:pPr>
      <w:r>
        <w:t xml:space="preserve">Disclosure note:</w:t>
      </w:r>
      <w:r>
        <w:t xml:space="preserve"> Subsequent evidence thresholds are applied consistently across the group so that similar facts are treated in a similar manner. A threshold is met when post-period information materially reduces estimation uncertainty about a reporting-date balance, or when it confirms that an obligation or loss existed before year-end even if the final settlement occurs later. If the evidence only indicates that conditions changed after the reporting date, the event is not adjusted, although it may still be disclosed if material. Management documents the judgment pathway, including the evidence considered, the competing interpretations, and the conclusion reached.</w:t>
      </w:r>
    </w:p>
    <w:p w14:paraId="0010158A" w14:textId="0010158B">
      <w:pPr>
        <w:pStyle w:val="Normal"/>
        <w:jc w:val="left"/>
      </w:pPr>
      <w:r>
        <w:t xml:space="preserve">8.3.3.2 Nonadjusting Events</w:t>
      </w:r>
    </w:p>
    <w:p w14:paraId="0010158C" w14:textId="0010158D">
      <w:pPr>
        <w:pStyle w:val="Normal"/>
        <w:jc w:val="left"/>
      </w:pPr>
      <w:r>
        <w:t xml:space="preserve">Events arising after the reporting date that do not provide evidence of conditions existing at year-end are classified as nonadjusting. They may signal important developments in markets, financing, operations, regulation, or strategy, but the related effects are recognized only in the period in which the new conditions arise. Typical examples include a significant acquisition announced after year-end, a major financing transaction completed in the new period, a natural event affecting a facility after the reporting date, or a regulatory decision that changes the environment going forward. The distinction preserves the integrity of the balance sheet by avoiding recognition of subsequent-period conditions as though they were year-end facts.</w:t>
      </w:r>
    </w:p>
    <w:p w14:paraId="0010158E" w14:textId="0010158F">
      <w:pPr>
        <w:pStyle w:val="Normal"/>
        <w:jc w:val="left"/>
      </w:pPr>
      <w:r>
        <w:t xml:space="preserve">Even when no adjustment is made, a nonadjusting event is disclosed if omitting it would obscure the reader’s understanding of the group’s financial position or prospects. Materiality is assessed in context, considering the magnitude of the event, its expected cash flow or covenant effect, its strategic significance, and whether it could reasonably influence users’ decisions. Disclosure ordinarily identifies the nature of the event, the line items potentially affected in the next period, and any known uncertainties associated with the development. This ensures that the report remains complete without overstating the measurement of the year under review.</w:t>
      </w:r>
    </w:p>
    <w:p w14:paraId="00101590" w14:textId="00101591">
      <w:pPr>
        <w:pStyle w:val="Normal"/>
        <w:jc w:val="left"/>
      </w:pPr>
      <w:r>
        <w:t xml:space="preserve">8.3.3.2.2 Material Developments</w:t>
      </w:r>
    </w:p>
    <w:p w14:paraId="00101592" w14:textId="00101593">
      <w:pPr>
        <w:pStyle w:val="Normal"/>
        <w:jc w:val="left"/>
      </w:pPr>
      <w:r>
        <w:t xml:space="preserve">Subsequent events are evaluated through the date the consolidated financial statements are authorized for issue. In the period after year end, management continues to monitor commercial, financing, legal, and operating developments that may require adjustment or separate disclosure. Where an event provides evidence of conditions that existed at the reporting date, the related assets, liabilities, income, or expenses are adjusted in the financial statements. Where the event relates to conditions arising after the reporting date, no adjustment is made, but the matter is disclosed when it is material to an understanding of the Group’s financial position or future prospects.</w:t>
      </w:r>
    </w:p>
    <w:p w14:paraId="00101594" w14:textId="00101595">
      <w:pPr>
        <w:pStyle w:val="Normal"/>
        <w:jc w:val="left"/>
      </w:pPr>
      <w:r>
        <w:t xml:space="preserve">During the post-year-end review, the Group considered customer contract renewals, supply chain commitments, funding arrangements, litigation progress, and capital projects that were approved or announced after the reporting date. None of the matters identified required a change to the carrying amounts recognized at year end, although several developments were relevant to future cash flows and operating priorities. Management has also assessed whether any events indicate that assumptions used in impairment testing, credit loss measurement, provisions, or tax positions should be updated, and concluded that the available evidence supported the judgments reflected in these statements.</w:t>
      </w:r>
    </w:p>
    <w:p w14:paraId="00101596" w14:textId="00101597">
      <w:pPr>
        <w:pStyle w:val="Normal"/>
        <w:jc w:val="left"/>
      </w:pPr>
      <w:r>
        <w:t xml:space="preserve">Management identified several major developments arising after the reporting date that are disclosed because of their relevance to users’ understanding of the Group’s outlook. These include the commencement of new long-term supply arrangements in the Industrial Solutions segment, additional product rollouts and channel expansion in Consumer Platforms, and further conversion activity within the Infrastructure Services order pipeline. Each of these developments is consistent with the strategic priorities described elsewhere in the report, but the related operating impact will be reflected progressively in future periods rather than in the year under review.</w:t>
      </w:r>
    </w:p>
    <w:p w14:paraId="00101598" w14:textId="00101599">
      <w:pPr>
        <w:pStyle w:val="Normal"/>
        <w:jc w:val="left"/>
      </w:pPr>
      <w:r>
        <w:t xml:space="preserve">The Group also continued its capital deployment program after year end, including maintenance investment, select growth projects, and technology upgrades designed to support productivity and resilience. Financing activity remained within the framework described in the liquidity and capital notes, and no post-year-end event altered the Group’s covenant position or ability to meet near-term obligations. Management considers these developments supportive of the Group’s continuing operating model, while noting that execution timing, market demand, and regulatory conditions will continue to influence the outcome of the initiatives now underway.</w:t>
      </w:r>
    </w:p>
    <w:p w14:paraId="0010159A" w14:textId="0010159B">
      <w:pPr>
        <w:pStyle w:val="Normal"/>
        <w:jc w:val="left"/>
      </w:pPr>
      <w:r>
        <w:t xml:space="preserve">8.3.3.2.2 Authorization</w:t>
      </w:r>
    </w:p>
    <w:p w14:paraId="0010159C" w14:textId="0010159D">
      <w:pPr>
        <w:pStyle w:val="Normal"/>
        <w:jc w:val="left"/>
      </w:pPr>
      <w:r>
        <w:t xml:space="preserve">These consolidated financial statements were authorized for issue on 27 February 2025 by the Board of Directors following review by management and the relevant board committees. The authorization date marks the point through which subsequent events have been assessed for adjustment and disclosure purposes. From that date onward, any further material developments will be considered in the next reporting cycle unless earlier disclosure is required under applicable law or regulation.</w:t>
      </w:r>
    </w:p>
    <w:p w14:paraId="0010159E" w14:textId="0010159F">
      <w:pPr>
        <w:pStyle w:val="Normal"/>
        <w:jc w:val="left"/>
      </w:pPr>
      <w:r>
        <w:t xml:space="preserve">Authority to issue the statements rests with the Board, acting on the basis of the recommendations presented by management and the audit committee. The directors confirm that they were satisfied, at the date of approval, that the Group had adequate resources to continue in operational existence for the foreseeable future and that the financial statements were prepared on a going concern basis consistent with the accounting policies and judgments described in this report.</w:t>
      </w:r>
    </w:p>
    <w:p w14:paraId="001015A0" w14:textId="001015A1">
      <w:pPr>
        <w:pStyle w:val="Normal"/>
        <w:jc w:val="left"/>
      </w:pPr>
      <w:r>
        <w:t xml:space="preserve">The approval body reviewed the final draft consolidated financial statements, the supporting note disclosures, the going concern assessment, and the post-year-end event review before granting authority to issue. In reaching approval, the Board relied on the representations of management, the conclusions of the external auditor, and the recommendations of the audit committee regarding completeness, consistency, and compliance with the applicable reporting framework. No member of the approval body advised that the statements should be withheld or materially revised.</w:t>
      </w:r>
    </w:p>
    <w:p w14:paraId="001015A2" w14:textId="001015A3">
      <w:pPr>
        <w:pStyle w:val="Normal"/>
        <w:jc w:val="left"/>
      </w:pPr>
      <w:r>
        <w:t xml:space="preserve">The approval process also confirmed that significant judgments, estimates, and disclosure sensitivities had been considered at a level appropriate to the Group’s size and complexity. The directors’ approval is documented in the minutes of the meeting at which the statements were finalized, and the signed authorization is retained with the corporate records. This confirmation is provided to indicate that the statements were issued only after the Group’s internal governance process had been completed in full.</w:t>
      </w:r>
    </w:p>
    <w:p w14:paraId="00101CFC" w14:textId="00101CFD">
      <w:pPr>
        <w:pStyle w:val="Normal"/>
        <w:jc w:val="left"/>
        <w:sectPr>
          <w:type w:val="nextPage"/>
          <w:pgSz w:w="11906" w:h="16838"/>
          <w:pgMar w:top="1440" w:right="1440" w:bottom="1440" w:left="1440" w:header="1440" w:footer="1440" w:gutter="0"/>
          <w:cols w:space="720" w:num="1"/>
        </w:sectPr>
      </w:pPr>
    </w:p>
    <w:p w14:paraId="001015A8" w14:textId="001015A9">
      <w:pPr>
        <w:pStyle w:val="Normal"/>
        <w:jc w:val="left"/>
      </w:pPr>
      <w:r>
        <w:t xml:space="preserve">Chapter 9 Additional Financial Information</w:t>
      </w:r>
    </w:p>
    <w:p w14:paraId="001015AA" w14:textId="001015B2">
      <w:pPr>
        <w:pStyle w:val="Normal"/>
        <w:jc w:val="left"/>
      </w:pPr>
      <w:r>
        <w:t xml:space="preserve">Purpose:</w:t>
      </w:r>
      <w:r>
        <w:t xml:space="preserve"> This section presents supplementary performance measures used by Rivermark Holdings to explain operating trends, capital discipline, and cash generation beyond the line items required in the consolidated financial statements. These measures are not substitutes for audited totals, but management considers them useful because they show how recurring operations performed after removing items that are significant by size, unusual by nature, or not reflective of ongoing segment economics. </w:t>
      </w:r>
      <w:r>
        <w:t xml:space="preserve">Basis:</w:t>
      </w:r>
      <w:r>
        <w:t xml:space="preserve"> Non-GAAP supplements are prepared from the same underlying books and records used for statutory reporting, then reconciled to the closest reported measure so readers can trace adjustments transparently. </w:t>
      </w:r>
      <w:r>
        <w:t xml:space="preserve">Use:</w:t>
      </w:r>
      <w:r>
        <w:t xml:space="preserve"> The measures support internal review by the executive leadership team, capital allocation discussions, lender and investor dialogue, and year-on-year comparison across periods with different acquisition, restructuring, or portfolio actions. </w:t>
      </w:r>
      <w:r>
        <w:t xml:space="preserve">Limits:</w:t>
      </w:r>
      <w:r>
        <w:t xml:space="preserve"> Because definitions of underlying earnings, free cash flow, or return metrics may differ from those used by other companies, these indicators should be read together with the primary statements, accounting policies, and note disclosures rather than in isolation.</w:t>
      </w:r>
    </w:p>
    <w:p w14:paraId="001015B3" w14:textId="001015B4">
      <w:pPr>
        <w:pStyle w:val="Normal"/>
        <w:jc w:val="left"/>
      </w:pPr>
      <w:r>
        <w:t xml:space="preserve">9. Performance Measures</w:t>
      </w:r>
    </w:p>
    <w:p w14:paraId="001015B5" w14:textId="001015B6">
      <w:pPr>
        <w:pStyle w:val="Normal"/>
        <w:jc w:val="left"/>
      </w:pPr>
      <w:r>
        <w:t xml:space="preserve">Rivermark Holdings uses a structured KPI framework to connect statutory performance, operating execution, and capital outcomes. At group level, the framework begins with audited measures such as revenue, operating profit, profit after tax, operating cash flow, and net debt. These are then supplemented by management measures that isolate recurring performance, including underlying operating profit, underlying margin, free cash flow, cash conversion, return on invested capital, and leverage ratios. Each measure is assigned a clear definition, calculation method, reporting frequency, and primary owner within finance or segment leadership.</w:t>
      </w:r>
    </w:p>
    <w:p w14:paraId="001015B7" w14:textId="001015B8">
      <w:pPr>
        <w:pStyle w:val="Normal"/>
        <w:jc w:val="left"/>
      </w:pPr>
      <w:r>
        <w:t xml:space="preserve">The framework is intended to improve comparability across periods and business units. Adjustments are limited to items that management judges to distort trend analysis, such as major integration costs, one-off portfolio gains or losses, and selected restructuring charges linked to approved transformation plans. Measures used for incentive assessment are aligned, where practical, with those used in external reporting, although governance filters may exclude items differently for remuneration purposes.</w:t>
      </w:r>
    </w:p>
    <w:p w14:paraId="001015B9" w14:textId="001015BA">
      <w:pPr>
        <w:pStyle w:val="Normal"/>
        <w:jc w:val="left"/>
      </w:pPr>
      <w:r>
        <w:t xml:space="preserve">To preserve discipline, every KPI in this section is reconciled either directly or conceptually to audited amounts, and changes in definition are disclosed when they occur. This approach allows readers to assess not only headline outcomes but also the quality, durability, and cash characteristics of reported performance.</w:t>
      </w:r>
    </w:p>
    <w:p w14:paraId="001015BB" w14:textId="001015BC">
      <w:pPr>
        <w:pStyle w:val="Normal"/>
        <w:jc w:val="left"/>
      </w:pPr>
      <w:r>
        <w:t xml:space="preserve">9.1 Group Measures</w:t>
      </w:r>
    </w:p>
    <w:p w14:paraId="001015BD" w14:textId="001015BE">
      <w:pPr>
        <w:pStyle w:val="Normal"/>
        <w:jc w:val="left"/>
      </w:pPr>
      <w:r>
        <w:t xml:space="preserve">Group measures are prepared on a consistent basis across Rivermark Holdings and are designed to reflect performance at the level reviewed by the Board and executive leadership. The primary principle is that statutory results remain the starting point, while management measures provide an additional lens on recurring operations, funding capacity, and capital efficiency. Revenue is generally presented on a reported basis because it is already a core operational indicator; by contrast, profit-based measures may be adjusted for material non-recurring items when management believes those items obscure the underlying trend.</w:t>
      </w:r>
    </w:p>
    <w:p w14:paraId="001015BF" w14:textId="001015C2">
      <w:pPr>
        <w:pStyle w:val="Normal"/>
        <w:jc w:val="left"/>
      </w:pPr>
      <w:r>
        <w:t xml:space="preserve">The central profit metric is *</w:t>
      </w:r>
      <w:r>
        <w:t xml:space="preserve">underlying operating profit</w:t>
      </w:r>
      <w:r>
        <w:t xml:space="preserve">*, which excludes selected acquisition-related amortization, major restructuring charges associated with approved programs, significant disposal gains or losses, and other items that are unusual in scale or incidence. Margin measures are calculated by dividing the relevant profit measure by reported revenue for the same period. Cash metrics are derived from net cash generated from operating activities after capital expenditure and, where stated, after lease principal payments, to show the cash available for debt reduction, dividends, or reinvestment. Return measures compare post-tax operating outcomes with average invested capital, using period-opening and period-closing balances to reduce timing distortion.</w:t>
        <w:br/>
        <w:t xml:space="preserve">These definitions are applied consistently across segments before consolidation adjustments, enabling readers to compare operating performance, conversion, and returns with a common analytical base. Where judgment is involved, the rationale for inclusion or exclusion is reviewed by Group Finance and disclosed in the related reconciliation.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15C3" w14:textId="00101603">
            <w:pPr>
              <w:pStyle w:val="Normal"/>
              <w:jc w:val="left"/>
            </w:pPr>
            <w:r>
              <w:t xml:space="preserve">Measure</w:t>
            </w:r>
          </w:p>
        </w:tc>
        <w:tc>
          <w:tcPr>
            <w:vAlign w:val="center"/>
            <w:tcBorders>
              <w:top w:val="single" w:sz="4" w:space="0" w:color="auto"/>
              <w:left w:val="single" w:sz="4" w:space="0" w:color="auto"/>
              <w:bottom w:val="single" w:sz="4" w:space="0" w:color="auto"/>
              <w:right w:val="single" w:sz="4" w:space="0" w:color="auto"/>
            </w:tcBorders>
          </w:tcPr>
          <w:p w14:paraId="001015C5" w14:textId="00101604">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15C7" w14:textId="00101605">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15C9" w14:textId="00101606">
            <w:pPr>
              <w:pStyle w:val="Normal"/>
              <w:jc w:val="left"/>
            </w:pPr>
            <w:r>
              <w:t xml:space="preserve">Reconciliation basis</w:t>
            </w:r>
          </w:p>
        </w:tc>
      </w:tr>
      <w:tr>
        <w:tc>
          <w:tcPr>
            <w:vAlign w:val="center"/>
            <w:tcBorders>
              <w:top w:val="single" w:sz="4" w:space="0" w:color="auto"/>
              <w:left w:val="single" w:sz="4" w:space="0" w:color="auto"/>
              <w:bottom w:val="single" w:sz="4" w:space="0" w:color="auto"/>
              <w:right w:val="single" w:sz="4" w:space="0" w:color="auto"/>
            </w:tcBorders>
          </w:tcPr>
          <w:p w14:paraId="001015CB" w14:textId="00101607">
            <w:pPr>
              <w:pStyle w:val="Normal"/>
              <w:jc w:val="left"/>
            </w:pPr>
            <w:r>
              <w:t xml:space="preserve">Reported revenue</w:t>
            </w:r>
          </w:p>
        </w:tc>
        <w:tc>
          <w:tcPr>
            <w:vAlign w:val="center"/>
            <w:tcBorders>
              <w:top w:val="single" w:sz="4" w:space="0" w:color="auto"/>
              <w:left w:val="single" w:sz="4" w:space="0" w:color="auto"/>
              <w:bottom w:val="single" w:sz="4" w:space="0" w:color="auto"/>
              <w:right w:val="single" w:sz="4" w:space="0" w:color="auto"/>
            </w:tcBorders>
          </w:tcPr>
          <w:p w14:paraId="001015CD" w14:textId="00101608">
            <w:pPr>
              <w:pStyle w:val="Normal"/>
              <w:jc w:val="left"/>
            </w:pPr>
            <w:r>
              <w:t xml:space="preserve">8,460</w:t>
            </w:r>
          </w:p>
        </w:tc>
        <w:tc>
          <w:tcPr>
            <w:vAlign w:val="center"/>
            <w:tcBorders>
              <w:top w:val="single" w:sz="4" w:space="0" w:color="auto"/>
              <w:left w:val="single" w:sz="4" w:space="0" w:color="auto"/>
              <w:bottom w:val="single" w:sz="4" w:space="0" w:color="auto"/>
              <w:right w:val="single" w:sz="4" w:space="0" w:color="auto"/>
            </w:tcBorders>
          </w:tcPr>
          <w:p w14:paraId="001015CF" w14:textId="00101609">
            <w:pPr>
              <w:pStyle w:val="Normal"/>
              <w:jc w:val="left"/>
            </w:pPr>
            <w:r>
              <w:t xml:space="preserve">7,980</w:t>
            </w:r>
          </w:p>
        </w:tc>
        <w:tc>
          <w:tcPr>
            <w:vAlign w:val="center"/>
            <w:tcBorders>
              <w:top w:val="single" w:sz="4" w:space="0" w:color="auto"/>
              <w:left w:val="single" w:sz="4" w:space="0" w:color="auto"/>
              <w:bottom w:val="single" w:sz="4" w:space="0" w:color="auto"/>
              <w:right w:val="single" w:sz="4" w:space="0" w:color="auto"/>
            </w:tcBorders>
          </w:tcPr>
          <w:p w14:paraId="001015D1" w14:textId="0010160A">
            <w:pPr>
              <w:pStyle w:val="Normal"/>
              <w:jc w:val="left"/>
            </w:pPr>
            <w:r>
              <w:t xml:space="preserve">As presented in the consolidated statement of profit or loss</w:t>
            </w:r>
          </w:p>
        </w:tc>
      </w:tr>
      <w:tr>
        <w:tc>
          <w:tcPr>
            <w:vAlign w:val="center"/>
            <w:tcBorders>
              <w:top w:val="single" w:sz="4" w:space="0" w:color="auto"/>
              <w:left w:val="single" w:sz="4" w:space="0" w:color="auto"/>
              <w:bottom w:val="single" w:sz="4" w:space="0" w:color="auto"/>
              <w:right w:val="single" w:sz="4" w:space="0" w:color="auto"/>
            </w:tcBorders>
          </w:tcPr>
          <w:p w14:paraId="001015D3" w14:textId="0010160B">
            <w:pPr>
              <w:pStyle w:val="Normal"/>
              <w:jc w:val="left"/>
            </w:pPr>
            <w:r>
              <w:t xml:space="preserve">Underlying operating profit</w:t>
            </w:r>
          </w:p>
        </w:tc>
        <w:tc>
          <w:tcPr>
            <w:vAlign w:val="center"/>
            <w:tcBorders>
              <w:top w:val="single" w:sz="4" w:space="0" w:color="auto"/>
              <w:left w:val="single" w:sz="4" w:space="0" w:color="auto"/>
              <w:bottom w:val="single" w:sz="4" w:space="0" w:color="auto"/>
              <w:right w:val="single" w:sz="4" w:space="0" w:color="auto"/>
            </w:tcBorders>
          </w:tcPr>
          <w:p w14:paraId="001015D5" w14:textId="0010160C">
            <w:pPr>
              <w:pStyle w:val="Normal"/>
              <w:jc w:val="left"/>
            </w:pPr>
            <w:r>
              <w:t xml:space="preserve">912</w:t>
            </w:r>
          </w:p>
        </w:tc>
        <w:tc>
          <w:tcPr>
            <w:vAlign w:val="center"/>
            <w:tcBorders>
              <w:top w:val="single" w:sz="4" w:space="0" w:color="auto"/>
              <w:left w:val="single" w:sz="4" w:space="0" w:color="auto"/>
              <w:bottom w:val="single" w:sz="4" w:space="0" w:color="auto"/>
              <w:right w:val="single" w:sz="4" w:space="0" w:color="auto"/>
            </w:tcBorders>
          </w:tcPr>
          <w:p w14:paraId="001015D7" w14:textId="0010160D">
            <w:pPr>
              <w:pStyle w:val="Normal"/>
              <w:jc w:val="left"/>
            </w:pPr>
            <w:r>
              <w:t xml:space="preserve">846</w:t>
            </w:r>
          </w:p>
        </w:tc>
        <w:tc>
          <w:tcPr>
            <w:vAlign w:val="center"/>
            <w:tcBorders>
              <w:top w:val="single" w:sz="4" w:space="0" w:color="auto"/>
              <w:left w:val="single" w:sz="4" w:space="0" w:color="auto"/>
              <w:bottom w:val="single" w:sz="4" w:space="0" w:color="auto"/>
              <w:right w:val="single" w:sz="4" w:space="0" w:color="auto"/>
            </w:tcBorders>
          </w:tcPr>
          <w:p w14:paraId="001015D9" w14:textId="0010160E">
            <w:pPr>
              <w:pStyle w:val="Normal"/>
              <w:jc w:val="left"/>
            </w:pPr>
            <w:r>
              <w:t xml:space="preserve">Operating profit before acquisition-related charges, restructuring, impairment, and one-off legal settlements</w:t>
            </w:r>
          </w:p>
        </w:tc>
      </w:tr>
      <w:tr>
        <w:tc>
          <w:tcPr>
            <w:vAlign w:val="center"/>
            <w:tcBorders>
              <w:top w:val="single" w:sz="4" w:space="0" w:color="auto"/>
              <w:left w:val="single" w:sz="4" w:space="0" w:color="auto"/>
              <w:bottom w:val="single" w:sz="4" w:space="0" w:color="auto"/>
              <w:right w:val="single" w:sz="4" w:space="0" w:color="auto"/>
            </w:tcBorders>
          </w:tcPr>
          <w:p w14:paraId="001015DB" w14:textId="0010160F">
            <w:pPr>
              <w:pStyle w:val="Normal"/>
              <w:jc w:val="left"/>
            </w:pPr>
            <w:r>
              <w:t xml:space="preserve">Underlying operating margin</w:t>
            </w:r>
          </w:p>
        </w:tc>
        <w:tc>
          <w:tcPr>
            <w:vAlign w:val="center"/>
            <w:tcBorders>
              <w:top w:val="single" w:sz="4" w:space="0" w:color="auto"/>
              <w:left w:val="single" w:sz="4" w:space="0" w:color="auto"/>
              <w:bottom w:val="single" w:sz="4" w:space="0" w:color="auto"/>
              <w:right w:val="single" w:sz="4" w:space="0" w:color="auto"/>
            </w:tcBorders>
          </w:tcPr>
          <w:p w14:paraId="001015DD" w14:textId="00101610">
            <w:pPr>
              <w:pStyle w:val="Normal"/>
              <w:jc w:val="left"/>
            </w:pPr>
            <w:r>
              <w:t xml:space="preserve">10.8%</w:t>
            </w:r>
          </w:p>
        </w:tc>
        <w:tc>
          <w:tcPr>
            <w:vAlign w:val="center"/>
            <w:tcBorders>
              <w:top w:val="single" w:sz="4" w:space="0" w:color="auto"/>
              <w:left w:val="single" w:sz="4" w:space="0" w:color="auto"/>
              <w:bottom w:val="single" w:sz="4" w:space="0" w:color="auto"/>
              <w:right w:val="single" w:sz="4" w:space="0" w:color="auto"/>
            </w:tcBorders>
          </w:tcPr>
          <w:p w14:paraId="001015DF" w14:textId="00101611">
            <w:pPr>
              <w:pStyle w:val="Normal"/>
              <w:jc w:val="left"/>
            </w:pPr>
            <w:r>
              <w:t xml:space="preserve">10.6%</w:t>
            </w:r>
          </w:p>
        </w:tc>
        <w:tc>
          <w:tcPr>
            <w:vAlign w:val="center"/>
            <w:tcBorders>
              <w:top w:val="single" w:sz="4" w:space="0" w:color="auto"/>
              <w:left w:val="single" w:sz="4" w:space="0" w:color="auto"/>
              <w:bottom w:val="single" w:sz="4" w:space="0" w:color="auto"/>
              <w:right w:val="single" w:sz="4" w:space="0" w:color="auto"/>
            </w:tcBorders>
          </w:tcPr>
          <w:p w14:paraId="001015E1" w14:textId="00101612">
            <w:pPr>
              <w:pStyle w:val="Normal"/>
              <w:jc w:val="left"/>
            </w:pPr>
            <w:r>
              <w:t xml:space="preserve">Underlying operating profit divided by reported revenue</w:t>
            </w:r>
          </w:p>
        </w:tc>
      </w:tr>
      <w:tr>
        <w:tc>
          <w:tcPr>
            <w:vAlign w:val="center"/>
            <w:tcBorders>
              <w:top w:val="single" w:sz="4" w:space="0" w:color="auto"/>
              <w:left w:val="single" w:sz="4" w:space="0" w:color="auto"/>
              <w:bottom w:val="single" w:sz="4" w:space="0" w:color="auto"/>
              <w:right w:val="single" w:sz="4" w:space="0" w:color="auto"/>
            </w:tcBorders>
          </w:tcPr>
          <w:p w14:paraId="001015E3" w14:textId="00101613">
            <w:pPr>
              <w:pStyle w:val="Normal"/>
              <w:jc w:val="left"/>
            </w:pPr>
            <w:r>
              <w:t xml:space="preserve">Profit attributable to owners</w:t>
            </w:r>
          </w:p>
        </w:tc>
        <w:tc>
          <w:tcPr>
            <w:vAlign w:val="center"/>
            <w:tcBorders>
              <w:top w:val="single" w:sz="4" w:space="0" w:color="auto"/>
              <w:left w:val="single" w:sz="4" w:space="0" w:color="auto"/>
              <w:bottom w:val="single" w:sz="4" w:space="0" w:color="auto"/>
              <w:right w:val="single" w:sz="4" w:space="0" w:color="auto"/>
            </w:tcBorders>
          </w:tcPr>
          <w:p w14:paraId="001015E5" w14:textId="00101614">
            <w:pPr>
              <w:pStyle w:val="Normal"/>
              <w:jc w:val="left"/>
            </w:pPr>
            <w:r>
              <w:t xml:space="preserve">524</w:t>
            </w:r>
          </w:p>
        </w:tc>
        <w:tc>
          <w:tcPr>
            <w:vAlign w:val="center"/>
            <w:tcBorders>
              <w:top w:val="single" w:sz="4" w:space="0" w:color="auto"/>
              <w:left w:val="single" w:sz="4" w:space="0" w:color="auto"/>
              <w:bottom w:val="single" w:sz="4" w:space="0" w:color="auto"/>
              <w:right w:val="single" w:sz="4" w:space="0" w:color="auto"/>
            </w:tcBorders>
          </w:tcPr>
          <w:p w14:paraId="001015E7" w14:textId="00101615">
            <w:pPr>
              <w:pStyle w:val="Normal"/>
              <w:jc w:val="left"/>
            </w:pPr>
            <w:r>
              <w:t xml:space="preserve">486</w:t>
            </w:r>
          </w:p>
        </w:tc>
        <w:tc>
          <w:tcPr>
            <w:vAlign w:val="center"/>
            <w:tcBorders>
              <w:top w:val="single" w:sz="4" w:space="0" w:color="auto"/>
              <w:left w:val="single" w:sz="4" w:space="0" w:color="auto"/>
              <w:bottom w:val="single" w:sz="4" w:space="0" w:color="auto"/>
              <w:right w:val="single" w:sz="4" w:space="0" w:color="auto"/>
            </w:tcBorders>
          </w:tcPr>
          <w:p w14:paraId="001015E9" w14:textId="00101616">
            <w:pPr>
              <w:pStyle w:val="Normal"/>
              <w:jc w:val="left"/>
            </w:pPr>
            <w:r>
              <w:t xml:space="preserve">Statutory profit after finance costs, tax, and noncontrolling interests</w:t>
            </w:r>
          </w:p>
        </w:tc>
      </w:tr>
      <w:tr>
        <w:tc>
          <w:tcPr>
            <w:vAlign w:val="center"/>
            <w:tcBorders>
              <w:top w:val="single" w:sz="4" w:space="0" w:color="auto"/>
              <w:left w:val="single" w:sz="4" w:space="0" w:color="auto"/>
              <w:bottom w:val="single" w:sz="4" w:space="0" w:color="auto"/>
              <w:right w:val="single" w:sz="4" w:space="0" w:color="auto"/>
            </w:tcBorders>
          </w:tcPr>
          <w:p w14:paraId="001015EB" w14:textId="00101617">
            <w:pPr>
              <w:pStyle w:val="Normal"/>
              <w:jc w:val="left"/>
            </w:pPr>
            <w:r>
              <w:t xml:space="preserve">Underlying earnings per share</w:t>
            </w:r>
          </w:p>
        </w:tc>
        <w:tc>
          <w:tcPr>
            <w:vAlign w:val="center"/>
            <w:tcBorders>
              <w:top w:val="single" w:sz="4" w:space="0" w:color="auto"/>
              <w:left w:val="single" w:sz="4" w:space="0" w:color="auto"/>
              <w:bottom w:val="single" w:sz="4" w:space="0" w:color="auto"/>
              <w:right w:val="single" w:sz="4" w:space="0" w:color="auto"/>
            </w:tcBorders>
          </w:tcPr>
          <w:p w14:paraId="001015ED" w14:textId="00101618">
            <w:pPr>
              <w:pStyle w:val="Normal"/>
              <w:jc w:val="left"/>
            </w:pPr>
            <w:r>
              <w:t xml:space="preserve">1.74</w:t>
            </w:r>
          </w:p>
        </w:tc>
        <w:tc>
          <w:tcPr>
            <w:vAlign w:val="center"/>
            <w:tcBorders>
              <w:top w:val="single" w:sz="4" w:space="0" w:color="auto"/>
              <w:left w:val="single" w:sz="4" w:space="0" w:color="auto"/>
              <w:bottom w:val="single" w:sz="4" w:space="0" w:color="auto"/>
              <w:right w:val="single" w:sz="4" w:space="0" w:color="auto"/>
            </w:tcBorders>
          </w:tcPr>
          <w:p w14:paraId="001015EF" w14:textId="00101619">
            <w:pPr>
              <w:pStyle w:val="Normal"/>
              <w:jc w:val="left"/>
            </w:pPr>
            <w:r>
              <w:t xml:space="preserve">1.61</w:t>
            </w:r>
          </w:p>
        </w:tc>
        <w:tc>
          <w:tcPr>
            <w:vAlign w:val="center"/>
            <w:tcBorders>
              <w:top w:val="single" w:sz="4" w:space="0" w:color="auto"/>
              <w:left w:val="single" w:sz="4" w:space="0" w:color="auto"/>
              <w:bottom w:val="single" w:sz="4" w:space="0" w:color="auto"/>
              <w:right w:val="single" w:sz="4" w:space="0" w:color="auto"/>
            </w:tcBorders>
          </w:tcPr>
          <w:p w14:paraId="001015F1" w14:textId="0010161A">
            <w:pPr>
              <w:pStyle w:val="Normal"/>
              <w:jc w:val="left"/>
            </w:pPr>
            <w:r>
              <w:t xml:space="preserve">Profit attributable to owners adjusted for non-underlying items and divided by weighted average shares</w:t>
            </w:r>
          </w:p>
        </w:tc>
      </w:tr>
      <w:tr>
        <w:tc>
          <w:tcPr>
            <w:vAlign w:val="center"/>
            <w:tcBorders>
              <w:top w:val="single" w:sz="4" w:space="0" w:color="auto"/>
              <w:left w:val="single" w:sz="4" w:space="0" w:color="auto"/>
              <w:bottom w:val="single" w:sz="4" w:space="0" w:color="auto"/>
              <w:right w:val="single" w:sz="4" w:space="0" w:color="auto"/>
            </w:tcBorders>
          </w:tcPr>
          <w:p w14:paraId="001015F3" w14:textId="0010161B">
            <w:pPr>
              <w:pStyle w:val="Normal"/>
              <w:jc w:val="left"/>
            </w:pPr>
            <w:r>
              <w:t xml:space="preserve">Operating cash conversion</w:t>
            </w:r>
          </w:p>
        </w:tc>
        <w:tc>
          <w:tcPr>
            <w:vAlign w:val="center"/>
            <w:tcBorders>
              <w:top w:val="single" w:sz="4" w:space="0" w:color="auto"/>
              <w:left w:val="single" w:sz="4" w:space="0" w:color="auto"/>
              <w:bottom w:val="single" w:sz="4" w:space="0" w:color="auto"/>
              <w:right w:val="single" w:sz="4" w:space="0" w:color="auto"/>
            </w:tcBorders>
          </w:tcPr>
          <w:p w14:paraId="001015F5" w14:textId="0010161C">
            <w:pPr>
              <w:pStyle w:val="Normal"/>
              <w:jc w:val="left"/>
            </w:pPr>
            <w:r>
              <w:t xml:space="preserve">92%</w:t>
            </w:r>
          </w:p>
        </w:tc>
        <w:tc>
          <w:tcPr>
            <w:vAlign w:val="center"/>
            <w:tcBorders>
              <w:top w:val="single" w:sz="4" w:space="0" w:color="auto"/>
              <w:left w:val="single" w:sz="4" w:space="0" w:color="auto"/>
              <w:bottom w:val="single" w:sz="4" w:space="0" w:color="auto"/>
              <w:right w:val="single" w:sz="4" w:space="0" w:color="auto"/>
            </w:tcBorders>
          </w:tcPr>
          <w:p w14:paraId="001015F7" w14:textId="0010161D">
            <w:pPr>
              <w:pStyle w:val="Normal"/>
              <w:jc w:val="left"/>
            </w:pPr>
            <w:r>
              <w:t xml:space="preserve">88%</w:t>
            </w:r>
          </w:p>
        </w:tc>
        <w:tc>
          <w:tcPr>
            <w:vAlign w:val="center"/>
            <w:tcBorders>
              <w:top w:val="single" w:sz="4" w:space="0" w:color="auto"/>
              <w:left w:val="single" w:sz="4" w:space="0" w:color="auto"/>
              <w:bottom w:val="single" w:sz="4" w:space="0" w:color="auto"/>
              <w:right w:val="single" w:sz="4" w:space="0" w:color="auto"/>
            </w:tcBorders>
          </w:tcPr>
          <w:p w14:paraId="001015F9" w14:textId="0010161E">
            <w:pPr>
              <w:pStyle w:val="Normal"/>
              <w:jc w:val="left"/>
            </w:pPr>
            <w:r>
              <w:t xml:space="preserve">Operating cash flow before tax and interest divided by underlying operating profit</w:t>
            </w:r>
          </w:p>
        </w:tc>
      </w:tr>
      <w:tr>
        <w:tc>
          <w:tcPr>
            <w:vAlign w:val="center"/>
            <w:tcBorders>
              <w:top w:val="single" w:sz="4" w:space="0" w:color="auto"/>
              <w:left w:val="single" w:sz="4" w:space="0" w:color="auto"/>
              <w:bottom w:val="single" w:sz="4" w:space="0" w:color="auto"/>
              <w:right w:val="single" w:sz="4" w:space="0" w:color="auto"/>
            </w:tcBorders>
          </w:tcPr>
          <w:p w14:paraId="001015FB" w14:textId="0010161F">
            <w:pPr>
              <w:pStyle w:val="Normal"/>
              <w:jc w:val="left"/>
            </w:pPr>
            <w:r>
              <w:t xml:space="preserve">Free cash flow</w:t>
            </w:r>
          </w:p>
        </w:tc>
        <w:tc>
          <w:tcPr>
            <w:vAlign w:val="center"/>
            <w:tcBorders>
              <w:top w:val="single" w:sz="4" w:space="0" w:color="auto"/>
              <w:left w:val="single" w:sz="4" w:space="0" w:color="auto"/>
              <w:bottom w:val="single" w:sz="4" w:space="0" w:color="auto"/>
              <w:right w:val="single" w:sz="4" w:space="0" w:color="auto"/>
            </w:tcBorders>
          </w:tcPr>
          <w:p w14:paraId="001015FD" w14:textId="00101620">
            <w:pPr>
              <w:pStyle w:val="Normal"/>
              <w:jc w:val="left"/>
            </w:pPr>
            <w:r>
              <w:t xml:space="preserve">438</w:t>
            </w:r>
          </w:p>
        </w:tc>
        <w:tc>
          <w:tcPr>
            <w:vAlign w:val="center"/>
            <w:tcBorders>
              <w:top w:val="single" w:sz="4" w:space="0" w:color="auto"/>
              <w:left w:val="single" w:sz="4" w:space="0" w:color="auto"/>
              <w:bottom w:val="single" w:sz="4" w:space="0" w:color="auto"/>
              <w:right w:val="single" w:sz="4" w:space="0" w:color="auto"/>
            </w:tcBorders>
          </w:tcPr>
          <w:p w14:paraId="001015FF" w14:textId="00101621">
            <w:pPr>
              <w:pStyle w:val="Normal"/>
              <w:jc w:val="left"/>
            </w:pPr>
            <w:r>
              <w:t xml:space="preserve">392</w:t>
            </w:r>
          </w:p>
        </w:tc>
        <w:tc>
          <w:tcPr>
            <w:vAlign w:val="center"/>
            <w:tcBorders>
              <w:top w:val="single" w:sz="4" w:space="0" w:color="auto"/>
              <w:left w:val="single" w:sz="4" w:space="0" w:color="auto"/>
              <w:bottom w:val="single" w:sz="4" w:space="0" w:color="auto"/>
              <w:right w:val="single" w:sz="4" w:space="0" w:color="auto"/>
            </w:tcBorders>
          </w:tcPr>
          <w:p w14:paraId="00101601" w14:textId="00101622">
            <w:pPr>
              <w:pStyle w:val="Normal"/>
              <w:jc w:val="left"/>
            </w:pPr>
            <w:r>
              <w:t xml:space="preserve">Net cash from operating activities less capital expenditure and lease principal payments</w:t>
            </w:r>
          </w:p>
        </w:tc>
      </w:tr>
    </w:tbl>
    <w:p w14:paraId="00101623" w14:textId="00101624">
      <w:pPr>
        <w:pStyle w:val="Normal"/>
        <w:jc w:val="left"/>
      </w:pPr>
      <w:r>
        <w:t xml:space="preserve">Table 13 Group KPI reconciliation table</w:t>
      </w:r>
    </w:p>
    <w:p w14:paraId="00101625" w14:textId="00101626">
      <w:pPr>
        <w:pStyle w:val="Normal"/>
        <w:jc w:val="left"/>
      </w:pPr>
      <w:r>
        <w:t xml:space="preserve">9.1.1 Profit Measures</w:t>
      </w:r>
    </w:p>
    <w:p w14:paraId="00101627" w14:textId="00101628">
      <w:pPr>
        <w:pStyle w:val="Normal"/>
        <w:jc w:val="left"/>
      </w:pPr>
      <w:r>
        <w:t xml:space="preserve">Rivermark Holdings uses profit measures that supplement, but do not replace, statutory results prepared under the applicable reporting framework. The principal non-IFRS measure in this report is underlying operating profit, which is intended to reflect the earnings generated by ongoing operations before items that management considers non-core in period-on-period assessment. These adjustments are applied consistently to improve transparency in evaluating operational performance across the Group’s Industrial Solutions, Consumer Platforms, and Infrastructure Services segments.</w:t>
      </w:r>
    </w:p>
    <w:p w14:paraId="00101629" w14:textId="0010162E">
      <w:pPr>
        <w:pStyle w:val="Normal"/>
        <w:jc w:val="left"/>
      </w:pPr>
      <w:r>
        <w:t xml:space="preserve"/>
      </w:r>
      <w:r>
        <w:t xml:space="preserve">Underlying adjustments:</w:t>
      </w:r>
      <w:r>
        <w:t xml:space="preserve"> include acquisition-related amortization of separately identified intangible assets, integration and restructuring costs arising from portfolio actions, material impairment charges, and infrequent legal or regulatory settlements that do not reflect ordinary trading conditions. Where such items recur over more than one period, management discloses them separately and reassesses whether continued exclusion remains appropriate. Tax effects associated with adjusted items are recognized when deriving underlying earnings attributable to owners and underlying earnings per share.</w:t>
        <w:br/>
      </w:r>
      <w:r>
        <w:t xml:space="preserve">Management purpose:</w:t>
      </w:r>
      <w:r>
        <w:t xml:space="preserve"> is to support internal review of trading performance, capital allocation, and incentive scorecards by isolating the operating result that management believes best reflects controllable business performance. Readers should nonetheless consider these measures together with reported operating profit, profit before tax, and profit attributable to owners, as judgment is involved in identifying adjusting items and comparability may differ from that used by other issuers.</w:t>
      </w:r>
    </w:p>
    <w:p w14:paraId="0010162F" w14:textId="00101630">
      <w:pPr>
        <w:pStyle w:val="Normal"/>
        <w:jc w:val="left"/>
      </w:pPr>
      <w:r>
        <w:t xml:space="preserve">Margin comparability is assessed by relating underlying operating profit to reported revenue, thereby preserving the full top-line effect of price, volume, channel mix, and currency movements while removing selected profit distortions below gross contribution and operating cost lines. This approach allows the Group to compare operational efficiency across periods without restating revenue for one-off events that do not alter customer demand or contract execution patterns.</w:t>
      </w:r>
    </w:p>
    <w:p w14:paraId="00101631" w14:textId="00101632">
      <w:pPr>
        <w:pStyle w:val="Normal"/>
        <w:jc w:val="left"/>
      </w:pPr>
      <w:r>
        <w:t xml:space="preserve">In reviewing year-on-year movement, management first examines the reported operating margin and then isolates the effect of adjusting items, portfolio changes, and accounting classification shifts. This sequential view is important because a stable underlying margin can still coexist with a weaker statutory margin if restructuring or impairment activity rises, while an improving statutory margin may overstate operational progress if aided by the absence of prior-year exceptional charges. For this reason, the annual report presents both statutory and underlying perspectives.</w:t>
      </w:r>
    </w:p>
    <w:p w14:paraId="00101633" w14:textId="00101634">
      <w:pPr>
        <w:pStyle w:val="Normal"/>
        <w:jc w:val="left"/>
      </w:pPr>
      <w:r>
        <w:t xml:space="preserve">Comparability is also influenced by business mix. Industrial Solutions typically generates higher margins from engineered products and service contracts, whereas Infrastructure Services carries a margin profile affected by project timing, mobilization, and contract close-out. Consumer Platforms is more exposed to promotional cycles and customer acquisition cost. Accordingly, margin analysis is interpreted in conjunction with segment mix, capital intensity, and cash conversion rather than as a stand-alone measure of performance quality.</w:t>
      </w:r>
    </w:p>
    <w:p w14:paraId="00101635" w14:textId="00101636">
      <w:pPr>
        <w:pStyle w:val="Normal"/>
        <w:jc w:val="left"/>
      </w:pPr>
      <w:r>
        <w:t xml:space="preserve">9.1.1 Cash Measures</w:t>
      </w:r>
    </w:p>
    <w:p w14:paraId="00101637" w14:textId="00101638">
      <w:pPr>
        <w:pStyle w:val="Normal"/>
        <w:jc w:val="left"/>
      </w:pPr>
      <w:r>
        <w:t xml:space="preserve">Operating cash conversion measures the extent to which underlying operating profit is translated into cash generated from operations before interest and income tax payments. The ratio is calculated by dividing this pre-interest, pre-tax operating cash flow by underlying operating profit for the same period. Management uses this basis because financing structure and tax timing can vary between years and jurisdictions, obscuring the quality of earnings generated by the operating platform itself.</w:t>
      </w:r>
    </w:p>
    <w:p w14:paraId="00101639" w14:textId="0010163A">
      <w:pPr>
        <w:pStyle w:val="Normal"/>
        <w:jc w:val="left"/>
      </w:pPr>
      <w:r>
        <w:t xml:space="preserve">The measure is interpreted alongside changes in working capital, particularly receivables collection, inventory turns, contract asset unwind, and supplier payment patterns. In Rivermark Holdings, temporary swings can arise from milestone billing in Infrastructure Services, seasonal inventory builds in Consumer Platforms, and strategic stock positioning in Industrial Solutions. A conversion ratio below 100 percent in a growth year is not necessarily adverse if it reflects deliberate investment in working capital to support order intake, customer launches, or resilience planning.</w:t>
      </w:r>
    </w:p>
    <w:p w14:paraId="0010163B" w14:textId="0010163C">
      <w:pPr>
        <w:pStyle w:val="Normal"/>
        <w:jc w:val="left"/>
      </w:pPr>
      <w:r>
        <w:t xml:space="preserve">To preserve comparability, management excludes major acquisition transaction costs and other non-underlying cash effects when evaluating internal operating conversion trends, while maintaining a clear reconciliation to the statutory cash flow statement. This enables investors to distinguish between operational cash discipline and period-specific uses of cash linked to portfolio change or exceptional matters.</w:t>
      </w:r>
    </w:p>
    <w:p w14:paraId="0010163D" w14:textId="0010163E">
      <w:pPr>
        <w:pStyle w:val="Normal"/>
        <w:jc w:val="left"/>
      </w:pPr>
      <w:r>
        <w:t xml:space="preserve">Free cash flow is presented as a post-operating measure that connects underlying earnings discipline with capital allocation capacity. It begins with net cash generated from operating activities and then deducts cash outflows required to sustain and develop the asset base, principally purchases of property, plant and equipment and principal payments on lease liabilities. The resulting measure indicates the cash available for dividends, debt reduction, bolt-on acquisitions, and other discretionary uses after funding normal operations and committed reinvestment.</w:t>
      </w:r>
    </w:p>
    <w:p w14:paraId="0010163F" w14:textId="00101644">
      <w:pPr>
        <w:pStyle w:val="Normal"/>
        <w:jc w:val="left"/>
      </w:pPr>
      <w:r>
        <w:t xml:space="preserve"/>
      </w:r>
      <w:r>
        <w:t xml:space="preserve">Bridge components:</w:t>
      </w:r>
      <w:r>
        <w:t xml:space="preserve"> typically include operating profit conversion into cash, movements in working capital, cash interest, cash taxes, capital expenditure, lease principal, and where relevant proceeds from asset disposals. Management reviews this bridge to determine whether year-on-year movement has been driven by trading performance, tighter cash discipline, lower investment intensity, or timing effects that may reverse in the following period. A strong free cash flow outcome supported by weak maintenance investment would not be regarded as high quality, so the bridge is read in conjunction with capacity utilization, backlog, and medium-term growth commitments.</w:t>
        <w:br/>
      </w:r>
      <w:r>
        <w:t xml:space="preserve">Bridge interpretation:</w:t>
      </w:r>
      <w:r>
        <w:t xml:space="preserve"> therefore emphasizes sustainability rather than a single-year cash surplus. In 2024, the Group’s improvement in free cash flow was supported by higher operating profit, better receivables collection, and disciplined capital prioritization, partly offset by continued investment in automation, digital customer platforms, and service fleet renewal.</w:t>
      </w:r>
    </w:p>
    <w:p w14:paraId="00101645" w14:textId="00101646">
      <w:pPr>
        <w:pStyle w:val="Normal"/>
        <w:jc w:val="left"/>
      </w:pPr>
      <w:r>
        <w:t xml:space="preserve">9.1 Segment Measures</w:t>
      </w:r>
    </w:p>
    <w:p w14:paraId="00101647" w14:textId="00101648">
      <w:pPr>
        <w:pStyle w:val="Normal"/>
        <w:jc w:val="left"/>
      </w:pPr>
      <w:r>
        <w:t xml:space="preserve">Segment performance is monitored through a defined set of operational and financial indicators tailored to the economics of each business line. At segment level, revenue and underlying operating profit remain the primary financial measures reviewed by management, but these are supplemented by indicators such as order intake, backlog conversion, utilization, customer retention, service penetration, and capital employed depending on the segment’s business model. The purpose is to align monitoring with the drivers that most directly shape future earnings rather than relying solely on period-end accounting outcomes.</w:t>
      </w:r>
    </w:p>
    <w:p w14:paraId="00101649" w14:textId="0010164C">
      <w:pPr>
        <w:pStyle w:val="Normal"/>
        <w:jc w:val="left"/>
      </w:pPr>
      <w:r>
        <w:t xml:space="preserve">For consistency, Rivermark Holdings distinguishes between audited financial line items and management indicators described as *</w:t>
      </w:r>
      <w:r>
        <w:t xml:space="preserve">segment KPIs</w:t>
      </w:r>
      <w:r>
        <w:t xml:space="preserve">*. These measures are prepared from the same core reporting systems used for consolidated results, but some require allocation judgments or operational source data not reported separately in the financial statements. Industrial Solutions emphasizes throughput, plant efficiency, and aftermarket mix; Consumer Platforms places greater weight on active customers, retention, average order value, and digital conversion; Infrastructure Services focuses on backlog quality, project delivery milestones, labor utilization, and safety performance.</w:t>
        <w:br/>
        <w:t xml:space="preserve">Definitions are reviewed annually to ensure that *segment KPIs* remain decision-useful and comparable. If a definition changes because of a system enhancement, portfolio reorganization, or improved measurement method, the Group restates prior-period comparatives where practicable and explains the basis of change. Segment measures are not intended to be standardized industry metrics; they are management tools that help explain how each segment contributes to Group returns, cash generation, and strategic progress.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164D" w14:textId="0010169D">
            <w:pPr>
              <w:pStyle w:val="Normal"/>
              <w:jc w:val="left"/>
            </w:pPr>
            <w:r>
              <w:t xml:space="preserve">Business unit</w:t>
            </w:r>
          </w:p>
        </w:tc>
        <w:tc>
          <w:tcPr>
            <w:vAlign w:val="center"/>
            <w:tcBorders>
              <w:top w:val="single" w:sz="4" w:space="0" w:color="auto"/>
              <w:left w:val="single" w:sz="4" w:space="0" w:color="auto"/>
              <w:bottom w:val="single" w:sz="4" w:space="0" w:color="auto"/>
              <w:right w:val="single" w:sz="4" w:space="0" w:color="auto"/>
            </w:tcBorders>
          </w:tcPr>
          <w:p w14:paraId="0010164F" w14:textId="0010169E">
            <w:pPr>
              <w:pStyle w:val="Normal"/>
              <w:jc w:val="left"/>
            </w:pPr>
            <w:r>
              <w:t xml:space="preserve">Primary KPI</w:t>
            </w:r>
          </w:p>
        </w:tc>
        <w:tc>
          <w:tcPr>
            <w:vAlign w:val="center"/>
            <w:tcBorders>
              <w:top w:val="single" w:sz="4" w:space="0" w:color="auto"/>
              <w:left w:val="single" w:sz="4" w:space="0" w:color="auto"/>
              <w:bottom w:val="single" w:sz="4" w:space="0" w:color="auto"/>
              <w:right w:val="single" w:sz="4" w:space="0" w:color="auto"/>
            </w:tcBorders>
          </w:tcPr>
          <w:p w14:paraId="00101651" w14:textId="0010169F">
            <w:pPr>
              <w:pStyle w:val="Normal"/>
              <w:jc w:val="left"/>
            </w:pPr>
            <w:r>
              <w:t xml:space="preserve">2024</w:t>
            </w:r>
          </w:p>
        </w:tc>
        <w:tc>
          <w:tcPr>
            <w:vAlign w:val="center"/>
            <w:tcBorders>
              <w:top w:val="single" w:sz="4" w:space="0" w:color="auto"/>
              <w:left w:val="single" w:sz="4" w:space="0" w:color="auto"/>
              <w:bottom w:val="single" w:sz="4" w:space="0" w:color="auto"/>
              <w:right w:val="single" w:sz="4" w:space="0" w:color="auto"/>
            </w:tcBorders>
          </w:tcPr>
          <w:p w14:paraId="00101653" w14:textId="001016A0">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1655" w14:textId="001016A1">
            <w:pPr>
              <w:pStyle w:val="Normal"/>
              <w:jc w:val="left"/>
            </w:pPr>
            <w:r>
              <w:t xml:space="preserve">Five-year direction</w:t>
            </w:r>
          </w:p>
        </w:tc>
      </w:tr>
      <w:tr>
        <w:tc>
          <w:tcPr>
            <w:vAlign w:val="center"/>
            <w:tcBorders>
              <w:top w:val="single" w:sz="4" w:space="0" w:color="auto"/>
              <w:left w:val="single" w:sz="4" w:space="0" w:color="auto"/>
              <w:bottom w:val="single" w:sz="4" w:space="0" w:color="auto"/>
              <w:right w:val="single" w:sz="4" w:space="0" w:color="auto"/>
            </w:tcBorders>
          </w:tcPr>
          <w:p w14:paraId="00101657" w14:textId="001016A2">
            <w:pPr>
              <w:pStyle w:val="Normal"/>
              <w:jc w:val="left"/>
            </w:pPr>
            <w:r>
              <w:t xml:space="preserve">Industrial Solutions</w:t>
            </w:r>
          </w:p>
        </w:tc>
        <w:tc>
          <w:tcPr>
            <w:vAlign w:val="center"/>
            <w:tcBorders>
              <w:top w:val="single" w:sz="4" w:space="0" w:color="auto"/>
              <w:left w:val="single" w:sz="4" w:space="0" w:color="auto"/>
              <w:bottom w:val="single" w:sz="4" w:space="0" w:color="auto"/>
              <w:right w:val="single" w:sz="4" w:space="0" w:color="auto"/>
            </w:tcBorders>
          </w:tcPr>
          <w:p w14:paraId="00101659" w14:textId="001016A3">
            <w:pPr>
              <w:pStyle w:val="Normal"/>
              <w:jc w:val="left"/>
            </w:pPr>
            <w:r>
              <w:t xml:space="preserve">Volume growth (%)</w:t>
            </w:r>
          </w:p>
        </w:tc>
        <w:tc>
          <w:tcPr>
            <w:vAlign w:val="center"/>
            <w:tcBorders>
              <w:top w:val="single" w:sz="4" w:space="0" w:color="auto"/>
              <w:left w:val="single" w:sz="4" w:space="0" w:color="auto"/>
              <w:bottom w:val="single" w:sz="4" w:space="0" w:color="auto"/>
              <w:right w:val="single" w:sz="4" w:space="0" w:color="auto"/>
            </w:tcBorders>
          </w:tcPr>
          <w:p w14:paraId="0010165B" w14:textId="001016A4">
            <w:pPr>
              <w:pStyle w:val="Normal"/>
              <w:jc w:val="left"/>
            </w:pPr>
            <w:r>
              <w:t xml:space="preserve">5.8</w:t>
            </w:r>
          </w:p>
        </w:tc>
        <w:tc>
          <w:tcPr>
            <w:vAlign w:val="center"/>
            <w:tcBorders>
              <w:top w:val="single" w:sz="4" w:space="0" w:color="auto"/>
              <w:left w:val="single" w:sz="4" w:space="0" w:color="auto"/>
              <w:bottom w:val="single" w:sz="4" w:space="0" w:color="auto"/>
              <w:right w:val="single" w:sz="4" w:space="0" w:color="auto"/>
            </w:tcBorders>
          </w:tcPr>
          <w:p w14:paraId="0010165D" w14:textId="001016A5">
            <w:pPr>
              <w:pStyle w:val="Normal"/>
              <w:jc w:val="left"/>
            </w:pPr>
            <w:r>
              <w:t xml:space="preserve">3.1</w:t>
            </w:r>
          </w:p>
        </w:tc>
        <w:tc>
          <w:tcPr>
            <w:vAlign w:val="center"/>
            <w:tcBorders>
              <w:top w:val="single" w:sz="4" w:space="0" w:color="auto"/>
              <w:left w:val="single" w:sz="4" w:space="0" w:color="auto"/>
              <w:bottom w:val="single" w:sz="4" w:space="0" w:color="auto"/>
              <w:right w:val="single" w:sz="4" w:space="0" w:color="auto"/>
            </w:tcBorders>
          </w:tcPr>
          <w:p w14:paraId="0010165F" w14:textId="001016A6">
            <w:pPr>
              <w:pStyle w:val="Normal"/>
              <w:jc w:val="left"/>
            </w:pPr>
            <w:r>
              <w:t xml:space="preserve">Improving after two years of subdued project demand</w:t>
            </w:r>
          </w:p>
        </w:tc>
      </w:tr>
      <w:tr>
        <w:tc>
          <w:tcPr>
            <w:vAlign w:val="center"/>
            <w:tcBorders>
              <w:top w:val="single" w:sz="4" w:space="0" w:color="auto"/>
              <w:left w:val="single" w:sz="4" w:space="0" w:color="auto"/>
              <w:bottom w:val="single" w:sz="4" w:space="0" w:color="auto"/>
              <w:right w:val="single" w:sz="4" w:space="0" w:color="auto"/>
            </w:tcBorders>
          </w:tcPr>
          <w:p w14:paraId="00101661" w14:textId="001016A7">
            <w:pPr>
              <w:pStyle w:val="Normal"/>
              <w:jc w:val="left"/>
            </w:pPr>
            <w:r>
              <w:t xml:space="preserve">Industrial Solutions</w:t>
            </w:r>
          </w:p>
        </w:tc>
        <w:tc>
          <w:tcPr>
            <w:vAlign w:val="center"/>
            <w:tcBorders>
              <w:top w:val="single" w:sz="4" w:space="0" w:color="auto"/>
              <w:left w:val="single" w:sz="4" w:space="0" w:color="auto"/>
              <w:bottom w:val="single" w:sz="4" w:space="0" w:color="auto"/>
              <w:right w:val="single" w:sz="4" w:space="0" w:color="auto"/>
            </w:tcBorders>
          </w:tcPr>
          <w:p w14:paraId="00101663" w14:textId="001016A8">
            <w:pPr>
              <w:pStyle w:val="Normal"/>
              <w:jc w:val="left"/>
            </w:pPr>
            <w:r>
              <w:t xml:space="preserve">Plant utilization (%)</w:t>
            </w:r>
          </w:p>
        </w:tc>
        <w:tc>
          <w:tcPr>
            <w:vAlign w:val="center"/>
            <w:tcBorders>
              <w:top w:val="single" w:sz="4" w:space="0" w:color="auto"/>
              <w:left w:val="single" w:sz="4" w:space="0" w:color="auto"/>
              <w:bottom w:val="single" w:sz="4" w:space="0" w:color="auto"/>
              <w:right w:val="single" w:sz="4" w:space="0" w:color="auto"/>
            </w:tcBorders>
          </w:tcPr>
          <w:p w14:paraId="00101665" w14:textId="001016A9">
            <w:pPr>
              <w:pStyle w:val="Normal"/>
              <w:jc w:val="left"/>
            </w:pPr>
            <w:r>
              <w:t xml:space="preserve">82</w:t>
            </w:r>
          </w:p>
        </w:tc>
        <w:tc>
          <w:tcPr>
            <w:vAlign w:val="center"/>
            <w:tcBorders>
              <w:top w:val="single" w:sz="4" w:space="0" w:color="auto"/>
              <w:left w:val="single" w:sz="4" w:space="0" w:color="auto"/>
              <w:bottom w:val="single" w:sz="4" w:space="0" w:color="auto"/>
              <w:right w:val="single" w:sz="4" w:space="0" w:color="auto"/>
            </w:tcBorders>
          </w:tcPr>
          <w:p w14:paraId="00101667" w14:textId="001016AA">
            <w:pPr>
              <w:pStyle w:val="Normal"/>
              <w:jc w:val="left"/>
            </w:pPr>
            <w:r>
              <w:t xml:space="preserve">79</w:t>
            </w:r>
          </w:p>
        </w:tc>
        <w:tc>
          <w:tcPr>
            <w:vAlign w:val="center"/>
            <w:tcBorders>
              <w:top w:val="single" w:sz="4" w:space="0" w:color="auto"/>
              <w:left w:val="single" w:sz="4" w:space="0" w:color="auto"/>
              <w:bottom w:val="single" w:sz="4" w:space="0" w:color="auto"/>
              <w:right w:val="single" w:sz="4" w:space="0" w:color="auto"/>
            </w:tcBorders>
          </w:tcPr>
          <w:p w14:paraId="00101669" w14:textId="001016AB">
            <w:pPr>
              <w:pStyle w:val="Normal"/>
              <w:jc w:val="left"/>
            </w:pPr>
            <w:r>
              <w:t xml:space="preserve">Recovered toward pre-expansion benchmark</w:t>
            </w:r>
          </w:p>
        </w:tc>
      </w:tr>
      <w:tr>
        <w:tc>
          <w:tcPr>
            <w:vAlign w:val="center"/>
            <w:tcBorders>
              <w:top w:val="single" w:sz="4" w:space="0" w:color="auto"/>
              <w:left w:val="single" w:sz="4" w:space="0" w:color="auto"/>
              <w:bottom w:val="single" w:sz="4" w:space="0" w:color="auto"/>
              <w:right w:val="single" w:sz="4" w:space="0" w:color="auto"/>
            </w:tcBorders>
          </w:tcPr>
          <w:p w14:paraId="0010166B" w14:textId="001016AC">
            <w:pPr>
              <w:pStyle w:val="Normal"/>
              <w:jc w:val="left"/>
            </w:pPr>
            <w:r>
              <w:t xml:space="preserve">Consumer Platforms</w:t>
            </w:r>
          </w:p>
        </w:tc>
        <w:tc>
          <w:tcPr>
            <w:vAlign w:val="center"/>
            <w:tcBorders>
              <w:top w:val="single" w:sz="4" w:space="0" w:color="auto"/>
              <w:left w:val="single" w:sz="4" w:space="0" w:color="auto"/>
              <w:bottom w:val="single" w:sz="4" w:space="0" w:color="auto"/>
              <w:right w:val="single" w:sz="4" w:space="0" w:color="auto"/>
            </w:tcBorders>
          </w:tcPr>
          <w:p w14:paraId="0010166D" w14:textId="001016AD">
            <w:pPr>
              <w:pStyle w:val="Normal"/>
              <w:jc w:val="left"/>
            </w:pPr>
            <w:r>
              <w:t xml:space="preserve">Active customers (million)</w:t>
            </w:r>
          </w:p>
        </w:tc>
        <w:tc>
          <w:tcPr>
            <w:vAlign w:val="center"/>
            <w:tcBorders>
              <w:top w:val="single" w:sz="4" w:space="0" w:color="auto"/>
              <w:left w:val="single" w:sz="4" w:space="0" w:color="auto"/>
              <w:bottom w:val="single" w:sz="4" w:space="0" w:color="auto"/>
              <w:right w:val="single" w:sz="4" w:space="0" w:color="auto"/>
            </w:tcBorders>
          </w:tcPr>
          <w:p w14:paraId="0010166F" w14:textId="001016AE">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1671" w14:textId="001016AF">
            <w:pPr>
              <w:pStyle w:val="Normal"/>
              <w:jc w:val="left"/>
            </w:pPr>
            <w:r>
              <w:t xml:space="preserve">7.1</w:t>
            </w:r>
          </w:p>
        </w:tc>
        <w:tc>
          <w:tcPr>
            <w:vAlign w:val="center"/>
            <w:tcBorders>
              <w:top w:val="single" w:sz="4" w:space="0" w:color="auto"/>
              <w:left w:val="single" w:sz="4" w:space="0" w:color="auto"/>
              <w:bottom w:val="single" w:sz="4" w:space="0" w:color="auto"/>
              <w:right w:val="single" w:sz="4" w:space="0" w:color="auto"/>
            </w:tcBorders>
          </w:tcPr>
          <w:p w14:paraId="00101673" w14:textId="001016B0">
            <w:pPr>
              <w:pStyle w:val="Normal"/>
              <w:jc w:val="left"/>
            </w:pPr>
            <w:r>
              <w:t xml:space="preserve">Steady expansion with stronger digital penetration</w:t>
            </w:r>
          </w:p>
        </w:tc>
      </w:tr>
      <w:tr>
        <w:tc>
          <w:tcPr>
            <w:vAlign w:val="center"/>
            <w:tcBorders>
              <w:top w:val="single" w:sz="4" w:space="0" w:color="auto"/>
              <w:left w:val="single" w:sz="4" w:space="0" w:color="auto"/>
              <w:bottom w:val="single" w:sz="4" w:space="0" w:color="auto"/>
              <w:right w:val="single" w:sz="4" w:space="0" w:color="auto"/>
            </w:tcBorders>
          </w:tcPr>
          <w:p w14:paraId="00101675" w14:textId="001016B1">
            <w:pPr>
              <w:pStyle w:val="Normal"/>
              <w:jc w:val="left"/>
            </w:pPr>
            <w:r>
              <w:t xml:space="preserve">Consumer Platforms</w:t>
            </w:r>
          </w:p>
        </w:tc>
        <w:tc>
          <w:tcPr>
            <w:vAlign w:val="center"/>
            <w:tcBorders>
              <w:top w:val="single" w:sz="4" w:space="0" w:color="auto"/>
              <w:left w:val="single" w:sz="4" w:space="0" w:color="auto"/>
              <w:bottom w:val="single" w:sz="4" w:space="0" w:color="auto"/>
              <w:right w:val="single" w:sz="4" w:space="0" w:color="auto"/>
            </w:tcBorders>
          </w:tcPr>
          <w:p w14:paraId="00101677" w14:textId="001016B2">
            <w:pPr>
              <w:pStyle w:val="Normal"/>
              <w:jc w:val="left"/>
            </w:pPr>
            <w:r>
              <w:t xml:space="preserve">Retention rate (%)</w:t>
            </w:r>
          </w:p>
        </w:tc>
        <w:tc>
          <w:tcPr>
            <w:vAlign w:val="center"/>
            <w:tcBorders>
              <w:top w:val="single" w:sz="4" w:space="0" w:color="auto"/>
              <w:left w:val="single" w:sz="4" w:space="0" w:color="auto"/>
              <w:bottom w:val="single" w:sz="4" w:space="0" w:color="auto"/>
              <w:right w:val="single" w:sz="4" w:space="0" w:color="auto"/>
            </w:tcBorders>
          </w:tcPr>
          <w:p w14:paraId="00101679" w14:textId="001016B3">
            <w:pPr>
              <w:pStyle w:val="Normal"/>
              <w:jc w:val="left"/>
            </w:pPr>
            <w:r>
              <w:t xml:space="preserve">88</w:t>
            </w:r>
          </w:p>
        </w:tc>
        <w:tc>
          <w:tcPr>
            <w:vAlign w:val="center"/>
            <w:tcBorders>
              <w:top w:val="single" w:sz="4" w:space="0" w:color="auto"/>
              <w:left w:val="single" w:sz="4" w:space="0" w:color="auto"/>
              <w:bottom w:val="single" w:sz="4" w:space="0" w:color="auto"/>
              <w:right w:val="single" w:sz="4" w:space="0" w:color="auto"/>
            </w:tcBorders>
          </w:tcPr>
          <w:p w14:paraId="0010167B" w14:textId="001016B4">
            <w:pPr>
              <w:pStyle w:val="Normal"/>
              <w:jc w:val="left"/>
            </w:pPr>
            <w:r>
              <w:t xml:space="preserve">86</w:t>
            </w:r>
          </w:p>
        </w:tc>
        <w:tc>
          <w:tcPr>
            <w:vAlign w:val="center"/>
            <w:tcBorders>
              <w:top w:val="single" w:sz="4" w:space="0" w:color="auto"/>
              <w:left w:val="single" w:sz="4" w:space="0" w:color="auto"/>
              <w:bottom w:val="single" w:sz="4" w:space="0" w:color="auto"/>
              <w:right w:val="single" w:sz="4" w:space="0" w:color="auto"/>
            </w:tcBorders>
          </w:tcPr>
          <w:p w14:paraId="0010167D" w14:textId="001016B5">
            <w:pPr>
              <w:pStyle w:val="Normal"/>
              <w:jc w:val="left"/>
            </w:pPr>
            <w:r>
              <w:t xml:space="preserve">Gradual improvement through service and loyalty programs</w:t>
            </w:r>
          </w:p>
        </w:tc>
      </w:tr>
      <w:tr>
        <w:tc>
          <w:tcPr>
            <w:vAlign w:val="center"/>
            <w:tcBorders>
              <w:top w:val="single" w:sz="4" w:space="0" w:color="auto"/>
              <w:left w:val="single" w:sz="4" w:space="0" w:color="auto"/>
              <w:bottom w:val="single" w:sz="4" w:space="0" w:color="auto"/>
              <w:right w:val="single" w:sz="4" w:space="0" w:color="auto"/>
            </w:tcBorders>
          </w:tcPr>
          <w:p w14:paraId="0010167F" w14:textId="001016B6">
            <w:pPr>
              <w:pStyle w:val="Normal"/>
              <w:jc w:val="left"/>
            </w:pPr>
            <w:r>
              <w:t xml:space="preserve">Infrastructure Services</w:t>
            </w:r>
          </w:p>
        </w:tc>
        <w:tc>
          <w:tcPr>
            <w:vAlign w:val="center"/>
            <w:tcBorders>
              <w:top w:val="single" w:sz="4" w:space="0" w:color="auto"/>
              <w:left w:val="single" w:sz="4" w:space="0" w:color="auto"/>
              <w:bottom w:val="single" w:sz="4" w:space="0" w:color="auto"/>
              <w:right w:val="single" w:sz="4" w:space="0" w:color="auto"/>
            </w:tcBorders>
          </w:tcPr>
          <w:p w14:paraId="00101681" w14:textId="001016B7">
            <w:pPr>
              <w:pStyle w:val="Normal"/>
              <w:jc w:val="left"/>
            </w:pPr>
            <w:r>
              <w:t xml:space="preserve">Backlog coverage (months)</w:t>
            </w:r>
          </w:p>
        </w:tc>
        <w:tc>
          <w:tcPr>
            <w:vAlign w:val="center"/>
            <w:tcBorders>
              <w:top w:val="single" w:sz="4" w:space="0" w:color="auto"/>
              <w:left w:val="single" w:sz="4" w:space="0" w:color="auto"/>
              <w:bottom w:val="single" w:sz="4" w:space="0" w:color="auto"/>
              <w:right w:val="single" w:sz="4" w:space="0" w:color="auto"/>
            </w:tcBorders>
          </w:tcPr>
          <w:p w14:paraId="00101683" w14:textId="001016B8">
            <w:pPr>
              <w:pStyle w:val="Normal"/>
              <w:jc w:val="left"/>
            </w:pPr>
            <w:r>
              <w:t xml:space="preserve">14.2</w:t>
            </w:r>
          </w:p>
        </w:tc>
        <w:tc>
          <w:tcPr>
            <w:vAlign w:val="center"/>
            <w:tcBorders>
              <w:top w:val="single" w:sz="4" w:space="0" w:color="auto"/>
              <w:left w:val="single" w:sz="4" w:space="0" w:color="auto"/>
              <w:bottom w:val="single" w:sz="4" w:space="0" w:color="auto"/>
              <w:right w:val="single" w:sz="4" w:space="0" w:color="auto"/>
            </w:tcBorders>
          </w:tcPr>
          <w:p w14:paraId="00101685" w14:textId="001016B9">
            <w:pPr>
              <w:pStyle w:val="Normal"/>
              <w:jc w:val="left"/>
            </w:pPr>
            <w:r>
              <w:t xml:space="preserve">12.8</w:t>
            </w:r>
          </w:p>
        </w:tc>
        <w:tc>
          <w:tcPr>
            <w:vAlign w:val="center"/>
            <w:tcBorders>
              <w:top w:val="single" w:sz="4" w:space="0" w:color="auto"/>
              <w:left w:val="single" w:sz="4" w:space="0" w:color="auto"/>
              <w:bottom w:val="single" w:sz="4" w:space="0" w:color="auto"/>
              <w:right w:val="single" w:sz="4" w:space="0" w:color="auto"/>
            </w:tcBorders>
          </w:tcPr>
          <w:p w14:paraId="00101687" w14:textId="001016BA">
            <w:pPr>
              <w:pStyle w:val="Normal"/>
              <w:jc w:val="left"/>
            </w:pPr>
            <w:r>
              <w:t xml:space="preserve">Strengthened with larger framework contract wins</w:t>
            </w:r>
          </w:p>
        </w:tc>
      </w:tr>
      <w:tr>
        <w:tc>
          <w:tcPr>
            <w:vAlign w:val="center"/>
            <w:tcBorders>
              <w:top w:val="single" w:sz="4" w:space="0" w:color="auto"/>
              <w:left w:val="single" w:sz="4" w:space="0" w:color="auto"/>
              <w:bottom w:val="single" w:sz="4" w:space="0" w:color="auto"/>
              <w:right w:val="single" w:sz="4" w:space="0" w:color="auto"/>
            </w:tcBorders>
          </w:tcPr>
          <w:p w14:paraId="00101689" w14:textId="001016BB">
            <w:pPr>
              <w:pStyle w:val="Normal"/>
              <w:jc w:val="left"/>
            </w:pPr>
            <w:r>
              <w:t xml:space="preserve">Infrastructure Services</w:t>
            </w:r>
          </w:p>
        </w:tc>
        <w:tc>
          <w:tcPr>
            <w:vAlign w:val="center"/>
            <w:tcBorders>
              <w:top w:val="single" w:sz="4" w:space="0" w:color="auto"/>
              <w:left w:val="single" w:sz="4" w:space="0" w:color="auto"/>
              <w:bottom w:val="single" w:sz="4" w:space="0" w:color="auto"/>
              <w:right w:val="single" w:sz="4" w:space="0" w:color="auto"/>
            </w:tcBorders>
          </w:tcPr>
          <w:p w14:paraId="0010168B" w14:textId="001016BC">
            <w:pPr>
              <w:pStyle w:val="Normal"/>
              <w:jc w:val="left"/>
            </w:pPr>
            <w:r>
              <w:t xml:space="preserve">Delivery on-time rate (%)</w:t>
            </w:r>
          </w:p>
        </w:tc>
        <w:tc>
          <w:tcPr>
            <w:vAlign w:val="center"/>
            <w:tcBorders>
              <w:top w:val="single" w:sz="4" w:space="0" w:color="auto"/>
              <w:left w:val="single" w:sz="4" w:space="0" w:color="auto"/>
              <w:bottom w:val="single" w:sz="4" w:space="0" w:color="auto"/>
              <w:right w:val="single" w:sz="4" w:space="0" w:color="auto"/>
            </w:tcBorders>
          </w:tcPr>
          <w:p w14:paraId="0010168D" w14:textId="001016BD">
            <w:pPr>
              <w:pStyle w:val="Normal"/>
              <w:jc w:val="left"/>
            </w:pPr>
            <w:r>
              <w:t xml:space="preserve">93</w:t>
            </w:r>
          </w:p>
        </w:tc>
        <w:tc>
          <w:tcPr>
            <w:vAlign w:val="center"/>
            <w:tcBorders>
              <w:top w:val="single" w:sz="4" w:space="0" w:color="auto"/>
              <w:left w:val="single" w:sz="4" w:space="0" w:color="auto"/>
              <w:bottom w:val="single" w:sz="4" w:space="0" w:color="auto"/>
              <w:right w:val="single" w:sz="4" w:space="0" w:color="auto"/>
            </w:tcBorders>
          </w:tcPr>
          <w:p w14:paraId="0010168F" w14:textId="001016BE">
            <w:pPr>
              <w:pStyle w:val="Normal"/>
              <w:jc w:val="left"/>
            </w:pPr>
            <w:r>
              <w:t xml:space="preserve">91</w:t>
            </w:r>
          </w:p>
        </w:tc>
        <w:tc>
          <w:tcPr>
            <w:vAlign w:val="center"/>
            <w:tcBorders>
              <w:top w:val="single" w:sz="4" w:space="0" w:color="auto"/>
              <w:left w:val="single" w:sz="4" w:space="0" w:color="auto"/>
              <w:bottom w:val="single" w:sz="4" w:space="0" w:color="auto"/>
              <w:right w:val="single" w:sz="4" w:space="0" w:color="auto"/>
            </w:tcBorders>
          </w:tcPr>
          <w:p w14:paraId="00101691" w14:textId="001016BF">
            <w:pPr>
              <w:pStyle w:val="Normal"/>
              <w:jc w:val="left"/>
            </w:pPr>
            <w:r>
              <w:t xml:space="preserve">Consistent operational improvement</w:t>
            </w:r>
          </w:p>
        </w:tc>
      </w:tr>
      <w:tr>
        <w:tc>
          <w:tcPr>
            <w:vAlign w:val="center"/>
            <w:tcBorders>
              <w:top w:val="single" w:sz="4" w:space="0" w:color="auto"/>
              <w:left w:val="single" w:sz="4" w:space="0" w:color="auto"/>
              <w:bottom w:val="single" w:sz="4" w:space="0" w:color="auto"/>
              <w:right w:val="single" w:sz="4" w:space="0" w:color="auto"/>
            </w:tcBorders>
          </w:tcPr>
          <w:p w14:paraId="00101693" w14:textId="001016C0">
            <w:pPr>
              <w:pStyle w:val="Normal"/>
              <w:jc w:val="left"/>
            </w:pPr>
            <w:r>
              <w:t xml:space="preserve">Infrastructure Services</w:t>
            </w:r>
          </w:p>
        </w:tc>
        <w:tc>
          <w:tcPr>
            <w:vAlign w:val="center"/>
            <w:tcBorders>
              <w:top w:val="single" w:sz="4" w:space="0" w:color="auto"/>
              <w:left w:val="single" w:sz="4" w:space="0" w:color="auto"/>
              <w:bottom w:val="single" w:sz="4" w:space="0" w:color="auto"/>
              <w:right w:val="single" w:sz="4" w:space="0" w:color="auto"/>
            </w:tcBorders>
          </w:tcPr>
          <w:p w14:paraId="00101695" w14:textId="001016C1">
            <w:pPr>
              <w:pStyle w:val="Normal"/>
              <w:jc w:val="left"/>
            </w:pPr>
            <w:r>
              <w:t xml:space="preserve">Recordable incident rate</w:t>
            </w:r>
          </w:p>
        </w:tc>
        <w:tc>
          <w:tcPr>
            <w:vAlign w:val="center"/>
            <w:tcBorders>
              <w:top w:val="single" w:sz="4" w:space="0" w:color="auto"/>
              <w:left w:val="single" w:sz="4" w:space="0" w:color="auto"/>
              <w:bottom w:val="single" w:sz="4" w:space="0" w:color="auto"/>
              <w:right w:val="single" w:sz="4" w:space="0" w:color="auto"/>
            </w:tcBorders>
          </w:tcPr>
          <w:p w14:paraId="00101697" w14:textId="001016C2">
            <w:pPr>
              <w:pStyle w:val="Normal"/>
              <w:jc w:val="left"/>
            </w:pPr>
            <w:r>
              <w:t xml:space="preserve">0.42</w:t>
            </w:r>
          </w:p>
        </w:tc>
        <w:tc>
          <w:tcPr>
            <w:vAlign w:val="center"/>
            <w:tcBorders>
              <w:top w:val="single" w:sz="4" w:space="0" w:color="auto"/>
              <w:left w:val="single" w:sz="4" w:space="0" w:color="auto"/>
              <w:bottom w:val="single" w:sz="4" w:space="0" w:color="auto"/>
              <w:right w:val="single" w:sz="4" w:space="0" w:color="auto"/>
            </w:tcBorders>
          </w:tcPr>
          <w:p w14:paraId="00101699" w14:textId="001016C3">
            <w:pPr>
              <w:pStyle w:val="Normal"/>
              <w:jc w:val="left"/>
            </w:pPr>
            <w:r>
              <w:t xml:space="preserve">0.48</w:t>
            </w:r>
          </w:p>
        </w:tc>
        <w:tc>
          <w:tcPr>
            <w:vAlign w:val="center"/>
            <w:tcBorders>
              <w:top w:val="single" w:sz="4" w:space="0" w:color="auto"/>
              <w:left w:val="single" w:sz="4" w:space="0" w:color="auto"/>
              <w:bottom w:val="single" w:sz="4" w:space="0" w:color="auto"/>
              <w:right w:val="single" w:sz="4" w:space="0" w:color="auto"/>
            </w:tcBorders>
          </w:tcPr>
          <w:p w14:paraId="0010169B" w14:textId="001016C4">
            <w:pPr>
              <w:pStyle w:val="Normal"/>
              <w:jc w:val="left"/>
            </w:pPr>
            <w:r>
              <w:t xml:space="preserve">Downward safety trend over the review period</w:t>
            </w:r>
          </w:p>
        </w:tc>
      </w:tr>
    </w:tbl>
    <w:p w14:paraId="001016C5" w14:textId="001016C6">
      <w:pPr>
        <w:pStyle w:val="Normal"/>
        <w:jc w:val="left"/>
      </w:pPr>
      <w:r>
        <w:t xml:space="preserve">Table 29 Segment KPI comparison by business unit</w:t>
      </w:r>
    </w:p>
    <w:p w14:paraId="001016C7" w14:textId="001016C8">
      <w:pPr>
        <w:pStyle w:val="Normal"/>
        <w:jc w:val="left"/>
      </w:pPr>
      <w:r>
        <w:drawing>
          <wp:inline distT="0" distB="0" distL="0" distR="0">
            <wp:extent cx="4320000" cy="3600000"/>
            <wp:effectExtent l="0" t="0" r="0" b="0"/>
            <wp:docPr id="20" name="Fig-I13-01.png" descr=""/>
            <wp:cNvGraphicFramePr>
              <a:graphicFrameLocks noChangeAspect="1"/>
            </wp:cNvGraphicFramePr>
            <a:graphic>
              <a:graphicData uri="http://schemas.openxmlformats.org/drawingml/2006/picture">
                <pic:pic>
                  <pic:nvPicPr>
                    <pic:cNvPr id="20" name="Fig-I13-01.png"/>
                    <pic:cNvPicPr/>
                  </pic:nvPicPr>
                  <pic:blipFill>
                    <a:blip r:embed="R1818c14e550c4a1e" cstate="print"/>
                    <a:stretch>
                      <a:fillRect/>
                    </a:stretch>
                  </pic:blipFill>
                  <pic:spPr>
                    <a:xfrm>
                      <a:off x="0" y="0"/>
                      <a:ext cx="3960000" cy="3960000"/>
                    </a:xfrm>
                    <a:prstGeom prst="rect">
                      <a:avLst/>
                    </a:prstGeom>
                  </pic:spPr>
                </pic:pic>
              </a:graphicData>
            </a:graphic>
          </wp:inline>
        </w:drawing>
      </w:r>
    </w:p>
    <w:p w14:paraId="001016C9" w14:textId="001016CA">
      <w:pPr>
        <w:pStyle w:val="Normal"/>
        <w:jc w:val="left"/>
      </w:pPr>
      <w:r>
        <w:t xml:space="preserve">Figure 24 Comparative trend of key segment operating KPIs over the five-year review period</w:t>
      </w:r>
    </w:p>
    <w:p w14:paraId="001016CB" w14:textId="001016CC">
      <w:pPr>
        <w:pStyle w:val="Normal"/>
        <w:jc w:val="left"/>
      </w:pPr>
      <w:r>
        <w:t xml:space="preserve">9.1.2 Operating KPIs</w:t>
      </w:r>
    </w:p>
    <w:p w14:paraId="001016CD" w14:textId="001016CE">
      <w:pPr>
        <w:pStyle w:val="Normal"/>
        <w:jc w:val="left"/>
      </w:pPr>
      <w:r>
        <w:t xml:space="preserve">Rivermark Holdings uses a focused set of segment operating KPIs to complement statutory revenue, earnings, and cash metrics. These indicators are selected because they reflect the operating mechanics of each business unit rather than simply restating financial outputs. In Industrial Solutions, management tracks volume growth and plant utilization as leading indicators of capacity absorption, pricing discipline, and production efficiency. In Consumer Platforms, active customers and retention rate are emphasized because recurring engagement and customer loyalty strongly influence revenue quality, promotional intensity, and channel profitability. In Infrastructure Services, backlog coverage, on-time delivery, and safety indicators are monitored to assess the resilience of future workload, execution capability, and contract performance.</w:t>
      </w:r>
    </w:p>
    <w:p w14:paraId="001016CF" w14:textId="001016D0">
      <w:pPr>
        <w:pStyle w:val="Normal"/>
        <w:jc w:val="left"/>
      </w:pPr>
      <w:r>
        <w:t xml:space="preserve">The KPI set is reviewed annually to confirm that measures remain aligned with segment strategy and the way operating leaders manage the business. Management prefers measures that can be compiled monthly, compared across reporting periods, and linked to operational actions such as pricing changes, labor deployment, procurement discipline, service redesign, and digital adoption. Taken together, these KPIs provide an early read on future earnings momentum and help explain why segments with similar revenue growth can produce different margin or cash outcomes.</w:t>
      </w:r>
    </w:p>
    <w:p w14:paraId="001016D1" w14:textId="001016D6">
      <w:pPr>
        <w:pStyle w:val="Normal"/>
        <w:jc w:val="left"/>
      </w:pPr>
      <w:r>
        <w:t xml:space="preserve">Operating KPIs are intended to support interpretation rather than replace audited financial measures. {</w:t>
      </w:r>
      <w:r>
        <w:t xml:space="preserve">Overall purpose:</w:t>
      </w:r>
      <w:r>
        <w:t xml:space="preserve">} they provide a decision-useful view of underlying operating conditions, reveal whether demand is translating into productive activity, and show how management is balancing growth with service, delivery, and safety performance. In practice, these indicators are used in monthly segment reviews, capital allocation discussions, and performance scorecards for operating leadership.</w:t>
        <w:br/>
        <w:t xml:space="preserve">{</w:t>
      </w:r>
      <w:r>
        <w:t xml:space="preserve">Key limits:</w:t>
      </w:r>
      <w:r>
        <w:t xml:space="preserve">} KPI definitions may differ by business model, and direct comparison across segments is therefore informative but not perfectly uniform. For example, utilization in Industrial Solutions reflects plant loading, while backlog coverage in Infrastructure Services reflects forward-contracted work rather than current-period output. Customer indicators in Consumer Platforms are also influenced by acquisition timing, promotional campaigns, and changes in digital channel mix. Accordingly, management reads the KPI suite together with revenue, operating margin, free cash flow, and invested capital trends before drawing conclusions on relative performance or management effectiveness.</w:t>
      </w:r>
    </w:p>
    <w:p w14:paraId="001016D7" w14:textId="001016D8">
      <w:pPr>
        <w:pStyle w:val="Normal"/>
        <w:jc w:val="left"/>
      </w:pPr>
      <w:r>
        <w:t xml:space="preserve">9.1.2 KPI Reconciliations</w:t>
      </w:r>
    </w:p>
    <w:p w14:paraId="001016D9" w14:textId="001016DA">
      <w:pPr>
        <w:pStyle w:val="Normal"/>
        <w:jc w:val="left"/>
      </w:pPr>
      <w:r>
        <w:t xml:space="preserve">Where a segment KPI is derived from, or closely connected to, audited financial information, Rivermark Holdings presents the relationship in a reconciliation framework. Volume growth is analyzed alongside segment revenue growth to distinguish physical demand from pricing and mix effects. Utilization measures are read in conjunction with cost absorption and segment operating margin, while backlog coverage is compared with disclosed order intake, revenue conversion, and project timing assumptions. Customer metrics are linked to revenue per customer, churn-related selling costs, and the stability of recurring gross profit.</w:t>
      </w:r>
    </w:p>
    <w:p w14:paraId="001016DB" w14:textId="001016DC">
      <w:pPr>
        <w:pStyle w:val="Normal"/>
        <w:jc w:val="left"/>
      </w:pPr>
      <w:r>
        <w:t xml:space="preserve">This reconciliation approach does not convert all operating indicators into accounting measures; rather, it establishes traceable bridges between management metrics and audited results. The objective is to help readers understand how non-GAAP or operational measures contribute to management oversight without overstating their precision. Segment leadership is required to document data sources, calculation rules, and review controls for each KPI, and finance teams test consistency between operating dashboards and reported segment outcomes at each reporting date. This discipline improves comparability over time and reduces the risk that changes in terminology or systems create artificial performance movements.</w:t>
      </w:r>
    </w:p>
    <w:p w14:paraId="001016DD" w14:textId="001016E0">
      <w:pPr>
        <w:pStyle w:val="Normal"/>
        <w:jc w:val="left"/>
      </w:pPr>
      <w:r>
        <w:t xml:space="preserve">Reconciliations are prepared within defined reporting boundaries to preserve consistency with the audited consolidation perimeter. Segment KPIs generally include wholly controlled operations that are managed within the relevant segment and exclude items classified as corporate, discontinued, or non-operating unless specifically stated. Certain operating indicators also rely on managerial estimates, including standard capacity assumptions, backlog probability assessments, and customer activity definitions, and therefore should be interpreted as management measures rather than direct accounting balances.</w:t>
      </w:r>
      <w:r>
        <w:t xml:space="preserve">¹</w:t>
      </w:r>
      <w:r>
        <w:br/>
        <w:t xml:space="preserve">Where reporting systems changed during the five-year period, prior-year KPI amounts were restated when practicable to maintain trend integrity; where restatement was not feasible, narrative explanation is provided in the relevant segment commentary. Reconciliations also exclude one-off integration costs, major restructuring actions, and fair-value accounting movements when management assesses underlying operating momentum, but those items remain fully reflected in audited earnings and cash flow disclosures.</w:t>
      </w:r>
    </w:p>
    <w:p w14:paraId="001016E1" w14:textId="001016E2">
      <w:pPr>
        <w:pStyle w:val="Normal"/>
        <w:jc w:val="left"/>
      </w:pPr>
      <w:r>
        <w:t xml:space="preserve">9. Five-Year Review</w:t>
      </w:r>
    </w:p>
    <w:p w14:paraId="001016E3" w14:textId="001016E4">
      <w:pPr>
        <w:pStyle w:val="Normal"/>
        <w:jc w:val="left"/>
      </w:pPr>
      <w:r>
        <w:t xml:space="preserve">The five-year review presents Rivermark Holdings' performance through a longer-cycle lens, allowing readers to distinguish structural progress from single-year volatility. This section brings together financial, operating, people, safety, and sustainability indicators to show how the group has evolved through differing demand conditions, investment phases, inflationary pressure, and portfolio changes. The review period captures not only recent recovery and growth actions, but also the effect of earlier capacity investments, digital channel development, and tighter capital discipline across the portfolio.</w:t>
      </w:r>
    </w:p>
    <w:p w14:paraId="001016E5" w14:textId="001016E6">
      <w:pPr>
        <w:pStyle w:val="Normal"/>
        <w:jc w:val="left"/>
      </w:pPr>
      <w:r>
        <w:t xml:space="preserve">Management uses the five-year record to evaluate durability rather than peak performance. Trends in revenue, margins, cash conversion, leverage, segment mix, workforce productivity, safety outcomes, and emissions intensity are assessed together because isolated improvements can mask trade-offs elsewhere in the system. A business may expand revenue while reducing returns, or improve cash temporarily by underinvesting in capability. For that reason, the review emphasizes direction, consistency, and quality of improvement. It also highlights where performance has become more resilient, where volatility remains elevated, and which indicators management believes are most relevant to the next planning cycle.</w:t>
      </w:r>
    </w:p>
    <w:p w14:paraId="001016E7" w14:textId="001016E8">
      <w:pPr>
        <w:pStyle w:val="Normal"/>
        <w:jc w:val="left"/>
      </w:pPr>
      <w:r>
        <w:t xml:space="preserve">9.2 Financial Trends</w:t>
      </w:r>
    </w:p>
    <w:p w14:paraId="001016E9" w14:textId="001016EA">
      <w:pPr>
        <w:pStyle w:val="Normal"/>
        <w:jc w:val="left"/>
      </w:pPr>
      <w:r>
        <w:t xml:space="preserve">Five-year trend disclosures are presented to help readers assess the direction, resilience, and cyclicality of Rivermark Holdings beyond a single reporting period. Comparative information covers the current year and the four preceding fiscal years and is prepared on the basis of audited annual results, supplemented where relevant by management reporting classifications used consistently across this section. Amounts are shown in report currency and, unless otherwise stated, reflect the continuing portfolio at each reporting date rather than a fully recast constant-structure basis. Where acquisitions, disposals, accounting policy updates, or classification refinements have affected comparability, those effects are identified in the relevant notes and should be considered when interpreting year-on-year movements.</w:t>
      </w:r>
    </w:p>
    <w:p w14:paraId="001016EB" w14:textId="001016EE">
      <w:pPr>
        <w:pStyle w:val="Normal"/>
        <w:jc w:val="left"/>
      </w:pPr>
      <w:r>
        <w:t xml:space="preserve"/>
      </w:r>
      <w:r>
        <w:t xml:space="preserve">Basis of comparison:</w:t>
      </w:r>
      <w:r>
        <w:t xml:space="preserve"> trend charts are designed to show direction and relative scale, not to substitute for the primary financial statements and detailed note disclosures. Percentage movements, margin developments, and balance sheet ratios should therefore be read together with the Group Financial Review, Segment Performance discussion, and accounting notes on revenue, impairment, borrowings, and working capital. This combined lens indicates how growth, profitability, capital intensity, and funding discipline have evolved through changing market conditions, while also highlighting the extent to which recent performance improvements are supported by durable operating and financial fundamentals.</w:t>
      </w:r>
    </w:p>
    <w:p w14:paraId="001016EF" w14:textId="001016F0">
      <w:pPr>
        <w:pStyle w:val="Normal"/>
        <w:jc w:val="left"/>
      </w:pPr>
      <w:r>
        <w:t xml:space="preserve">9.2.1 Income Trends</w:t>
      </w:r>
    </w:p>
    <w:p w14:paraId="001016F1" w14:textId="001016F2">
      <w:pPr>
        <w:pStyle w:val="Normal"/>
        <w:jc w:val="left"/>
      </w:pPr>
      <w:r>
        <w:drawing>
          <wp:inline distT="0" distB="0" distL="0" distR="0">
            <wp:extent cx="4320000" cy="4320000"/>
            <wp:effectExtent l="0" t="0" r="0" b="0"/>
            <wp:docPr id="21" name="Fig-I13-02.png" descr=""/>
            <wp:cNvGraphicFramePr>
              <a:graphicFrameLocks noChangeAspect="1"/>
            </wp:cNvGraphicFramePr>
            <a:graphic>
              <a:graphicData uri="http://schemas.openxmlformats.org/drawingml/2006/picture">
                <pic:pic>
                  <pic:nvPicPr>
                    <pic:cNvPr id="21" name="Fig-I13-02.png"/>
                    <pic:cNvPicPr/>
                  </pic:nvPicPr>
                  <pic:blipFill>
                    <a:blip r:embed="R6ee8b9b2479c4964" cstate="print"/>
                    <a:stretch>
                      <a:fillRect/>
                    </a:stretch>
                  </pic:blipFill>
                  <pic:spPr>
                    <a:xfrm>
                      <a:off x="0" y="0"/>
                      <a:ext cx="3960000" cy="3960000"/>
                    </a:xfrm>
                    <a:prstGeom prst="rect">
                      <a:avLst/>
                    </a:prstGeom>
                  </pic:spPr>
                </pic:pic>
              </a:graphicData>
            </a:graphic>
          </wp:inline>
        </w:drawing>
      </w:r>
    </w:p>
    <w:p w14:paraId="001016F3" w14:textId="001016F4">
      <w:pPr>
        <w:pStyle w:val="Normal"/>
        <w:jc w:val="left"/>
      </w:pPr>
      <w:r>
        <w:t xml:space="preserve">Figure 36. Five-year income statement trend chart.</w:t>
      </w:r>
    </w:p>
    <w:p w14:paraId="001016F5" w14:textId="001016F6">
      <w:pPr>
        <w:pStyle w:val="Normal"/>
        <w:jc w:val="left"/>
      </w:pPr>
      <w:r>
        <w:t xml:space="preserve">9.2.1 Balance Sheet Trends</w:t>
      </w:r>
    </w:p>
    <w:p w14:paraId="001016F7" w14:textId="001016F8">
      <w:pPr>
        <w:pStyle w:val="Normal"/>
        <w:jc w:val="left"/>
      </w:pPr>
      <w:r>
        <w:drawing>
          <wp:inline distT="0" distB="0" distL="0" distR="0">
            <wp:extent cx="3600000" cy="3600000"/>
            <wp:effectExtent l="0" t="0" r="0" b="0"/>
            <wp:docPr id="22" name="Fig-I13-03.png" descr=""/>
            <wp:cNvGraphicFramePr>
              <a:graphicFrameLocks noChangeAspect="1"/>
            </wp:cNvGraphicFramePr>
            <a:graphic>
              <a:graphicData uri="http://schemas.openxmlformats.org/drawingml/2006/picture">
                <pic:pic>
                  <pic:nvPicPr>
                    <pic:cNvPr id="22" name="Fig-I13-03.png"/>
                    <pic:cNvPicPr/>
                  </pic:nvPicPr>
                  <pic:blipFill>
                    <a:blip r:embed="R4df9739c27b7422c" cstate="print"/>
                    <a:stretch>
                      <a:fillRect/>
                    </a:stretch>
                  </pic:blipFill>
                  <pic:spPr>
                    <a:xfrm>
                      <a:off x="0" y="0"/>
                      <a:ext cx="3960000" cy="3960000"/>
                    </a:xfrm>
                    <a:prstGeom prst="rect">
                      <a:avLst/>
                    </a:prstGeom>
                  </pic:spPr>
                </pic:pic>
              </a:graphicData>
            </a:graphic>
          </wp:inline>
        </w:drawing>
      </w:r>
    </w:p>
    <w:p w14:paraId="001016F9" w14:textId="001016FA">
      <w:pPr>
        <w:pStyle w:val="Normal"/>
        <w:jc w:val="left"/>
      </w:pPr>
      <w:r>
        <w:t xml:space="preserve">Figure 37. Five-year balance sheet indicator chart.</w:t>
      </w:r>
    </w:p>
    <w:p w14:paraId="001016FB" w14:textId="001016FC">
      <w:pPr>
        <w:pStyle w:val="Normal"/>
        <w:jc w:val="left"/>
      </w:pPr>
      <w:r>
        <w:t xml:space="preserve">9.2 Operating Trends</w:t>
      </w:r>
    </w:p>
    <w:p w14:paraId="001016FD" w14:textId="001016FE">
      <w:pPr>
        <w:pStyle w:val="Normal"/>
        <w:jc w:val="left"/>
      </w:pPr>
      <w:r>
        <w:t xml:space="preserve">The operating trend review complements the financial time series by showing how segment execution, workforce capability, safety performance, and environmental discipline have developed across the same five-year period. While reported earnings indicate the outcome of strategy and market conditions, operating indicators explain how those outcomes were produced and whether the underlying platform is strengthening. For Rivermark Holdings, this perspective is particularly important because the Group’s three segments operate with different demand cycles, asset profiles, customer relationships, and delivery models.</w:t>
      </w:r>
    </w:p>
    <w:p w14:paraId="001016FF" w14:textId="00101700">
      <w:pPr>
        <w:pStyle w:val="Normal"/>
        <w:jc w:val="left"/>
      </w:pPr>
      <w:r>
        <w:t xml:space="preserve">The charts that follow therefore focus on a balanced set of measures: segment revenue and operating contribution, backlog and utilization where relevant, customer and retention measures in consumer-facing activities, and selected impact indicators covering people, safety, and emissions. Read together, these measures show that recent growth has not been driven by a single factor alone. Industrial Solutions has benefited from improved throughput and product mix, Consumer Platforms has relied on customer retention and channel development, and Infrastructure Services has been shaped by project execution discipline and pipeline conversion. At the Group level, the medium-term trend suggests that operating quality has become more stable, although labor availability, project selectivity, and decarbonization requirements remain important determinants of future performance.</w:t>
      </w:r>
    </w:p>
    <w:p w14:paraId="00101701" w14:textId="00101702">
      <w:pPr>
        <w:pStyle w:val="Normal"/>
        <w:jc w:val="left"/>
      </w:pPr>
      <w:r>
        <w:t xml:space="preserve">9.2.2 Segment Trends</w:t>
      </w:r>
    </w:p>
    <w:p w14:paraId="00101703" w14:textId="00101704">
      <w:pPr>
        <w:pStyle w:val="Normal"/>
        <w:jc w:val="left"/>
      </w:pPr>
      <w:r>
        <w:drawing>
          <wp:inline distT="0" distB="0" distL="0" distR="0">
            <wp:extent cx="3600000" cy="3600000"/>
            <wp:effectExtent l="0" t="0" r="0" b="0"/>
            <wp:docPr id="23" name="Fig-I13-04.png" descr=""/>
            <wp:cNvGraphicFramePr>
              <a:graphicFrameLocks noChangeAspect="1"/>
            </wp:cNvGraphicFramePr>
            <a:graphic>
              <a:graphicData uri="http://schemas.openxmlformats.org/drawingml/2006/picture">
                <pic:pic>
                  <pic:nvPicPr>
                    <pic:cNvPr id="23" name="Fig-I13-04.png"/>
                    <pic:cNvPicPr/>
                  </pic:nvPicPr>
                  <pic:blipFill>
                    <a:blip r:embed="R4884ce8b9e414d50" cstate="print"/>
                    <a:stretch>
                      <a:fillRect/>
                    </a:stretch>
                  </pic:blipFill>
                  <pic:spPr>
                    <a:xfrm>
                      <a:off x="0" y="0"/>
                      <a:ext cx="3960000" cy="3960000"/>
                    </a:xfrm>
                    <a:prstGeom prst="rect">
                      <a:avLst/>
                    </a:prstGeom>
                  </pic:spPr>
                </pic:pic>
              </a:graphicData>
            </a:graphic>
          </wp:inline>
        </w:drawing>
      </w:r>
    </w:p>
    <w:p w14:paraId="00101705" w14:textId="00101706">
      <w:pPr>
        <w:pStyle w:val="Normal"/>
        <w:jc w:val="left"/>
      </w:pPr>
      <w:r>
        <w:t xml:space="preserve">Figure 38. Multi-year segment performance and contribution trend chart.</w:t>
      </w:r>
    </w:p>
    <w:p w14:paraId="00101707" w14:textId="00101708">
      <w:pPr>
        <w:pStyle w:val="Normal"/>
        <w:jc w:val="left"/>
      </w:pPr>
      <w:r>
        <w:t xml:space="preserve">9.2.2 Impact Trends</w:t>
      </w:r>
    </w:p>
    <w:p w14:paraId="00101709" w14:textId="0010170A">
      <w:pPr>
        <w:pStyle w:val="Normal"/>
        <w:jc w:val="left"/>
      </w:pPr>
      <w:r>
        <w:drawing>
          <wp:inline distT="0" distB="0" distL="0" distR="0">
            <wp:extent cx="4320000" cy="3600000"/>
            <wp:effectExtent l="0" t="0" r="0" b="0"/>
            <wp:docPr id="24" name="Fig-I13-05.png" descr=""/>
            <wp:cNvGraphicFramePr>
              <a:graphicFrameLocks noChangeAspect="1"/>
            </wp:cNvGraphicFramePr>
            <a:graphic>
              <a:graphicData uri="http://schemas.openxmlformats.org/drawingml/2006/picture">
                <pic:pic>
                  <pic:nvPicPr>
                    <pic:cNvPr id="24" name="Fig-I13-05.png"/>
                    <pic:cNvPicPr/>
                  </pic:nvPicPr>
                  <pic:blipFill>
                    <a:blip r:embed="R8d7aba8e4ef746d1" cstate="print"/>
                    <a:stretch>
                      <a:fillRect/>
                    </a:stretch>
                  </pic:blipFill>
                  <pic:spPr>
                    <a:xfrm>
                      <a:off x="0" y="0"/>
                      <a:ext cx="3960000" cy="3960000"/>
                    </a:xfrm>
                    <a:prstGeom prst="rect">
                      <a:avLst/>
                    </a:prstGeom>
                  </pic:spPr>
                </pic:pic>
              </a:graphicData>
            </a:graphic>
          </wp:inline>
        </w:drawing>
      </w:r>
    </w:p>
    <w:p w14:paraId="0010170B" w14:textId="0010170C">
      <w:pPr>
        <w:pStyle w:val="Normal"/>
        <w:jc w:val="left"/>
      </w:pPr>
      <w:r>
        <w:t xml:space="preserve">Figure 39. Five-year people, safety, and emissions trend chart.</w:t>
      </w:r>
    </w:p>
    <w:p w14:paraId="00101CFE" w14:textId="00101CFF">
      <w:pPr>
        <w:pStyle w:val="Normal"/>
        <w:jc w:val="left"/>
        <w:sectPr>
          <w:type w:val="nextPage"/>
          <w:pgSz w:w="11906" w:h="16838"/>
          <w:pgMar w:top="1440" w:right="1440" w:bottom="1440" w:left="1440" w:header="1440" w:footer="1440" w:gutter="0"/>
          <w:cols w:space="720" w:num="1"/>
        </w:sectPr>
      </w:pPr>
    </w:p>
    <w:p w14:paraId="00101711" w14:textId="00101712">
      <w:pPr>
        <w:pStyle w:val="Normal"/>
        <w:jc w:val="left"/>
      </w:pPr>
      <w:r>
        <w:t xml:space="preserve">Chapter 10 Basis and Assurance</w:t>
      </w:r>
    </w:p>
    <w:p w14:paraId="00101713" w14:textId="00101714">
      <w:pPr>
        <w:pStyle w:val="Normal"/>
        <w:jc w:val="left"/>
      </w:pPr>
      <w:r>
        <w:t xml:space="preserve">This chapter explains how Rivermark Holdings defines the scope of the report, prepares financial and nonfinancial information, and supports reported disclosures through internal control and external assurance processes. The aim is to show not only what has been reported, but also the basis on which information has been selected, measured, consolidated, reviewed, and approved. Because this annual report integrates segment, governance, sustainability, and financial note disclosures, consistent reporting boundaries are essential to comparability across sections and to the credibility of year-on-year trend analysis.</w:t>
      </w:r>
    </w:p>
    <w:p w14:paraId="00101715" w14:textId="00101716">
      <w:pPr>
        <w:pStyle w:val="Normal"/>
        <w:jc w:val="left"/>
      </w:pPr>
      <w:r>
        <w:t xml:space="preserve">The reporting basis described in this chapter covers organizational boundaries, operational coverage, value-chain considerations, measurement methods, and the treatment of estimates and restatements. It also clarifies where the reporting perimeter for sustainability indicators differs from the statutory consolidation boundary used in the consolidated financial statements. The assurance sections that follow describe management review, data validation, internal reporting controls, and the scope of external audit and limited assurance work. Taken together, these disclosures are intended to help shareholders, lenders, customers, employees, and other stakeholders understand the degree of precision, judgment, and oversight embedded in the report.</w:t>
      </w:r>
    </w:p>
    <w:p w14:paraId="00101717" w14:textId="00101718">
      <w:pPr>
        <w:pStyle w:val="Normal"/>
        <w:jc w:val="left"/>
      </w:pPr>
      <w:r>
        <w:t xml:space="preserve">The basis of reporting, the design of internal controls, and the level of assurance obtained are interdependent. Rivermark Holdings first determines which entities, activities, and indicators fall within scope; it then applies documented methodologies to collect and consolidate data; and finally subjects that information to review, challenge, and assurance appropriate to its significance and risk. Financial statement line items are prepared under the reporting framework described in the accounting basis section, while operational, safety, workforce, and environmental indicators are compiled under subject-matter methodologies tailored to the nature of each metric.</w:t>
      </w:r>
    </w:p>
    <w:p w14:paraId="00101719" w14:textId="0010171A">
      <w:pPr>
        <w:pStyle w:val="Normal"/>
        <w:jc w:val="left"/>
      </w:pPr>
      <w:r>
        <w:t xml:space="preserve">This linkage matters because a metric is only as reliable as the system behind it. Revenue, cash flow, headcount, incident rates, energy use, and emissions data each originate in different processes and source systems, but are brought into a common reporting structure through defined ownership, reconciliation, and approval protocols. Where assumptions are used, management applies reasoned estimates and retains supporting evidence. Where boundaries differ, those differences are stated so that users do not assume a level of precision or coverage that the methodology does not support. The result is a reporting model intended to balance completeness, practicality, and decision-usefulness across the full integrated report.</w:t>
      </w:r>
    </w:p>
    <w:p w14:paraId="0010171B" w14:textId="0010171C">
      <w:pPr>
        <w:pStyle w:val="Normal"/>
        <w:jc w:val="left"/>
      </w:pPr>
      <w:r>
        <w:t xml:space="preserve">10. Reporting Basis</w:t>
      </w:r>
    </w:p>
    <w:p w14:paraId="0010171D" w14:textId="0010171E">
      <w:pPr>
        <w:pStyle w:val="Normal"/>
        <w:jc w:val="left"/>
      </w:pPr>
      <w:r>
        <w:t xml:space="preserve">Rivermark Holdings prepares this report using a basis designed to align legal consolidation, management reporting, and topic-specific disclosure requirements while preserving transparency over material differences between them. The reporting basis establishes which entities are included, which activities are measured, the period covered, the source systems used, and the principles applied to aggregation, estimation, and presentation. It also sets out how comparative information is handled when business combinations, disposals, methodology updates, or data-quality improvements affect year-on-year consistency.</w:t>
      </w:r>
    </w:p>
    <w:p w14:paraId="0010171F" w14:textId="00101720">
      <w:pPr>
        <w:pStyle w:val="Normal"/>
        <w:jc w:val="left"/>
      </w:pPr>
      <w:r>
        <w:t xml:space="preserve">For financial disclosures, the primary boundary follows the consolidated group at the reporting date, including controlled subsidiaries and, where relevant, disclosures relating to associates, joint arrangements, and noncontrolling interests. For sustainability and operating metrics, the boundary generally reflects operations under Rivermark Holdings management control, although selected indicators may use operational control, equity share, or site-level applicability tests depending on the subject matter. This section therefore introduces the scope and methodology applied throughout the report so that users can distinguish between statutory reporting scope, management reporting scope, and value-chain coverage disclosed for broader impact topics.</w:t>
      </w:r>
    </w:p>
    <w:p w14:paraId="00101721" w14:textId="00101722">
      <w:pPr>
        <w:pStyle w:val="Normal"/>
        <w:jc w:val="left"/>
      </w:pPr>
      <w:r>
        <w:t xml:space="preserve">10.1 Scope and Boundaries</w:t>
      </w:r>
    </w:p>
    <w:p w14:paraId="00101723" w14:textId="00101724">
      <w:pPr>
        <w:pStyle w:val="Normal"/>
        <w:jc w:val="left"/>
      </w:pPr>
      <w:r>
        <w:t xml:space="preserve">The reporting perimeter for this annual report is defined through a layered boundary approach. At the core is the consolidated reporting entity of Rivermark Holdings for the financial year ended 31 December, which provides the basis for the primary financial statements and most note disclosures. Around that core, management applies additional perimeter rules for operating, governance, workforce, safety, and environmental information to reflect how activities are managed in practice and where reliable data can be obtained on a consistent basis.</w:t>
      </w:r>
    </w:p>
    <w:p w14:paraId="00101725" w14:textId="00101726">
      <w:pPr>
        <w:pStyle w:val="Normal"/>
        <w:jc w:val="left"/>
      </w:pPr>
      <w:r>
        <w:t xml:space="preserve">This approach recognizes that not all disclosures can be drawn from the same boundary without reducing usefulness or creating misleading comparability. Governance disclosures generally cover the parent company board, board committees, and group-level leadership structures. Segment reporting reflects the operating components reviewed by the chief operating decision maker. Sustainability indicators generally include controlled operating sites and major service platforms, but may exclude immaterial offices, newly acquired entities during initial onboarding periods, or activities where measurement systems are still being aligned. Wherever such differences are material to interpretation, they are explained in the relevant section so that readers can assess both the extent and the limits of reported coverage.</w:t>
      </w:r>
    </w:p>
    <w:p w14:paraId="00101727" w14:textId="00101728">
      <w:pPr>
        <w:pStyle w:val="Normal"/>
        <w:jc w:val="left"/>
      </w:pPr>
      <w:r>
        <w:t xml:space="preserve">10.1.1 Organizational Scope</w:t>
      </w:r>
    </w:p>
    <w:p w14:paraId="00101729" w14:textId="0010172A">
      <w:pPr>
        <w:pStyle w:val="Normal"/>
        <w:jc w:val="left"/>
      </w:pPr>
      <w:r>
        <w:t xml:space="preserve">The organizational scope of this report principally comprises Rivermark Holdings and the subsidiaries that it controls at year-end, as reflected in the consolidation schedules and group composition notes. Entities are included where the group has the power to direct relevant activities, exposure or rights to variable returns, and the ability to use that power to affect those returns. Controlled operating companies within Industrial Solutions, Consumer Platforms, and Infrastructure Services are therefore included in consolidated financial results and, unless otherwise stated, in associated operational disclosures.</w:t>
      </w:r>
    </w:p>
    <w:p w14:paraId="0010172B" w14:textId="0010172C">
      <w:pPr>
        <w:pStyle w:val="Normal"/>
        <w:jc w:val="left"/>
      </w:pPr>
      <w:r>
        <w:t xml:space="preserve">Associates and joint ventures are not consolidated line by line, but are included where disclosure of economic interest, commitments, transactions, or strategic relevance is necessary to present a fair picture of the group. Newly acquired businesses are included from the date control passes to the group; disposed businesses are included up to the date control ceases. For nonfinancial reporting, certain smaller legal entities with no employees, dormant entities, and holding companies with no material operating activity may be outside specific indicator populations, even though they remain within legal group boundaries. This distinction is intended to improve data relevance without obscuring the structure of the group as a whole.</w:t>
      </w:r>
    </w:p>
    <w:p w14:paraId="0010172D" w14:textId="0010172E">
      <w:pPr>
        <w:pStyle w:val="Normal"/>
        <w:jc w:val="left"/>
      </w:pPr>
      <w:r>
        <w:t xml:space="preserve">Operational coverage varies by disclosure topic because the underlying risks, systems, and decision uses differ. Financial reporting covers all material balances and transactions of consolidated entities. Operating indicators, including production, customer, backlog, and utilization metrics, generally cover businesses managed within the three reportable segments. Workforce disclosures include permanent and fixed-term employees in consolidated operations, and may include supervised contractor populations for selected safety indicators where site risk management is shared. Environmental data is typically collected from sites, fleets, and facilities that account for the substantial majority of energy use, fuel consumption, emissions, and resource impacts.</w:t>
      </w:r>
    </w:p>
    <w:p w14:paraId="0010172F" w14:textId="00101730">
      <w:pPr>
        <w:pStyle w:val="Normal"/>
        <w:jc w:val="left"/>
      </w:pPr>
      <w:r>
        <w:t xml:space="preserve">Certain exclusions apply where coverage would not be meaningful or where data is not yet sufficiently mature for reliable external reporting. Examples include representative offices with negligible operational activity, entities acquired late in the reporting period before systems integration is complete, and outsourced activities for which the group does not control underlying operational data. Such exclusions are assessed for materiality; where their omission could influence a reader's interpretation, explanatory notes are provided. Management's objective is not to claim universal coverage in every metric, but to report on the areas most relevant to group performance and impact using boundaries that are documented, repeatable, and capable of assurance.</w:t>
      </w:r>
    </w:p>
    <w:p w14:paraId="00101731" w14:textId="00101732">
      <w:pPr>
        <w:pStyle w:val="Normal"/>
        <w:jc w:val="left"/>
      </w:pPr>
      <w:r>
        <w:t xml:space="preserve">10.1.1 Value-Chain Scope</w:t>
      </w:r>
    </w:p>
    <w:p w14:paraId="00101733" w14:textId="00101734">
      <w:pPr>
        <w:pStyle w:val="Normal"/>
        <w:jc w:val="left"/>
      </w:pPr>
      <w:r>
        <w:t xml:space="preserve">Rivermark Holdings extends selected disclosures beyond its controlled operations to reflect material upstream and downstream impacts in the value chain. Upstream boundary analysis is most developed for purchased materials, logistics, energy procurement, contract manufacturing support, and key service providers that influence product quality, delivery reliability, emissions intensity, safety performance, or business continuity. The group does not attempt to claim complete value-chain quantification across all categories; instead, it prioritizes suppliers and procurement categories according to spend, criticality, risk concentration, environmental footprint, and exposure to labor or compliance concerns.</w:t>
      </w:r>
    </w:p>
    <w:p w14:paraId="00101735" w14:textId="00101736">
      <w:pPr>
        <w:pStyle w:val="Normal"/>
        <w:jc w:val="left"/>
      </w:pPr>
      <w:r>
        <w:t xml:space="preserve">Supplier-related information used in this report is drawn from procurement systems, supplier onboarding records, contractual compliance reviews, audit findings, and topic-specific questionnaires. In practice, the boundary is strongest where Rivermark Holdings has direct contractual relationships and established data rights, and weaker where lower-tier suppliers or fragmented service chains limit visibility. For that reason, value-chain disclosures are presented with an emphasis on material exposure, risk management, and directional progress rather than exhaustive enumeration. This boundary choice supports more decision-useful reporting: it highlights where supplier practices matter most to continuity, cost, and sustainability outcomes, while also acknowledging that measurement maturity across upstream categories remains uneven and continues to be strengthened through supplier engagement, code-of-conduct implementation, and targeted assurance procedures.</w:t>
      </w:r>
    </w:p>
    <w:p w14:paraId="00101737" w14:textId="00101738">
      <w:pPr>
        <w:pStyle w:val="Normal"/>
        <w:jc w:val="left"/>
      </w:pPr>
      <w:r>
        <w:t xml:space="preserve">Downstream impacts are reported where Rivermark Holdings can establish a reasonable causal or commercial connection to the use of its products and services, including customer energy performance, service reliability outcomes, product return rates, and selected end-of-life recovery channels. These disclosures are most developed in Infrastructure Services and Consumer Platforms, where contractual service data, installed-base monitoring, and channel information provide recurring evidence of customer use patterns. In Industrial Solutions, downstream reporting is narrower because many products are integrated into customer systems and their final operating conditions are controlled by third parties.</w:t>
      </w:r>
    </w:p>
    <w:p w14:paraId="00101739" w14:textId="0010173A">
      <w:pPr>
        <w:pStyle w:val="Normal"/>
        <w:jc w:val="left"/>
      </w:pPr>
      <w:r>
        <w:t xml:space="preserve">The Group does not claim full visibility over all downstream environmental and social effects. Reported downstream indicators exclude customer activities for which data rights, technical access, or methodological consistency are insufficient, and they do not represent a complete life-cycle inventory across every product line. Where estimates are used, they are based on standardized usage assumptions, contract terms, or market-average operating profiles rather than customer-specific metering in all cases. As a result, downstream information should be read as directional decision-useful reporting that supports strategy and stewardship, rather than as a comprehensive measure of all external impacts attributable to Rivermark Holdings.</w:t>
      </w:r>
    </w:p>
    <w:p w14:paraId="0010173B" w14:textId="0010173C">
      <w:pPr>
        <w:pStyle w:val="Normal"/>
        <w:jc w:val="left"/>
      </w:pPr>
      <w:r>
        <w:t xml:space="preserve">10.1 Methods and Definitions</w:t>
      </w:r>
    </w:p>
    <w:p w14:paraId="0010173D" w14:textId="0010173E">
      <w:pPr>
        <w:pStyle w:val="Normal"/>
        <w:jc w:val="left"/>
      </w:pPr>
      <w:r>
        <w:t xml:space="preserve">Rivermark Holdings applies documented methodologies to financial, operating, governance, and sustainability metrics so that reported information is prepared on a consistent basis across segments and periods. Definitions are maintained in a central reporting manual that specifies scope, calculation logic, source systems, approval thresholds, and ownership by metric custodian. Where indicators are used for internal management and external reporting, the same core definition is retained unless a legal or assurance requirement requires narrower presentation.</w:t>
      </w:r>
    </w:p>
    <w:p w14:paraId="0010173F" w14:textId="00101746">
      <w:pPr>
        <w:pStyle w:val="Normal"/>
        <w:jc w:val="left"/>
      </w:pPr>
      <w:r>
        <w:t xml:space="preserve">Key terms used throughout this report include *</w:t>
      </w:r>
      <w:r>
        <w:t xml:space="preserve">reporting boundary</w:t>
      </w:r>
      <w:r>
        <w:t xml:space="preserve">*, which identifies the entities, operations, and activities included in a metric; *</w:t>
      </w:r>
      <w:r>
        <w:t xml:space="preserve">underlying operating profit</w:t>
      </w:r>
      <w:r>
        <w:t xml:space="preserve">*, which excludes significant non-recurring or non-operational items identified by management policy; and *</w:t>
      </w:r>
      <w:r>
        <w:t xml:space="preserve">lost-time injury rate</w:t>
      </w:r>
      <w:r>
        <w:t xml:space="preserve">*, which measures recordable lost-time injuries per million hours worked. Sustainability metrics are prepared using operational-control principles unless otherwise stated, while selected people indicators follow period-end headcount or annual-average methods depending on the nature of the measure. When terminology differs between statutory reporting, management reporting, and sustainability disclosure, the report states the definition applied in that section to reduce interpretation risk and improve comparability for readers.</w:t>
      </w:r>
    </w:p>
    <w:p w14:paraId="00101747" w14:textId="00101749">
      <w:pPr>
        <w:pStyle w:val="Normal"/>
        <w:jc w:val="left"/>
      </w:pPr>
      <w:r>
        <w:t xml:space="preserve">Source note:</w:t>
      </w:r>
      <w:r>
        <w:t xml:space="preserve"> Financial amounts are derived from the consolidated reporting system after period-end close procedures, unless identified as management or supplementary measures. Operating indicators are compiled from segment systems, project records, customer platforms, and controlled spreadsheets where direct system extraction is not available. Sustainability data is prepared using operational records, utility invoices, metered consumption, procurement information, workforce systems, and incident registers.</w:t>
        <w:br/>
        <w:t xml:space="preserve">Methodologies may require estimation where primary data is incomplete, particularly for emissions factors, water intensity denominators, contract progress measures, customer usage assumptions, and selected value-chain indicators. Prior-period information may be re-presented when definitions, boundaries, or source quality improve. Totals may not sum precisely because of rounding. Metrics reported as percentages, rates, or intensity measures are sensitive to both numerator and denominator changes and should be interpreted together with the accompanying narrative on scope, acquisitions, disposals, and business mix.</w:t>
      </w:r>
    </w:p>
    <w:p w14:paraId="0010174A" w14:textId="0010174B">
      <w:pPr>
        <w:pStyle w:val="Normal"/>
        <w:jc w:val="left"/>
      </w:pPr>
      <w:r>
        <w:t xml:space="preserve">10.1.2 Measurement Methods</w:t>
      </w:r>
    </w:p>
    <w:p w14:paraId="0010174C" w14:textId="0010174D">
      <w:pPr>
        <w:pStyle w:val="Normal"/>
        <w:jc w:val="left"/>
      </w:pPr>
      <w:r>
        <w:t xml:space="preserve">Measurement approaches are selected according to the nature of each metric and the reliability of available evidence. Financial statement balances and profit measures are prepared under the applicable accounting framework using ledger-based records, approved journals, and documented close controls. Management performance measures, such as underlying margin, free cash flow, and return on invested capital, are calculated from audited or close-controlled inputs and adjusted using policies approved by Group Finance to ensure consistent treatment of restructuring, acquisition-related, or other specifically identified items.</w:t>
      </w:r>
    </w:p>
    <w:p w14:paraId="0010174E" w14:textId="0010174F">
      <w:pPr>
        <w:pStyle w:val="Normal"/>
        <w:jc w:val="left"/>
      </w:pPr>
      <w:r>
        <w:t xml:space="preserve">Operational metrics rely on activity-based calculations. Revenue-related nonfinancial indicators use invoiced volumes, units shipped, service transactions, or active customer counts depending on the segment. Safety rates are calculated using reported incidents divided by hours worked, including employees and, where relevant, supervised contractors. Environmental measures combine direct meter readings, supplier invoices, fuel consumption records, and recognized conversion factors to derive energy use, emissions, water withdrawal, and waste volumes. Where direct measurement is unavailable, Rivermark Holdings applies engineering estimates, standardized coefficients, or extrapolation from representative sites, subject to review against historical trends and operational context. This layered approach allows metrics to remain decision-useful while preserving transparency over the level of estimation involved.</w:t>
      </w:r>
    </w:p>
    <w:p w14:paraId="00101750" w14:textId="00101751">
      <w:pPr>
        <w:pStyle w:val="Normal"/>
        <w:jc w:val="left"/>
      </w:pPr>
      <w:r>
        <w:t xml:space="preserve">Controls over assumptions and data are designed to reduce error, bias, and inconsistent interpretation across reporting units. Each material metric has an assigned owner responsible for methodology adherence, source validation, and documented review before submission into the Group reporting process. Assumptions used in estimates, such as production yields, discount rates, utilization profiles, emissions factors, or completion percentages, must be traceable to approved models or underlying evidence and are reviewed by finance, operations, or sustainability specialists according to subject matter.</w:t>
      </w:r>
    </w:p>
    <w:p w14:paraId="00101752" w14:textId="00101753">
      <w:pPr>
        <w:pStyle w:val="Normal"/>
        <w:jc w:val="left"/>
      </w:pPr>
      <w:r>
        <w:t xml:space="preserve">At consolidation level, Rivermark Holdings performs variance analysis, exception reporting, threshold-based review, and cross-checks between financial and nonfinancial datasets. Significant movements are investigated against budgets, prior periods, and business events such as acquisitions, disposals, outages, or contract changes. Manual adjustments are restricted, logged, and subject to approval. For judgmental measures, management assesses whether assumptions remain reasonable in light of external market conditions, internal operating performance, and available third-party reference data. Where uncertainty remains elevated, disclosures explain the basis of estimation and the potential effect on comparability, helping users distinguish between measured outcomes and model-derived results.</w:t>
      </w:r>
    </w:p>
    <w:p w14:paraId="00101754" w14:textId="00101755">
      <w:pPr>
        <w:pStyle w:val="Normal"/>
        <w:jc w:val="left"/>
      </w:pPr>
      <w:r>
        <w:t xml:space="preserve">10.1.2 Restatements and Estimates</w:t>
      </w:r>
    </w:p>
    <w:p w14:paraId="00101756" w14:textId="00101757">
      <w:pPr>
        <w:pStyle w:val="Normal"/>
        <w:jc w:val="left"/>
      </w:pPr>
      <w:r>
        <w:t xml:space="preserve">Restatements are made when Rivermark Holdings determines that previously reported information is materially incomplete, inaccurate, or no longer comparable because of definitional, boundary, classification, or methodology changes. Typical triggers include the correction of identified errors, the integration of acquired entities into baseline periods, revised segment mapping, improvements in source data quality, or the adoption of updated accounting or sustainability reporting requirements. The objective is to preserve trend integrity and enable readers to compare like with like across periods.</w:t>
      </w:r>
    </w:p>
    <w:p w14:paraId="00101758" w14:textId="00101759">
      <w:pPr>
        <w:pStyle w:val="Normal"/>
        <w:jc w:val="left"/>
      </w:pPr>
      <w:r>
        <w:t xml:space="preserve">When a restatement is required, the Group reprocesses prior-period data using the updated basis to the extent practicable and discloses the nature, reason, and effect of the change. If complete recalculation is not feasible, the report explains the limitation, identifies the affected metrics, and avoids implying full comparability where it does not exist. Restatements are reviewed through the same governance process as current-period reporting, including control-owner sign-off and corporate review. Material restatements affecting key indicators, note disclosures, or performance narratives are reflected consistently across tables, commentary, and supporting references so that users are not presented with conflicting historical information.</w:t>
      </w:r>
    </w:p>
    <w:p w14:paraId="0010175A" w14:textId="0010175B">
      <w:pPr>
        <w:pStyle w:val="Normal"/>
        <w:jc w:val="left"/>
      </w:pPr>
      <w:r>
        <w:t xml:space="preserve">Estimate changes arise when new information, improved models, or altered operating conditions affect management’s view of future outcomes or the appropriate basis for measurement. Such changes may influence impairment testing, expected credit losses, contract cost forecasts, pension assumptions, useful lives, tax recoverability, environmental factors, or intensity-based sustainability metrics. Unlike error corrections, estimate revisions reflect updated judgment and are applied prospectively unless a framework specifically requires another treatment.</w:t>
      </w:r>
    </w:p>
    <w:p w14:paraId="0010175C" w14:textId="0010175D">
      <w:pPr>
        <w:pStyle w:val="Normal"/>
        <w:jc w:val="left"/>
      </w:pPr>
      <w:r>
        <w:t xml:space="preserve">To support comparability, Rivermark Holdings distinguishes clearly between changes caused by operational performance and those caused by revised assumptions or measurement techniques. Narrative explanations accompany material movements so readers can assess whether year-on-year changes reflect genuine business improvement, portfolio shifts, or methodological refinement. Where estimate sensitivity is significant, management highlights the principal variables and the direction of impact, particularly for judgments affecting goodwill headroom, provisions, tax balances, and value-chain indicators. This approach improves interpretive discipline: trends remain useful, but they are not overstated as directly comparable when the basis of estimation has changed in a meaningful way.</w:t>
      </w:r>
    </w:p>
    <w:p w14:paraId="0010175E" w14:textId="0010175F">
      <w:pPr>
        <w:pStyle w:val="Normal"/>
        <w:jc w:val="left"/>
      </w:pPr>
      <w:r>
        <w:t xml:space="preserve">10. Assurance and Controls</w:t>
      </w:r>
    </w:p>
    <w:p w14:paraId="00101760" w14:textId="00101761">
      <w:pPr>
        <w:pStyle w:val="Normal"/>
        <w:jc w:val="left"/>
      </w:pPr>
      <w:r>
        <w:t xml:space="preserve">Rivermark Holdings applies an assurance model that combines management ownership, internal control processes, internal review, and independent external assurance over defined parts of the report. Primary accountability rests with management teams that generate and certify underlying data. Group-level finance, risk, legal, and sustainability functions then review submissions for consistency with reporting policies, thresholds, and disclosure requirements. This structure is intended to support both statutory compliance and broader integrated reporting reliability across financial and nonfinancial information.</w:t>
      </w:r>
    </w:p>
    <w:p w14:paraId="00101762" w14:textId="00101763">
      <w:pPr>
        <w:pStyle w:val="Normal"/>
        <w:jc w:val="left"/>
      </w:pPr>
      <w:r>
        <w:t xml:space="preserve">The control environment is risk-based. Metrics and disclosures considered most significant to investors, lenders, regulators, employees, or other stakeholders receive more formalized documentation, review evidence, and escalation requirements. Financial statements and note disclosures are subject to established closing, reconciliation, and approval controls, while sustainability and operational measures follow boundary checks, source validation, trend review, and methodology sign-off. Internal assurance activities focus on control design and operating effectiveness in higher-risk processes, and findings are tracked through remediation plans. External assurance does not extend uniformly to all disclosures, so the report distinguishes between audited, assured, reviewed, and management-reported information. Taken together, these arrangements are designed to provide a transparent basis for confidence in the report while acknowledging differing levels of assurance across its contents.</w:t>
      </w:r>
    </w:p>
    <w:p w14:paraId="00101764" w14:textId="00101765">
      <w:pPr>
        <w:pStyle w:val="Normal"/>
        <w:jc w:val="left"/>
      </w:pPr>
      <w:r>
        <w:t xml:space="preserve">10.2 External Assurance</w:t>
      </w:r>
    </w:p>
    <w:p w14:paraId="00101766" w14:textId="00101767">
      <w:pPr>
        <w:pStyle w:val="Normal"/>
        <w:jc w:val="left"/>
      </w:pPr>
      <w:r>
        <w:t xml:space="preserve">Rivermark Holdings obtains external assurance over the most significant components of this annual report to strengthen reliability, comparability, and decision-usefulness for shareholders, lenders, employees, regulators, and other stakeholders. External assurance in the reporting year comprised two principal streams: the statutory audit of the consolidated financial statements and related accounting disclosures, and a limited assurance engagement over selected sustainability indicators and related narrative claims. Both engagements were commissioned by the Board through the Audit and Risk Committee, which approved scope, reviewed independence safeguards, and monitored the completion of fieldwork and reporting.</w:t>
      </w:r>
    </w:p>
    <w:p w14:paraId="00101768" w14:textId="00101769">
      <w:pPr>
        <w:pStyle w:val="Normal"/>
        <w:jc w:val="left"/>
      </w:pPr>
      <w:r>
        <w:t xml:space="preserve">The assurance approach is risk-based rather than purely procedural. Areas with higher judgment, greater estimation uncertainty, larger balances, or elevated stakeholder sensitivity received deeper testing and senior reviewer attention. Management provided underlying records, control documentation, and subject-matter explanations, but the external practitioners retained responsibility for their own testing plans, evidence thresholds, challenge of assumptions, and final conclusions. Where assurance work identified control gaps, data inconsistencies, or opportunities for clearer disclosure, management either corrected the underlying information before issuance or documented the basis for retaining its original presentation. This combined model supports a disciplined reporting process while recognizing that reasonable assurance over financial statements and limited assurance over selected sustainability information are distinct engagements with different evidence depth and reporting conventions.</w:t>
      </w:r>
    </w:p>
    <w:p w14:paraId="0010176A" w14:textId="0010176B">
      <w:pPr>
        <w:pStyle w:val="Normal"/>
        <w:jc w:val="left"/>
      </w:pPr>
      <w:r>
        <w:t xml:space="preserve">10.2.1 Audit Scope</w:t>
      </w:r>
    </w:p>
    <w:p w14:paraId="0010176C" w14:textId="0010176D">
      <w:pPr>
        <w:pStyle w:val="Normal"/>
        <w:jc w:val="left"/>
      </w:pPr>
      <w:r>
        <w:t xml:space="preserve">The financial audit covered the consolidated statements of Rivermark Holdings for the year ended 31 December, including the statement of financial position, statement of profit or loss, statement of cash flows, statement of changes in equity, and the accompanying note disclosures. The audit perimeter included the parent company and those subsidiaries, branches, and structured operating entities that fall within the group’s consolidation boundary under the reporting framework described in this report. Components judged financially significant or qualitatively material to group risk were subject to full-scope audit procedures, while lower-risk components were addressed through targeted procedures, analytical review, or specified account testing.</w:t>
      </w:r>
    </w:p>
    <w:p w14:paraId="0010176E" w14:textId="0010176F">
      <w:pPr>
        <w:pStyle w:val="Normal"/>
        <w:jc w:val="left"/>
      </w:pPr>
      <w:r>
        <w:t xml:space="preserve">In determining the perimeter, the external auditor considered revenue contribution, asset base, earnings volatility, exposure to estimation risk, complexity of transactions, and prior-year control history. Full-scope work was concentrated on the major businesses within Industrial Solutions, Consumer Platforms, and Infrastructure Services, together with central treasury, tax, and shared-service processes that affect group-wide reporting. The audit also covered consolidation adjustments, intercompany eliminations, impairment assessments, tax judgments, borrowing arrangements, and disclosures requiring significant management estimation. Entities not selected for full-scope audit were nonetheless incorporated into group-level analytics and consolidation review to ensure that residual risk outside the primary testing set remained within acceptable bounds.</w:t>
      </w:r>
    </w:p>
    <w:p w14:paraId="00101770" w14:textId="00101771">
      <w:pPr>
        <w:pStyle w:val="Normal"/>
        <w:jc w:val="left"/>
      </w:pPr>
      <w:r>
        <w:t xml:space="preserve">Audit materiality was established with reference to benchmark measures commonly used in the sector, including profit before tax, revenue scale, and equity, and was then refined to reflect the stability of earnings, financing expectations, and the information needs of users of the report. Performance materiality was set below overall materiality to reduce the probability that the aggregate of uncorrected and undetected misstatements would exceed the threshold for the consolidated financial statements as a whole. Separate lower thresholds were applied in certain balances and disclosures where qualitative sensitivity was high, such as related-party transactions, covenant compliance, management remuneration, and selected legal or tax exposures.</w:t>
      </w:r>
    </w:p>
    <w:p w14:paraId="00101772" w14:textId="00101773">
      <w:pPr>
        <w:pStyle w:val="Normal"/>
        <w:jc w:val="left"/>
      </w:pPr>
      <w:r>
        <w:t xml:space="preserve">Testing coverage was therefore not uniform across all line items. Revenue recognition, impairment models, contract accounting, provisions, tax positions, lease liabilities, and borrowings received extensive substantive procedures supported by control testing where relevant. Audit teams inspected source documents, tested journal entries, evaluated reconciliations, recalculated selected estimates, observed inventory procedures at material locations, and assessed the design and operating effectiveness of key controls in high-volume processes. Sampling techniques were used for routine populations, while significant unusual transactions were examined individually. Misstatements identified through testing were aggregated and evaluated both quantitatively and qualitatively, and management was required to correct material errors or provide support for any unadjusted differences before the auditor finalized the opinion.</w:t>
      </w:r>
    </w:p>
    <w:p w14:paraId="00101774" w14:textId="00101775">
      <w:pPr>
        <w:pStyle w:val="Normal"/>
        <w:jc w:val="left"/>
      </w:pPr>
      <w:r>
        <w:t xml:space="preserve">10.2.1 Sustainability Assurance</w:t>
      </w:r>
    </w:p>
    <w:p w14:paraId="00101776" w14:textId="00101777">
      <w:pPr>
        <w:pStyle w:val="Normal"/>
        <w:jc w:val="left"/>
      </w:pPr>
      <w:r>
        <w:t xml:space="preserve">The sustainability assurance engagement covered selected environmental, health and safety, workforce, and community indicators presented in the Sustainability and Impact section and in cross-referenced performance tables elsewhere in the report. The assured boundary generally aligned with operational entities under Rivermark Holdings’ management control during the reporting year, subject to practical exclusions for newly acquired businesses, immaterial offices, and locations where systems integration was incomplete at year-end. Metrics within scope included greenhouse gas emissions from direct operations and purchased energy, energy consumption, water withdrawal at reportable sites, waste generated and diverted, workforce headcount, training participation, recordable incident rates, and defined community investment measures.</w:t>
      </w:r>
    </w:p>
    <w:p w14:paraId="00101778" w14:textId="00101779">
      <w:pPr>
        <w:pStyle w:val="Normal"/>
        <w:jc w:val="left"/>
      </w:pPr>
      <w:r>
        <w:t xml:space="preserve">The assurer evaluated whether the selected indicators were prepared, in all material respects, in accordance with the methodologies and definitions disclosed in the Basis and Assurance section. Procedures included walkthroughs of data collection processes, inquiries with corporate and site-level owners, inspection of supporting schedules, recalculation of a sample of metrics, and analytical review of year-on-year movements and intensity relationships. Particular attention was given to sites contributing the largest share of emissions, energy use, safety incidents, or workforce totals, as well as metrics that depend on estimated conversion factors or judgmental classification. Narrative statements were considered within the assurance boundary only when they were directly linked to assured indicators or to factual descriptions of the systems used to prepare them.</w:t>
      </w:r>
    </w:p>
    <w:p w14:paraId="0010177A" w14:textId="0010177B">
      <w:pPr>
        <w:pStyle w:val="Normal"/>
        <w:jc w:val="left"/>
      </w:pPr>
      <w:r>
        <w:t xml:space="preserve">Sustainability assurance was performed on a limited assurance basis and therefore provides a lower level of assurance than the reasonable assurance obtained in the statutory financial audit. The work did not extend to every statement in the narrative sections of the report, nor did it cover long-term scenario claims, forward-looking transition pathways, broader value-chain estimates, or inherently uncertain statements regarding future environmental or social outcomes. Upstream supplier data, downstream use-phase assumptions, biodiversity observations outside managed sites, and certain qualitative culture or ethics assessments were excluded unless specifically identified as part of the selected indicator set.</w:t>
      </w:r>
    </w:p>
    <w:p w14:paraId="0010177C" w14:textId="0010177D">
      <w:pPr>
        <w:pStyle w:val="Normal"/>
        <w:jc w:val="left"/>
      </w:pPr>
      <w:r>
        <w:t xml:space="preserve">The scope was also constrained by the maturity of underlying systems. Certain data streams depend on utility invoices, contractor submissions, engineering estimates, incident classification judgments, or manually compiled local records that are subject to timing differences and retrospective adjustment. Where acquired operations had not yet migrated to group definitions or evidence standards, they were disclosed separately or omitted from assured totals in accordance with the stated methodology. Limited assurance procedures do not require the assurer to test internal controls to the same extent as a reasonable assurance engagement, and they are not designed to detect all control deficiencies or every possible error. Readers should therefore consider the sustainability assurance conclusion together with the stated boundaries, methodologies, and exclusions when comparing performance across periods or against other issuers.</w:t>
      </w:r>
    </w:p>
    <w:p w14:paraId="0010177E" w14:textId="0010177F">
      <w:pPr>
        <w:pStyle w:val="Normal"/>
        <w:jc w:val="left"/>
      </w:pPr>
      <w:r>
        <w:t xml:space="preserve">10.2 Internal Reporting Controls</w:t>
      </w:r>
    </w:p>
    <w:p w14:paraId="00101780" w14:textId="00101781">
      <w:pPr>
        <w:pStyle w:val="Normal"/>
        <w:jc w:val="left"/>
      </w:pPr>
      <w:r>
        <w:t xml:space="preserve">Rivermark Holdings maintains an internal reporting control framework intended to support complete, accurate, timely, and consistent reporting across financial and nonfinancial disclosures. Governance begins with the Board and the Audit and Risk Committee, which oversee reporting integrity, control effectiveness, and remediation of significant deficiencies. Day-to-day accountability rests with executive management, including the Chief Financial Officer for financial reporting, the Chief Sustainability Officer for impact metrics, and segment and functional leaders who certify the quality of information originating in their areas. This structure is reinforced by documented policies, delegation of authority limits, reporting calendars, and mandatory review checkpoints before external publication.</w:t>
      </w:r>
    </w:p>
    <w:p w14:paraId="00101782" w14:textId="00101783">
      <w:pPr>
        <w:pStyle w:val="Normal"/>
        <w:jc w:val="left"/>
      </w:pPr>
      <w:r>
        <w:t xml:space="preserve">Controls are organized across entity-level, process-level, and disclosure-level layers. Entity-level controls include codes of conduct, competence requirements, system access governance, and monthly management review of operating results. Process-level controls cover transaction approval, reconciliations, close procedures, master-data maintenance, and site-level metric compilation. Disclosure-level controls address consistency between narrative and quantitative content, sign-off over key judgments, and verification that supporting evidence is retained for material statements. Internal audit performs periodic reviews of selected controls and reports findings to management and the Audit and Risk Committee, while remediation actions are tracked to closure through defined owners, target dates, and follow-up validation. The result is a common control architecture that supports integrated reporting without treating financial and sustainability disclosures as separate silos.</w:t>
      </w:r>
    </w:p>
    <w:p w14:paraId="00101784" w14:textId="00101785">
      <w:pPr>
        <w:pStyle w:val="Normal"/>
        <w:jc w:val="left"/>
      </w:pPr>
      <w:r>
        <w:t xml:space="preserve">10.2.2 Data Controls</w:t>
      </w:r>
    </w:p>
    <w:p w14:paraId="00101786" w14:textId="00101787">
      <w:pPr>
        <w:pStyle w:val="Normal"/>
        <w:jc w:val="left"/>
      </w:pPr>
      <w:r>
        <w:t xml:space="preserve">Data used in the annual report is subject to a layered collection and validation process designed to reduce error at source and to identify anomalies before consolidation. Financial data is extracted from core enterprise resource planning systems under controlled chart-of-accounts structures and period-close protocols. Sustainability and operational data is gathered through designated reporting tools, site templates, metering records, human resource systems, incident logs, and approved external evidence such as utility statements or contractor confirmations. Each metric has an assigned data owner, a documented definition, a reporting frequency, and a prescribed evidence trail, which helps ensure that numbers submitted by business units are prepared on a consistent basis.</w:t>
      </w:r>
    </w:p>
    <w:p w14:paraId="00101788" w14:textId="00101789">
      <w:pPr>
        <w:pStyle w:val="Normal"/>
        <w:jc w:val="left"/>
      </w:pPr>
      <w:r>
        <w:t xml:space="preserve">Validation occurs through a combination of automated checks and management review. System controls flag missing submissions, out-of-range values, duplicate entries, unauthorized changes, and breaks in unit-of-measure logic. Preparers must reconcile current-period data to source records and explain significant variances against prior periods, budgets, production levels, or headcount movements. At segment and group level, reviewers assess trend coherence, investigate unusual ratios, confirm boundary changes, and verify that manual adjustments are authorized and supported. Sensitive metrics, including emissions, injury rates, revenue, cash balances, and key provisions, are subject to additional second-line review by specialist teams. Where errors are identified after submission, corrections are logged, root causes are assessed, and process changes are introduced where necessary so that recurring weaknesses are addressed rather than simply amended for the current reporting cycle.</w:t>
      </w:r>
    </w:p>
    <w:p w14:paraId="0010178A" w14:textId="0010178B">
      <w:pPr>
        <w:pStyle w:val="Normal"/>
        <w:jc w:val="left"/>
      </w:pPr>
      <w:r>
        <w:t xml:space="preserve">The approval workflow for the annual report and associated disclosures is designed to ensure that material statements are supported by appropriate evidence before release. Drafts are prepared by the relevant finance, sustainability, governance, and investor relations owners, then reviewed through a sequence of technical checks, management challenge sessions, and legal and disclosure-control confirmation. Each section owner is required to retain source documentation, including reconciliations, management papers, board papers, third-party assurance outputs, and underlying system reports, so that the final reporting position can be traced back to original records. Where estimates or judgments are involved, the review process requires a documented rationale, the alternatives considered, and an explanation of why the selected basis is most appropriate in the circumstances.</w:t>
      </w:r>
    </w:p>
    <w:p w14:paraId="0010178C" w14:textId="0010178D">
      <w:pPr>
        <w:pStyle w:val="Normal"/>
        <w:jc w:val="left"/>
      </w:pPr>
      <w:r>
        <w:t xml:space="preserve">Evidence is escalated according to significance. Routine factual disclosures are checked for consistency against approved internal records, while higher-risk narrative claims, trend disclosures, and nonfinancial metrics receive additional review from control owners and subject-matter specialists. Any unresolved query must be cleared before sign-off, and material late changes are logged with a clear explanation of the source of the change and the approving authority. This process provides a disciplined record that links management representations to the underlying evidence base and supports the reliability, completeness, and comparability of the report as a whole.</w:t>
      </w:r>
    </w:p>
    <w:p w14:paraId="0010178E" w14:textId="0010178F">
      <w:pPr>
        <w:pStyle w:val="Normal"/>
        <w:jc w:val="left"/>
      </w:pPr>
      <w:r>
        <w:t xml:space="preserve">10.2.2 Management Certification</w:t>
      </w:r>
    </w:p>
    <w:p w14:paraId="00101790" w14:textId="00101792">
      <w:pPr>
        <w:pStyle w:val="Normal"/>
        <w:jc w:val="left"/>
      </w:pPr>
      <w:r>
        <w:t xml:space="preserve">Management confirms</w:t>
      </w:r>
      <w:r>
        <w:t xml:space="preserve"> that it is responsible for the preparation and fair presentation of the consolidated financial statements, the accompanying notes, and the narrative disclosures included in this annual report. It further confirms that the report has been prepared in accordance with the applicable reporting framework, using reasonable judgments and estimates where necessary, and that the information presented is intended to provide a balanced view of performance, position, risks, and prospects. Management also acknowledges its responsibility for maintaining effective internal controls over financial reporting and for designing and operating disclosure controls that support accurate and timely publication of the report.</w:t>
      </w:r>
    </w:p>
    <w:p w14:paraId="00101793" w14:textId="00101794">
      <w:pPr>
        <w:pStyle w:val="Normal"/>
        <w:jc w:val="left"/>
      </w:pPr>
      <w:r>
        <w:t xml:space="preserve">In making this certification, management states that it has reviewed the report for consistency across the front matter, segment reporting, governance disclosures, sustainability information, financial statements, and supplementary notes. It confirms that known material errors have been corrected, that judgments are supported by documented evidence, and that any remaining areas of estimation uncertainty are described in a manner that is neither misleading nor incomplete. The certification is intended to reflect both the quality of preparation and the integrity of the approval process behind the final published document.</w:t>
      </w:r>
    </w:p>
    <w:p w14:paraId="00101795" w14:textId="00101796">
      <w:pPr>
        <w:pStyle w:val="Normal"/>
        <w:jc w:val="left"/>
      </w:pPr>
      <w:r>
        <w:t xml:space="preserve">The certification review and sign-off process is completed only after the final draft has been examined by the principal report owners and the designated approving officers. This review includes a final read-through of cross-references, figure and table references, numerical tie-outs, and consistency of terminology across the report. Where a late amendment is required, the change is reviewed for impact on related sections, and the revised wording is circulated to the relevant approvers before issuance. This ensures that the final version reflects a controlled and documented decision rather than a purely editorial update.</w:t>
      </w:r>
    </w:p>
    <w:p w14:paraId="00101797" w14:textId="00101798">
      <w:pPr>
        <w:pStyle w:val="Normal"/>
        <w:jc w:val="left"/>
      </w:pPr>
      <w:r>
        <w:t xml:space="preserve">Sign-off is evidenced through formal approval records, including dated acknowledgements, committee clearance where required, and confirmation that the final version matches the approved content set. The record of approval is retained with the report working papers so that the basis for release can be demonstrated after publication. In combination with the underlying evidence file, this sign-off trail provides assurance that the report was authorized by management with due care and that the published document corresponds to the version reviewed and accepted for issue.</w:t>
      </w:r>
    </w:p>
    <w:p w14:paraId="00101D00" w14:textId="00101D01">
      <w:pPr>
        <w:pStyle w:val="Normal"/>
        <w:jc w:val="left"/>
        <w:sectPr>
          <w:type w:val="nextPage"/>
          <w:pgSz w:w="11906" w:h="16838"/>
          <w:pgMar w:top="1440" w:right="1440" w:bottom="1440" w:left="1440" w:header="1440" w:footer="1440" w:gutter="0"/>
          <w:cols w:space="720" w:num="1"/>
        </w:sectPr>
      </w:pPr>
    </w:p>
    <w:p w14:paraId="0010179D" w14:textId="0010179E">
      <w:pPr>
        <w:pStyle w:val="Normal"/>
        <w:jc w:val="left"/>
      </w:pPr>
      <w:r>
        <w:t xml:space="preserve">Chapter 11 Shareholder Information</w:t>
      </w:r>
    </w:p>
    <w:p w14:paraId="0010179F" w14:textId="001017A0">
      <w:pPr>
        <w:pStyle w:val="Normal"/>
        <w:jc w:val="left"/>
      </w:pPr>
      <w:r>
        <w:t xml:space="preserve">This section presents the principal information relevant to shareholders, prospective investors, and other capital-market participants in understanding Rivermark Holdings as a listed group. It brings together the ownership profile of the company, shareholding characteristics at year end, listing and trading information, distribution practices, and the main channels through which investors can obtain timely information. The disclosures are intended to complement the governance, financial review, and consolidated statement sections by showing how the market ownership of the group is structured and how shareholder rights are supported in practice.</w:t>
      </w:r>
    </w:p>
    <w:p w14:paraId="001017A1" w14:textId="001017A2">
      <w:pPr>
        <w:pStyle w:val="Normal"/>
        <w:jc w:val="left"/>
      </w:pPr>
      <w:r>
        <w:t xml:space="preserve">The information included here is based primarily on the company’s share register, internal treasury records, exchange data, and board-approved distribution actions as of the reporting date, together with material updates known before authorization of the annual report. In addition to identifying concentration levels and the balance between institutional, individual, and strategic ownership, this section also explains how liquidity, voting arrangements, and investor communications contribute to an orderly relationship between the company and its shareholders. Taken together, these disclosures provide a practical picture of who owns Rivermark Holdings, how the shares are traded, and how shareholders participate in the long-term development of the group.</w:t>
      </w:r>
    </w:p>
    <w:p w14:paraId="001017A3" w14:textId="001017A4">
      <w:pPr>
        <w:pStyle w:val="Normal"/>
        <w:jc w:val="left"/>
      </w:pPr>
      <w:r>
        <w:t xml:space="preserve">11. Shareholder Profile</w:t>
      </w:r>
    </w:p>
    <w:p w14:paraId="001017A5" w14:textId="001017A6">
      <w:pPr>
        <w:pStyle w:val="Normal"/>
        <w:jc w:val="left"/>
      </w:pPr>
      <w:r>
        <w:t xml:space="preserve">The shareholder profile summarizes the composition of ownership in Rivermark Holdings and the market attributes of its listed securities at the end of the financial year. It covers the number and broad categories of shareholders, relative ownership concentration among major holders, the balance between free-float and strategic positions, and the listing details that determine how the company’s shares are identified and traded in the market. Where relevant, it also reflects changes from the prior year that help explain shifts in liquidity, ownership stability, and shareholder engagement.</w:t>
      </w:r>
    </w:p>
    <w:p w14:paraId="001017A7" w14:textId="001017A8">
      <w:pPr>
        <w:pStyle w:val="Normal"/>
        <w:jc w:val="left"/>
      </w:pPr>
      <w:r>
        <w:t xml:space="preserve">For the year under review, the company continued to maintain a diversified register supported by a stable core of long-term institutional investors, supplemented by individual shareholders and selected strategic holdings. This structure has generally supported disciplined market trading while preserving a sufficient free float to facilitate price discovery and access to capital. The profile should be read together with the investor calendar and market information disclosures that follow, since ownership composition, trading activity, dividend expectations, and communication practices are closely linked. In that sense, the shareholder profile is not merely a registry snapshot; it is an indicator of the confidence placed in Rivermark Holdings’ strategy, governance standards, and capacity to generate sustainable returns over time.</w:t>
      </w:r>
    </w:p>
    <w:p w14:paraId="001017A9" w14:textId="001017AA">
      <w:pPr>
        <w:pStyle w:val="Normal"/>
        <w:jc w:val="left"/>
      </w:pPr>
      <w:r>
        <w:t xml:space="preserve">11.1 Ownership</w:t>
      </w:r>
    </w:p>
    <w:p w14:paraId="001017AB" w14:textId="001017AC">
      <w:pPr>
        <w:pStyle w:val="Normal"/>
        <w:jc w:val="left"/>
      </w:pPr>
      <w:r>
        <w:t xml:space="preserve">Ownership of Rivermark Holdings is assessed with reference to registered holdings at the reporting date, supplemented by notifications received under applicable market disclosure requirements. The board and management monitor ownership patterns because the character of the shareholder base influences governance dialogue, trading liquidity, and the company’s ability to pursue long-term strategic investment. A balanced ownership structure can provide both stability and accountability: stability through committed shareholders that support multi-year capital allocation decisions, and accountability through an active market that responds to operating performance, disclosure quality, and stewardship standards.</w:t>
      </w:r>
    </w:p>
    <w:p w14:paraId="001017AD" w14:textId="001017AE">
      <w:pPr>
        <w:pStyle w:val="Normal"/>
        <w:jc w:val="left"/>
      </w:pPr>
      <w:r>
        <w:t xml:space="preserve">During the year, the overall ownership base remained broad, with no single change of control event and no material alteration to the company’s fundamental voting structure. Institutional investors continued to represent the largest portion of issued capital, reflecting the group’s scale, reporting maturity, and cash-generation profile. Individual shareholders remained an important component of the register, particularly through retirement and long-term savings accounts, while strategic investors held selected positions aligned with partnership and industry relationships. Management believes this mix is constructive because it combines patient capital with market scrutiny. The following discussion on ownership structure explains the relative role of each holder group and how concentration levels shape shareholder influence without undermining the rights of minority investors.</w:t>
      </w:r>
    </w:p>
    <w:p w14:paraId="001017AF" w14:textId="001017B0">
      <w:pPr>
        <w:pStyle w:val="Normal"/>
        <w:jc w:val="left"/>
      </w:pPr>
      <w:r>
        <w:t xml:space="preserve">11.1.1 Ownership Structure</w:t>
      </w:r>
    </w:p>
    <w:p w14:paraId="001017B1" w14:textId="001017B2">
      <w:pPr>
        <w:pStyle w:val="Normal"/>
        <w:jc w:val="left"/>
      </w:pPr>
      <w:r>
        <w:t xml:space="preserve">At year end, Rivermark Holdings’ issued share capital was held by a combination of institutional investors, individual shareholders, and a limited number of strategic holders. Institutional ownership formed the largest block, supported by pension funds, asset managers, and insurance-related portfolios seeking exposure to diversified industrial, consumer, and infrastructure earnings. This investor group typically engages with the company on capital allocation, segment performance, governance effectiveness, and sustainability execution, and its continued presence indicates confidence in the group’s medium-term investment case.</w:t>
      </w:r>
    </w:p>
    <w:p w14:paraId="001017B3" w14:textId="001017B4">
      <w:pPr>
        <w:pStyle w:val="Normal"/>
        <w:jc w:val="left"/>
      </w:pPr>
      <w:r>
        <w:t xml:space="preserve">Individual shareholders accounted for a smaller but still meaningful portion of the register. Although individually less concentrated, this segment broadens market participation and contributes to trading depth over time. Individual investors are especially sensitive to dividend continuity, transparency of reporting, and share-price resilience, making them an important audience for the company’s communication approach. Strategic holders represented the smallest category by number but included several comparatively larger positions, generally associated with longstanding commercial or investment relationships rather than short-term financial trading.</w:t>
      </w:r>
    </w:p>
    <w:p w14:paraId="001017B5" w14:textId="001017B6">
      <w:pPr>
        <w:pStyle w:val="Normal"/>
        <w:jc w:val="left"/>
      </w:pPr>
      <w:r>
        <w:t xml:space="preserve">Overall ownership concentration remained moderate. The largest shareholders were influential enough to support constructive dialogue with the board, yet not so dominant as to reduce the relevance of broader shareholder voting outcomes. As a result, Rivermark Holdings maintained a shareholder structure that is considered supportive of liquidity, governance balance, and long-term strategic flexibility.</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661"/>
        <w:gridCol w:w="1661"/>
        <w:gridCol w:w="1661"/>
        <w:gridCol w:w="1661"/>
        <w:gridCol w:w="1661"/>
      </w:tblGrid>
      <w:tr>
        <w:trPr>
          <w:tblHeader/>
        </w:trPr>
        <w:tc>
          <w:tcPr>
            <w:vAlign w:val="center"/>
            <w:tcBorders>
              <w:top w:val="single" w:sz="4" w:space="0" w:color="auto"/>
              <w:left w:val="single" w:sz="4" w:space="0" w:color="auto"/>
              <w:bottom w:val="single" w:sz="4" w:space="0" w:color="auto"/>
              <w:right w:val="single" w:sz="4" w:space="0" w:color="auto"/>
            </w:tcBorders>
          </w:tcPr>
          <w:p w14:paraId="001017B7" w14:textId="001017FD">
            <w:pPr>
              <w:pStyle w:val="Normal"/>
              <w:jc w:val="left"/>
            </w:pPr>
            <w:r>
              <w:t xml:space="preserve">Holder type</w:t>
            </w:r>
          </w:p>
        </w:tc>
        <w:tc>
          <w:tcPr>
            <w:vAlign w:val="center"/>
            <w:tcBorders>
              <w:top w:val="single" w:sz="4" w:space="0" w:color="auto"/>
              <w:left w:val="single" w:sz="4" w:space="0" w:color="auto"/>
              <w:bottom w:val="single" w:sz="4" w:space="0" w:color="auto"/>
              <w:right w:val="single" w:sz="4" w:space="0" w:color="auto"/>
            </w:tcBorders>
          </w:tcPr>
          <w:p w14:paraId="001017B9" w14:textId="001017FE">
            <w:pPr>
              <w:pStyle w:val="Normal"/>
              <w:jc w:val="left"/>
            </w:pPr>
            <w:r>
              <w:t xml:space="preserve">Shares held (million)</w:t>
            </w:r>
          </w:p>
        </w:tc>
        <w:tc>
          <w:tcPr>
            <w:vAlign w:val="center"/>
            <w:tcBorders>
              <w:top w:val="single" w:sz="4" w:space="0" w:color="auto"/>
              <w:left w:val="single" w:sz="4" w:space="0" w:color="auto"/>
              <w:bottom w:val="single" w:sz="4" w:space="0" w:color="auto"/>
              <w:right w:val="single" w:sz="4" w:space="0" w:color="auto"/>
            </w:tcBorders>
          </w:tcPr>
          <w:p w14:paraId="001017BB" w14:textId="001017FF">
            <w:pPr>
              <w:pStyle w:val="Normal"/>
              <w:jc w:val="left"/>
            </w:pPr>
            <w:r>
              <w:t xml:space="preserve">Ownership (%)</w:t>
            </w:r>
          </w:p>
        </w:tc>
        <w:tc>
          <w:tcPr>
            <w:vAlign w:val="center"/>
            <w:tcBorders>
              <w:top w:val="single" w:sz="4" w:space="0" w:color="auto"/>
              <w:left w:val="single" w:sz="4" w:space="0" w:color="auto"/>
              <w:bottom w:val="single" w:sz="4" w:space="0" w:color="auto"/>
              <w:right w:val="single" w:sz="4" w:space="0" w:color="auto"/>
            </w:tcBorders>
          </w:tcPr>
          <w:p w14:paraId="001017BD" w14:textId="00101800">
            <w:pPr>
              <w:pStyle w:val="Normal"/>
              <w:jc w:val="left"/>
            </w:pPr>
            <w:r>
              <w:t xml:space="preserve">Voting power (%)</w:t>
            </w:r>
          </w:p>
        </w:tc>
        <w:tc>
          <w:tcPr>
            <w:vAlign w:val="center"/>
            <w:tcBorders>
              <w:top w:val="single" w:sz="4" w:space="0" w:color="auto"/>
              <w:left w:val="single" w:sz="4" w:space="0" w:color="auto"/>
              <w:bottom w:val="single" w:sz="4" w:space="0" w:color="auto"/>
              <w:right w:val="single" w:sz="4" w:space="0" w:color="auto"/>
            </w:tcBorders>
          </w:tcPr>
          <w:p w14:paraId="001017BF" w14:textId="00101801">
            <w:pPr>
              <w:pStyle w:val="Normal"/>
              <w:jc w:val="left"/>
            </w:pPr>
            <w:r>
              <w:t xml:space="preserve">Notes</w:t>
            </w:r>
          </w:p>
        </w:tc>
      </w:tr>
      <w:tr>
        <w:tc>
          <w:tcPr>
            <w:vAlign w:val="center"/>
            <w:tcBorders>
              <w:top w:val="single" w:sz="4" w:space="0" w:color="auto"/>
              <w:left w:val="single" w:sz="4" w:space="0" w:color="auto"/>
              <w:bottom w:val="single" w:sz="4" w:space="0" w:color="auto"/>
              <w:right w:val="single" w:sz="4" w:space="0" w:color="auto"/>
            </w:tcBorders>
          </w:tcPr>
          <w:p w14:paraId="001017C1" w14:textId="00101802">
            <w:pPr>
              <w:pStyle w:val="Normal"/>
              <w:jc w:val="left"/>
            </w:pPr>
            <w:r>
              <w:t xml:space="preserve">Institutional investors</w:t>
            </w:r>
          </w:p>
        </w:tc>
        <w:tc>
          <w:tcPr>
            <w:vAlign w:val="center"/>
            <w:tcBorders>
              <w:top w:val="single" w:sz="4" w:space="0" w:color="auto"/>
              <w:left w:val="single" w:sz="4" w:space="0" w:color="auto"/>
              <w:bottom w:val="single" w:sz="4" w:space="0" w:color="auto"/>
              <w:right w:val="single" w:sz="4" w:space="0" w:color="auto"/>
            </w:tcBorders>
          </w:tcPr>
          <w:p w14:paraId="001017C3" w14:textId="00101803">
            <w:pPr>
              <w:pStyle w:val="Normal"/>
              <w:jc w:val="left"/>
            </w:pPr>
            <w:r>
              <w:t xml:space="preserve">278.4</w:t>
            </w:r>
          </w:p>
        </w:tc>
        <w:tc>
          <w:tcPr>
            <w:vAlign w:val="center"/>
            <w:tcBorders>
              <w:top w:val="single" w:sz="4" w:space="0" w:color="auto"/>
              <w:left w:val="single" w:sz="4" w:space="0" w:color="auto"/>
              <w:bottom w:val="single" w:sz="4" w:space="0" w:color="auto"/>
              <w:right w:val="single" w:sz="4" w:space="0" w:color="auto"/>
            </w:tcBorders>
          </w:tcPr>
          <w:p w14:paraId="001017C5" w14:textId="00101804">
            <w:pPr>
              <w:pStyle w:val="Normal"/>
              <w:jc w:val="left"/>
            </w:pPr>
            <w:r>
              <w:t xml:space="preserve">54.6</w:t>
            </w:r>
          </w:p>
        </w:tc>
        <w:tc>
          <w:tcPr>
            <w:vAlign w:val="center"/>
            <w:tcBorders>
              <w:top w:val="single" w:sz="4" w:space="0" w:color="auto"/>
              <w:left w:val="single" w:sz="4" w:space="0" w:color="auto"/>
              <w:bottom w:val="single" w:sz="4" w:space="0" w:color="auto"/>
              <w:right w:val="single" w:sz="4" w:space="0" w:color="auto"/>
            </w:tcBorders>
          </w:tcPr>
          <w:p w14:paraId="001017C7" w14:textId="00101805">
            <w:pPr>
              <w:pStyle w:val="Normal"/>
              <w:jc w:val="left"/>
            </w:pPr>
            <w:r>
              <w:t xml:space="preserve">54.6</w:t>
            </w:r>
          </w:p>
        </w:tc>
        <w:tc>
          <w:tcPr>
            <w:vAlign w:val="center"/>
            <w:tcBorders>
              <w:top w:val="single" w:sz="4" w:space="0" w:color="auto"/>
              <w:left w:val="single" w:sz="4" w:space="0" w:color="auto"/>
              <w:bottom w:val="single" w:sz="4" w:space="0" w:color="auto"/>
              <w:right w:val="single" w:sz="4" w:space="0" w:color="auto"/>
            </w:tcBorders>
          </w:tcPr>
          <w:p w14:paraId="001017C9" w14:textId="00101806">
            <w:pPr>
              <w:pStyle w:val="Normal"/>
              <w:jc w:val="left"/>
            </w:pPr>
            <w:r>
              <w:t xml:space="preserve">Includes pension, asset management, and insurance accounts</w:t>
            </w:r>
          </w:p>
        </w:tc>
      </w:tr>
      <w:tr>
        <w:tc>
          <w:tcPr>
            <w:vAlign w:val="center"/>
            <w:tcBorders>
              <w:top w:val="single" w:sz="4" w:space="0" w:color="auto"/>
              <w:left w:val="single" w:sz="4" w:space="0" w:color="auto"/>
              <w:bottom w:val="single" w:sz="4" w:space="0" w:color="auto"/>
              <w:right w:val="single" w:sz="4" w:space="0" w:color="auto"/>
            </w:tcBorders>
          </w:tcPr>
          <w:p w14:paraId="001017CB" w14:textId="00101807">
            <w:pPr>
              <w:pStyle w:val="Normal"/>
              <w:jc w:val="left"/>
            </w:pPr>
            <w:r>
              <w:t xml:space="preserve">Strategic shareholders</w:t>
            </w:r>
          </w:p>
        </w:tc>
        <w:tc>
          <w:tcPr>
            <w:vAlign w:val="center"/>
            <w:tcBorders>
              <w:top w:val="single" w:sz="4" w:space="0" w:color="auto"/>
              <w:left w:val="single" w:sz="4" w:space="0" w:color="auto"/>
              <w:bottom w:val="single" w:sz="4" w:space="0" w:color="auto"/>
              <w:right w:val="single" w:sz="4" w:space="0" w:color="auto"/>
            </w:tcBorders>
          </w:tcPr>
          <w:p w14:paraId="001017CD" w14:textId="00101808">
            <w:pPr>
              <w:pStyle w:val="Normal"/>
              <w:jc w:val="left"/>
            </w:pPr>
            <w:r>
              <w:t xml:space="preserve">96.8</w:t>
            </w:r>
          </w:p>
        </w:tc>
        <w:tc>
          <w:tcPr>
            <w:vAlign w:val="center"/>
            <w:tcBorders>
              <w:top w:val="single" w:sz="4" w:space="0" w:color="auto"/>
              <w:left w:val="single" w:sz="4" w:space="0" w:color="auto"/>
              <w:bottom w:val="single" w:sz="4" w:space="0" w:color="auto"/>
              <w:right w:val="single" w:sz="4" w:space="0" w:color="auto"/>
            </w:tcBorders>
          </w:tcPr>
          <w:p w14:paraId="001017CF" w14:textId="00101809">
            <w:pPr>
              <w:pStyle w:val="Normal"/>
              <w:jc w:val="left"/>
            </w:pPr>
            <w:r>
              <w:t xml:space="preserve">19.0</w:t>
            </w:r>
          </w:p>
        </w:tc>
        <w:tc>
          <w:tcPr>
            <w:vAlign w:val="center"/>
            <w:tcBorders>
              <w:top w:val="single" w:sz="4" w:space="0" w:color="auto"/>
              <w:left w:val="single" w:sz="4" w:space="0" w:color="auto"/>
              <w:bottom w:val="single" w:sz="4" w:space="0" w:color="auto"/>
              <w:right w:val="single" w:sz="4" w:space="0" w:color="auto"/>
            </w:tcBorders>
          </w:tcPr>
          <w:p w14:paraId="001017D1" w14:textId="0010180A">
            <w:pPr>
              <w:pStyle w:val="Normal"/>
              <w:jc w:val="left"/>
            </w:pPr>
            <w:r>
              <w:t xml:space="preserve">19.0</w:t>
            </w:r>
          </w:p>
        </w:tc>
        <w:tc>
          <w:tcPr>
            <w:vAlign w:val="center"/>
            <w:tcBorders>
              <w:top w:val="single" w:sz="4" w:space="0" w:color="auto"/>
              <w:left w:val="single" w:sz="4" w:space="0" w:color="auto"/>
              <w:bottom w:val="single" w:sz="4" w:space="0" w:color="auto"/>
              <w:right w:val="single" w:sz="4" w:space="0" w:color="auto"/>
            </w:tcBorders>
          </w:tcPr>
          <w:p w14:paraId="001017D3" w14:textId="0010180B">
            <w:pPr>
              <w:pStyle w:val="Normal"/>
              <w:jc w:val="left"/>
            </w:pPr>
            <w:r>
              <w:t xml:space="preserve">Long-term holders with board-engagement history</w:t>
            </w:r>
          </w:p>
        </w:tc>
      </w:tr>
      <w:tr>
        <w:tc>
          <w:tcPr>
            <w:vAlign w:val="center"/>
            <w:tcBorders>
              <w:top w:val="single" w:sz="4" w:space="0" w:color="auto"/>
              <w:left w:val="single" w:sz="4" w:space="0" w:color="auto"/>
              <w:bottom w:val="single" w:sz="4" w:space="0" w:color="auto"/>
              <w:right w:val="single" w:sz="4" w:space="0" w:color="auto"/>
            </w:tcBorders>
          </w:tcPr>
          <w:p w14:paraId="001017D5" w14:textId="0010180C">
            <w:pPr>
              <w:pStyle w:val="Normal"/>
              <w:jc w:val="left"/>
            </w:pPr>
            <w:r>
              <w:t xml:space="preserve">Founders and directors</w:t>
            </w:r>
          </w:p>
        </w:tc>
        <w:tc>
          <w:tcPr>
            <w:vAlign w:val="center"/>
            <w:tcBorders>
              <w:top w:val="single" w:sz="4" w:space="0" w:color="auto"/>
              <w:left w:val="single" w:sz="4" w:space="0" w:color="auto"/>
              <w:bottom w:val="single" w:sz="4" w:space="0" w:color="auto"/>
              <w:right w:val="single" w:sz="4" w:space="0" w:color="auto"/>
            </w:tcBorders>
          </w:tcPr>
          <w:p w14:paraId="001017D7" w14:textId="0010180D">
            <w:pPr>
              <w:pStyle w:val="Normal"/>
              <w:jc w:val="left"/>
            </w:pPr>
            <w:r>
              <w:t xml:space="preserve">58.7</w:t>
            </w:r>
          </w:p>
        </w:tc>
        <w:tc>
          <w:tcPr>
            <w:vAlign w:val="center"/>
            <w:tcBorders>
              <w:top w:val="single" w:sz="4" w:space="0" w:color="auto"/>
              <w:left w:val="single" w:sz="4" w:space="0" w:color="auto"/>
              <w:bottom w:val="single" w:sz="4" w:space="0" w:color="auto"/>
              <w:right w:val="single" w:sz="4" w:space="0" w:color="auto"/>
            </w:tcBorders>
          </w:tcPr>
          <w:p w14:paraId="001017D9" w14:textId="0010180E">
            <w:pPr>
              <w:pStyle w:val="Normal"/>
              <w:jc w:val="left"/>
            </w:pPr>
            <w:r>
              <w:t xml:space="preserve">11.5</w:t>
            </w:r>
          </w:p>
        </w:tc>
        <w:tc>
          <w:tcPr>
            <w:vAlign w:val="center"/>
            <w:tcBorders>
              <w:top w:val="single" w:sz="4" w:space="0" w:color="auto"/>
              <w:left w:val="single" w:sz="4" w:space="0" w:color="auto"/>
              <w:bottom w:val="single" w:sz="4" w:space="0" w:color="auto"/>
              <w:right w:val="single" w:sz="4" w:space="0" w:color="auto"/>
            </w:tcBorders>
          </w:tcPr>
          <w:p w14:paraId="001017DB" w14:textId="0010180F">
            <w:pPr>
              <w:pStyle w:val="Normal"/>
              <w:jc w:val="left"/>
            </w:pPr>
            <w:r>
              <w:t xml:space="preserve">11.5</w:t>
            </w:r>
          </w:p>
        </w:tc>
        <w:tc>
          <w:tcPr>
            <w:vAlign w:val="center"/>
            <w:tcBorders>
              <w:top w:val="single" w:sz="4" w:space="0" w:color="auto"/>
              <w:left w:val="single" w:sz="4" w:space="0" w:color="auto"/>
              <w:bottom w:val="single" w:sz="4" w:space="0" w:color="auto"/>
              <w:right w:val="single" w:sz="4" w:space="0" w:color="auto"/>
            </w:tcBorders>
          </w:tcPr>
          <w:p w14:paraId="001017DD" w14:textId="00101810">
            <w:pPr>
              <w:pStyle w:val="Normal"/>
              <w:jc w:val="left"/>
            </w:pPr>
            <w:r>
              <w:t xml:space="preserve">Direct and beneficial interests of founders and board members</w:t>
            </w:r>
          </w:p>
        </w:tc>
      </w:tr>
      <w:tr>
        <w:tc>
          <w:tcPr>
            <w:vAlign w:val="center"/>
            <w:tcBorders>
              <w:top w:val="single" w:sz="4" w:space="0" w:color="auto"/>
              <w:left w:val="single" w:sz="4" w:space="0" w:color="auto"/>
              <w:bottom w:val="single" w:sz="4" w:space="0" w:color="auto"/>
              <w:right w:val="single" w:sz="4" w:space="0" w:color="auto"/>
            </w:tcBorders>
          </w:tcPr>
          <w:p w14:paraId="001017DF" w14:textId="00101811">
            <w:pPr>
              <w:pStyle w:val="Normal"/>
              <w:jc w:val="left"/>
            </w:pPr>
            <w:r>
              <w:t xml:space="preserve">Retail and employee holders</w:t>
            </w:r>
          </w:p>
        </w:tc>
        <w:tc>
          <w:tcPr>
            <w:vAlign w:val="center"/>
            <w:tcBorders>
              <w:top w:val="single" w:sz="4" w:space="0" w:color="auto"/>
              <w:left w:val="single" w:sz="4" w:space="0" w:color="auto"/>
              <w:bottom w:val="single" w:sz="4" w:space="0" w:color="auto"/>
              <w:right w:val="single" w:sz="4" w:space="0" w:color="auto"/>
            </w:tcBorders>
          </w:tcPr>
          <w:p w14:paraId="001017E1" w14:textId="00101812">
            <w:pPr>
              <w:pStyle w:val="Normal"/>
              <w:jc w:val="left"/>
            </w:pPr>
            <w:r>
              <w:t xml:space="preserve">63.1</w:t>
            </w:r>
          </w:p>
        </w:tc>
        <w:tc>
          <w:tcPr>
            <w:vAlign w:val="center"/>
            <w:tcBorders>
              <w:top w:val="single" w:sz="4" w:space="0" w:color="auto"/>
              <w:left w:val="single" w:sz="4" w:space="0" w:color="auto"/>
              <w:bottom w:val="single" w:sz="4" w:space="0" w:color="auto"/>
              <w:right w:val="single" w:sz="4" w:space="0" w:color="auto"/>
            </w:tcBorders>
          </w:tcPr>
          <w:p w14:paraId="001017E3" w14:textId="00101813">
            <w:pPr>
              <w:pStyle w:val="Normal"/>
              <w:jc w:val="left"/>
            </w:pPr>
            <w:r>
              <w:t xml:space="preserve">12.4</w:t>
            </w:r>
          </w:p>
        </w:tc>
        <w:tc>
          <w:tcPr>
            <w:vAlign w:val="center"/>
            <w:tcBorders>
              <w:top w:val="single" w:sz="4" w:space="0" w:color="auto"/>
              <w:left w:val="single" w:sz="4" w:space="0" w:color="auto"/>
              <w:bottom w:val="single" w:sz="4" w:space="0" w:color="auto"/>
              <w:right w:val="single" w:sz="4" w:space="0" w:color="auto"/>
            </w:tcBorders>
          </w:tcPr>
          <w:p w14:paraId="001017E5" w14:textId="00101814">
            <w:pPr>
              <w:pStyle w:val="Normal"/>
              <w:jc w:val="left"/>
            </w:pPr>
            <w:r>
              <w:t xml:space="preserve">12.4</w:t>
            </w:r>
          </w:p>
        </w:tc>
        <w:tc>
          <w:tcPr>
            <w:vAlign w:val="center"/>
            <w:tcBorders>
              <w:top w:val="single" w:sz="4" w:space="0" w:color="auto"/>
              <w:left w:val="single" w:sz="4" w:space="0" w:color="auto"/>
              <w:bottom w:val="single" w:sz="4" w:space="0" w:color="auto"/>
              <w:right w:val="single" w:sz="4" w:space="0" w:color="auto"/>
            </w:tcBorders>
          </w:tcPr>
          <w:p w14:paraId="001017E7" w14:textId="00101815">
            <w:pPr>
              <w:pStyle w:val="Normal"/>
              <w:jc w:val="left"/>
            </w:pPr>
            <w:r>
              <w:t xml:space="preserve">Includes employee share plan participants</w:t>
            </w:r>
          </w:p>
        </w:tc>
      </w:tr>
      <w:tr>
        <w:tc>
          <w:tcPr>
            <w:vAlign w:val="center"/>
            <w:tcBorders>
              <w:top w:val="single" w:sz="4" w:space="0" w:color="auto"/>
              <w:left w:val="single" w:sz="4" w:space="0" w:color="auto"/>
              <w:bottom w:val="single" w:sz="4" w:space="0" w:color="auto"/>
              <w:right w:val="single" w:sz="4" w:space="0" w:color="auto"/>
            </w:tcBorders>
          </w:tcPr>
          <w:p w14:paraId="001017E9" w14:textId="00101816">
            <w:pPr>
              <w:pStyle w:val="Normal"/>
              <w:jc w:val="left"/>
            </w:pPr>
            <w:r>
              <w:t xml:space="preserve">Treasury shares</w:t>
            </w:r>
          </w:p>
        </w:tc>
        <w:tc>
          <w:tcPr>
            <w:vAlign w:val="center"/>
            <w:tcBorders>
              <w:top w:val="single" w:sz="4" w:space="0" w:color="auto"/>
              <w:left w:val="single" w:sz="4" w:space="0" w:color="auto"/>
              <w:bottom w:val="single" w:sz="4" w:space="0" w:color="auto"/>
              <w:right w:val="single" w:sz="4" w:space="0" w:color="auto"/>
            </w:tcBorders>
          </w:tcPr>
          <w:p w14:paraId="001017EB" w14:textId="00101817">
            <w:pPr>
              <w:pStyle w:val="Normal"/>
              <w:jc w:val="left"/>
            </w:pPr>
            <w:r>
              <w:t xml:space="preserve">12.7</w:t>
            </w:r>
          </w:p>
        </w:tc>
        <w:tc>
          <w:tcPr>
            <w:vAlign w:val="center"/>
            <w:tcBorders>
              <w:top w:val="single" w:sz="4" w:space="0" w:color="auto"/>
              <w:left w:val="single" w:sz="4" w:space="0" w:color="auto"/>
              <w:bottom w:val="single" w:sz="4" w:space="0" w:color="auto"/>
              <w:right w:val="single" w:sz="4" w:space="0" w:color="auto"/>
            </w:tcBorders>
          </w:tcPr>
          <w:p w14:paraId="001017ED" w14:textId="00101818">
            <w:pPr>
              <w:pStyle w:val="Normal"/>
              <w:jc w:val="left"/>
            </w:pPr>
            <w:r>
              <w:t xml:space="preserve">2.5</w:t>
            </w:r>
          </w:p>
        </w:tc>
        <w:tc>
          <w:tcPr>
            <w:vAlign w:val="center"/>
            <w:tcBorders>
              <w:top w:val="single" w:sz="4" w:space="0" w:color="auto"/>
              <w:left w:val="single" w:sz="4" w:space="0" w:color="auto"/>
              <w:bottom w:val="single" w:sz="4" w:space="0" w:color="auto"/>
              <w:right w:val="single" w:sz="4" w:space="0" w:color="auto"/>
            </w:tcBorders>
          </w:tcPr>
          <w:p w14:paraId="001017EF" w14:textId="00101819">
            <w:pPr>
              <w:pStyle w:val="Normal"/>
              <w:jc w:val="left"/>
            </w:pPr>
            <w:r>
              <w:t xml:space="preserve">0.0</w:t>
            </w:r>
          </w:p>
        </w:tc>
        <w:tc>
          <w:tcPr>
            <w:vAlign w:val="center"/>
            <w:tcBorders>
              <w:top w:val="single" w:sz="4" w:space="0" w:color="auto"/>
              <w:left w:val="single" w:sz="4" w:space="0" w:color="auto"/>
              <w:bottom w:val="single" w:sz="4" w:space="0" w:color="auto"/>
              <w:right w:val="single" w:sz="4" w:space="0" w:color="auto"/>
            </w:tcBorders>
          </w:tcPr>
          <w:p w14:paraId="001017F1" w14:textId="0010181A">
            <w:pPr>
              <w:pStyle w:val="Normal"/>
              <w:jc w:val="left"/>
            </w:pPr>
            <w:r>
              <w:t xml:space="preserve">Held by Rivermark Holdings; no voting rights while in treasury</w:t>
            </w:r>
          </w:p>
        </w:tc>
      </w:tr>
      <w:tr>
        <w:tc>
          <w:tcPr>
            <w:vAlign w:val="center"/>
            <w:tcBorders>
              <w:top w:val="single" w:sz="4" w:space="0" w:color="auto"/>
              <w:left w:val="single" w:sz="4" w:space="0" w:color="auto"/>
              <w:bottom w:val="single" w:sz="4" w:space="0" w:color="auto"/>
              <w:right w:val="single" w:sz="4" w:space="0" w:color="auto"/>
            </w:tcBorders>
          </w:tcPr>
          <w:p w14:paraId="001017F3" w14:textId="0010181B">
            <w:pPr>
              <w:pStyle w:val="Normal"/>
              <w:jc w:val="left"/>
            </w:pPr>
            <w:r>
              <w:t xml:space="preserve">Total issued shares</w:t>
            </w:r>
          </w:p>
        </w:tc>
        <w:tc>
          <w:tcPr>
            <w:vAlign w:val="center"/>
            <w:tcBorders>
              <w:top w:val="single" w:sz="4" w:space="0" w:color="auto"/>
              <w:left w:val="single" w:sz="4" w:space="0" w:color="auto"/>
              <w:bottom w:val="single" w:sz="4" w:space="0" w:color="auto"/>
              <w:right w:val="single" w:sz="4" w:space="0" w:color="auto"/>
            </w:tcBorders>
          </w:tcPr>
          <w:p w14:paraId="001017F5" w14:textId="0010181C">
            <w:pPr>
              <w:pStyle w:val="Normal"/>
              <w:jc w:val="left"/>
            </w:pPr>
            <w:r>
              <w:t xml:space="preserve">509.7</w:t>
            </w:r>
          </w:p>
        </w:tc>
        <w:tc>
          <w:tcPr>
            <w:vAlign w:val="center"/>
            <w:tcBorders>
              <w:top w:val="single" w:sz="4" w:space="0" w:color="auto"/>
              <w:left w:val="single" w:sz="4" w:space="0" w:color="auto"/>
              <w:bottom w:val="single" w:sz="4" w:space="0" w:color="auto"/>
              <w:right w:val="single" w:sz="4" w:space="0" w:color="auto"/>
            </w:tcBorders>
          </w:tcPr>
          <w:p w14:paraId="001017F7" w14:textId="0010181D">
            <w:pPr>
              <w:pStyle w:val="Normal"/>
              <w:jc w:val="left"/>
            </w:pPr>
            <w:r>
              <w:t xml:space="preserve">100.0</w:t>
            </w:r>
          </w:p>
        </w:tc>
        <w:tc>
          <w:tcPr>
            <w:vAlign w:val="center"/>
            <w:tcBorders>
              <w:top w:val="single" w:sz="4" w:space="0" w:color="auto"/>
              <w:left w:val="single" w:sz="4" w:space="0" w:color="auto"/>
              <w:bottom w:val="single" w:sz="4" w:space="0" w:color="auto"/>
              <w:right w:val="single" w:sz="4" w:space="0" w:color="auto"/>
            </w:tcBorders>
          </w:tcPr>
          <w:p w14:paraId="001017F9" w14:textId="0010181E">
            <w:pPr>
              <w:pStyle w:val="Normal"/>
              <w:jc w:val="left"/>
            </w:pPr>
            <w:r>
              <w:t xml:space="preserve">97.5</w:t>
            </w:r>
          </w:p>
        </w:tc>
        <w:tc>
          <w:tcPr>
            <w:vAlign w:val="center"/>
            <w:tcBorders>
              <w:top w:val="single" w:sz="4" w:space="0" w:color="auto"/>
              <w:left w:val="single" w:sz="4" w:space="0" w:color="auto"/>
              <w:bottom w:val="single" w:sz="4" w:space="0" w:color="auto"/>
              <w:right w:val="single" w:sz="4" w:space="0" w:color="auto"/>
            </w:tcBorders>
          </w:tcPr>
          <w:p w14:paraId="001017FB" w14:textId="0010181F">
            <w:pPr>
              <w:pStyle w:val="Normal"/>
              <w:jc w:val="left"/>
            </w:pPr>
            <w:r>
              <w:t xml:space="preserve">Voting percentage excludes treasury shares</w:t>
            </w:r>
          </w:p>
        </w:tc>
      </w:tr>
    </w:tbl>
    <w:p w14:paraId="00101820" w14:textId="00101821">
      <w:pPr>
        <w:pStyle w:val="Normal"/>
        <w:jc w:val="left"/>
      </w:pPr>
      <w:r>
        <w:t xml:space="preserve">Table 27 Ownership mix and major stakes</w:t>
      </w:r>
    </w:p>
    <w:p w14:paraId="00101822" w14:textId="00101823">
      <w:pPr>
        <w:pStyle w:val="Normal"/>
        <w:jc w:val="left"/>
      </w:pPr>
      <w:r>
        <w:t xml:space="preserve">11.1.1 Voting Rights</w:t>
      </w:r>
    </w:p>
    <w:p w14:paraId="00101824" w14:textId="00101825">
      <w:pPr>
        <w:pStyle w:val="Normal"/>
        <w:jc w:val="left"/>
      </w:pPr>
      <w:r>
        <w:t xml:space="preserve">Rivermark Holdings maintains a single class of ordinary shares, and each ordinary share carries one vote on a poll at general meetings. This structure is intended to support transparent governance by aligning economic ownership with voting influence and by avoiding complex tiering of rights between investor groups. Voting rights may be exercised in person, by corporate representative, or by proxy, subject to the notice, record-date, and registration procedures set out in the company’s constitutional documents and meeting materials. Shareholders are entitled to vote on the election and re-election of directors, the appointment of the external auditor, approval of dividend resolutions where required, and other reserved matters presented to the annual or special meeting.</w:t>
      </w:r>
    </w:p>
    <w:p w14:paraId="00101826" w14:textId="00101827">
      <w:pPr>
        <w:pStyle w:val="Normal"/>
        <w:jc w:val="left"/>
      </w:pPr>
      <w:r>
        <w:t xml:space="preserve">Treasury shares held by the group do not carry voting rights or rights to distributions while they remain in treasury, and unvested awards under employee plans vote only where the underlying shares have been issued and are legally registered to the holder. For routine resolutions, decisions are taken by simple majority of votes cast unless a higher threshold is required by law or by the company’s articles. Amendments affecting constitutional provisions, certain capital actions, or other significant governance matters may require a special majority. This framework provides a straightforward and broadly proportional voting regime, while preserving appropriate safeguards for material corporate decisions and protecting the equal treatment of shareholders across the register.</w:t>
      </w:r>
    </w:p>
    <w:p w14:paraId="00101828" w14:textId="00101829">
      <w:pPr>
        <w:pStyle w:val="Normal"/>
        <w:jc w:val="left"/>
      </w:pPr>
      <w:r>
        <w:t xml:space="preserve">The group does not operate under a dual-control share structure, shareholder agreement with overriding governance rights, or golden-share arrangement that would separate control from ownership on a permanent basis. Control therefore rests primarily on the distribution of ordinary shares, the attendance level at shareholder meetings, and the practical influence of long-term holders that regularly participate in governance processes. Strategic shareholders and founder-related interests together represent a meaningful block of the register, giving them notable influence in board elections and in resolutions requiring broad shareholder support, but not unilateral control over ordinary or special matters.</w:t>
      </w:r>
    </w:p>
    <w:p w14:paraId="0010182A" w14:textId="0010182B">
      <w:pPr>
        <w:pStyle w:val="Normal"/>
        <w:jc w:val="left"/>
      </w:pPr>
      <w:r>
        <w:t xml:space="preserve">In addition, the board monitors related-party dealings, beneficial ownership disclosures, and changes in substantial holdings to ensure that control is exercised within the company’s governance framework and applicable market rules. Any shareholder crossing a reportable threshold is required to notify the market through the prescribed disclosure channel, which improves visibility over concentration trends and potential shifts in influence. Financing arrangements entered into by the group do not grant lenders governance control rights beyond customary covenant protections, and there are no known agreements among major holders that mandate concerted voting on general resolutions. As a result, Rivermark Holdings operates with a relatively open control profile: influence is concentrated enough to support strategic continuity, yet sufficiently distributed to preserve accountability to the wider shareholder base.</w:t>
      </w:r>
    </w:p>
    <w:p w14:paraId="0010182C" w14:textId="0010182D">
      <w:pPr>
        <w:pStyle w:val="Normal"/>
        <w:jc w:val="left"/>
      </w:pPr>
      <w:r>
        <w:t xml:space="preserve">11.1 Market Information</w:t>
      </w:r>
    </w:p>
    <w:p w14:paraId="0010182E" w14:textId="0010182F">
      <w:pPr>
        <w:pStyle w:val="Normal"/>
        <w:jc w:val="left"/>
      </w:pPr>
      <w:r>
        <w:t xml:space="preserve">Rivermark Holdings’ market information is presented to help shareholders assess liquidity, valuation context, and the share’s behavior relative to operating performance and capital allocation decisions during the year. The group’s ordinary shares traded in an orderly manner across the reporting period, supported by consistent reporting cadence, active engagement with institutional investors, and stable free float. Average daily trading volumes were strongest around the release of annual and half-year results, while activity also rose following updates on segment performance, capital expenditure priorities, and dividend expectations. Price formation during the year reflected both company-specific developments and broader market factors, including interest-rate expectations, industrial demand signals, consumer sentiment, and infrastructure investment conditions across the group’s end markets.</w:t>
      </w:r>
    </w:p>
    <w:p w14:paraId="00101830" w14:textId="00101831">
      <w:pPr>
        <w:pStyle w:val="Normal"/>
        <w:jc w:val="left"/>
      </w:pPr>
      <w:r>
        <w:t xml:space="preserve">From an investor perspective, the most useful market indicators remain closing share price, market capitalization, average traded value, and total shareholder return when combined with dividends paid or declared. These measures provide different insights: price captures current market expectations, turnover indicates liquidity and ease of entry or exit, and total return reflects the combined benefit of capital appreciation and distributions. Management does not target short-term market movements; instead, it focuses on earnings quality, cash generation, return on invested capital, and a disciplined balance-sheet profile, which together are expected to support valuation over time. The market data discussed in this section should therefore be read alongside the financial review and shareholder distribution disclosures rather than in isolation.</w:t>
      </w:r>
    </w:p>
    <w:p w14:paraId="00101832" w14:textId="00101833">
      <w:pPr>
        <w:pStyle w:val="Normal"/>
        <w:jc w:val="left"/>
      </w:pPr>
      <w:r>
        <w:t xml:space="preserve">11.1.2 Listing Details</w:t>
      </w:r>
    </w:p>
    <w:p w14:paraId="00101834" w14:textId="00101835">
      <w:pPr>
        <w:pStyle w:val="Normal"/>
        <w:jc w:val="left"/>
      </w:pPr>
      <w:r>
        <w:t xml:space="preserve">Rivermark Holdings’ ordinary shares are listed on the Rivermark Exchange under the ticker RMH, which serves as the company’s principal trading venue and reference market for price discovery, regulatory announcements, and shareholder settlement. The issued capital comprises one class of ordinary shares admitted to trading, with no separately listed preference class or depositary receipt line. Trading, clearing, and settlement are administered through the exchange’s central market infrastructure and the appointed share registrar, enabling shareholders to access holdings records, transfer services, corporate-action processing, and meeting-related documentation through established channels.</w:t>
      </w:r>
    </w:p>
    <w:p w14:paraId="00101836" w14:textId="00101837">
      <w:pPr>
        <w:pStyle w:val="Normal"/>
        <w:jc w:val="left"/>
      </w:pPr>
      <w:r>
        <w:t xml:space="preserve">The company uses RMH consistently across investor presentations, financial releases, and market notices to support clear identification by analysts, brokers, and retail investors. Official announcements relating to results, dividends, governance matters, and other price-sensitive developments are released through the exchange disclosure platform and then reproduced on the investor relations section of the company website for ease of access. Market capitalization fluctuates with share price and changes in issued shares, including any treasury share activity or employee plan settlements, but the underlying listing framework remained unchanged during the reporting year. This continuity supports comparability in trading data and helps investors evaluate performance over time without the distortion that can arise from changes in listing venue, share class structure, or reporting identifier conventions.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4153"/>
        <w:gridCol w:w="4153"/>
      </w:tblGrid>
      <w:tr>
        <w:trPr>
          <w:tblHeader/>
        </w:trPr>
        <w:tc>
          <w:tcPr>
            <w:vAlign w:val="top"/>
            <w:tcBorders>
              <w:top w:val="single" w:sz="4" w:space="0" w:color="auto"/>
              <w:left w:val="single" w:sz="4" w:space="0" w:color="auto"/>
              <w:bottom w:val="single" w:sz="4" w:space="0" w:color="auto"/>
              <w:right w:val="single" w:sz="4" w:space="0" w:color="auto"/>
            </w:tcBorders>
          </w:tcPr>
          <w:p w14:paraId="00101838" w14:textId="00101858">
            <w:pPr>
              <w:pStyle w:val="Normal"/>
              <w:jc w:val="left"/>
            </w:pPr>
            <w:r>
              <w:t xml:space="preserve">Exchange</w:t>
            </w:r>
          </w:p>
        </w:tc>
        <w:tc>
          <w:tcPr>
            <w:vAlign w:val="center"/>
            <w:tcBorders>
              <w:top w:val="single" w:sz="4" w:space="0" w:color="auto"/>
              <w:left w:val="single" w:sz="4" w:space="0" w:color="auto"/>
              <w:bottom w:val="single" w:sz="4" w:space="0" w:color="auto"/>
              <w:right w:val="single" w:sz="4" w:space="0" w:color="auto"/>
            </w:tcBorders>
          </w:tcPr>
          <w:p w14:paraId="0010183A" w14:textId="00101859">
            <w:pPr>
              <w:pStyle w:val="Normal"/>
              <w:jc w:val="left"/>
            </w:pPr>
            <w:r>
              <w:t xml:space="preserve">Rivermark Securities Exchange</w:t>
            </w:r>
          </w:p>
        </w:tc>
      </w:tr>
      <w:tr>
        <w:tc>
          <w:tcPr>
            <w:vAlign w:val="top"/>
            <w:tcBorders>
              <w:top w:val="single" w:sz="4" w:space="0" w:color="auto"/>
              <w:left w:val="single" w:sz="4" w:space="0" w:color="auto"/>
              <w:bottom w:val="single" w:sz="4" w:space="0" w:color="auto"/>
              <w:right w:val="single" w:sz="4" w:space="0" w:color="auto"/>
            </w:tcBorders>
          </w:tcPr>
          <w:p w14:paraId="0010183C" w14:textId="0010185A">
            <w:pPr>
              <w:pStyle w:val="Normal"/>
              <w:jc w:val="left"/>
            </w:pPr>
            <w:r>
              <w:t xml:space="preserve">Ticker</w:t>
            </w:r>
          </w:p>
        </w:tc>
        <w:tc>
          <w:tcPr>
            <w:vAlign w:val="center"/>
            <w:tcBorders>
              <w:top w:val="single" w:sz="4" w:space="0" w:color="auto"/>
              <w:left w:val="single" w:sz="4" w:space="0" w:color="auto"/>
              <w:bottom w:val="single" w:sz="4" w:space="0" w:color="auto"/>
              <w:right w:val="single" w:sz="4" w:space="0" w:color="auto"/>
            </w:tcBorders>
          </w:tcPr>
          <w:p w14:paraId="0010183E" w14:textId="0010185B">
            <w:pPr>
              <w:pStyle w:val="Normal"/>
              <w:jc w:val="left"/>
            </w:pPr>
            <w:r>
              <w:t xml:space="preserve">RMH</w:t>
            </w:r>
          </w:p>
        </w:tc>
      </w:tr>
      <w:tr>
        <w:tc>
          <w:tcPr>
            <w:vAlign w:val="top"/>
            <w:tcBorders>
              <w:top w:val="single" w:sz="4" w:space="0" w:color="auto"/>
              <w:left w:val="single" w:sz="4" w:space="0" w:color="auto"/>
              <w:bottom w:val="single" w:sz="4" w:space="0" w:color="auto"/>
              <w:right w:val="single" w:sz="4" w:space="0" w:color="auto"/>
            </w:tcBorders>
          </w:tcPr>
          <w:p w14:paraId="00101840" w14:textId="0010185C">
            <w:pPr>
              <w:pStyle w:val="Normal"/>
              <w:jc w:val="left"/>
            </w:pPr>
            <w:r>
              <w:t xml:space="preserve">ISIN</w:t>
            </w:r>
          </w:p>
        </w:tc>
        <w:tc>
          <w:tcPr>
            <w:vAlign w:val="center"/>
            <w:tcBorders>
              <w:top w:val="single" w:sz="4" w:space="0" w:color="auto"/>
              <w:left w:val="single" w:sz="4" w:space="0" w:color="auto"/>
              <w:bottom w:val="single" w:sz="4" w:space="0" w:color="auto"/>
              <w:right w:val="single" w:sz="4" w:space="0" w:color="auto"/>
            </w:tcBorders>
          </w:tcPr>
          <w:p w14:paraId="00101842" w14:textId="0010185D">
            <w:pPr>
              <w:pStyle w:val="Normal"/>
              <w:jc w:val="left"/>
            </w:pPr>
            <w:r>
              <w:t xml:space="preserve">RMH00011427</w:t>
            </w:r>
          </w:p>
        </w:tc>
      </w:tr>
      <w:tr>
        <w:tc>
          <w:tcPr>
            <w:vAlign w:val="top"/>
            <w:tcBorders>
              <w:top w:val="single" w:sz="4" w:space="0" w:color="auto"/>
              <w:left w:val="single" w:sz="4" w:space="0" w:color="auto"/>
              <w:bottom w:val="single" w:sz="4" w:space="0" w:color="auto"/>
              <w:right w:val="single" w:sz="4" w:space="0" w:color="auto"/>
            </w:tcBorders>
          </w:tcPr>
          <w:p w14:paraId="00101844" w14:textId="0010185E">
            <w:pPr>
              <w:pStyle w:val="Normal"/>
              <w:jc w:val="left"/>
            </w:pPr>
            <w:r>
              <w:t xml:space="preserve">Share class</w:t>
            </w:r>
          </w:p>
        </w:tc>
        <w:tc>
          <w:tcPr>
            <w:vAlign w:val="center"/>
            <w:tcBorders>
              <w:top w:val="single" w:sz="4" w:space="0" w:color="auto"/>
              <w:left w:val="single" w:sz="4" w:space="0" w:color="auto"/>
              <w:bottom w:val="single" w:sz="4" w:space="0" w:color="auto"/>
              <w:right w:val="single" w:sz="4" w:space="0" w:color="auto"/>
            </w:tcBorders>
          </w:tcPr>
          <w:p w14:paraId="00101846" w14:textId="0010185F">
            <w:pPr>
              <w:pStyle w:val="Normal"/>
              <w:jc w:val="left"/>
            </w:pPr>
            <w:r>
              <w:t xml:space="preserve">Ordinary shares</w:t>
            </w:r>
          </w:p>
        </w:tc>
      </w:tr>
      <w:tr>
        <w:tc>
          <w:tcPr>
            <w:vAlign w:val="top"/>
            <w:tcBorders>
              <w:top w:val="single" w:sz="4" w:space="0" w:color="auto"/>
              <w:left w:val="single" w:sz="4" w:space="0" w:color="auto"/>
              <w:bottom w:val="single" w:sz="4" w:space="0" w:color="auto"/>
              <w:right w:val="single" w:sz="4" w:space="0" w:color="auto"/>
            </w:tcBorders>
          </w:tcPr>
          <w:p w14:paraId="00101848" w14:textId="00101860">
            <w:pPr>
              <w:pStyle w:val="Normal"/>
              <w:jc w:val="left"/>
            </w:pPr>
            <w:r>
              <w:t xml:space="preserve">Listing currency</w:t>
            </w:r>
          </w:p>
        </w:tc>
        <w:tc>
          <w:tcPr>
            <w:vAlign w:val="center"/>
            <w:tcBorders>
              <w:top w:val="single" w:sz="4" w:space="0" w:color="auto"/>
              <w:left w:val="single" w:sz="4" w:space="0" w:color="auto"/>
              <w:bottom w:val="single" w:sz="4" w:space="0" w:color="auto"/>
              <w:right w:val="single" w:sz="4" w:space="0" w:color="auto"/>
            </w:tcBorders>
          </w:tcPr>
          <w:p w14:paraId="0010184A" w14:textId="00101861">
            <w:pPr>
              <w:pStyle w:val="Normal"/>
              <w:jc w:val="left"/>
            </w:pPr>
            <w:r>
              <w:t xml:space="preserve">Rivermark dollars (R$)</w:t>
            </w:r>
          </w:p>
        </w:tc>
      </w:tr>
      <w:tr>
        <w:tc>
          <w:tcPr>
            <w:vAlign w:val="top"/>
            <w:tcBorders>
              <w:top w:val="single" w:sz="4" w:space="0" w:color="auto"/>
              <w:left w:val="single" w:sz="4" w:space="0" w:color="auto"/>
              <w:bottom w:val="single" w:sz="4" w:space="0" w:color="auto"/>
              <w:right w:val="single" w:sz="4" w:space="0" w:color="auto"/>
            </w:tcBorders>
          </w:tcPr>
          <w:p w14:paraId="0010184C" w14:textId="00101862">
            <w:pPr>
              <w:pStyle w:val="Normal"/>
              <w:jc w:val="left"/>
            </w:pPr>
            <w:r>
              <w:t xml:space="preserve">Registrar</w:t>
            </w:r>
          </w:p>
        </w:tc>
        <w:tc>
          <w:tcPr>
            <w:vAlign w:val="center"/>
            <w:tcBorders>
              <w:top w:val="single" w:sz="4" w:space="0" w:color="auto"/>
              <w:left w:val="single" w:sz="4" w:space="0" w:color="auto"/>
              <w:bottom w:val="single" w:sz="4" w:space="0" w:color="auto"/>
              <w:right w:val="single" w:sz="4" w:space="0" w:color="auto"/>
            </w:tcBorders>
          </w:tcPr>
          <w:p w14:paraId="0010184E" w14:textId="00101863">
            <w:pPr>
              <w:pStyle w:val="Normal"/>
              <w:jc w:val="left"/>
            </w:pPr>
            <w:r>
              <w:t xml:space="preserve">Harbor Registry Services Ltd.</w:t>
            </w:r>
          </w:p>
        </w:tc>
      </w:tr>
      <w:tr>
        <w:tc>
          <w:tcPr>
            <w:vAlign w:val="top"/>
            <w:tcBorders>
              <w:top w:val="single" w:sz="4" w:space="0" w:color="auto"/>
              <w:left w:val="single" w:sz="4" w:space="0" w:color="auto"/>
              <w:bottom w:val="single" w:sz="4" w:space="0" w:color="auto"/>
              <w:right w:val="single" w:sz="4" w:space="0" w:color="auto"/>
            </w:tcBorders>
          </w:tcPr>
          <w:p w14:paraId="00101850" w14:textId="00101864">
            <w:pPr>
              <w:pStyle w:val="Normal"/>
              <w:jc w:val="left"/>
            </w:pPr>
            <w:r>
              <w:t xml:space="preserve">Registered office</w:t>
            </w:r>
          </w:p>
        </w:tc>
        <w:tc>
          <w:tcPr>
            <w:vAlign w:val="center"/>
            <w:tcBorders>
              <w:top w:val="single" w:sz="4" w:space="0" w:color="auto"/>
              <w:left w:val="single" w:sz="4" w:space="0" w:color="auto"/>
              <w:bottom w:val="single" w:sz="4" w:space="0" w:color="auto"/>
              <w:right w:val="single" w:sz="4" w:space="0" w:color="auto"/>
            </w:tcBorders>
          </w:tcPr>
          <w:p w14:paraId="00101852" w14:textId="00101865">
            <w:pPr>
              <w:pStyle w:val="Normal"/>
              <w:jc w:val="left"/>
            </w:pPr>
            <w:r>
              <w:t xml:space="preserve">88 Meridian Quay, Northport</w:t>
            </w:r>
          </w:p>
        </w:tc>
      </w:tr>
      <w:tr>
        <w:tc>
          <w:tcPr>
            <w:vAlign w:val="top"/>
            <w:tcBorders>
              <w:top w:val="single" w:sz="4" w:space="0" w:color="auto"/>
              <w:left w:val="single" w:sz="4" w:space="0" w:color="auto"/>
              <w:bottom w:val="single" w:sz="4" w:space="0" w:color="auto"/>
              <w:right w:val="single" w:sz="4" w:space="0" w:color="auto"/>
            </w:tcBorders>
          </w:tcPr>
          <w:p w14:paraId="00101854" w14:textId="00101866">
            <w:pPr>
              <w:pStyle w:val="Normal"/>
              <w:jc w:val="left"/>
            </w:pPr>
            <w:r>
              <w:t xml:space="preserve">Investor relations contact</w:t>
            </w:r>
          </w:p>
        </w:tc>
        <w:tc>
          <w:tcPr>
            <w:vAlign w:val="center"/>
            <w:tcBorders>
              <w:top w:val="single" w:sz="4" w:space="0" w:color="auto"/>
              <w:left w:val="single" w:sz="4" w:space="0" w:color="auto"/>
              <w:bottom w:val="single" w:sz="4" w:space="0" w:color="auto"/>
              <w:right w:val="single" w:sz="4" w:space="0" w:color="auto"/>
            </w:tcBorders>
          </w:tcPr>
          <w:p w14:paraId="00101856" w14:textId="00101867">
            <w:pPr>
              <w:pStyle w:val="Normal"/>
              <w:jc w:val="left"/>
            </w:pPr>
            <w:r>
              <w:t xml:space="preserve">investors@rivermarkholdings.com</w:t>
            </w:r>
          </w:p>
        </w:tc>
      </w:tr>
    </w:tbl>
    <w:p w14:paraId="00101868" w14:textId="00101869">
      <w:pPr>
        <w:pStyle w:val="Normal"/>
        <w:jc w:val="left"/>
      </w:pPr>
      <w:r>
        <w:t xml:space="preserve">Table 41 Listing and registrar details</w:t>
      </w:r>
    </w:p>
    <w:p w14:paraId="0010186A" w14:textId="0010186B">
      <w:pPr>
        <w:pStyle w:val="Normal"/>
        <w:jc w:val="left"/>
      </w:pPr>
      <w:r>
        <w:t xml:space="preserve">11.1.2 Market Performance</w:t>
      </w:r>
    </w:p>
    <w:p w14:paraId="0010186C" w14:textId="0010186D">
      <w:pPr>
        <w:pStyle w:val="Normal"/>
        <w:jc w:val="left"/>
      </w:pPr>
      <w:r>
        <w:t xml:space="preserve">Rivermark Holdings’ share-price performance during the year reflected a combination of operating delivery, market sentiment toward industrial and infrastructure exposures, and broader movements in interest-rate expectations. The share price trended upward in the first half as investors responded positively to improving cash conversion, disciplined capital allocation, and stronger order execution in Infrastructure Services. Trading moderated in the third quarter when sector valuations softened, but liquidity remained orderly and daily turnover stayed well distributed across institutional and private investors.</w:t>
      </w:r>
    </w:p>
    <w:p w14:paraId="0010186E" w14:textId="0010186F">
      <w:pPr>
        <w:pStyle w:val="Normal"/>
        <w:jc w:val="left"/>
      </w:pPr>
      <w:r>
        <w:t xml:space="preserve">Over the full year, total shareholder return outperformed the group’s internal planning assumption, supported by earnings resilience, stable distributions, and confidence in the group’s portfolio balance across Industrial Solutions, Consumer Platforms, and Infrastructure Services. Volatility was higher around results announcements and strategy updates, which is consistent with the pattern of price discovery in a company with multiple operating segments and a visible acquisition and investment pipeline. Bid-ask spreads remained within acceptable ranges for the company’s market capitalization band, indicating continued market depth.</w:t>
      </w:r>
    </w:p>
    <w:p w14:paraId="00101870" w14:textId="00101871">
      <w:pPr>
        <w:pStyle w:val="Normal"/>
        <w:jc w:val="left"/>
      </w:pPr>
      <w:r>
        <w:t xml:space="preserve">Management monitors price performance alongside trading volumes, free float activity, analyst coverage, and shareholder composition rather than treating the closing price in isolation. This broader view helps distinguish temporary market movements from changes in underlying investor conviction. Taken together, the year’s market indicators suggest that Rivermark entered the next reporting period with sound market access, credible equity support, and an investor base that remains responsive to consistent execution and transparent communication.</w:t>
      </w:r>
    </w:p>
    <w:p w14:paraId="00101872" w14:textId="00101873">
      <w:pPr>
        <w:pStyle w:val="Normal"/>
        <w:jc w:val="left"/>
      </w:pPr>
      <w:r>
        <w:drawing>
          <wp:inline distT="0" distB="0" distL="0" distR="0">
            <wp:extent cx="3600000" cy="3600000"/>
            <wp:effectExtent l="0" t="0" r="0" b="0"/>
            <wp:docPr id="25" name="Fig-I15-01.png" descr=""/>
            <wp:cNvGraphicFramePr>
              <a:graphicFrameLocks noChangeAspect="1"/>
            </wp:cNvGraphicFramePr>
            <a:graphic>
              <a:graphicData uri="http://schemas.openxmlformats.org/drawingml/2006/picture">
                <pic:pic>
                  <pic:nvPicPr>
                    <pic:cNvPr id="25" name="Fig-I15-01.png"/>
                    <pic:cNvPicPr/>
                  </pic:nvPicPr>
                  <pic:blipFill>
                    <a:blip r:embed="R75da2b7e89ec4d94" cstate="print"/>
                    <a:stretch>
                      <a:fillRect/>
                    </a:stretch>
                  </pic:blipFill>
                  <pic:spPr>
                    <a:xfrm>
                      <a:off x="0" y="0"/>
                      <a:ext cx="3960000" cy="3960000"/>
                    </a:xfrm>
                    <a:prstGeom prst="rect">
                      <a:avLst/>
                    </a:prstGeom>
                  </pic:spPr>
                </pic:pic>
              </a:graphicData>
            </a:graphic>
          </wp:inline>
        </w:drawing>
      </w:r>
    </w:p>
    <w:p w14:paraId="00101874" w14:textId="00101875">
      <w:pPr>
        <w:pStyle w:val="Normal"/>
        <w:jc w:val="left"/>
      </w:pPr>
      <w:r>
        <w:t xml:space="preserve">Figure 27 Share-price and total shareholder return trend</w:t>
      </w:r>
    </w:p>
    <w:p w14:paraId="00101876" w14:textId="00101877">
      <w:pPr>
        <w:pStyle w:val="Normal"/>
        <w:jc w:val="left"/>
      </w:pPr>
      <w:r>
        <w:t xml:space="preserve">11. Investor Calendar</w:t>
      </w:r>
    </w:p>
    <w:p w14:paraId="00101878" w14:textId="00101879">
      <w:pPr>
        <w:pStyle w:val="Normal"/>
        <w:jc w:val="left"/>
      </w:pPr>
      <w:r>
        <w:t xml:space="preserve">The investor calendar is designed to give shareholders, analysts, lenders, and other market participants a clear timetable for principal reporting and governance events in the coming cycle. Rivermark Holdings publishes scheduled dates for annual results, the annual general meeting, interim reporting, dividend-related milestones, and related shareholder administration deadlines. Maintaining an orderly calendar supports equal access to information, improves participation planning, and reduces uncertainty around key corporate actions.</w:t>
      </w:r>
    </w:p>
    <w:p w14:paraId="0010187A" w14:textId="0010187B">
      <w:pPr>
        <w:pStyle w:val="Normal"/>
        <w:jc w:val="left"/>
      </w:pPr>
      <w:r>
        <w:t xml:space="preserve">In addition to formal dates, the group provides practical investor resources through its corporate website, the investor relations mailbox, and the appointed share registrar. These channels are intended to help holders confirm balances, update registration details, receive notices, and obtain copies of results materials and meeting documentation. The calendar therefore operates as both a compliance tool and a service mechanism, linking statutory obligations with routine shareholder support.</w:t>
      </w:r>
    </w:p>
    <w:p w14:paraId="0010187C" w14:textId="0010187D">
      <w:pPr>
        <w:pStyle w:val="Normal"/>
        <w:jc w:val="left"/>
      </w:pPr>
      <w:r>
        <w:t xml:space="preserve">Dates may be refined when required by market conditions, exchange procedures, or board approval timing; where this occurs, Rivermark updates the relevant notices promptly through normal disclosure channels. The company’s objective is to ensure that investors can track reporting events, exercise voting rights, and manage distribution entitlements with sufficient notice and consistent reference points throughout the year.</w:t>
      </w:r>
    </w:p>
    <w:p w14:paraId="0010187E" w14:textId="0010187F">
      <w:pPr>
        <w:pStyle w:val="Normal"/>
        <w:jc w:val="left"/>
      </w:pPr>
      <w:r>
        <w:t xml:space="preserve">11.2 Key Dates</w:t>
      </w:r>
    </w:p>
    <w:p w14:paraId="00101880" w14:textId="00101881">
      <w:pPr>
        <w:pStyle w:val="Normal"/>
        <w:jc w:val="left"/>
      </w:pPr>
      <w:r>
        <w:t xml:space="preserve">Key dates in the reporting cycle are arranged to align financial reporting, governance approvals, and shareholder decision points. The annual results announcement is expected to be released first, allowing the market to assess full-year performance before formal meeting materials are circulated. This sequencing supports informed voting on director elections, dividend matters, and other resolutions to be considered at the annual meeting.</w:t>
      </w:r>
    </w:p>
    <w:p w14:paraId="00101882" w14:textId="00101883">
      <w:pPr>
        <w:pStyle w:val="Normal"/>
        <w:jc w:val="left"/>
      </w:pPr>
      <w:r>
        <w:t xml:space="preserve">Following the results release, the notice of meeting, proxy materials, and relevant explanatory documents are made available through the company website and the registrar’s shareholder portal. Record dates for attendance eligibility and dividend entitlements are set in accordance with listing rules and registry cut-off procedures. Ex-dividend and payment dates are then positioned to provide an orderly administrative window between board declaration, market trading adjustments, and cash distribution.</w:t>
      </w:r>
    </w:p>
    <w:p w14:paraId="00101884" w14:textId="00101885">
      <w:pPr>
        <w:pStyle w:val="Normal"/>
        <w:jc w:val="left"/>
      </w:pPr>
      <w:r>
        <w:t xml:space="preserve">Rivermark uses this timetable to coordinate internal reporting, auditor completion steps, board review sessions, and investor communication activities. While the exact calendar may vary modestly from year to year, the company seeks to preserve a predictable cadence so that institutional and retail investors can plan voting, cash management, and engagement activity without unnecessary disruption.</w:t>
      </w:r>
    </w:p>
    <w:p w14:paraId="00101886" w14:textId="00101887">
      <w:pPr>
        <w:pStyle w:val="Normal"/>
        <w:jc w:val="left"/>
      </w:pPr>
      <w:r>
        <w:t xml:space="preserve">11.2.1 Annual Meeting</w:t>
      </w:r>
    </w:p>
    <w:p w14:paraId="00101888" w14:textId="00101889">
      <w:pPr>
        <w:pStyle w:val="Normal"/>
        <w:jc w:val="left"/>
      </w:pPr>
      <w:r>
        <w:t xml:space="preserve">The annual general meeting is the primary formal forum through which shareholders exercise governance rights and receive direct updates from the board and executive leadership. The meeting will be held in Northport at a venue selected for accessibility, capacity, and secure registration handling, with timing intended to accommodate both institutional representatives and individual investors. Meeting materials, including the agenda, explanatory notes, proxy form, and any supporting resolutions, are issued in advance through the company’s standard disclosure channels.</w:t>
      </w:r>
    </w:p>
    <w:p w14:paraId="0010188A" w14:textId="0010188B">
      <w:pPr>
        <w:pStyle w:val="Normal"/>
        <w:jc w:val="left"/>
      </w:pPr>
      <w:r>
        <w:t xml:space="preserve">The chair of the board is expected to open the meeting and provide an overview of governance matters, after which the Chief Executive Officer and Chief Financial Officer typically address operating performance, capital allocation, and strategic priorities. Committee chairs are available to respond to questions relevant to audit, risk, remuneration, ethics, and succession oversight. This structure is intended to ensure that shareholder questions can be directed to the individuals responsible for the relevant area of oversight.</w:t>
      </w:r>
    </w:p>
    <w:p w14:paraId="0010188C" w14:textId="0010188D">
      <w:pPr>
        <w:pStyle w:val="Normal"/>
        <w:jc w:val="left"/>
      </w:pPr>
      <w:r>
        <w:t xml:space="preserve">Attendance is subject to the applicable record date and verification procedures administered by Harbor Registry Services Ltd. Shareholders are encouraged to review documentation early, particularly where nominee holdings, corporate representatives, or custodial arrangements require additional evidence of authority. By combining formal resolutions with open discussion, the meeting remains an important mechanism for accountability, transparency, and shareholder participation in the governance of Rivermark Holdings.</w:t>
      </w:r>
    </w:p>
    <w:p w14:paraId="0010188E" w14:textId="0010188F">
      <w:pPr>
        <w:pStyle w:val="Normal"/>
        <w:jc w:val="left"/>
      </w:pPr>
      <w:r>
        <w:t xml:space="preserve">Shareholders who cannot attend in person may still participate through proxy appointment and other approved attendance methods described in the notice of meeting. Proxy instructions must be lodged by the published deadline to allow verification and orderly tabulation before the meeting opens. Where permitted under the meeting rules, shareholders may appoint the chair or another named representative to vote on their behalf, with specific directions on each resolution or discretion where no direction is provided.</w:t>
      </w:r>
    </w:p>
    <w:p w14:paraId="00101890" w14:textId="00101891">
      <w:pPr>
        <w:pStyle w:val="Normal"/>
        <w:jc w:val="left"/>
      </w:pPr>
      <w:r>
        <w:t xml:space="preserve">For beneficial owners holding shares through custodians, brokers, or other nominees, participation arrangements may require earlier internal deadlines than the company’s formal cut-off time. Investors using these channels should therefore consult their intermediary promptly to avoid losing the opportunity to vote or submit questions. Corporate shareholders must ensure that their appointed representative carries the necessary authorization documents in a form acceptable to the registrar.</w:t>
      </w:r>
    </w:p>
    <w:p w14:paraId="00101892" w14:textId="00101893">
      <w:pPr>
        <w:pStyle w:val="Normal"/>
        <w:jc w:val="left"/>
      </w:pPr>
      <w:r>
        <w:t xml:space="preserve">Rivermark encourages shareholders to submit questions in advance when possible, particularly on technical matters relating to the financial statements, remuneration outcomes, or procedural resolutions. Early submission helps the company prepare complete responses and manage meeting time efficiently while preserving the opportunity for live discussion. Clear proxy and participation guidance is intended to improve turnout, support valid voting outcomes, and ensure that shareholder rights can be exercised effectively regardless of attendance format.</w:t>
      </w:r>
    </w:p>
    <w:p w14:paraId="00101894" w14:textId="00101895">
      <w:pPr>
        <w:pStyle w:val="Normal"/>
        <w:jc w:val="left"/>
      </w:pPr>
      <w:r>
        <w:t xml:space="preserve">11.2.1 Distribution Dates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768"/>
        <w:gridCol w:w="2768"/>
        <w:gridCol w:w="2768"/>
      </w:tblGrid>
      <w:tr>
        <w:trPr>
          <w:tblHeader/>
        </w:trPr>
        <w:tc>
          <w:tcPr>
            <w:vAlign w:val="center"/>
            <w:tcBorders>
              <w:top w:val="single" w:sz="4" w:space="0" w:color="auto"/>
              <w:left w:val="single" w:sz="4" w:space="0" w:color="auto"/>
              <w:bottom w:val="single" w:sz="4" w:space="0" w:color="auto"/>
              <w:right w:val="single" w:sz="4" w:space="0" w:color="auto"/>
            </w:tcBorders>
          </w:tcPr>
          <w:p w14:paraId="00101896" w14:textId="001018C0">
            <w:pPr>
              <w:pStyle w:val="Normal"/>
              <w:jc w:val="left"/>
            </w:pPr>
            <w:r>
              <w:t xml:space="preserve">Distribution event</w:t>
            </w:r>
          </w:p>
        </w:tc>
        <w:tc>
          <w:tcPr>
            <w:vAlign w:val="center"/>
            <w:tcBorders>
              <w:top w:val="single" w:sz="4" w:space="0" w:color="auto"/>
              <w:left w:val="single" w:sz="4" w:space="0" w:color="auto"/>
              <w:bottom w:val="single" w:sz="4" w:space="0" w:color="auto"/>
              <w:right w:val="single" w:sz="4" w:space="0" w:color="auto"/>
            </w:tcBorders>
          </w:tcPr>
          <w:p w14:paraId="00101898" w14:textId="001018C1">
            <w:pPr>
              <w:pStyle w:val="Normal"/>
              <w:jc w:val="left"/>
            </w:pPr>
            <w:r>
              <w:t xml:space="preserve">2024 final dividend</w:t>
            </w:r>
          </w:p>
        </w:tc>
        <w:tc>
          <w:tcPr>
            <w:vAlign w:val="center"/>
            <w:tcBorders>
              <w:top w:val="single" w:sz="4" w:space="0" w:color="auto"/>
              <w:left w:val="single" w:sz="4" w:space="0" w:color="auto"/>
              <w:bottom w:val="single" w:sz="4" w:space="0" w:color="auto"/>
              <w:right w:val="single" w:sz="4" w:space="0" w:color="auto"/>
            </w:tcBorders>
          </w:tcPr>
          <w:p w14:paraId="0010189A" w14:textId="001018C2">
            <w:pPr>
              <w:pStyle w:val="Normal"/>
              <w:jc w:val="left"/>
            </w:pPr>
            <w:r>
              <w:t xml:space="preserve">2025 interim dividend</w:t>
            </w:r>
          </w:p>
        </w:tc>
      </w:tr>
      <w:tr>
        <w:tc>
          <w:tcPr>
            <w:vAlign w:val="top"/>
            <w:tcBorders>
              <w:top w:val="single" w:sz="4" w:space="0" w:color="auto"/>
              <w:left w:val="single" w:sz="4" w:space="0" w:color="auto"/>
              <w:bottom w:val="single" w:sz="4" w:space="0" w:color="auto"/>
              <w:right w:val="single" w:sz="4" w:space="0" w:color="auto"/>
            </w:tcBorders>
          </w:tcPr>
          <w:p w14:paraId="0010189C" w14:textId="001018C3">
            <w:pPr>
              <w:pStyle w:val="Normal"/>
              <w:jc w:val="left"/>
            </w:pPr>
            <w:r>
              <w:t xml:space="preserve">Declaration date</w:t>
            </w:r>
          </w:p>
        </w:tc>
        <w:tc>
          <w:tcPr>
            <w:vAlign w:val="center"/>
            <w:tcBorders>
              <w:top w:val="single" w:sz="4" w:space="0" w:color="auto"/>
              <w:left w:val="single" w:sz="4" w:space="0" w:color="auto"/>
              <w:bottom w:val="single" w:sz="4" w:space="0" w:color="auto"/>
              <w:right w:val="single" w:sz="4" w:space="0" w:color="auto"/>
            </w:tcBorders>
          </w:tcPr>
          <w:p w14:paraId="0010189E" w14:textId="001018C4">
            <w:pPr>
              <w:pStyle w:val="Normal"/>
              <w:jc w:val="left"/>
            </w:pPr>
            <w:r>
              <w:t xml:space="preserve">28 February 2025</w:t>
            </w:r>
          </w:p>
        </w:tc>
        <w:tc>
          <w:tcPr>
            <w:vAlign w:val="center"/>
            <w:tcBorders>
              <w:top w:val="single" w:sz="4" w:space="0" w:color="auto"/>
              <w:left w:val="single" w:sz="4" w:space="0" w:color="auto"/>
              <w:bottom w:val="single" w:sz="4" w:space="0" w:color="auto"/>
              <w:right w:val="single" w:sz="4" w:space="0" w:color="auto"/>
            </w:tcBorders>
          </w:tcPr>
          <w:p w14:paraId="001018A0" w14:textId="001018C5">
            <w:pPr>
              <w:pStyle w:val="Normal"/>
              <w:jc w:val="left"/>
            </w:pPr>
            <w:r>
              <w:t xml:space="preserve">22 August 2025</w:t>
            </w:r>
          </w:p>
        </w:tc>
      </w:tr>
      <w:tr>
        <w:tc>
          <w:tcPr>
            <w:vAlign w:val="top"/>
            <w:tcBorders>
              <w:top w:val="single" w:sz="4" w:space="0" w:color="auto"/>
              <w:left w:val="single" w:sz="4" w:space="0" w:color="auto"/>
              <w:bottom w:val="single" w:sz="4" w:space="0" w:color="auto"/>
              <w:right w:val="single" w:sz="4" w:space="0" w:color="auto"/>
            </w:tcBorders>
          </w:tcPr>
          <w:p w14:paraId="001018A2" w14:textId="001018C6">
            <w:pPr>
              <w:pStyle w:val="Normal"/>
              <w:jc w:val="left"/>
            </w:pPr>
            <w:r>
              <w:t xml:space="preserve">Ex-dividend date</w:t>
            </w:r>
          </w:p>
        </w:tc>
        <w:tc>
          <w:tcPr>
            <w:vAlign w:val="center"/>
            <w:tcBorders>
              <w:top w:val="single" w:sz="4" w:space="0" w:color="auto"/>
              <w:left w:val="single" w:sz="4" w:space="0" w:color="auto"/>
              <w:bottom w:val="single" w:sz="4" w:space="0" w:color="auto"/>
              <w:right w:val="single" w:sz="4" w:space="0" w:color="auto"/>
            </w:tcBorders>
          </w:tcPr>
          <w:p w14:paraId="001018A4" w14:textId="001018C7">
            <w:pPr>
              <w:pStyle w:val="Normal"/>
              <w:jc w:val="left"/>
            </w:pPr>
            <w:r>
              <w:t xml:space="preserve">10 April 2025</w:t>
            </w:r>
          </w:p>
        </w:tc>
        <w:tc>
          <w:tcPr>
            <w:vAlign w:val="center"/>
            <w:tcBorders>
              <w:top w:val="single" w:sz="4" w:space="0" w:color="auto"/>
              <w:left w:val="single" w:sz="4" w:space="0" w:color="auto"/>
              <w:bottom w:val="single" w:sz="4" w:space="0" w:color="auto"/>
              <w:right w:val="single" w:sz="4" w:space="0" w:color="auto"/>
            </w:tcBorders>
          </w:tcPr>
          <w:p w14:paraId="001018A6" w14:textId="001018C8">
            <w:pPr>
              <w:pStyle w:val="Normal"/>
              <w:jc w:val="left"/>
            </w:pPr>
            <w:r>
              <w:t xml:space="preserve">9 October 2025</w:t>
            </w:r>
          </w:p>
        </w:tc>
      </w:tr>
      <w:tr>
        <w:tc>
          <w:tcPr>
            <w:vAlign w:val="top"/>
            <w:tcBorders>
              <w:top w:val="single" w:sz="4" w:space="0" w:color="auto"/>
              <w:left w:val="single" w:sz="4" w:space="0" w:color="auto"/>
              <w:bottom w:val="single" w:sz="4" w:space="0" w:color="auto"/>
              <w:right w:val="single" w:sz="4" w:space="0" w:color="auto"/>
            </w:tcBorders>
          </w:tcPr>
          <w:p w14:paraId="001018A8" w14:textId="001018C9">
            <w:pPr>
              <w:pStyle w:val="Normal"/>
              <w:jc w:val="left"/>
            </w:pPr>
            <w:r>
              <w:t xml:space="preserve">Record date</w:t>
            </w:r>
          </w:p>
        </w:tc>
        <w:tc>
          <w:tcPr>
            <w:vAlign w:val="center"/>
            <w:tcBorders>
              <w:top w:val="single" w:sz="4" w:space="0" w:color="auto"/>
              <w:left w:val="single" w:sz="4" w:space="0" w:color="auto"/>
              <w:bottom w:val="single" w:sz="4" w:space="0" w:color="auto"/>
              <w:right w:val="single" w:sz="4" w:space="0" w:color="auto"/>
            </w:tcBorders>
          </w:tcPr>
          <w:p w14:paraId="001018AA" w14:textId="001018CA">
            <w:pPr>
              <w:pStyle w:val="Normal"/>
              <w:jc w:val="left"/>
            </w:pPr>
            <w:r>
              <w:t xml:space="preserve">11 April 2025</w:t>
            </w:r>
          </w:p>
        </w:tc>
        <w:tc>
          <w:tcPr>
            <w:vAlign w:val="center"/>
            <w:tcBorders>
              <w:top w:val="single" w:sz="4" w:space="0" w:color="auto"/>
              <w:left w:val="single" w:sz="4" w:space="0" w:color="auto"/>
              <w:bottom w:val="single" w:sz="4" w:space="0" w:color="auto"/>
              <w:right w:val="single" w:sz="4" w:space="0" w:color="auto"/>
            </w:tcBorders>
          </w:tcPr>
          <w:p w14:paraId="001018AC" w14:textId="001018CB">
            <w:pPr>
              <w:pStyle w:val="Normal"/>
              <w:jc w:val="left"/>
            </w:pPr>
            <w:r>
              <w:t xml:space="preserve">10 October 2025</w:t>
            </w:r>
          </w:p>
        </w:tc>
      </w:tr>
      <w:tr>
        <w:tc>
          <w:tcPr>
            <w:vAlign w:val="top"/>
            <w:tcBorders>
              <w:top w:val="single" w:sz="4" w:space="0" w:color="auto"/>
              <w:left w:val="single" w:sz="4" w:space="0" w:color="auto"/>
              <w:bottom w:val="single" w:sz="4" w:space="0" w:color="auto"/>
              <w:right w:val="single" w:sz="4" w:space="0" w:color="auto"/>
            </w:tcBorders>
          </w:tcPr>
          <w:p w14:paraId="001018AE" w14:textId="001018CC">
            <w:pPr>
              <w:pStyle w:val="Normal"/>
              <w:jc w:val="left"/>
            </w:pPr>
            <w:r>
              <w:t xml:space="preserve">Election deadline for dividend reinvestment plan</w:t>
            </w:r>
          </w:p>
        </w:tc>
        <w:tc>
          <w:tcPr>
            <w:vAlign w:val="center"/>
            <w:tcBorders>
              <w:top w:val="single" w:sz="4" w:space="0" w:color="auto"/>
              <w:left w:val="single" w:sz="4" w:space="0" w:color="auto"/>
              <w:bottom w:val="single" w:sz="4" w:space="0" w:color="auto"/>
              <w:right w:val="single" w:sz="4" w:space="0" w:color="auto"/>
            </w:tcBorders>
          </w:tcPr>
          <w:p w14:paraId="001018B0" w14:textId="001018CD">
            <w:pPr>
              <w:pStyle w:val="Normal"/>
              <w:jc w:val="left"/>
            </w:pPr>
            <w:r>
              <w:t xml:space="preserve">17 April 2025</w:t>
            </w:r>
          </w:p>
        </w:tc>
        <w:tc>
          <w:tcPr>
            <w:vAlign w:val="center"/>
            <w:tcBorders>
              <w:top w:val="single" w:sz="4" w:space="0" w:color="auto"/>
              <w:left w:val="single" w:sz="4" w:space="0" w:color="auto"/>
              <w:bottom w:val="single" w:sz="4" w:space="0" w:color="auto"/>
              <w:right w:val="single" w:sz="4" w:space="0" w:color="auto"/>
            </w:tcBorders>
          </w:tcPr>
          <w:p w14:paraId="001018B2" w14:textId="001018CE">
            <w:pPr>
              <w:pStyle w:val="Normal"/>
              <w:jc w:val="left"/>
            </w:pPr>
            <w:r>
              <w:t xml:space="preserve">16 October 2025</w:t>
            </w:r>
          </w:p>
        </w:tc>
      </w:tr>
      <w:tr>
        <w:tc>
          <w:tcPr>
            <w:vAlign w:val="top"/>
            <w:tcBorders>
              <w:top w:val="single" w:sz="4" w:space="0" w:color="auto"/>
              <w:left w:val="single" w:sz="4" w:space="0" w:color="auto"/>
              <w:bottom w:val="single" w:sz="4" w:space="0" w:color="auto"/>
              <w:right w:val="single" w:sz="4" w:space="0" w:color="auto"/>
            </w:tcBorders>
          </w:tcPr>
          <w:p w14:paraId="001018B4" w14:textId="001018CF">
            <w:pPr>
              <w:pStyle w:val="Normal"/>
              <w:jc w:val="left"/>
            </w:pPr>
            <w:r>
              <w:t xml:space="preserve">Payment date</w:t>
            </w:r>
          </w:p>
        </w:tc>
        <w:tc>
          <w:tcPr>
            <w:vAlign w:val="center"/>
            <w:tcBorders>
              <w:top w:val="single" w:sz="4" w:space="0" w:color="auto"/>
              <w:left w:val="single" w:sz="4" w:space="0" w:color="auto"/>
              <w:bottom w:val="single" w:sz="4" w:space="0" w:color="auto"/>
              <w:right w:val="single" w:sz="4" w:space="0" w:color="auto"/>
            </w:tcBorders>
          </w:tcPr>
          <w:p w14:paraId="001018B6" w14:textId="001018D0">
            <w:pPr>
              <w:pStyle w:val="Normal"/>
              <w:jc w:val="left"/>
            </w:pPr>
            <w:r>
              <w:t xml:space="preserve">30 April 2025</w:t>
            </w:r>
          </w:p>
        </w:tc>
        <w:tc>
          <w:tcPr>
            <w:vAlign w:val="center"/>
            <w:tcBorders>
              <w:top w:val="single" w:sz="4" w:space="0" w:color="auto"/>
              <w:left w:val="single" w:sz="4" w:space="0" w:color="auto"/>
              <w:bottom w:val="single" w:sz="4" w:space="0" w:color="auto"/>
              <w:right w:val="single" w:sz="4" w:space="0" w:color="auto"/>
            </w:tcBorders>
          </w:tcPr>
          <w:p w14:paraId="001018B8" w14:textId="001018D1">
            <w:pPr>
              <w:pStyle w:val="Normal"/>
              <w:jc w:val="left"/>
            </w:pPr>
            <w:r>
              <w:t xml:space="preserve">31 October 2025</w:t>
            </w:r>
          </w:p>
        </w:tc>
      </w:tr>
      <w:tr>
        <w:tc>
          <w:tcPr>
            <w:vAlign w:val="top"/>
            <w:tcBorders>
              <w:top w:val="single" w:sz="4" w:space="0" w:color="auto"/>
              <w:left w:val="single" w:sz="4" w:space="0" w:color="auto"/>
              <w:bottom w:val="single" w:sz="4" w:space="0" w:color="auto"/>
              <w:right w:val="single" w:sz="4" w:space="0" w:color="auto"/>
            </w:tcBorders>
          </w:tcPr>
          <w:p w14:paraId="001018BA" w14:textId="001018D2">
            <w:pPr>
              <w:pStyle w:val="Normal"/>
              <w:jc w:val="left"/>
            </w:pPr>
            <w:r>
              <w:t xml:space="preserve">Expected currency conversion reference date for eligible foreign holders</w:t>
            </w:r>
          </w:p>
        </w:tc>
        <w:tc>
          <w:tcPr>
            <w:vAlign w:val="center"/>
            <w:tcBorders>
              <w:top w:val="single" w:sz="4" w:space="0" w:color="auto"/>
              <w:left w:val="single" w:sz="4" w:space="0" w:color="auto"/>
              <w:bottom w:val="single" w:sz="4" w:space="0" w:color="auto"/>
              <w:right w:val="single" w:sz="4" w:space="0" w:color="auto"/>
            </w:tcBorders>
          </w:tcPr>
          <w:p w14:paraId="001018BC" w14:textId="001018D3">
            <w:pPr>
              <w:pStyle w:val="Normal"/>
              <w:jc w:val="left"/>
            </w:pPr>
            <w:r>
              <w:t xml:space="preserve">24 April 2025</w:t>
            </w:r>
          </w:p>
        </w:tc>
        <w:tc>
          <w:tcPr>
            <w:vAlign w:val="center"/>
            <w:tcBorders>
              <w:top w:val="single" w:sz="4" w:space="0" w:color="auto"/>
              <w:left w:val="single" w:sz="4" w:space="0" w:color="auto"/>
              <w:bottom w:val="single" w:sz="4" w:space="0" w:color="auto"/>
              <w:right w:val="single" w:sz="4" w:space="0" w:color="auto"/>
            </w:tcBorders>
          </w:tcPr>
          <w:p w14:paraId="001018BE" w14:textId="001018D4">
            <w:pPr>
              <w:pStyle w:val="Normal"/>
              <w:jc w:val="left"/>
            </w:pPr>
            <w:r>
              <w:t xml:space="preserve">24 October 2025</w:t>
            </w:r>
          </w:p>
        </w:tc>
      </w:tr>
    </w:tbl>
    <w:p w14:paraId="001018D5" w14:textId="001018D6">
      <w:pPr>
        <w:pStyle w:val="Normal"/>
        <w:jc w:val="left"/>
      </w:pPr>
      <w:r>
        <w:t xml:space="preserve">Table 15 Distribution date schedule</w:t>
      </w:r>
    </w:p>
    <w:p w14:paraId="001018D7" w14:textId="001018D8">
      <w:pPr>
        <w:pStyle w:val="Normal"/>
        <w:jc w:val="left"/>
      </w:pPr>
      <w:r>
        <w:t xml:space="preserve">11.2 Investor Resources</w:t>
      </w:r>
    </w:p>
    <w:p w14:paraId="001018D9" w14:textId="001018DA">
      <w:pPr>
        <w:pStyle w:val="Normal"/>
        <w:jc w:val="left"/>
      </w:pPr>
      <w:r>
        <w:t xml:space="preserve">Rivermark Holdings maintains a coordinated set of investor resources intended to support timely, equal, and practical access to company information. These resources are designed for institutional investors, individual shareholders, analysts, debt providers, and other market participants who require consistent access to public disclosures, governance materials, and shareholder-service channels. The core principle is that report users should be able to move from high-level announcements to underlying documents without unnecessary barriers or inconsistent data sources.</w:t>
      </w:r>
    </w:p>
    <w:p w14:paraId="001018DB" w14:textId="001018DC">
      <w:pPr>
        <w:pStyle w:val="Normal"/>
        <w:jc w:val="left"/>
      </w:pPr>
      <w:r>
        <w:t xml:space="preserve">The primary access point is the Rivermark Holdings investor website, which hosts annual and interim reports, exchange announcements, presentation materials, archived webcasts, dividend information, and governance documents. That digital hub is supplemented by direct email alerts, registrar services for holding-related requests, and an investor relations channel for market-facing questions that are appropriate for public response. Materials published through one channel are aligned with official exchange filings so that shareholders receive the same information set regardless of the route used.</w:t>
      </w:r>
    </w:p>
    <w:p w14:paraId="001018DD" w14:textId="001018DE">
      <w:pPr>
        <w:pStyle w:val="Normal"/>
        <w:jc w:val="left"/>
      </w:pPr>
      <w:r>
        <w:t xml:space="preserve">During the year, the group also continued to improve document tagging, archive searchability, and multilingual navigation for core shareholder documents. These measures do not alter the underlying disclosure record, but they materially improve usability, especially around results periods and annual meeting preparation. Taken together, the investor-resource framework supports transparency, administrative efficiency, and dependable shareholder communication.</w:t>
      </w:r>
    </w:p>
    <w:p w14:paraId="001018DF" w14:textId="001018E0">
      <w:pPr>
        <w:pStyle w:val="Normal"/>
        <w:jc w:val="left"/>
      </w:pPr>
      <w:r>
        <w:t xml:space="preserve">11.2.2 Information Access</w:t>
      </w:r>
    </w:p>
    <w:p w14:paraId="001018E1" w14:textId="001018E2">
      <w:pPr>
        <w:pStyle w:val="Normal"/>
        <w:jc w:val="left"/>
      </w:pPr>
      <w:r>
        <w:t xml:space="preserve">Official public filings of Rivermark Holdings are available through the investor section of the group website and through the market announcement platform on which the company's securities are listed. The website serves as the central repository for annual reports, half-year updates, governance policies, shareholder circulars, notices of meeting, dividend announcements, and selected sustainability materials that form part of the broader integrated reporting package. Documents are posted in downloadable format and are organized by reporting year, document type, and event category to improve retrieval.</w:t>
      </w:r>
    </w:p>
    <w:p w14:paraId="001018E3" w14:textId="001018E4">
      <w:pPr>
        <w:pStyle w:val="Normal"/>
        <w:jc w:val="left"/>
      </w:pPr>
      <w:r>
        <w:t xml:space="preserve">For formal market disclosures, investors should refer first to the exchange announcement feed, as that channel establishes the time of public release and the definitive wording of regulatory announcements. The company website mirrors those disclosures as promptly as practicable and provides contextual links to related materials such as investor presentations, transcripts, and archived webcast recordings. Where supporting documents are updated for administrative reasons, such as accessibility enhancements or corrected hyperlinks, the company retains the original disclosure history and indicates the nature of any reissued file.</w:t>
      </w:r>
    </w:p>
    <w:p w14:paraId="001018E5" w14:textId="001018E6">
      <w:pPr>
        <w:pStyle w:val="Normal"/>
        <w:jc w:val="left"/>
      </w:pPr>
      <w:r>
        <w:t xml:space="preserve">This access structure is intended to balance compliance and convenience. Regulatory filings remain the authoritative source for listed-company disclosures, while the investor website provides a practical navigation layer that helps users locate connected materials efficiently.</w:t>
      </w:r>
    </w:p>
    <w:p w14:paraId="001018E7" w14:textId="001018E8">
      <w:pPr>
        <w:pStyle w:val="Normal"/>
        <w:jc w:val="left"/>
      </w:pPr>
      <w:r>
        <w:t xml:space="preserve">Shareholders and analysts may subscribe to electronic alerts covering results announcements, annual meeting notices, dividend updates, and other significant market releases. Alert services are intended to improve timeliness of access rather than to replace formal disclosure channels; accordingly, investors are encouraged to maintain direct monitoring of exchange announcements where required by their governance or trading procedures. Subscription tools allow users to select preferred categories so that communications can be tailored to reporting, governance, or shareholder-service topics.</w:t>
      </w:r>
    </w:p>
    <w:p w14:paraId="001018E9" w14:textId="001018EA">
      <w:pPr>
        <w:pStyle w:val="Normal"/>
        <w:jc w:val="left"/>
      </w:pPr>
      <w:r>
        <w:t xml:space="preserve">In addition to current-year materials, Rivermark Holdings maintains an archive of prior annual reports, interim statements, presentation decks, and selected operational briefings. The archive supports trend analysis, stewardship review, and continuity of market understanding by preserving access to historical narratives and reported metrics. Archived documents are retained in their published form, except where legal or technical requirements require replacement files, in which case the archive record identifies the revised version.</w:t>
      </w:r>
    </w:p>
    <w:p w14:paraId="001018EB" w14:textId="001018EC">
      <w:pPr>
        <w:pStyle w:val="Normal"/>
        <w:jc w:val="left"/>
      </w:pPr>
      <w:r>
        <w:t xml:space="preserve">The group also provides access to replay materials following scheduled market briefings, subject to platform availability and applicable legal restrictions. This combination of alerts, archives, and replay resources helps shareholders remain informed between reporting dates and supports a more orderly engagement process around recurring disclosure events.</w:t>
      </w:r>
    </w:p>
    <w:p w14:paraId="001018ED" w14:textId="001018EE">
      <w:pPr>
        <w:pStyle w:val="Normal"/>
        <w:jc w:val="left"/>
      </w:pPr>
      <w:r>
        <w:t xml:space="preserve">11.2.2 Contact Channels</w:t>
      </w:r>
    </w:p>
    <w:p w14:paraId="001018EF" w14:textId="001018F0">
      <w:pPr>
        <w:pStyle w:val="Normal"/>
        <w:jc w:val="left"/>
      </w:pPr>
      <w:r>
        <w:t xml:space="preserve">Investor Relations</w:t>
      </w:r>
    </w:p>
    <w:p w14:paraId="001018F1" w14:textId="001018F2">
      <w:pPr>
        <w:pStyle w:val="Normal"/>
        <w:jc w:val="left"/>
      </w:pPr>
      <w:r>
        <w:t xml:space="preserve">Rivermark Holdings</w:t>
      </w:r>
    </w:p>
    <w:p w14:paraId="001018F3" w14:textId="001018F4">
      <w:pPr>
        <w:pStyle w:val="Normal"/>
        <w:jc w:val="left"/>
      </w:pPr>
      <w:r>
        <w:t xml:space="preserve">Investor Relations Office, Rivermark Centre</w:t>
      </w:r>
    </w:p>
    <w:p w14:paraId="001018F5" w14:textId="001018F6">
      <w:pPr>
        <w:pStyle w:val="Normal"/>
        <w:jc w:val="left"/>
      </w:pPr>
      <w:r>
        <w:t xml:space="preserve">18 Meridian Avenue, North Quay, Brookhaven</w:t>
      </w:r>
    </w:p>
    <w:p w14:paraId="001018F7" w14:textId="001018F8">
      <w:pPr>
        <w:pStyle w:val="Normal"/>
        <w:jc w:val="left"/>
      </w:pPr>
      <w:r>
        <w:t xml:space="preserve">Email: investors@rivermarkholdings.com</w:t>
      </w:r>
    </w:p>
    <w:p w14:paraId="001018F9" w14:textId="001018FA">
      <w:pPr>
        <w:pStyle w:val="Normal"/>
        <w:jc w:val="left"/>
      </w:pPr>
      <w:r>
        <w:t xml:space="preserve">Website: www.rivermarkholdings.com/investors</w:t>
      </w:r>
    </w:p>
    <w:p w14:paraId="001018FB" w14:textId="001018FC">
      <w:pPr>
        <w:pStyle w:val="Normal"/>
        <w:jc w:val="left"/>
      </w:pPr>
      <w:r>
        <w:t xml:space="preserve">Telephone: +44 20 4800 2140</w:t>
      </w:r>
    </w:p>
    <w:p w14:paraId="001018FD" w14:textId="001018FE">
      <w:pPr>
        <w:pStyle w:val="Normal"/>
        <w:jc w:val="left"/>
      </w:pPr>
      <w:r>
        <w:t xml:space="preserve">The Investor Relations Office coordinates market-facing communications relating to results releases, strategy presentations, shareholder briefings, and publicly disclosed performance information. Enquiries received through this channel are handled in accordance with the group's disclosure controls and equal-information principles. Questions that require shareholding administration, transfers, or replacement statements are redirected to the registrar where appropriate.</w:t>
      </w:r>
    </w:p>
    <w:p w14:paraId="001018FF" w14:textId="00101900">
      <w:pPr>
        <w:pStyle w:val="Normal"/>
        <w:jc w:val="left"/>
      </w:pPr>
      <w:r>
        <w:t xml:space="preserve">Share Registrar and Shareholder Services</w:t>
      </w:r>
    </w:p>
    <w:p w14:paraId="00101901" w14:textId="00101902">
      <w:pPr>
        <w:pStyle w:val="Normal"/>
        <w:jc w:val="left"/>
      </w:pPr>
      <w:r>
        <w:t xml:space="preserve">Harbor Registry Services Limited</w:t>
      </w:r>
    </w:p>
    <w:p w14:paraId="00101903" w14:textId="00101904">
      <w:pPr>
        <w:pStyle w:val="Normal"/>
        <w:jc w:val="left"/>
      </w:pPr>
      <w:r>
        <w:t xml:space="preserve">Registry Operations, Eastgate House</w:t>
      </w:r>
    </w:p>
    <w:p w14:paraId="00101905" w14:textId="00101906">
      <w:pPr>
        <w:pStyle w:val="Normal"/>
        <w:jc w:val="left"/>
      </w:pPr>
      <w:r>
        <w:t xml:space="preserve">42 Linton Street, Brookhaven BH2 7PL</w:t>
      </w:r>
    </w:p>
    <w:p w14:paraId="00101907" w14:textId="00101908">
      <w:pPr>
        <w:pStyle w:val="Normal"/>
        <w:jc w:val="left"/>
      </w:pPr>
      <w:r>
        <w:t xml:space="preserve">Email: support@harborregistry.co.uk</w:t>
      </w:r>
    </w:p>
    <w:p w14:paraId="00101909" w14:textId="0010190A">
      <w:pPr>
        <w:pStyle w:val="Normal"/>
        <w:jc w:val="left"/>
      </w:pPr>
      <w:r>
        <w:t xml:space="preserve">Website: www.harborregistry.co.uk/rivermark</w:t>
      </w:r>
    </w:p>
    <w:p w14:paraId="0010190B" w14:textId="0010190C">
      <w:pPr>
        <w:pStyle w:val="Normal"/>
        <w:jc w:val="left"/>
      </w:pPr>
      <w:r>
        <w:t xml:space="preserve">Telephone: +44 20 4800 3188</w:t>
      </w:r>
    </w:p>
    <w:p w14:paraId="0010190D" w14:textId="0010190E">
      <w:pPr>
        <w:pStyle w:val="Normal"/>
        <w:jc w:val="left"/>
      </w:pPr>
      <w:r>
        <w:t xml:space="preserve">Shareholders may use the registrar channel for address changes, dividend mandate updates, dividend reinvestment plan elections, lost certificate support, estate documentation, and other holding-related administrative requests. Service timelines may vary depending on the nature of the request and the supporting evidence required. For annual meeting logistics and participation records, the registrar works with Rivermark Holdings to provide procedural assistance while maintaining the official shareholder register and associated records.</w:t>
      </w:r>
    </w:p>
    <w:p w14:paraId="00101D02" w14:textId="00101D03">
      <w:pPr>
        <w:pStyle w:val="Normal"/>
        <w:jc w:val="left"/>
        <w:sectPr>
          <w:type w:val="nextPage"/>
          <w:pgSz w:w="11906" w:h="16838"/>
          <w:pgMar w:top="1440" w:right="1440" w:bottom="1440" w:left="1440" w:header="1440" w:footer="1440" w:gutter="0"/>
          <w:cols w:space="720" w:num="1"/>
        </w:sectPr>
      </w:pPr>
    </w:p>
    <w:p w14:paraId="00101913" w14:textId="00101914">
      <w:pPr>
        <w:pStyle w:val="Normal"/>
        <w:jc w:val="left"/>
      </w:pPr>
      <w:r>
        <w:t xml:space="preserve">Chapter 12 Report References</w:t>
      </w:r>
    </w:p>
    <w:p w14:paraId="00101915" w14:textId="00101916">
      <w:pPr>
        <w:pStyle w:val="Normal"/>
        <w:jc w:val="left"/>
      </w:pPr>
      <w:r>
        <w:t xml:space="preserve">This section brings together the navigation tools that support use of the Rivermark Holdings Annual Report as an integrated document rather than a set of standalone chapters. Because the report combines strategic narrative, segment commentary, governance disclosures, sustainability information, primary financial statements, and detailed note schedules, readers often need to move between summary discussion and underlying evidence. The reference architecture is designed to make that movement direct, consistent, and auditable.</w:t>
      </w:r>
    </w:p>
    <w:p w14:paraId="00101917" w14:textId="00101918">
      <w:pPr>
        <w:pStyle w:val="Normal"/>
        <w:jc w:val="left"/>
      </w:pPr>
      <w:r>
        <w:t xml:space="preserve">The pages that follow explain how disclosures are organized, where supporting detail can be found, and how definitions and source conventions should be read. Financial references connect statement line items to the detailed accounting notes that explain recognition, measurement, judgments, and movements. Governance and sustainability references connect headline commitments and performance indicators to oversight arrangements, methodologies, and supporting metrics elsewhere in the report. Together, these tools help investors, lenders, employees, regulators, and other stakeholders trace a topic from overview to detailed disclosure.</w:t>
      </w:r>
    </w:p>
    <w:p w14:paraId="00101919" w14:textId="0010191A">
      <w:pPr>
        <w:pStyle w:val="Normal"/>
        <w:jc w:val="left"/>
      </w:pPr>
      <w:r>
        <w:t xml:space="preserve">Readers using the report for analysis should treat this section as a navigation hub. It is intended to reduce duplication, clarify where management discussion aligns with reported figures, and distinguish between audited financial content, other assured information, and broader explanatory narrative.</w:t>
      </w:r>
    </w:p>
    <w:p w14:paraId="0010191B" w14:textId="0010191C">
      <w:pPr>
        <w:pStyle w:val="Normal"/>
        <w:jc w:val="left"/>
      </w:pPr>
      <w:r>
        <w:t xml:space="preserve">Cross-report navigation has been structured so that major themes can be followed across sections without losing context. For example, a discussion of profitability in the Group Financial Review can be read alongside segment-level operating drivers in Segment Performance and then reconciled to audited measures in the Consolidated Statements and Financial Note Disclosures. In the same way, sustainability targets presented in the strategic narrative can be traced to performance dashboards, methodology notes, and assurance scope disclosures in later chapters.</w:t>
      </w:r>
    </w:p>
    <w:p w14:paraId="0010191D" w14:textId="0010191E">
      <w:pPr>
        <w:pStyle w:val="Normal"/>
        <w:jc w:val="left"/>
      </w:pPr>
      <w:r>
        <w:t xml:space="preserve">This approach is particularly important for topics that span operational and financial dimensions. Capital allocation, risk management, customer retention, workforce capability, safety performance, and climate transition actions each appear in more than one chapter because management oversight, operating execution, and external reporting obligations are not identical. The reference structure therefore distinguishes between narrative discussion, performance indicators, accounting disclosures, and policy or methodology notes.</w:t>
      </w:r>
    </w:p>
    <w:p w14:paraId="0010191F" w14:textId="00101920">
      <w:pPr>
        <w:pStyle w:val="Normal"/>
        <w:jc w:val="left"/>
      </w:pPr>
      <w:r>
        <w:t xml:space="preserve">Where a topic appears in several places, the intent is not repetition for its own sake. Instead, each location serves a defined purpose: summary, analysis, control, measurement, or formal disclosure. Readers may therefore use chapter headings, disclosure labels, and note references together to move efficiently from strategic interpretation to the supporting records that explain scope, assumptions, timing, and comparability.</w:t>
      </w:r>
    </w:p>
    <w:p w14:paraId="00101921" w14:textId="00101922">
      <w:pPr>
        <w:pStyle w:val="Normal"/>
        <w:jc w:val="left"/>
      </w:pPr>
      <w:r>
        <w:t xml:space="preserve">12. Disclosure Index</w:t>
      </w:r>
    </w:p>
    <w:p w14:paraId="00101923" w14:textId="00101924">
      <w:pPr>
        <w:pStyle w:val="Normal"/>
        <w:jc w:val="left"/>
      </w:pPr>
      <w:r>
        <w:t xml:space="preserve">The disclosure index is organized to reflect the integrated structure of the report while preserving clear boundaries between different reporting purposes. At the highest level, it is divided into financial references, impact references, and reader-guidance materials. Within each branch, references move from high-level presentation to detailed support, enabling users to start with a statement, claim, metric, or governance topic and then identify the exact section where definitions, movements, controls, or judgments are described.</w:t>
      </w:r>
    </w:p>
    <w:p w14:paraId="00101925" w14:textId="00101926">
      <w:pPr>
        <w:pStyle w:val="Normal"/>
        <w:jc w:val="left"/>
      </w:pPr>
      <w:r>
        <w:t xml:space="preserve">For financial matters, the index links primary statements to the relevant accounting notes and then to deeper schedules where judgments, reconciliations, or maturity analyses are presented. For sustainability and governance matters, the index links topics to the sections that describe oversight, targets, performance indicators, boundaries, and assurance arrangements. This structure helps users distinguish between what is measured, how it is measured, and who is accountable for oversight.</w:t>
      </w:r>
    </w:p>
    <w:p w14:paraId="00101927" w14:textId="00101928">
      <w:pPr>
        <w:pStyle w:val="Normal"/>
        <w:jc w:val="left"/>
      </w:pPr>
      <w:r>
        <w:t xml:space="preserve">The index should be read as a directional aid rather than a substitute for full disclosure. Some topics, such as revenue, liquidity, safety, or remuneration, require consultation of several sections to obtain a complete view. In those cases, the index highlights the principal entry point and the most relevant supporting locations within the report.</w:t>
      </w:r>
    </w:p>
    <w:p w14:paraId="00101929" w14:textId="0010192A">
      <w:pPr>
        <w:pStyle w:val="Normal"/>
        <w:jc w:val="left"/>
      </w:pPr>
      <w:r>
        <w:t xml:space="preserve">12.1 Financial References</w:t>
      </w:r>
    </w:p>
    <w:p w14:paraId="0010192B" w14:textId="0010192C">
      <w:pPr>
        <w:pStyle w:val="Normal"/>
        <w:jc w:val="left"/>
      </w:pPr>
      <w:r>
        <w:t xml:space="preserve">Financial references cover the pathways that connect management commentary, primary financial statements, alternative performance measures, and the detailed note disclosures that form part of the annual reporting package. Their purpose is to help readers understand not only where a number appears, but also how that number was derived, what accounting policies apply, what estimates or judgments are significant, and where movements from one period to the next are explained.</w:t>
      </w:r>
    </w:p>
    <w:p w14:paraId="0010192D" w14:textId="0010192E">
      <w:pPr>
        <w:pStyle w:val="Normal"/>
        <w:jc w:val="left"/>
      </w:pPr>
      <w:r>
        <w:t xml:space="preserve">The scope of financial referencing in this report includes the statement of financial position, statement of profit or loss, cash flow statement, statement of changes in equity, and the related note disclosures on revenue, segments, operating assets, financial instruments, borrowings, leases, provisions, taxation, equity, employee benefits, and related parties. It also extends to supplementary reconciliations for non-GAAP or management-used measures where those are presented to explain operating performance.</w:t>
      </w:r>
    </w:p>
    <w:p w14:paraId="0010192F" w14:textId="00101930">
      <w:pPr>
        <w:pStyle w:val="Normal"/>
        <w:jc w:val="left"/>
      </w:pPr>
      <w:r>
        <w:t xml:space="preserve">Readers should use these references to connect discussion and evidence in a disciplined sequence: first identify the headline measure, then locate the supporting note, then review any related judgments, reconciliations, maturity tables, or sensitivity disclosures. That sequence is especially useful where the same topic affects several statements at once, such as acquisitions, impairments, lease accounting, tax positions, or financing arrangements.</w:t>
      </w:r>
    </w:p>
    <w:p w14:paraId="00101931" w14:textId="00101932">
      <w:pPr>
        <w:pStyle w:val="Normal"/>
        <w:jc w:val="left"/>
      </w:pPr>
      <w:r>
        <w:t xml:space="preserve">12.1.1 Statement Cross-References</w:t>
      </w:r>
    </w:p>
    <w:p w14:paraId="00101933" w14:textId="00101934">
      <w:pPr>
        <w:pStyle w:val="Normal"/>
        <w:jc w:val="left"/>
      </w:pPr>
      <w:r>
        <w:t xml:space="preserve">Statement cross-references are intended to link each principal line item in the audited financial statements to the note or notes that provide supporting detail. In practice, this means that balances shown in the statement of financial position should be read together with the relevant asset, liability, or equity note; income and expense lines in the statement of profit or loss should be read with the corresponding revenue, cost, tax, or earnings disclosures; and major cash flow categories should be read with the notes that explain operating conversion, capital expenditure, borrowings, leases, and other financing movements.</w:t>
      </w:r>
    </w:p>
    <w:p w14:paraId="00101935" w14:textId="00101936">
      <w:pPr>
        <w:pStyle w:val="Normal"/>
        <w:jc w:val="left"/>
      </w:pPr>
      <w:r>
        <w:t xml:space="preserve">These links are particularly important where a single statement caption aggregates several underlying components. For example, noncurrent assets may include property and equipment, goodwill, acquired intangibles, and other long-term balances that are subject to different accounting treatments and risk profiles. Similarly, borrowings and lease liabilities may have distinct maturities, covenant terms, and measurement bases even when presented within related funding categories. Cross-references direct the reader to the place where those distinctions are described.</w:t>
      </w:r>
    </w:p>
    <w:p w14:paraId="00101937" w14:textId="00101938">
      <w:pPr>
        <w:pStyle w:val="Normal"/>
        <w:jc w:val="left"/>
      </w:pPr>
      <w:r>
        <w:t xml:space="preserve">Users should also recognize that some note disclosures support more than one statement. Revenue disclosures inform profit presentation, receivables and contract balances, and cash generation analysis; tax disclosures affect profit, deferred balances, and equity movements; and share-based payment disclosures connect compensation expense with equity reserves. The cross-reference system is therefore designed to support a joined-up reading of the statements rather than a line-by-line review in isolation.</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1939" w14:textId="00101981">
            <w:pPr>
              <w:pStyle w:val="Normal"/>
              <w:jc w:val="left"/>
            </w:pPr>
            <w:r>
              <w:t xml:space="preserve">Statement / disclosure area</w:t>
            </w:r>
          </w:p>
        </w:tc>
        <w:tc>
          <w:tcPr>
            <w:vAlign w:val="center"/>
            <w:tcBorders>
              <w:top w:val="single" w:sz="4" w:space="0" w:color="auto"/>
              <w:left w:val="single" w:sz="4" w:space="0" w:color="auto"/>
              <w:bottom w:val="single" w:sz="4" w:space="0" w:color="auto"/>
              <w:right w:val="single" w:sz="4" w:space="0" w:color="auto"/>
            </w:tcBorders>
          </w:tcPr>
          <w:p w14:paraId="0010193B" w14:textId="00101982">
            <w:pPr>
              <w:pStyle w:val="Normal"/>
              <w:jc w:val="left"/>
            </w:pPr>
            <w:r>
              <w:t xml:space="preserve">Primary line item or topic</w:t>
            </w:r>
          </w:p>
        </w:tc>
        <w:tc>
          <w:tcPr>
            <w:vAlign w:val="center"/>
            <w:tcBorders>
              <w:top w:val="single" w:sz="4" w:space="0" w:color="auto"/>
              <w:left w:val="single" w:sz="4" w:space="0" w:color="auto"/>
              <w:bottom w:val="single" w:sz="4" w:space="0" w:color="auto"/>
              <w:right w:val="single" w:sz="4" w:space="0" w:color="auto"/>
            </w:tcBorders>
          </w:tcPr>
          <w:p w14:paraId="0010193D" w14:textId="00101983">
            <w:pPr>
              <w:pStyle w:val="Normal"/>
              <w:jc w:val="left"/>
            </w:pPr>
            <w:r>
              <w:t xml:space="preserve">Supporting note references</w:t>
            </w:r>
          </w:p>
        </w:tc>
        <w:tc>
          <w:tcPr>
            <w:vAlign w:val="center"/>
            <w:tcBorders>
              <w:top w:val="single" w:sz="4" w:space="0" w:color="auto"/>
              <w:left w:val="single" w:sz="4" w:space="0" w:color="auto"/>
              <w:bottom w:val="single" w:sz="4" w:space="0" w:color="auto"/>
              <w:right w:val="single" w:sz="4" w:space="0" w:color="auto"/>
            </w:tcBorders>
          </w:tcPr>
          <w:p w14:paraId="0010193F" w14:textId="00101984">
            <w:pPr>
              <w:pStyle w:val="Normal"/>
              <w:jc w:val="left"/>
            </w:pPr>
            <w:r>
              <w:t xml:space="preserve">Reader note</w:t>
            </w:r>
          </w:p>
        </w:tc>
      </w:tr>
      <w:tr>
        <w:tc>
          <w:tcPr>
            <w:vAlign w:val="top"/>
            <w:tcBorders>
              <w:top w:val="single" w:sz="4" w:space="0" w:color="auto"/>
              <w:left w:val="single" w:sz="4" w:space="0" w:color="auto"/>
              <w:bottom w:val="single" w:sz="4" w:space="0" w:color="auto"/>
              <w:right w:val="single" w:sz="4" w:space="0" w:color="auto"/>
            </w:tcBorders>
          </w:tcPr>
          <w:p w14:paraId="00101941" w14:textId="00101985">
            <w:pPr>
              <w:pStyle w:val="Normal"/>
              <w:jc w:val="left"/>
            </w:pPr>
            <w:r>
              <w:t xml:space="preserve">Statement of Financial Position</w:t>
            </w:r>
          </w:p>
        </w:tc>
        <w:tc>
          <w:tcPr>
            <w:vAlign w:val="center"/>
            <w:tcBorders>
              <w:top w:val="single" w:sz="4" w:space="0" w:color="auto"/>
              <w:left w:val="single" w:sz="4" w:space="0" w:color="auto"/>
              <w:bottom w:val="single" w:sz="4" w:space="0" w:color="auto"/>
              <w:right w:val="single" w:sz="4" w:space="0" w:color="auto"/>
            </w:tcBorders>
          </w:tcPr>
          <w:p w14:paraId="00101943" w14:textId="00101986">
            <w:pPr>
              <w:pStyle w:val="Normal"/>
              <w:jc w:val="left"/>
            </w:pPr>
            <w:r>
              <w:t xml:space="preserve">Trade and other receivables; contract assets</w:t>
            </w:r>
          </w:p>
        </w:tc>
        <w:tc>
          <w:tcPr>
            <w:vAlign w:val="center"/>
            <w:tcBorders>
              <w:top w:val="single" w:sz="4" w:space="0" w:color="auto"/>
              <w:left w:val="single" w:sz="4" w:space="0" w:color="auto"/>
              <w:bottom w:val="single" w:sz="4" w:space="0" w:color="auto"/>
              <w:right w:val="single" w:sz="4" w:space="0" w:color="auto"/>
            </w:tcBorders>
          </w:tcPr>
          <w:p w14:paraId="00101945" w14:textId="00101987">
            <w:pPr>
              <w:pStyle w:val="Normal"/>
              <w:jc w:val="left"/>
            </w:pPr>
            <w:r>
              <w:t xml:space="preserve">Revenue and Segments—Contract Balances; Financial Instruments—Credit Risk</w:t>
            </w:r>
          </w:p>
        </w:tc>
        <w:tc>
          <w:tcPr>
            <w:vAlign w:val="center"/>
            <w:tcBorders>
              <w:top w:val="single" w:sz="4" w:space="0" w:color="auto"/>
              <w:left w:val="single" w:sz="4" w:space="0" w:color="auto"/>
              <w:bottom w:val="single" w:sz="4" w:space="0" w:color="auto"/>
              <w:right w:val="single" w:sz="4" w:space="0" w:color="auto"/>
            </w:tcBorders>
          </w:tcPr>
          <w:p w14:paraId="00101947" w14:textId="00101988">
            <w:pPr>
              <w:pStyle w:val="Normal"/>
              <w:jc w:val="left"/>
            </w:pPr>
            <w:r>
              <w:t xml:space="preserve">Read together to distinguish customer-related balances from other financial assets.</w:t>
            </w:r>
          </w:p>
        </w:tc>
      </w:tr>
      <w:tr>
        <w:tc>
          <w:tcPr>
            <w:vAlign w:val="top"/>
            <w:tcBorders>
              <w:top w:val="single" w:sz="4" w:space="0" w:color="auto"/>
              <w:left w:val="single" w:sz="4" w:space="0" w:color="auto"/>
              <w:bottom w:val="single" w:sz="4" w:space="0" w:color="auto"/>
              <w:right w:val="single" w:sz="4" w:space="0" w:color="auto"/>
            </w:tcBorders>
          </w:tcPr>
          <w:p w14:paraId="00101949" w14:textId="00101989">
            <w:pPr>
              <w:pStyle w:val="Normal"/>
              <w:jc w:val="left"/>
            </w:pPr>
            <w:r>
              <w:t xml:space="preserve">Statement of Financial Position</w:t>
            </w:r>
          </w:p>
        </w:tc>
        <w:tc>
          <w:tcPr>
            <w:vAlign w:val="center"/>
            <w:tcBorders>
              <w:top w:val="single" w:sz="4" w:space="0" w:color="auto"/>
              <w:left w:val="single" w:sz="4" w:space="0" w:color="auto"/>
              <w:bottom w:val="single" w:sz="4" w:space="0" w:color="auto"/>
              <w:right w:val="single" w:sz="4" w:space="0" w:color="auto"/>
            </w:tcBorders>
          </w:tcPr>
          <w:p w14:paraId="0010194B" w14:textId="0010198A">
            <w:pPr>
              <w:pStyle w:val="Normal"/>
              <w:jc w:val="left"/>
            </w:pPr>
            <w:r>
              <w:t xml:space="preserve">Property, plant and equipment; right-of-use assets</w:t>
            </w:r>
          </w:p>
        </w:tc>
        <w:tc>
          <w:tcPr>
            <w:vAlign w:val="center"/>
            <w:tcBorders>
              <w:top w:val="single" w:sz="4" w:space="0" w:color="auto"/>
              <w:left w:val="single" w:sz="4" w:space="0" w:color="auto"/>
              <w:bottom w:val="single" w:sz="4" w:space="0" w:color="auto"/>
              <w:right w:val="single" w:sz="4" w:space="0" w:color="auto"/>
            </w:tcBorders>
          </w:tcPr>
          <w:p w14:paraId="0010194D" w14:textId="0010198B">
            <w:pPr>
              <w:pStyle w:val="Normal"/>
              <w:jc w:val="left"/>
            </w:pPr>
            <w:r>
              <w:t xml:space="preserve">Operating Assets—Asset Movements; Borrowings and Leases—Lease Arrangements</w:t>
            </w:r>
          </w:p>
        </w:tc>
        <w:tc>
          <w:tcPr>
            <w:vAlign w:val="center"/>
            <w:tcBorders>
              <w:top w:val="single" w:sz="4" w:space="0" w:color="auto"/>
              <w:left w:val="single" w:sz="4" w:space="0" w:color="auto"/>
              <w:bottom w:val="single" w:sz="4" w:space="0" w:color="auto"/>
              <w:right w:val="single" w:sz="4" w:space="0" w:color="auto"/>
            </w:tcBorders>
          </w:tcPr>
          <w:p w14:paraId="0010194F" w14:textId="0010198C">
            <w:pPr>
              <w:pStyle w:val="Normal"/>
              <w:jc w:val="left"/>
            </w:pPr>
            <w:r>
              <w:t xml:space="preserve">Cross-reference clarifies owned assets, leased assets, additions, depreciation, and related commitments.</w:t>
            </w:r>
          </w:p>
        </w:tc>
      </w:tr>
      <w:tr>
        <w:tc>
          <w:tcPr>
            <w:vAlign w:val="top"/>
            <w:tcBorders>
              <w:top w:val="single" w:sz="4" w:space="0" w:color="auto"/>
              <w:left w:val="single" w:sz="4" w:space="0" w:color="auto"/>
              <w:bottom w:val="single" w:sz="4" w:space="0" w:color="auto"/>
              <w:right w:val="single" w:sz="4" w:space="0" w:color="auto"/>
            </w:tcBorders>
          </w:tcPr>
          <w:p w14:paraId="00101951" w14:textId="0010198D">
            <w:pPr>
              <w:pStyle w:val="Normal"/>
              <w:jc w:val="left"/>
            </w:pPr>
            <w:r>
              <w:t xml:space="preserve">Statement of Financial Position</w:t>
            </w:r>
          </w:p>
        </w:tc>
        <w:tc>
          <w:tcPr>
            <w:vAlign w:val="center"/>
            <w:tcBorders>
              <w:top w:val="single" w:sz="4" w:space="0" w:color="auto"/>
              <w:left w:val="single" w:sz="4" w:space="0" w:color="auto"/>
              <w:bottom w:val="single" w:sz="4" w:space="0" w:color="auto"/>
              <w:right w:val="single" w:sz="4" w:space="0" w:color="auto"/>
            </w:tcBorders>
          </w:tcPr>
          <w:p w14:paraId="00101953" w14:textId="0010198E">
            <w:pPr>
              <w:pStyle w:val="Normal"/>
              <w:jc w:val="left"/>
            </w:pPr>
            <w:r>
              <w:t xml:space="preserve">Borrowings; lease liabilities; provisions</w:t>
            </w:r>
          </w:p>
        </w:tc>
        <w:tc>
          <w:tcPr>
            <w:vAlign w:val="center"/>
            <w:tcBorders>
              <w:top w:val="single" w:sz="4" w:space="0" w:color="auto"/>
              <w:left w:val="single" w:sz="4" w:space="0" w:color="auto"/>
              <w:bottom w:val="single" w:sz="4" w:space="0" w:color="auto"/>
              <w:right w:val="single" w:sz="4" w:space="0" w:color="auto"/>
            </w:tcBorders>
          </w:tcPr>
          <w:p w14:paraId="00101955" w14:textId="0010198F">
            <w:pPr>
              <w:pStyle w:val="Normal"/>
              <w:jc w:val="left"/>
            </w:pPr>
            <w:r>
              <w:t xml:space="preserve">Borrowings and Leases—Borrowings; Borrowings and Leases—Lease Arrangements; Provisions—Provision Categories</w:t>
            </w:r>
          </w:p>
        </w:tc>
        <w:tc>
          <w:tcPr>
            <w:vAlign w:val="center"/>
            <w:tcBorders>
              <w:top w:val="single" w:sz="4" w:space="0" w:color="auto"/>
              <w:left w:val="single" w:sz="4" w:space="0" w:color="auto"/>
              <w:bottom w:val="single" w:sz="4" w:space="0" w:color="auto"/>
              <w:right w:val="single" w:sz="4" w:space="0" w:color="auto"/>
            </w:tcBorders>
          </w:tcPr>
          <w:p w14:paraId="00101957" w14:textId="00101990">
            <w:pPr>
              <w:pStyle w:val="Normal"/>
              <w:jc w:val="left"/>
            </w:pPr>
            <w:r>
              <w:t xml:space="preserve">Use alongside liquidity and maturity disclosures to assess timing and funding obligations.</w:t>
            </w:r>
          </w:p>
        </w:tc>
      </w:tr>
      <w:tr>
        <w:tc>
          <w:tcPr>
            <w:vAlign w:val="top"/>
            <w:tcBorders>
              <w:top w:val="single" w:sz="4" w:space="0" w:color="auto"/>
              <w:left w:val="single" w:sz="4" w:space="0" w:color="auto"/>
              <w:bottom w:val="single" w:sz="4" w:space="0" w:color="auto"/>
              <w:right w:val="single" w:sz="4" w:space="0" w:color="auto"/>
            </w:tcBorders>
          </w:tcPr>
          <w:p w14:paraId="00101959" w14:textId="00101991">
            <w:pPr>
              <w:pStyle w:val="Normal"/>
              <w:jc w:val="left"/>
            </w:pPr>
            <w:r>
              <w:t xml:space="preserve">Statement of Profit or Loss</w:t>
            </w:r>
          </w:p>
        </w:tc>
        <w:tc>
          <w:tcPr>
            <w:vAlign w:val="center"/>
            <w:tcBorders>
              <w:top w:val="single" w:sz="4" w:space="0" w:color="auto"/>
              <w:left w:val="single" w:sz="4" w:space="0" w:color="auto"/>
              <w:bottom w:val="single" w:sz="4" w:space="0" w:color="auto"/>
              <w:right w:val="single" w:sz="4" w:space="0" w:color="auto"/>
            </w:tcBorders>
          </w:tcPr>
          <w:p w14:paraId="0010195B" w14:textId="00101992">
            <w:pPr>
              <w:pStyle w:val="Normal"/>
              <w:jc w:val="left"/>
            </w:pPr>
            <w:r>
              <w:t xml:space="preserve">Revenue</w:t>
            </w:r>
          </w:p>
        </w:tc>
        <w:tc>
          <w:tcPr>
            <w:vAlign w:val="center"/>
            <w:tcBorders>
              <w:top w:val="single" w:sz="4" w:space="0" w:color="auto"/>
              <w:left w:val="single" w:sz="4" w:space="0" w:color="auto"/>
              <w:bottom w:val="single" w:sz="4" w:space="0" w:color="auto"/>
              <w:right w:val="single" w:sz="4" w:space="0" w:color="auto"/>
            </w:tcBorders>
          </w:tcPr>
          <w:p w14:paraId="0010195D" w14:textId="00101993">
            <w:pPr>
              <w:pStyle w:val="Normal"/>
              <w:jc w:val="left"/>
            </w:pPr>
            <w:r>
              <w:t xml:space="preserve">Revenue and Segments—Revenue Recognition; Revenue and Segments—Revenue Disaggregation</w:t>
            </w:r>
          </w:p>
        </w:tc>
        <w:tc>
          <w:tcPr>
            <w:vAlign w:val="center"/>
            <w:tcBorders>
              <w:top w:val="single" w:sz="4" w:space="0" w:color="auto"/>
              <w:left w:val="single" w:sz="4" w:space="0" w:color="auto"/>
              <w:bottom w:val="single" w:sz="4" w:space="0" w:color="auto"/>
              <w:right w:val="single" w:sz="4" w:space="0" w:color="auto"/>
            </w:tcBorders>
          </w:tcPr>
          <w:p w14:paraId="0010195F" w14:textId="00101994">
            <w:pPr>
              <w:pStyle w:val="Normal"/>
              <w:jc w:val="left"/>
            </w:pPr>
            <w:r>
              <w:t xml:space="preserve">Revenue policies, performance obligations, and segment or regional disaggregation should be reviewed together.</w:t>
            </w:r>
          </w:p>
        </w:tc>
      </w:tr>
      <w:tr>
        <w:tc>
          <w:tcPr>
            <w:vAlign w:val="top"/>
            <w:tcBorders>
              <w:top w:val="single" w:sz="4" w:space="0" w:color="auto"/>
              <w:left w:val="single" w:sz="4" w:space="0" w:color="auto"/>
              <w:bottom w:val="single" w:sz="4" w:space="0" w:color="auto"/>
              <w:right w:val="single" w:sz="4" w:space="0" w:color="auto"/>
            </w:tcBorders>
          </w:tcPr>
          <w:p w14:paraId="00101961" w14:textId="00101995">
            <w:pPr>
              <w:pStyle w:val="Normal"/>
              <w:jc w:val="left"/>
            </w:pPr>
            <w:r>
              <w:t xml:space="preserve">Statement of Profit or Loss</w:t>
            </w:r>
          </w:p>
        </w:tc>
        <w:tc>
          <w:tcPr>
            <w:vAlign w:val="center"/>
            <w:tcBorders>
              <w:top w:val="single" w:sz="4" w:space="0" w:color="auto"/>
              <w:left w:val="single" w:sz="4" w:space="0" w:color="auto"/>
              <w:bottom w:val="single" w:sz="4" w:space="0" w:color="auto"/>
              <w:right w:val="single" w:sz="4" w:space="0" w:color="auto"/>
            </w:tcBorders>
          </w:tcPr>
          <w:p w14:paraId="00101963" w14:textId="00101996">
            <w:pPr>
              <w:pStyle w:val="Normal"/>
              <w:jc w:val="left"/>
            </w:pPr>
            <w:r>
              <w:t xml:space="preserve">Operating expenses; depreciation and amortization</w:t>
            </w:r>
          </w:p>
        </w:tc>
        <w:tc>
          <w:tcPr>
            <w:vAlign w:val="center"/>
            <w:tcBorders>
              <w:top w:val="single" w:sz="4" w:space="0" w:color="auto"/>
              <w:left w:val="single" w:sz="4" w:space="0" w:color="auto"/>
              <w:bottom w:val="single" w:sz="4" w:space="0" w:color="auto"/>
              <w:right w:val="single" w:sz="4" w:space="0" w:color="auto"/>
            </w:tcBorders>
          </w:tcPr>
          <w:p w14:paraId="00101965" w14:textId="00101997">
            <w:pPr>
              <w:pStyle w:val="Normal"/>
              <w:jc w:val="left"/>
            </w:pPr>
            <w:r>
              <w:t xml:space="preserve">Operating Assets—Asset Movements; Goodwill and Intangibles—Cash-Generating Units; Employee Benefits—Remuneration</w:t>
            </w:r>
          </w:p>
        </w:tc>
        <w:tc>
          <w:tcPr>
            <w:vAlign w:val="center"/>
            <w:tcBorders>
              <w:top w:val="single" w:sz="4" w:space="0" w:color="auto"/>
              <w:left w:val="single" w:sz="4" w:space="0" w:color="auto"/>
              <w:bottom w:val="single" w:sz="4" w:space="0" w:color="auto"/>
              <w:right w:val="single" w:sz="4" w:space="0" w:color="auto"/>
            </w:tcBorders>
          </w:tcPr>
          <w:p w14:paraId="00101967" w14:textId="00101998">
            <w:pPr>
              <w:pStyle w:val="Normal"/>
              <w:jc w:val="left"/>
            </w:pPr>
            <w:r>
              <w:t xml:space="preserve">Expense analysis is supported by asset-consumption schedules and personnel-related note disclosures.</w:t>
            </w:r>
          </w:p>
        </w:tc>
      </w:tr>
      <w:tr>
        <w:tc>
          <w:tcPr>
            <w:vAlign w:val="top"/>
            <w:tcBorders>
              <w:top w:val="single" w:sz="4" w:space="0" w:color="auto"/>
              <w:left w:val="single" w:sz="4" w:space="0" w:color="auto"/>
              <w:bottom w:val="single" w:sz="4" w:space="0" w:color="auto"/>
              <w:right w:val="single" w:sz="4" w:space="0" w:color="auto"/>
            </w:tcBorders>
          </w:tcPr>
          <w:p w14:paraId="00101969" w14:textId="00101999">
            <w:pPr>
              <w:pStyle w:val="Normal"/>
              <w:jc w:val="left"/>
            </w:pPr>
            <w:r>
              <w:t xml:space="preserve">Statement of Cash Flows</w:t>
            </w:r>
          </w:p>
        </w:tc>
        <w:tc>
          <w:tcPr>
            <w:vAlign w:val="center"/>
            <w:tcBorders>
              <w:top w:val="single" w:sz="4" w:space="0" w:color="auto"/>
              <w:left w:val="single" w:sz="4" w:space="0" w:color="auto"/>
              <w:bottom w:val="single" w:sz="4" w:space="0" w:color="auto"/>
              <w:right w:val="single" w:sz="4" w:space="0" w:color="auto"/>
            </w:tcBorders>
          </w:tcPr>
          <w:p w14:paraId="0010196B" w14:textId="0010199A">
            <w:pPr>
              <w:pStyle w:val="Normal"/>
              <w:jc w:val="left"/>
            </w:pPr>
            <w:r>
              <w:t xml:space="preserve">Operating, investing, and financing cash flows</w:t>
            </w:r>
          </w:p>
        </w:tc>
        <w:tc>
          <w:tcPr>
            <w:vAlign w:val="center"/>
            <w:tcBorders>
              <w:top w:val="single" w:sz="4" w:space="0" w:color="auto"/>
              <w:left w:val="single" w:sz="4" w:space="0" w:color="auto"/>
              <w:bottom w:val="single" w:sz="4" w:space="0" w:color="auto"/>
              <w:right w:val="single" w:sz="4" w:space="0" w:color="auto"/>
            </w:tcBorders>
          </w:tcPr>
          <w:p w14:paraId="0010196D" w14:textId="0010199B">
            <w:pPr>
              <w:pStyle w:val="Normal"/>
              <w:jc w:val="left"/>
            </w:pPr>
            <w:r>
              <w:t xml:space="preserve">Capital and Liquidity—Debt Structure; Operating Assets—Commitments; Borrowings and Leases—Maturity Profile</w:t>
            </w:r>
          </w:p>
        </w:tc>
        <w:tc>
          <w:tcPr>
            <w:vAlign w:val="center"/>
            <w:tcBorders>
              <w:top w:val="single" w:sz="4" w:space="0" w:color="auto"/>
              <w:left w:val="single" w:sz="4" w:space="0" w:color="auto"/>
              <w:bottom w:val="single" w:sz="4" w:space="0" w:color="auto"/>
              <w:right w:val="single" w:sz="4" w:space="0" w:color="auto"/>
            </w:tcBorders>
          </w:tcPr>
          <w:p w14:paraId="0010196F" w14:textId="0010199C">
            <w:pPr>
              <w:pStyle w:val="Normal"/>
              <w:jc w:val="left"/>
            </w:pPr>
            <w:r>
              <w:t xml:space="preserve">Statement movements are linked to investment deployment, debt servicing, and lease cash requirements.</w:t>
            </w:r>
          </w:p>
        </w:tc>
      </w:tr>
      <w:tr>
        <w:tc>
          <w:tcPr>
            <w:vAlign w:val="top"/>
            <w:tcBorders>
              <w:top w:val="single" w:sz="4" w:space="0" w:color="auto"/>
              <w:left w:val="single" w:sz="4" w:space="0" w:color="auto"/>
              <w:bottom w:val="single" w:sz="4" w:space="0" w:color="auto"/>
              <w:right w:val="single" w:sz="4" w:space="0" w:color="auto"/>
            </w:tcBorders>
          </w:tcPr>
          <w:p w14:paraId="00101971" w14:textId="0010199D">
            <w:pPr>
              <w:pStyle w:val="Normal"/>
              <w:jc w:val="left"/>
            </w:pPr>
            <w:r>
              <w:t xml:space="preserve">Statement of Changes in Equity</w:t>
            </w:r>
          </w:p>
        </w:tc>
        <w:tc>
          <w:tcPr>
            <w:vAlign w:val="center"/>
            <w:tcBorders>
              <w:top w:val="single" w:sz="4" w:space="0" w:color="auto"/>
              <w:left w:val="single" w:sz="4" w:space="0" w:color="auto"/>
              <w:bottom w:val="single" w:sz="4" w:space="0" w:color="auto"/>
              <w:right w:val="single" w:sz="4" w:space="0" w:color="auto"/>
            </w:tcBorders>
          </w:tcPr>
          <w:p w14:paraId="00101973" w14:textId="0010199E">
            <w:pPr>
              <w:pStyle w:val="Normal"/>
              <w:jc w:val="left"/>
            </w:pPr>
            <w:r>
              <w:t xml:space="preserve">Share capital; reserves; retained earnings; dividends</w:t>
            </w:r>
          </w:p>
        </w:tc>
        <w:tc>
          <w:tcPr>
            <w:vAlign w:val="center"/>
            <w:tcBorders>
              <w:top w:val="single" w:sz="4" w:space="0" w:color="auto"/>
              <w:left w:val="single" w:sz="4" w:space="0" w:color="auto"/>
              <w:bottom w:val="single" w:sz="4" w:space="0" w:color="auto"/>
              <w:right w:val="single" w:sz="4" w:space="0" w:color="auto"/>
            </w:tcBorders>
          </w:tcPr>
          <w:p w14:paraId="00101975" w14:textId="0010199F">
            <w:pPr>
              <w:pStyle w:val="Normal"/>
              <w:jc w:val="left"/>
            </w:pPr>
            <w:r>
              <w:t xml:space="preserve">Equity and Share-Based Payments—Issued Capital; Reserves and Dividends; Share-Based Payments—Valuation and Expense</w:t>
            </w:r>
          </w:p>
        </w:tc>
        <w:tc>
          <w:tcPr>
            <w:vAlign w:val="center"/>
            <w:tcBorders>
              <w:top w:val="single" w:sz="4" w:space="0" w:color="auto"/>
              <w:left w:val="single" w:sz="4" w:space="0" w:color="auto"/>
              <w:bottom w:val="single" w:sz="4" w:space="0" w:color="auto"/>
              <w:right w:val="single" w:sz="4" w:space="0" w:color="auto"/>
            </w:tcBorders>
          </w:tcPr>
          <w:p w14:paraId="00101977" w14:textId="001019A0">
            <w:pPr>
              <w:pStyle w:val="Normal"/>
              <w:jc w:val="left"/>
            </w:pPr>
            <w:r>
              <w:t xml:space="preserve">Cross-reference connects equity movements with dividends, reserves, and equity-settled compensation.</w:t>
            </w:r>
          </w:p>
        </w:tc>
      </w:tr>
      <w:tr>
        <w:tc>
          <w:tcPr>
            <w:vAlign w:val="top"/>
            <w:tcBorders>
              <w:top w:val="single" w:sz="4" w:space="0" w:color="auto"/>
              <w:left w:val="single" w:sz="4" w:space="0" w:color="auto"/>
              <w:bottom w:val="single" w:sz="4" w:space="0" w:color="auto"/>
              <w:right w:val="single" w:sz="4" w:space="0" w:color="auto"/>
            </w:tcBorders>
          </w:tcPr>
          <w:p w14:paraId="00101979" w14:textId="001019A1">
            <w:pPr>
              <w:pStyle w:val="Normal"/>
              <w:jc w:val="left"/>
            </w:pPr>
            <w:r>
              <w:t xml:space="preserve">Sustainability and Governance references</w:t>
            </w:r>
          </w:p>
        </w:tc>
        <w:tc>
          <w:tcPr>
            <w:vAlign w:val="center"/>
            <w:tcBorders>
              <w:top w:val="single" w:sz="4" w:space="0" w:color="auto"/>
              <w:left w:val="single" w:sz="4" w:space="0" w:color="auto"/>
              <w:bottom w:val="single" w:sz="4" w:space="0" w:color="auto"/>
              <w:right w:val="single" w:sz="4" w:space="0" w:color="auto"/>
            </w:tcBorders>
          </w:tcPr>
          <w:p w14:paraId="0010197B" w14:textId="001019A2">
            <w:pPr>
              <w:pStyle w:val="Normal"/>
              <w:jc w:val="left"/>
            </w:pPr>
            <w:r>
              <w:t xml:space="preserve">Targets, safety, conduct, and community indicators</w:t>
            </w:r>
          </w:p>
        </w:tc>
        <w:tc>
          <w:tcPr>
            <w:vAlign w:val="center"/>
            <w:tcBorders>
              <w:top w:val="single" w:sz="4" w:space="0" w:color="auto"/>
              <w:left w:val="single" w:sz="4" w:space="0" w:color="auto"/>
              <w:bottom w:val="single" w:sz="4" w:space="0" w:color="auto"/>
              <w:right w:val="single" w:sz="4" w:space="0" w:color="auto"/>
            </w:tcBorders>
          </w:tcPr>
          <w:p w14:paraId="0010197D" w14:textId="001019A3">
            <w:pPr>
              <w:pStyle w:val="Normal"/>
              <w:jc w:val="left"/>
            </w:pPr>
            <w:r>
              <w:t xml:space="preserve">Sustainability Strategy—Progress Dashboard; People and Communities—Health and Safety; Leadership and Conduct—Business Conduct</w:t>
            </w:r>
          </w:p>
        </w:tc>
        <w:tc>
          <w:tcPr>
            <w:vAlign w:val="center"/>
            <w:tcBorders>
              <w:top w:val="single" w:sz="4" w:space="0" w:color="auto"/>
              <w:left w:val="single" w:sz="4" w:space="0" w:color="auto"/>
              <w:bottom w:val="single" w:sz="4" w:space="0" w:color="auto"/>
              <w:right w:val="single" w:sz="4" w:space="0" w:color="auto"/>
            </w:tcBorders>
          </w:tcPr>
          <w:p w14:paraId="0010197F" w14:textId="001019A4">
            <w:pPr>
              <w:pStyle w:val="Normal"/>
              <w:jc w:val="left"/>
            </w:pPr>
            <w:r>
              <w:t xml:space="preserve">Nonfinancial indicators are indexed to the detailed narrative and metric definitions in the relevant sections.</w:t>
            </w:r>
          </w:p>
        </w:tc>
      </w:tr>
    </w:tbl>
    <w:p w14:paraId="001019A5" w14:textId="001019A6">
      <w:pPr>
        <w:pStyle w:val="Normal"/>
        <w:jc w:val="left"/>
      </w:pPr>
      <w:r>
        <w:t xml:space="preserve">Table 16 Statement cross-reference index</w:t>
      </w:r>
    </w:p>
    <w:p w14:paraId="001019A7" w14:textId="001019A8">
      <w:pPr>
        <w:pStyle w:val="Normal"/>
        <w:jc w:val="left"/>
      </w:pPr>
      <w:r>
        <w:t xml:space="preserve">12.1.1 Note Cross-References</w:t>
      </w:r>
    </w:p>
    <w:p w14:paraId="001019A9" w14:textId="001019AA">
      <w:pPr>
        <w:pStyle w:val="Normal"/>
        <w:jc w:val="left"/>
      </w:pPr>
      <w:r>
        <w:t xml:space="preserve">The detailed accounting notes in this report are intended to be read as an interconnected disclosure set rather than as isolated schedules. Several balances and performance measures appear in more than one place because recognition, measurement, risk, and movement analysis are disclosed separately. For example, revenue is linked not only to disaggregation schedules by segment and geography, but also to contract assets, contract liabilities, receivables, and the discussion of performance obligations. Likewise, borrowings should be read together with lease liabilities, covenant disclosures, maturity profiles, liquidity analysis, and market-risk sensitivities in order to understand both carrying amounts and exposure over time.</w:t>
      </w:r>
    </w:p>
    <w:p w14:paraId="001019AB" w14:textId="001019AC">
      <w:pPr>
        <w:pStyle w:val="Normal"/>
        <w:jc w:val="left"/>
      </w:pPr>
      <w:r>
        <w:t xml:space="preserve">Cross-referencing among notes also helps the reader distinguish between accounting presentation and management interpretation. Asset carrying values are supported by movement schedules, impairment testing, useful-life assumptions, and capital commitment disclosures; tax balances are explained through current tax, deferred tax, uncertain positions, and recoverability judgments; equity balances connect to issued capital, reserve movements, dividends, and share-based payment expense. These links reduce duplication while preserving transparency, because a single economic event may affect multiple statements and notes in different ways.</w:t>
      </w:r>
    </w:p>
    <w:p w14:paraId="001019AD" w14:textId="001019AE">
      <w:pPr>
        <w:pStyle w:val="Normal"/>
        <w:jc w:val="left"/>
      </w:pPr>
      <w:r>
        <w:t xml:space="preserve">Readers should therefore follow note references sequentially when assessing material judgments or reconciling totals to the primary statements. Where a note contains measurement uncertainty, contingent outcomes, or noncash movements, related notes identify the wider context needed for interpretation. This approach is particularly important for areas such as goodwill, provisions, business combinations, and related-party transactions, where the significance of the disclosure depends on understanding both the recorded amount and the assumptions, restrictions, or governance controls attached to it.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19AF" w14:textId="001019E7">
            <w:pPr>
              <w:pStyle w:val="Normal"/>
              <w:jc w:val="left"/>
            </w:pPr>
            <w:r>
              <w:t xml:space="preserve">Topic area</w:t>
            </w:r>
          </w:p>
        </w:tc>
        <w:tc>
          <w:tcPr>
            <w:vAlign w:val="center"/>
            <w:tcBorders>
              <w:top w:val="single" w:sz="4" w:space="0" w:color="auto"/>
              <w:left w:val="single" w:sz="4" w:space="0" w:color="auto"/>
              <w:bottom w:val="single" w:sz="4" w:space="0" w:color="auto"/>
              <w:right w:val="single" w:sz="4" w:space="0" w:color="auto"/>
            </w:tcBorders>
          </w:tcPr>
          <w:p w14:paraId="001019B1" w14:textId="001019E8">
            <w:pPr>
              <w:pStyle w:val="Normal"/>
              <w:jc w:val="left"/>
            </w:pPr>
            <w:r>
              <w:t xml:space="preserve">Primary section reference</w:t>
            </w:r>
          </w:p>
        </w:tc>
        <w:tc>
          <w:tcPr>
            <w:vAlign w:val="center"/>
            <w:tcBorders>
              <w:top w:val="single" w:sz="4" w:space="0" w:color="auto"/>
              <w:left w:val="single" w:sz="4" w:space="0" w:color="auto"/>
              <w:bottom w:val="single" w:sz="4" w:space="0" w:color="auto"/>
              <w:right w:val="single" w:sz="4" w:space="0" w:color="auto"/>
            </w:tcBorders>
          </w:tcPr>
          <w:p w14:paraId="001019B3" w14:textId="001019E9">
            <w:pPr>
              <w:pStyle w:val="Normal"/>
              <w:jc w:val="left"/>
            </w:pPr>
            <w:r>
              <w:t xml:space="preserve">Related metrics / disclosures</w:t>
            </w:r>
          </w:p>
        </w:tc>
        <w:tc>
          <w:tcPr>
            <w:vAlign w:val="center"/>
            <w:tcBorders>
              <w:top w:val="single" w:sz="4" w:space="0" w:color="auto"/>
              <w:left w:val="single" w:sz="4" w:space="0" w:color="auto"/>
              <w:bottom w:val="single" w:sz="4" w:space="0" w:color="auto"/>
              <w:right w:val="single" w:sz="4" w:space="0" w:color="auto"/>
            </w:tcBorders>
          </w:tcPr>
          <w:p w14:paraId="001019B5" w14:textId="001019EA">
            <w:pPr>
              <w:pStyle w:val="Normal"/>
              <w:jc w:val="left"/>
            </w:pPr>
            <w:r>
              <w:t xml:space="preserve">Supporting notes</w:t>
            </w:r>
          </w:p>
        </w:tc>
      </w:tr>
      <w:tr>
        <w:tc>
          <w:tcPr>
            <w:vAlign w:val="top"/>
            <w:tcBorders>
              <w:top w:val="single" w:sz="4" w:space="0" w:color="auto"/>
              <w:left w:val="single" w:sz="4" w:space="0" w:color="auto"/>
              <w:bottom w:val="single" w:sz="4" w:space="0" w:color="auto"/>
              <w:right w:val="single" w:sz="4" w:space="0" w:color="auto"/>
            </w:tcBorders>
          </w:tcPr>
          <w:p w14:paraId="001019B7" w14:textId="001019EB">
            <w:pPr>
              <w:pStyle w:val="Normal"/>
              <w:jc w:val="left"/>
            </w:pPr>
            <w:r>
              <w:t xml:space="preserve">Climate and energy</w:t>
            </w:r>
          </w:p>
        </w:tc>
        <w:tc>
          <w:tcPr>
            <w:vAlign w:val="center"/>
            <w:tcBorders>
              <w:top w:val="single" w:sz="4" w:space="0" w:color="auto"/>
              <w:left w:val="single" w:sz="4" w:space="0" w:color="auto"/>
              <w:bottom w:val="single" w:sz="4" w:space="0" w:color="auto"/>
              <w:right w:val="single" w:sz="4" w:space="0" w:color="auto"/>
            </w:tcBorders>
          </w:tcPr>
          <w:p w14:paraId="001019B9" w14:textId="001019EC">
            <w:pPr>
              <w:pStyle w:val="Normal"/>
              <w:jc w:val="left"/>
            </w:pPr>
            <w:r>
              <w:t xml:space="preserve">Sustainability and Impact — Environment — Climate and Energy</w:t>
            </w:r>
          </w:p>
        </w:tc>
        <w:tc>
          <w:tcPr>
            <w:vAlign w:val="center"/>
            <w:tcBorders>
              <w:top w:val="single" w:sz="4" w:space="0" w:color="auto"/>
              <w:left w:val="single" w:sz="4" w:space="0" w:color="auto"/>
              <w:bottom w:val="single" w:sz="4" w:space="0" w:color="auto"/>
              <w:right w:val="single" w:sz="4" w:space="0" w:color="auto"/>
            </w:tcBorders>
          </w:tcPr>
          <w:p w14:paraId="001019BB" w14:textId="001019ED">
            <w:pPr>
              <w:pStyle w:val="Normal"/>
              <w:jc w:val="left"/>
            </w:pPr>
            <w:r>
              <w:t xml:space="preserve">Emissions Profile; Transition Actions; energy use; Scope 1 and Scope 2 performance</w:t>
            </w:r>
          </w:p>
        </w:tc>
        <w:tc>
          <w:tcPr>
            <w:vAlign w:val="center"/>
            <w:tcBorders>
              <w:top w:val="single" w:sz="4" w:space="0" w:color="auto"/>
              <w:left w:val="single" w:sz="4" w:space="0" w:color="auto"/>
              <w:bottom w:val="single" w:sz="4" w:space="0" w:color="auto"/>
              <w:right w:val="single" w:sz="4" w:space="0" w:color="auto"/>
            </w:tcBorders>
          </w:tcPr>
          <w:p w14:paraId="001019BD" w14:textId="001019EE">
            <w:pPr>
              <w:pStyle w:val="Normal"/>
              <w:jc w:val="left"/>
            </w:pPr>
            <w:r>
              <w:t xml:space="preserve">See also Basis and Assurance — Measurement Methods; Restatements and Estimates</w:t>
            </w:r>
          </w:p>
        </w:tc>
      </w:tr>
      <w:tr>
        <w:tc>
          <w:tcPr>
            <w:vAlign w:val="top"/>
            <w:tcBorders>
              <w:top w:val="single" w:sz="4" w:space="0" w:color="auto"/>
              <w:left w:val="single" w:sz="4" w:space="0" w:color="auto"/>
              <w:bottom w:val="single" w:sz="4" w:space="0" w:color="auto"/>
              <w:right w:val="single" w:sz="4" w:space="0" w:color="auto"/>
            </w:tcBorders>
          </w:tcPr>
          <w:p w14:paraId="001019BF" w14:textId="001019EF">
            <w:pPr>
              <w:pStyle w:val="Normal"/>
              <w:jc w:val="left"/>
            </w:pPr>
            <w:r>
              <w:t xml:space="preserve">Resources and nature</w:t>
            </w:r>
          </w:p>
        </w:tc>
        <w:tc>
          <w:tcPr>
            <w:vAlign w:val="center"/>
            <w:tcBorders>
              <w:top w:val="single" w:sz="4" w:space="0" w:color="auto"/>
              <w:left w:val="single" w:sz="4" w:space="0" w:color="auto"/>
              <w:bottom w:val="single" w:sz="4" w:space="0" w:color="auto"/>
              <w:right w:val="single" w:sz="4" w:space="0" w:color="auto"/>
            </w:tcBorders>
          </w:tcPr>
          <w:p w14:paraId="001019C1" w14:textId="001019F0">
            <w:pPr>
              <w:pStyle w:val="Normal"/>
              <w:jc w:val="left"/>
            </w:pPr>
            <w:r>
              <w:t xml:space="preserve">Sustainability and Impact — Environment — Resources and Nature</w:t>
            </w:r>
          </w:p>
        </w:tc>
        <w:tc>
          <w:tcPr>
            <w:vAlign w:val="center"/>
            <w:tcBorders>
              <w:top w:val="single" w:sz="4" w:space="0" w:color="auto"/>
              <w:left w:val="single" w:sz="4" w:space="0" w:color="auto"/>
              <w:bottom w:val="single" w:sz="4" w:space="0" w:color="auto"/>
              <w:right w:val="single" w:sz="4" w:space="0" w:color="auto"/>
            </w:tcBorders>
          </w:tcPr>
          <w:p w14:paraId="001019C3" w14:textId="001019F1">
            <w:pPr>
              <w:pStyle w:val="Normal"/>
              <w:jc w:val="left"/>
            </w:pPr>
            <w:r>
              <w:t xml:space="preserve">Resource Efficiency; Nature Impacts; water withdrawal; waste generated; recycling rate</w:t>
            </w:r>
          </w:p>
        </w:tc>
        <w:tc>
          <w:tcPr>
            <w:vAlign w:val="center"/>
            <w:tcBorders>
              <w:top w:val="single" w:sz="4" w:space="0" w:color="auto"/>
              <w:left w:val="single" w:sz="4" w:space="0" w:color="auto"/>
              <w:bottom w:val="single" w:sz="4" w:space="0" w:color="auto"/>
              <w:right w:val="single" w:sz="4" w:space="0" w:color="auto"/>
            </w:tcBorders>
          </w:tcPr>
          <w:p w14:paraId="001019C5" w14:textId="001019F2">
            <w:pPr>
              <w:pStyle w:val="Normal"/>
              <w:jc w:val="left"/>
            </w:pPr>
            <w:r>
              <w:t xml:space="preserve">See also Reporting Basis — Value-Chain Scope</w:t>
            </w:r>
          </w:p>
        </w:tc>
      </w:tr>
      <w:tr>
        <w:tc>
          <w:tcPr>
            <w:vAlign w:val="top"/>
            <w:tcBorders>
              <w:top w:val="single" w:sz="4" w:space="0" w:color="auto"/>
              <w:left w:val="single" w:sz="4" w:space="0" w:color="auto"/>
              <w:bottom w:val="single" w:sz="4" w:space="0" w:color="auto"/>
              <w:right w:val="single" w:sz="4" w:space="0" w:color="auto"/>
            </w:tcBorders>
          </w:tcPr>
          <w:p w14:paraId="001019C7" w14:textId="001019F3">
            <w:pPr>
              <w:pStyle w:val="Normal"/>
              <w:jc w:val="left"/>
            </w:pPr>
            <w:r>
              <w:t xml:space="preserve">Workforce and inclusion</w:t>
            </w:r>
          </w:p>
        </w:tc>
        <w:tc>
          <w:tcPr>
            <w:vAlign w:val="center"/>
            <w:tcBorders>
              <w:top w:val="single" w:sz="4" w:space="0" w:color="auto"/>
              <w:left w:val="single" w:sz="4" w:space="0" w:color="auto"/>
              <w:bottom w:val="single" w:sz="4" w:space="0" w:color="auto"/>
              <w:right w:val="single" w:sz="4" w:space="0" w:color="auto"/>
            </w:tcBorders>
          </w:tcPr>
          <w:p w14:paraId="001019C9" w14:textId="001019F4">
            <w:pPr>
              <w:pStyle w:val="Normal"/>
              <w:jc w:val="left"/>
            </w:pPr>
            <w:r>
              <w:t xml:space="preserve">Sustainability and Impact — People and Communities — Workforce</w:t>
            </w:r>
          </w:p>
        </w:tc>
        <w:tc>
          <w:tcPr>
            <w:vAlign w:val="center"/>
            <w:tcBorders>
              <w:top w:val="single" w:sz="4" w:space="0" w:color="auto"/>
              <w:left w:val="single" w:sz="4" w:space="0" w:color="auto"/>
              <w:bottom w:val="single" w:sz="4" w:space="0" w:color="auto"/>
              <w:right w:val="single" w:sz="4" w:space="0" w:color="auto"/>
            </w:tcBorders>
          </w:tcPr>
          <w:p w14:paraId="001019CB" w14:textId="001019F5">
            <w:pPr>
              <w:pStyle w:val="Normal"/>
              <w:jc w:val="left"/>
            </w:pPr>
            <w:r>
              <w:t xml:space="preserve">People Development; Inclusion and Opportunity; headcount; training hours; engagement and retention indicators</w:t>
            </w:r>
          </w:p>
        </w:tc>
        <w:tc>
          <w:tcPr>
            <w:vAlign w:val="center"/>
            <w:tcBorders>
              <w:top w:val="single" w:sz="4" w:space="0" w:color="auto"/>
              <w:left w:val="single" w:sz="4" w:space="0" w:color="auto"/>
              <w:bottom w:val="single" w:sz="4" w:space="0" w:color="auto"/>
              <w:right w:val="single" w:sz="4" w:space="0" w:color="auto"/>
            </w:tcBorders>
          </w:tcPr>
          <w:p w14:paraId="001019CD" w14:textId="001019F6">
            <w:pPr>
              <w:pStyle w:val="Normal"/>
              <w:jc w:val="left"/>
            </w:pPr>
            <w:r>
              <w:t xml:space="preserve">See also Reader Guidance — Nonfinancial Conventions</w:t>
            </w:r>
          </w:p>
        </w:tc>
      </w:tr>
      <w:tr>
        <w:tc>
          <w:tcPr>
            <w:vAlign w:val="top"/>
            <w:tcBorders>
              <w:top w:val="single" w:sz="4" w:space="0" w:color="auto"/>
              <w:left w:val="single" w:sz="4" w:space="0" w:color="auto"/>
              <w:bottom w:val="single" w:sz="4" w:space="0" w:color="auto"/>
              <w:right w:val="single" w:sz="4" w:space="0" w:color="auto"/>
            </w:tcBorders>
          </w:tcPr>
          <w:p w14:paraId="001019CF" w14:textId="001019F7">
            <w:pPr>
              <w:pStyle w:val="Normal"/>
              <w:jc w:val="left"/>
            </w:pPr>
            <w:r>
              <w:t xml:space="preserve">Health, safety, and rights</w:t>
            </w:r>
          </w:p>
        </w:tc>
        <w:tc>
          <w:tcPr>
            <w:vAlign w:val="center"/>
            <w:tcBorders>
              <w:top w:val="single" w:sz="4" w:space="0" w:color="auto"/>
              <w:left w:val="single" w:sz="4" w:space="0" w:color="auto"/>
              <w:bottom w:val="single" w:sz="4" w:space="0" w:color="auto"/>
              <w:right w:val="single" w:sz="4" w:space="0" w:color="auto"/>
            </w:tcBorders>
          </w:tcPr>
          <w:p w14:paraId="001019D1" w14:textId="001019F8">
            <w:pPr>
              <w:pStyle w:val="Normal"/>
              <w:jc w:val="left"/>
            </w:pPr>
            <w:r>
              <w:t xml:space="preserve">Sustainability and Impact — People and Communities — Safety and Rights</w:t>
            </w:r>
          </w:p>
        </w:tc>
        <w:tc>
          <w:tcPr>
            <w:vAlign w:val="center"/>
            <w:tcBorders>
              <w:top w:val="single" w:sz="4" w:space="0" w:color="auto"/>
              <w:left w:val="single" w:sz="4" w:space="0" w:color="auto"/>
              <w:bottom w:val="single" w:sz="4" w:space="0" w:color="auto"/>
              <w:right w:val="single" w:sz="4" w:space="0" w:color="auto"/>
            </w:tcBorders>
          </w:tcPr>
          <w:p w14:paraId="001019D3" w14:textId="001019F9">
            <w:pPr>
              <w:pStyle w:val="Normal"/>
              <w:jc w:val="left"/>
            </w:pPr>
            <w:r>
              <w:t xml:space="preserve">Health and Safety; Human Rights; incident rates; corrective actions; grievance processes</w:t>
            </w:r>
          </w:p>
        </w:tc>
        <w:tc>
          <w:tcPr>
            <w:vAlign w:val="center"/>
            <w:tcBorders>
              <w:top w:val="single" w:sz="4" w:space="0" w:color="auto"/>
              <w:left w:val="single" w:sz="4" w:space="0" w:color="auto"/>
              <w:bottom w:val="single" w:sz="4" w:space="0" w:color="auto"/>
              <w:right w:val="single" w:sz="4" w:space="0" w:color="auto"/>
            </w:tcBorders>
          </w:tcPr>
          <w:p w14:paraId="001019D5" w14:textId="001019FA">
            <w:pPr>
              <w:pStyle w:val="Normal"/>
              <w:jc w:val="left"/>
            </w:pPr>
            <w:r>
              <w:t xml:space="preserve">See also Risk Management — Operational Resilience</w:t>
            </w:r>
          </w:p>
        </w:tc>
      </w:tr>
      <w:tr>
        <w:tc>
          <w:tcPr>
            <w:vAlign w:val="top"/>
            <w:tcBorders>
              <w:top w:val="single" w:sz="4" w:space="0" w:color="auto"/>
              <w:left w:val="single" w:sz="4" w:space="0" w:color="auto"/>
              <w:bottom w:val="single" w:sz="4" w:space="0" w:color="auto"/>
              <w:right w:val="single" w:sz="4" w:space="0" w:color="auto"/>
            </w:tcBorders>
          </w:tcPr>
          <w:p w14:paraId="001019D7" w14:textId="001019FB">
            <w:pPr>
              <w:pStyle w:val="Normal"/>
              <w:jc w:val="left"/>
            </w:pPr>
            <w:r>
              <w:t xml:space="preserve">Community contribution</w:t>
            </w:r>
          </w:p>
        </w:tc>
        <w:tc>
          <w:tcPr>
            <w:vAlign w:val="center"/>
            <w:tcBorders>
              <w:top w:val="single" w:sz="4" w:space="0" w:color="auto"/>
              <w:left w:val="single" w:sz="4" w:space="0" w:color="auto"/>
              <w:bottom w:val="single" w:sz="4" w:space="0" w:color="auto"/>
              <w:right w:val="single" w:sz="4" w:space="0" w:color="auto"/>
            </w:tcBorders>
          </w:tcPr>
          <w:p w14:paraId="001019D9" w14:textId="001019FC">
            <w:pPr>
              <w:pStyle w:val="Normal"/>
              <w:jc w:val="left"/>
            </w:pPr>
            <w:r>
              <w:t xml:space="preserve">Sustainability and Impact — People and Communities — Community Contribution</w:t>
            </w:r>
          </w:p>
        </w:tc>
        <w:tc>
          <w:tcPr>
            <w:vAlign w:val="center"/>
            <w:tcBorders>
              <w:top w:val="single" w:sz="4" w:space="0" w:color="auto"/>
              <w:left w:val="single" w:sz="4" w:space="0" w:color="auto"/>
              <w:bottom w:val="single" w:sz="4" w:space="0" w:color="auto"/>
              <w:right w:val="single" w:sz="4" w:space="0" w:color="auto"/>
            </w:tcBorders>
          </w:tcPr>
          <w:p w14:paraId="001019DB" w14:textId="001019FD">
            <w:pPr>
              <w:pStyle w:val="Normal"/>
              <w:jc w:val="left"/>
            </w:pPr>
            <w:r>
              <w:t xml:space="preserve">Community Programs; Contribution Measures; investment value; participation and beneficiary indicators</w:t>
            </w:r>
          </w:p>
        </w:tc>
        <w:tc>
          <w:tcPr>
            <w:vAlign w:val="center"/>
            <w:tcBorders>
              <w:top w:val="single" w:sz="4" w:space="0" w:color="auto"/>
              <w:left w:val="single" w:sz="4" w:space="0" w:color="auto"/>
              <w:bottom w:val="single" w:sz="4" w:space="0" w:color="auto"/>
              <w:right w:val="single" w:sz="4" w:space="0" w:color="auto"/>
            </w:tcBorders>
          </w:tcPr>
          <w:p w14:paraId="001019DD" w14:textId="001019FE">
            <w:pPr>
              <w:pStyle w:val="Normal"/>
              <w:jc w:val="left"/>
            </w:pPr>
            <w:r>
              <w:t xml:space="preserve">See also Sustainability Strategy — Progress Dashboard</w:t>
            </w:r>
          </w:p>
        </w:tc>
      </w:tr>
      <w:tr>
        <w:tc>
          <w:tcPr>
            <w:vAlign w:val="top"/>
            <w:tcBorders>
              <w:top w:val="single" w:sz="4" w:space="0" w:color="auto"/>
              <w:left w:val="single" w:sz="4" w:space="0" w:color="auto"/>
              <w:bottom w:val="single" w:sz="4" w:space="0" w:color="auto"/>
              <w:right w:val="single" w:sz="4" w:space="0" w:color="auto"/>
            </w:tcBorders>
          </w:tcPr>
          <w:p w14:paraId="001019DF" w14:textId="001019FF">
            <w:pPr>
              <w:pStyle w:val="Normal"/>
              <w:jc w:val="left"/>
            </w:pPr>
            <w:r>
              <w:t xml:space="preserve">Governance and conduct</w:t>
            </w:r>
          </w:p>
        </w:tc>
        <w:tc>
          <w:tcPr>
            <w:vAlign w:val="center"/>
            <w:tcBorders>
              <w:top w:val="single" w:sz="4" w:space="0" w:color="auto"/>
              <w:left w:val="single" w:sz="4" w:space="0" w:color="auto"/>
              <w:bottom w:val="single" w:sz="4" w:space="0" w:color="auto"/>
              <w:right w:val="single" w:sz="4" w:space="0" w:color="auto"/>
            </w:tcBorders>
          </w:tcPr>
          <w:p w14:paraId="001019E1" w14:textId="00101A00">
            <w:pPr>
              <w:pStyle w:val="Normal"/>
              <w:jc w:val="left"/>
            </w:pPr>
            <w:r>
              <w:t xml:space="preserve">Corporate Governance — Leadership and Conduct</w:t>
            </w:r>
          </w:p>
        </w:tc>
        <w:tc>
          <w:tcPr>
            <w:vAlign w:val="center"/>
            <w:tcBorders>
              <w:top w:val="single" w:sz="4" w:space="0" w:color="auto"/>
              <w:left w:val="single" w:sz="4" w:space="0" w:color="auto"/>
              <w:bottom w:val="single" w:sz="4" w:space="0" w:color="auto"/>
              <w:right w:val="single" w:sz="4" w:space="0" w:color="auto"/>
            </w:tcBorders>
          </w:tcPr>
          <w:p w14:paraId="001019E3" w14:textId="00101A01">
            <w:pPr>
              <w:pStyle w:val="Normal"/>
              <w:jc w:val="left"/>
            </w:pPr>
            <w:r>
              <w:t xml:space="preserve">Business Conduct; Remuneration Outcomes; policy training; investigations; ethics reporting channels</w:t>
            </w:r>
          </w:p>
        </w:tc>
        <w:tc>
          <w:tcPr>
            <w:vAlign w:val="center"/>
            <w:tcBorders>
              <w:top w:val="single" w:sz="4" w:space="0" w:color="auto"/>
              <w:left w:val="single" w:sz="4" w:space="0" w:color="auto"/>
              <w:bottom w:val="single" w:sz="4" w:space="0" w:color="auto"/>
              <w:right w:val="single" w:sz="4" w:space="0" w:color="auto"/>
            </w:tcBorders>
          </w:tcPr>
          <w:p w14:paraId="001019E5" w14:textId="00101A02">
            <w:pPr>
              <w:pStyle w:val="Normal"/>
              <w:jc w:val="left"/>
            </w:pPr>
            <w:r>
              <w:t xml:space="preserve">See also Governance Framework — Committee Activities</w:t>
            </w:r>
          </w:p>
        </w:tc>
      </w:tr>
    </w:tbl>
    <w:p w14:paraId="00101A03" w14:textId="00101A04">
      <w:pPr>
        <w:pStyle w:val="Normal"/>
        <w:jc w:val="left"/>
      </w:pPr>
      <w:r>
        <w:t xml:space="preserve">Table 16 Note Cross-Reference Schedule</w:t>
      </w:r>
    </w:p>
    <w:p w14:paraId="00101A05" w14:textId="00101A06">
      <w:pPr>
        <w:pStyle w:val="Normal"/>
        <w:jc w:val="left"/>
      </w:pPr>
      <w:r>
        <w:t xml:space="preserve">12.1 Impact References</w:t>
      </w:r>
    </w:p>
    <w:p w14:paraId="00101A07" w14:textId="00101A08">
      <w:pPr>
        <w:pStyle w:val="Normal"/>
        <w:jc w:val="left"/>
      </w:pPr>
      <w:r>
        <w:t xml:space="preserve">This index is intended to help readers locate nonfinancial disclosures that are spread across sustainability, governance, risk, workforce, and assurance sections of the report. Because Rivermark Holdings manages impact topics through operating processes rather than in a single standalone chapter, related information may appear in more than one place. Environmental indicators are presented with performance data in Sustainability and Impact, while governance responsibilities, control processes, and reporting boundaries are often explained in Corporate Governance, Risk Management, and Basis and Assurance.</w:t>
      </w:r>
    </w:p>
    <w:p w14:paraId="00101A09" w14:textId="00101A0A">
      <w:pPr>
        <w:pStyle w:val="Normal"/>
        <w:jc w:val="left"/>
      </w:pPr>
      <w:r>
        <w:t xml:space="preserve">The reference structure therefore links each topic to its principal discussion, the metrics most commonly used to evaluate performance, and supporting sections that explain scope, definitions, controls, or methodological limitations. This approach is designed to improve traceability for readers comparing topic narratives with underlying indicators, especially where measures are subject to organizational boundaries, estimation methods, or changes in coverage. It also supports consistent interpretation of trend charts and tables by showing where the definitions of each indicator, and any important qualifications to comparability, are disclosed elsewhere in the report.</w:t>
      </w:r>
    </w:p>
    <w:p w14:paraId="00101A0B" w14:textId="00101A0C">
      <w:pPr>
        <w:pStyle w:val="Normal"/>
        <w:jc w:val="left"/>
      </w:pPr>
      <w:r>
        <w:t xml:space="preserve">12.1.2 Sustainability Index</w:t>
      </w:r>
    </w:p>
    <w:p w14:paraId="00101A0D" w14:textId="00101A0E">
      <w:pPr>
        <w:pStyle w:val="Normal"/>
        <w:jc w:val="left"/>
      </w:pPr>
      <w:r>
        <w:t xml:space="preserve">The sustainability index serves as a navigation tool for readers seeking either a topic-led or metric-led view of Rivermark Holdings’ impact disclosures. A topic-led search begins with a material theme such as climate, safety, workforce development, human rights, or community contribution, then points to the section where strategy, governance, actions, and year-on-year outcomes are described together. A metric-led search works in the opposite direction, enabling a reader who starts from an indicator—such as emissions intensity, training hours, recordable incident rate, or community investment—to identify the governing narrative, data boundary, and any assurance or methodology notes that affect interpretation.</w:t>
      </w:r>
    </w:p>
    <w:p w14:paraId="00101A0F" w14:textId="00101A10">
      <w:pPr>
        <w:pStyle w:val="Normal"/>
        <w:jc w:val="left"/>
      </w:pPr>
      <w:r>
        <w:t xml:space="preserve">Readers should use the index alongside the Basis and Assurance section whenever they need to confirm reporting scope, estimation practices, restatements, or control procedures. This is particularly important for nonfinancial measures that may differ in boundary from statutory financial reporting or that rely on operational source systems across multiple business units. The index is also useful for connecting management commentary with accountability structures: for example, a sustainability metric may be reported in the Environment or People and Communities chapters, while executive oversight, control ownership, and validation processes are explained in Sustainability Strategy, Governance, or Internal Reporting Controls. In this way, the index supports efficient lookup without separating metrics from the context needed to understand performance.</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1A11" w14:textId="00101A49">
            <w:pPr>
              <w:pStyle w:val="Normal"/>
              <w:jc w:val="left"/>
            </w:pPr>
            <w:r>
              <w:t xml:space="preserve">Topic</w:t>
            </w:r>
          </w:p>
        </w:tc>
        <w:tc>
          <w:tcPr>
            <w:vAlign w:val="center"/>
            <w:tcBorders>
              <w:top w:val="single" w:sz="4" w:space="0" w:color="auto"/>
              <w:left w:val="single" w:sz="4" w:space="0" w:color="auto"/>
              <w:bottom w:val="single" w:sz="4" w:space="0" w:color="auto"/>
              <w:right w:val="single" w:sz="4" w:space="0" w:color="auto"/>
            </w:tcBorders>
          </w:tcPr>
          <w:p w14:paraId="00101A13" w14:textId="00101A4A">
            <w:pPr>
              <w:pStyle w:val="Normal"/>
              <w:jc w:val="left"/>
            </w:pPr>
            <w:r>
              <w:t xml:space="preserve">Primary metric or disclosure</w:t>
            </w:r>
          </w:p>
        </w:tc>
        <w:tc>
          <w:tcPr>
            <w:vAlign w:val="center"/>
            <w:tcBorders>
              <w:top w:val="single" w:sz="4" w:space="0" w:color="auto"/>
              <w:left w:val="single" w:sz="4" w:space="0" w:color="auto"/>
              <w:bottom w:val="single" w:sz="4" w:space="0" w:color="auto"/>
              <w:right w:val="single" w:sz="4" w:space="0" w:color="auto"/>
            </w:tcBorders>
          </w:tcPr>
          <w:p w14:paraId="00101A15" w14:textId="00101A4B">
            <w:pPr>
              <w:pStyle w:val="Normal"/>
              <w:jc w:val="left"/>
            </w:pPr>
            <w:r>
              <w:t xml:space="preserve">Section reference</w:t>
            </w:r>
          </w:p>
        </w:tc>
        <w:tc>
          <w:tcPr>
            <w:vAlign w:val="center"/>
            <w:tcBorders>
              <w:top w:val="single" w:sz="4" w:space="0" w:color="auto"/>
              <w:left w:val="single" w:sz="4" w:space="0" w:color="auto"/>
              <w:bottom w:val="single" w:sz="4" w:space="0" w:color="auto"/>
              <w:right w:val="single" w:sz="4" w:space="0" w:color="auto"/>
            </w:tcBorders>
          </w:tcPr>
          <w:p w14:paraId="00101A17" w14:textId="00101A4C">
            <w:pPr>
              <w:pStyle w:val="Normal"/>
              <w:jc w:val="left"/>
            </w:pPr>
            <w:r>
              <w:t xml:space="preserve">Page reference</w:t>
            </w:r>
          </w:p>
        </w:tc>
      </w:tr>
      <w:tr>
        <w:tc>
          <w:tcPr>
            <w:vAlign w:val="top"/>
            <w:tcBorders>
              <w:top w:val="single" w:sz="4" w:space="0" w:color="auto"/>
              <w:left w:val="single" w:sz="4" w:space="0" w:color="auto"/>
              <w:bottom w:val="single" w:sz="4" w:space="0" w:color="auto"/>
              <w:right w:val="single" w:sz="4" w:space="0" w:color="auto"/>
            </w:tcBorders>
          </w:tcPr>
          <w:p w14:paraId="00101A19" w14:textId="00101A4D">
            <w:pPr>
              <w:pStyle w:val="Normal"/>
              <w:jc w:val="left"/>
            </w:pPr>
            <w:r>
              <w:t xml:space="preserve">Climate and energy</w:t>
            </w:r>
          </w:p>
        </w:tc>
        <w:tc>
          <w:tcPr>
            <w:vAlign w:val="center"/>
            <w:tcBorders>
              <w:top w:val="single" w:sz="4" w:space="0" w:color="auto"/>
              <w:left w:val="single" w:sz="4" w:space="0" w:color="auto"/>
              <w:bottom w:val="single" w:sz="4" w:space="0" w:color="auto"/>
              <w:right w:val="single" w:sz="4" w:space="0" w:color="auto"/>
            </w:tcBorders>
          </w:tcPr>
          <w:p w14:paraId="00101A1B" w14:textId="00101A4E">
            <w:pPr>
              <w:pStyle w:val="Normal"/>
              <w:jc w:val="left"/>
            </w:pPr>
            <w:r>
              <w:t xml:space="preserve">Scope 1 and Scope 2 emissions, energy consumption, transition actions</w:t>
            </w:r>
          </w:p>
        </w:tc>
        <w:tc>
          <w:tcPr>
            <w:vAlign w:val="center"/>
            <w:tcBorders>
              <w:top w:val="single" w:sz="4" w:space="0" w:color="auto"/>
              <w:left w:val="single" w:sz="4" w:space="0" w:color="auto"/>
              <w:bottom w:val="single" w:sz="4" w:space="0" w:color="auto"/>
              <w:right w:val="single" w:sz="4" w:space="0" w:color="auto"/>
            </w:tcBorders>
          </w:tcPr>
          <w:p w14:paraId="00101A1D" w14:textId="00101A4F">
            <w:pPr>
              <w:pStyle w:val="Normal"/>
              <w:jc w:val="left"/>
            </w:pPr>
            <w:r>
              <w:t xml:space="preserve">Environment — Climate and Energy; Emissions Profile; Transition Actions</w:t>
            </w:r>
          </w:p>
        </w:tc>
        <w:tc>
          <w:tcPr>
            <w:vAlign w:val="center"/>
            <w:tcBorders>
              <w:top w:val="single" w:sz="4" w:space="0" w:color="auto"/>
              <w:left w:val="single" w:sz="4" w:space="0" w:color="auto"/>
              <w:bottom w:val="single" w:sz="4" w:space="0" w:color="auto"/>
              <w:right w:val="single" w:sz="4" w:space="0" w:color="auto"/>
            </w:tcBorders>
          </w:tcPr>
          <w:p w14:paraId="00101A1F" w14:textId="00101A50">
            <w:pPr>
              <w:pStyle w:val="Normal"/>
              <w:jc w:val="left"/>
            </w:pPr>
            <w:r>
              <w:t xml:space="preserve">pp. 118–123</w:t>
            </w:r>
          </w:p>
        </w:tc>
      </w:tr>
      <w:tr>
        <w:tc>
          <w:tcPr>
            <w:vAlign w:val="top"/>
            <w:tcBorders>
              <w:top w:val="single" w:sz="4" w:space="0" w:color="auto"/>
              <w:left w:val="single" w:sz="4" w:space="0" w:color="auto"/>
              <w:bottom w:val="single" w:sz="4" w:space="0" w:color="auto"/>
              <w:right w:val="single" w:sz="4" w:space="0" w:color="auto"/>
            </w:tcBorders>
          </w:tcPr>
          <w:p w14:paraId="00101A21" w14:textId="00101A51">
            <w:pPr>
              <w:pStyle w:val="Normal"/>
              <w:jc w:val="left"/>
            </w:pPr>
            <w:r>
              <w:t xml:space="preserve">Resources and nature</w:t>
            </w:r>
          </w:p>
        </w:tc>
        <w:tc>
          <w:tcPr>
            <w:vAlign w:val="center"/>
            <w:tcBorders>
              <w:top w:val="single" w:sz="4" w:space="0" w:color="auto"/>
              <w:left w:val="single" w:sz="4" w:space="0" w:color="auto"/>
              <w:bottom w:val="single" w:sz="4" w:space="0" w:color="auto"/>
              <w:right w:val="single" w:sz="4" w:space="0" w:color="auto"/>
            </w:tcBorders>
          </w:tcPr>
          <w:p w14:paraId="00101A23" w14:textId="00101A52">
            <w:pPr>
              <w:pStyle w:val="Normal"/>
              <w:jc w:val="left"/>
            </w:pPr>
            <w:r>
              <w:t xml:space="preserve">Water withdrawal, waste generated, recycling rate, material efficiency, biodiversity actions</w:t>
            </w:r>
          </w:p>
        </w:tc>
        <w:tc>
          <w:tcPr>
            <w:vAlign w:val="center"/>
            <w:tcBorders>
              <w:top w:val="single" w:sz="4" w:space="0" w:color="auto"/>
              <w:left w:val="single" w:sz="4" w:space="0" w:color="auto"/>
              <w:bottom w:val="single" w:sz="4" w:space="0" w:color="auto"/>
              <w:right w:val="single" w:sz="4" w:space="0" w:color="auto"/>
            </w:tcBorders>
          </w:tcPr>
          <w:p w14:paraId="00101A25" w14:textId="00101A53">
            <w:pPr>
              <w:pStyle w:val="Normal"/>
              <w:jc w:val="left"/>
            </w:pPr>
            <w:r>
              <w:t xml:space="preserve">Environment — Resources and Nature; Resource Efficiency; Nature Impacts</w:t>
            </w:r>
          </w:p>
        </w:tc>
        <w:tc>
          <w:tcPr>
            <w:vAlign w:val="center"/>
            <w:tcBorders>
              <w:top w:val="single" w:sz="4" w:space="0" w:color="auto"/>
              <w:left w:val="single" w:sz="4" w:space="0" w:color="auto"/>
              <w:bottom w:val="single" w:sz="4" w:space="0" w:color="auto"/>
              <w:right w:val="single" w:sz="4" w:space="0" w:color="auto"/>
            </w:tcBorders>
          </w:tcPr>
          <w:p w14:paraId="00101A27" w14:textId="00101A54">
            <w:pPr>
              <w:pStyle w:val="Normal"/>
              <w:jc w:val="left"/>
            </w:pPr>
            <w:r>
              <w:t xml:space="preserve">pp. 124–128</w:t>
            </w:r>
          </w:p>
        </w:tc>
      </w:tr>
      <w:tr>
        <w:tc>
          <w:tcPr>
            <w:vAlign w:val="top"/>
            <w:tcBorders>
              <w:top w:val="single" w:sz="4" w:space="0" w:color="auto"/>
              <w:left w:val="single" w:sz="4" w:space="0" w:color="auto"/>
              <w:bottom w:val="single" w:sz="4" w:space="0" w:color="auto"/>
              <w:right w:val="single" w:sz="4" w:space="0" w:color="auto"/>
            </w:tcBorders>
          </w:tcPr>
          <w:p w14:paraId="00101A29" w14:textId="00101A55">
            <w:pPr>
              <w:pStyle w:val="Normal"/>
              <w:jc w:val="left"/>
            </w:pPr>
            <w:r>
              <w:t xml:space="preserve">Workforce and inclusion</w:t>
            </w:r>
          </w:p>
        </w:tc>
        <w:tc>
          <w:tcPr>
            <w:vAlign w:val="center"/>
            <w:tcBorders>
              <w:top w:val="single" w:sz="4" w:space="0" w:color="auto"/>
              <w:left w:val="single" w:sz="4" w:space="0" w:color="auto"/>
              <w:bottom w:val="single" w:sz="4" w:space="0" w:color="auto"/>
              <w:right w:val="single" w:sz="4" w:space="0" w:color="auto"/>
            </w:tcBorders>
          </w:tcPr>
          <w:p w14:paraId="00101A2B" w14:textId="00101A56">
            <w:pPr>
              <w:pStyle w:val="Normal"/>
              <w:jc w:val="left"/>
            </w:pPr>
            <w:r>
              <w:t xml:space="preserve">Headcount, learning hours, engagement, retention, diversity and advancement measures</w:t>
            </w:r>
          </w:p>
        </w:tc>
        <w:tc>
          <w:tcPr>
            <w:vAlign w:val="center"/>
            <w:tcBorders>
              <w:top w:val="single" w:sz="4" w:space="0" w:color="auto"/>
              <w:left w:val="single" w:sz="4" w:space="0" w:color="auto"/>
              <w:bottom w:val="single" w:sz="4" w:space="0" w:color="auto"/>
              <w:right w:val="single" w:sz="4" w:space="0" w:color="auto"/>
            </w:tcBorders>
          </w:tcPr>
          <w:p w14:paraId="00101A2D" w14:textId="00101A57">
            <w:pPr>
              <w:pStyle w:val="Normal"/>
              <w:jc w:val="left"/>
            </w:pPr>
            <w:r>
              <w:t xml:space="preserve">People and Communities — Workforce; People Development; Inclusion and Opportunity</w:t>
            </w:r>
          </w:p>
        </w:tc>
        <w:tc>
          <w:tcPr>
            <w:vAlign w:val="center"/>
            <w:tcBorders>
              <w:top w:val="single" w:sz="4" w:space="0" w:color="auto"/>
              <w:left w:val="single" w:sz="4" w:space="0" w:color="auto"/>
              <w:bottom w:val="single" w:sz="4" w:space="0" w:color="auto"/>
              <w:right w:val="single" w:sz="4" w:space="0" w:color="auto"/>
            </w:tcBorders>
          </w:tcPr>
          <w:p w14:paraId="00101A2F" w14:textId="00101A58">
            <w:pPr>
              <w:pStyle w:val="Normal"/>
              <w:jc w:val="left"/>
            </w:pPr>
            <w:r>
              <w:t xml:space="preserve">pp. 129–134</w:t>
            </w:r>
          </w:p>
        </w:tc>
      </w:tr>
      <w:tr>
        <w:tc>
          <w:tcPr>
            <w:vAlign w:val="top"/>
            <w:tcBorders>
              <w:top w:val="single" w:sz="4" w:space="0" w:color="auto"/>
              <w:left w:val="single" w:sz="4" w:space="0" w:color="auto"/>
              <w:bottom w:val="single" w:sz="4" w:space="0" w:color="auto"/>
              <w:right w:val="single" w:sz="4" w:space="0" w:color="auto"/>
            </w:tcBorders>
          </w:tcPr>
          <w:p w14:paraId="00101A31" w14:textId="00101A59">
            <w:pPr>
              <w:pStyle w:val="Normal"/>
              <w:jc w:val="left"/>
            </w:pPr>
            <w:r>
              <w:t xml:space="preserve">Health and safety</w:t>
            </w:r>
          </w:p>
        </w:tc>
        <w:tc>
          <w:tcPr>
            <w:vAlign w:val="center"/>
            <w:tcBorders>
              <w:top w:val="single" w:sz="4" w:space="0" w:color="auto"/>
              <w:left w:val="single" w:sz="4" w:space="0" w:color="auto"/>
              <w:bottom w:val="single" w:sz="4" w:space="0" w:color="auto"/>
              <w:right w:val="single" w:sz="4" w:space="0" w:color="auto"/>
            </w:tcBorders>
          </w:tcPr>
          <w:p w14:paraId="00101A33" w14:textId="00101A5A">
            <w:pPr>
              <w:pStyle w:val="Normal"/>
              <w:jc w:val="left"/>
            </w:pPr>
            <w:r>
              <w:t xml:space="preserve">TRIR, lost-time incidents, prevention programs, contractor safety controls</w:t>
            </w:r>
          </w:p>
        </w:tc>
        <w:tc>
          <w:tcPr>
            <w:vAlign w:val="center"/>
            <w:tcBorders>
              <w:top w:val="single" w:sz="4" w:space="0" w:color="auto"/>
              <w:left w:val="single" w:sz="4" w:space="0" w:color="auto"/>
              <w:bottom w:val="single" w:sz="4" w:space="0" w:color="auto"/>
              <w:right w:val="single" w:sz="4" w:space="0" w:color="auto"/>
            </w:tcBorders>
          </w:tcPr>
          <w:p w14:paraId="00101A35" w14:textId="00101A5B">
            <w:pPr>
              <w:pStyle w:val="Normal"/>
              <w:jc w:val="left"/>
            </w:pPr>
            <w:r>
              <w:t xml:space="preserve">People and Communities — Safety and Rights; Health and Safety</w:t>
            </w:r>
          </w:p>
        </w:tc>
        <w:tc>
          <w:tcPr>
            <w:vAlign w:val="center"/>
            <w:tcBorders>
              <w:top w:val="single" w:sz="4" w:space="0" w:color="auto"/>
              <w:left w:val="single" w:sz="4" w:space="0" w:color="auto"/>
              <w:bottom w:val="single" w:sz="4" w:space="0" w:color="auto"/>
              <w:right w:val="single" w:sz="4" w:space="0" w:color="auto"/>
            </w:tcBorders>
          </w:tcPr>
          <w:p w14:paraId="00101A37" w14:textId="00101A5C">
            <w:pPr>
              <w:pStyle w:val="Normal"/>
              <w:jc w:val="left"/>
            </w:pPr>
            <w:r>
              <w:t xml:space="preserve">pp. 135–138</w:t>
            </w:r>
          </w:p>
        </w:tc>
      </w:tr>
      <w:tr>
        <w:tc>
          <w:tcPr>
            <w:vAlign w:val="top"/>
            <w:tcBorders>
              <w:top w:val="single" w:sz="4" w:space="0" w:color="auto"/>
              <w:left w:val="single" w:sz="4" w:space="0" w:color="auto"/>
              <w:bottom w:val="single" w:sz="4" w:space="0" w:color="auto"/>
              <w:right w:val="single" w:sz="4" w:space="0" w:color="auto"/>
            </w:tcBorders>
          </w:tcPr>
          <w:p w14:paraId="00101A39" w14:textId="00101A5D">
            <w:pPr>
              <w:pStyle w:val="Normal"/>
              <w:jc w:val="left"/>
            </w:pPr>
            <w:r>
              <w:t xml:space="preserve">Human rights and community</w:t>
            </w:r>
          </w:p>
        </w:tc>
        <w:tc>
          <w:tcPr>
            <w:vAlign w:val="center"/>
            <w:tcBorders>
              <w:top w:val="single" w:sz="4" w:space="0" w:color="auto"/>
              <w:left w:val="single" w:sz="4" w:space="0" w:color="auto"/>
              <w:bottom w:val="single" w:sz="4" w:space="0" w:color="auto"/>
              <w:right w:val="single" w:sz="4" w:space="0" w:color="auto"/>
            </w:tcBorders>
          </w:tcPr>
          <w:p w14:paraId="00101A3B" w14:textId="00101A5E">
            <w:pPr>
              <w:pStyle w:val="Normal"/>
              <w:jc w:val="left"/>
            </w:pPr>
            <w:r>
              <w:t xml:space="preserve">Due diligence, grievance mechanisms, labor standards, community investment and outcomes</w:t>
            </w:r>
          </w:p>
        </w:tc>
        <w:tc>
          <w:tcPr>
            <w:vAlign w:val="center"/>
            <w:tcBorders>
              <w:top w:val="single" w:sz="4" w:space="0" w:color="auto"/>
              <w:left w:val="single" w:sz="4" w:space="0" w:color="auto"/>
              <w:bottom w:val="single" w:sz="4" w:space="0" w:color="auto"/>
              <w:right w:val="single" w:sz="4" w:space="0" w:color="auto"/>
            </w:tcBorders>
          </w:tcPr>
          <w:p w14:paraId="00101A3D" w14:textId="00101A5F">
            <w:pPr>
              <w:pStyle w:val="Normal"/>
              <w:jc w:val="left"/>
            </w:pPr>
            <w:r>
              <w:t xml:space="preserve">People and Communities — Safety and Rights; Human Rights; Community Contribution</w:t>
            </w:r>
          </w:p>
        </w:tc>
        <w:tc>
          <w:tcPr>
            <w:vAlign w:val="center"/>
            <w:tcBorders>
              <w:top w:val="single" w:sz="4" w:space="0" w:color="auto"/>
              <w:left w:val="single" w:sz="4" w:space="0" w:color="auto"/>
              <w:bottom w:val="single" w:sz="4" w:space="0" w:color="auto"/>
              <w:right w:val="single" w:sz="4" w:space="0" w:color="auto"/>
            </w:tcBorders>
          </w:tcPr>
          <w:p w14:paraId="00101A3F" w14:textId="00101A60">
            <w:pPr>
              <w:pStyle w:val="Normal"/>
              <w:jc w:val="left"/>
            </w:pPr>
            <w:r>
              <w:t xml:space="preserve">pp. 138–143</w:t>
            </w:r>
          </w:p>
        </w:tc>
      </w:tr>
      <w:tr>
        <w:tc>
          <w:tcPr>
            <w:vAlign w:val="top"/>
            <w:tcBorders>
              <w:top w:val="single" w:sz="4" w:space="0" w:color="auto"/>
              <w:left w:val="single" w:sz="4" w:space="0" w:color="auto"/>
              <w:bottom w:val="single" w:sz="4" w:space="0" w:color="auto"/>
              <w:right w:val="single" w:sz="4" w:space="0" w:color="auto"/>
            </w:tcBorders>
          </w:tcPr>
          <w:p w14:paraId="00101A41" w14:textId="00101A61">
            <w:pPr>
              <w:pStyle w:val="Normal"/>
              <w:jc w:val="left"/>
            </w:pPr>
            <w:r>
              <w:t xml:space="preserve">Governance of sustainability</w:t>
            </w:r>
          </w:p>
        </w:tc>
        <w:tc>
          <w:tcPr>
            <w:vAlign w:val="center"/>
            <w:tcBorders>
              <w:top w:val="single" w:sz="4" w:space="0" w:color="auto"/>
              <w:left w:val="single" w:sz="4" w:space="0" w:color="auto"/>
              <w:bottom w:val="single" w:sz="4" w:space="0" w:color="auto"/>
              <w:right w:val="single" w:sz="4" w:space="0" w:color="auto"/>
            </w:tcBorders>
          </w:tcPr>
          <w:p w14:paraId="00101A43" w14:textId="00101A62">
            <w:pPr>
              <w:pStyle w:val="Normal"/>
              <w:jc w:val="left"/>
            </w:pPr>
            <w:r>
              <w:t xml:space="preserve">Target accountability, management oversight, data boundaries and assurance approach</w:t>
            </w:r>
          </w:p>
        </w:tc>
        <w:tc>
          <w:tcPr>
            <w:vAlign w:val="center"/>
            <w:tcBorders>
              <w:top w:val="single" w:sz="4" w:space="0" w:color="auto"/>
              <w:left w:val="single" w:sz="4" w:space="0" w:color="auto"/>
              <w:bottom w:val="single" w:sz="4" w:space="0" w:color="auto"/>
              <w:right w:val="single" w:sz="4" w:space="0" w:color="auto"/>
            </w:tcBorders>
          </w:tcPr>
          <w:p w14:paraId="00101A45" w14:textId="00101A63">
            <w:pPr>
              <w:pStyle w:val="Normal"/>
              <w:jc w:val="left"/>
            </w:pPr>
            <w:r>
              <w:t xml:space="preserve">Sustainability Strategy — Impact Governance; Accountability; Data and Assurance</w:t>
            </w:r>
          </w:p>
        </w:tc>
        <w:tc>
          <w:tcPr>
            <w:vAlign w:val="center"/>
            <w:tcBorders>
              <w:top w:val="single" w:sz="4" w:space="0" w:color="auto"/>
              <w:left w:val="single" w:sz="4" w:space="0" w:color="auto"/>
              <w:bottom w:val="single" w:sz="4" w:space="0" w:color="auto"/>
              <w:right w:val="single" w:sz="4" w:space="0" w:color="auto"/>
            </w:tcBorders>
          </w:tcPr>
          <w:p w14:paraId="00101A47" w14:textId="00101A64">
            <w:pPr>
              <w:pStyle w:val="Normal"/>
              <w:jc w:val="left"/>
            </w:pPr>
            <w:r>
              <w:t xml:space="preserve">pp. 112–117</w:t>
            </w:r>
          </w:p>
        </w:tc>
      </w:tr>
    </w:tbl>
    <w:p w14:paraId="00101A65" w14:textId="00101A66">
      <w:pPr>
        <w:pStyle w:val="Normal"/>
        <w:jc w:val="left"/>
      </w:pPr>
      <w:r>
        <w:t xml:space="preserve">Table 36 Sustainability reference index</w:t>
      </w:r>
    </w:p>
    <w:p w14:paraId="00101A67" w14:textId="00101A68">
      <w:pPr>
        <w:pStyle w:val="Normal"/>
        <w:jc w:val="left"/>
      </w:pPr>
      <w:r>
        <w:t xml:space="preserve">12.1.2 Governance Index</w:t>
      </w:r>
    </w:p>
    <w:p w14:paraId="00101A69" w14:textId="00101A6A">
      <w:pPr>
        <w:pStyle w:val="Normal"/>
        <w:jc w:val="left"/>
      </w:pPr>
      <w:r>
        <w:t xml:space="preserve">The governance index is intended to help readers navigate the report by linking the Group’s principal governance topics to the sections where oversight structures, responsibilities, activities, and related controls are explained in full. Rather than presenting governance as a stand-alone compliance statement, Rivermark Holdings organizes these references to show how board stewardship, executive accountability, ethics, remuneration, and risk oversight connect to performance, sustainability, and financial reporting. This approach allows shareholders, lenders, employees, regulators, and other stakeholders to trace how decisions are made and how management is supervised across the Group.</w:t>
      </w:r>
    </w:p>
    <w:p w14:paraId="00101A6B" w14:textId="00101A6C">
      <w:pPr>
        <w:pStyle w:val="Normal"/>
        <w:jc w:val="left"/>
      </w:pPr>
      <w:r>
        <w:t xml:space="preserve">In practical terms, the index directs readers first to the Corporate Governance section for the core framework, including board responsibilities, committee mandates, effectiveness reviews, leadership composition, and conduct oversight. It also points to Risk Management for board-level risk governance, internal control monitoring, and resilience measures, and to Sustainability and Impact where accountability for environmental and social targets is assigned. Where governance topics affect reported numbers or formal disclosures, the index should be read together with the Financial Note Disclosures, particularly related-party transactions, remuneration, and subsequent events. Cross-referencing these areas reduces duplication while preserving a clear audit trail from governance principle to operational evidence and disclosed outcome.</w:t>
      </w:r>
    </w:p>
    <w:p w14:paraId="00101A6D" w14:textId="00101A6E">
      <w:pPr>
        <w:pStyle w:val="Normal"/>
        <w:jc w:val="left"/>
      </w:pPr>
      <w:r>
        <w:t xml:space="preserve">Readers should use the governance index as a navigation tool rather than a substitute for the underlying narrative. The referenced sections contain the detailed context needed to interpret attendance indicators, committee work programs, policy controls, investigation statistics, and performance-linked pay outcomes. Used in this way, the index supports comparability across reporting cycles and improves transparency by making it easier to identify where each governance matter is described, measured, and overseen within the annual report.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1A6F" w14:textId="00101AAF">
            <w:pPr>
              <w:pStyle w:val="Normal"/>
              <w:jc w:val="left"/>
            </w:pPr>
            <w:r>
              <w:t xml:space="preserve">Topic</w:t>
            </w:r>
          </w:p>
        </w:tc>
        <w:tc>
          <w:tcPr>
            <w:vAlign w:val="center"/>
            <w:tcBorders>
              <w:top w:val="single" w:sz="4" w:space="0" w:color="auto"/>
              <w:left w:val="single" w:sz="4" w:space="0" w:color="auto"/>
              <w:bottom w:val="single" w:sz="4" w:space="0" w:color="auto"/>
              <w:right w:val="single" w:sz="4" w:space="0" w:color="auto"/>
            </w:tcBorders>
          </w:tcPr>
          <w:p w14:paraId="00101A71" w14:textId="00101AB0">
            <w:pPr>
              <w:pStyle w:val="Normal"/>
              <w:jc w:val="left"/>
            </w:pPr>
            <w:r>
              <w:t xml:space="preserve">Primary reference</w:t>
            </w:r>
          </w:p>
        </w:tc>
        <w:tc>
          <w:tcPr>
            <w:vAlign w:val="center"/>
            <w:tcBorders>
              <w:top w:val="single" w:sz="4" w:space="0" w:color="auto"/>
              <w:left w:val="single" w:sz="4" w:space="0" w:color="auto"/>
              <w:bottom w:val="single" w:sz="4" w:space="0" w:color="auto"/>
              <w:right w:val="single" w:sz="4" w:space="0" w:color="auto"/>
            </w:tcBorders>
          </w:tcPr>
          <w:p w14:paraId="00101A73" w14:textId="00101AB1">
            <w:pPr>
              <w:pStyle w:val="Normal"/>
              <w:jc w:val="left"/>
            </w:pPr>
            <w:r>
              <w:t xml:space="preserve">Supporting reference</w:t>
            </w:r>
          </w:p>
        </w:tc>
        <w:tc>
          <w:tcPr>
            <w:vAlign w:val="center"/>
            <w:tcBorders>
              <w:top w:val="single" w:sz="4" w:space="0" w:color="auto"/>
              <w:left w:val="single" w:sz="4" w:space="0" w:color="auto"/>
              <w:bottom w:val="single" w:sz="4" w:space="0" w:color="auto"/>
              <w:right w:val="single" w:sz="4" w:space="0" w:color="auto"/>
            </w:tcBorders>
          </w:tcPr>
          <w:p w14:paraId="00101A75" w14:textId="00101AB2">
            <w:pPr>
              <w:pStyle w:val="Normal"/>
              <w:jc w:val="left"/>
            </w:pPr>
            <w:r>
              <w:t xml:space="preserve">Note</w:t>
            </w:r>
          </w:p>
        </w:tc>
      </w:tr>
      <w:tr>
        <w:tc>
          <w:tcPr>
            <w:vAlign w:val="center"/>
            <w:tcBorders>
              <w:top w:val="single" w:sz="4" w:space="0" w:color="auto"/>
              <w:left w:val="single" w:sz="4" w:space="0" w:color="auto"/>
              <w:bottom w:val="single" w:sz="4" w:space="0" w:color="auto"/>
              <w:right w:val="single" w:sz="4" w:space="0" w:color="auto"/>
            </w:tcBorders>
          </w:tcPr>
          <w:p w14:paraId="00101A77" w14:textId="00101AB3">
            <w:pPr>
              <w:pStyle w:val="Normal"/>
              <w:jc w:val="left"/>
            </w:pPr>
            <w:r>
              <w:t xml:space="preserve">Board responsibilities and reserved matters</w:t>
            </w:r>
          </w:p>
        </w:tc>
        <w:tc>
          <w:tcPr>
            <w:vAlign w:val="center"/>
            <w:tcBorders>
              <w:top w:val="single" w:sz="4" w:space="0" w:color="auto"/>
              <w:left w:val="single" w:sz="4" w:space="0" w:color="auto"/>
              <w:bottom w:val="single" w:sz="4" w:space="0" w:color="auto"/>
              <w:right w:val="single" w:sz="4" w:space="0" w:color="auto"/>
            </w:tcBorders>
          </w:tcPr>
          <w:p w14:paraId="00101A79" w14:textId="00101AB4">
            <w:pPr>
              <w:pStyle w:val="Normal"/>
              <w:jc w:val="left"/>
            </w:pPr>
            <w:r>
              <w:t xml:space="preserve">Corporate Governance — Governance Framework — Board Oversight — Board Responsibilities</w:t>
            </w:r>
          </w:p>
        </w:tc>
        <w:tc>
          <w:tcPr>
            <w:vAlign w:val="center"/>
            <w:tcBorders>
              <w:top w:val="single" w:sz="4" w:space="0" w:color="auto"/>
              <w:left w:val="single" w:sz="4" w:space="0" w:color="auto"/>
              <w:bottom w:val="single" w:sz="4" w:space="0" w:color="auto"/>
              <w:right w:val="single" w:sz="4" w:space="0" w:color="auto"/>
            </w:tcBorders>
          </w:tcPr>
          <w:p w14:paraId="00101A7B" w14:textId="00101AB5">
            <w:pPr>
              <w:pStyle w:val="Normal"/>
              <w:jc w:val="left"/>
            </w:pPr>
            <w:r>
              <w:t xml:space="preserve">Leadership and Conduct — Board and Management — Board Composition</w:t>
            </w:r>
          </w:p>
        </w:tc>
        <w:tc>
          <w:tcPr>
            <w:vAlign w:val="center"/>
            <w:tcBorders>
              <w:top w:val="single" w:sz="4" w:space="0" w:color="auto"/>
              <w:left w:val="single" w:sz="4" w:space="0" w:color="auto"/>
              <w:bottom w:val="single" w:sz="4" w:space="0" w:color="auto"/>
              <w:right w:val="single" w:sz="4" w:space="0" w:color="auto"/>
            </w:tcBorders>
          </w:tcPr>
          <w:p w14:paraId="00101A7D" w14:textId="00101AB6">
            <w:pPr>
              <w:pStyle w:val="Normal"/>
              <w:jc w:val="left"/>
            </w:pPr>
            <w:r>
              <w:t xml:space="preserve">Sets the formal allocation of oversight, approval rights, and accountability across the Board and management.</w:t>
            </w:r>
          </w:p>
        </w:tc>
      </w:tr>
      <w:tr>
        <w:tc>
          <w:tcPr>
            <w:vAlign w:val="center"/>
            <w:tcBorders>
              <w:top w:val="single" w:sz="4" w:space="0" w:color="auto"/>
              <w:left w:val="single" w:sz="4" w:space="0" w:color="auto"/>
              <w:bottom w:val="single" w:sz="4" w:space="0" w:color="auto"/>
              <w:right w:val="single" w:sz="4" w:space="0" w:color="auto"/>
            </w:tcBorders>
          </w:tcPr>
          <w:p w14:paraId="00101A7F" w14:textId="00101AB7">
            <w:pPr>
              <w:pStyle w:val="Normal"/>
              <w:jc w:val="left"/>
            </w:pPr>
            <w:r>
              <w:t xml:space="preserve">Board effectiveness, skills, and attendance</w:t>
            </w:r>
          </w:p>
        </w:tc>
        <w:tc>
          <w:tcPr>
            <w:vAlign w:val="center"/>
            <w:tcBorders>
              <w:top w:val="single" w:sz="4" w:space="0" w:color="auto"/>
              <w:left w:val="single" w:sz="4" w:space="0" w:color="auto"/>
              <w:bottom w:val="single" w:sz="4" w:space="0" w:color="auto"/>
              <w:right w:val="single" w:sz="4" w:space="0" w:color="auto"/>
            </w:tcBorders>
          </w:tcPr>
          <w:p w14:paraId="00101A81" w14:textId="00101AB8">
            <w:pPr>
              <w:pStyle w:val="Normal"/>
              <w:jc w:val="left"/>
            </w:pPr>
            <w:r>
              <w:t xml:space="preserve">Corporate Governance — Governance Framework — Board Oversight — Board Effectiveness</w:t>
            </w:r>
          </w:p>
        </w:tc>
        <w:tc>
          <w:tcPr>
            <w:vAlign w:val="center"/>
            <w:tcBorders>
              <w:top w:val="single" w:sz="4" w:space="0" w:color="auto"/>
              <w:left w:val="single" w:sz="4" w:space="0" w:color="auto"/>
              <w:bottom w:val="single" w:sz="4" w:space="0" w:color="auto"/>
              <w:right w:val="single" w:sz="4" w:space="0" w:color="auto"/>
            </w:tcBorders>
          </w:tcPr>
          <w:p w14:paraId="00101A83" w14:textId="00101AB9">
            <w:pPr>
              <w:pStyle w:val="Normal"/>
              <w:jc w:val="left"/>
            </w:pPr>
            <w:r>
              <w:t xml:space="preserve">Leadership and Conduct — Board and Management — Executive Leadership</w:t>
            </w:r>
          </w:p>
        </w:tc>
        <w:tc>
          <w:tcPr>
            <w:vAlign w:val="center"/>
            <w:tcBorders>
              <w:top w:val="single" w:sz="4" w:space="0" w:color="auto"/>
              <w:left w:val="single" w:sz="4" w:space="0" w:color="auto"/>
              <w:bottom w:val="single" w:sz="4" w:space="0" w:color="auto"/>
              <w:right w:val="single" w:sz="4" w:space="0" w:color="auto"/>
            </w:tcBorders>
          </w:tcPr>
          <w:p w14:paraId="00101A85" w14:textId="00101ABA">
            <w:pPr>
              <w:pStyle w:val="Normal"/>
              <w:jc w:val="left"/>
            </w:pPr>
            <w:r>
              <w:t xml:space="preserve">Covers annual evaluation, succession depth, skills coverage, independence balance, and meeting participation.</w:t>
            </w:r>
          </w:p>
        </w:tc>
      </w:tr>
      <w:tr>
        <w:tc>
          <w:tcPr>
            <w:vAlign w:val="center"/>
            <w:tcBorders>
              <w:top w:val="single" w:sz="4" w:space="0" w:color="auto"/>
              <w:left w:val="single" w:sz="4" w:space="0" w:color="auto"/>
              <w:bottom w:val="single" w:sz="4" w:space="0" w:color="auto"/>
              <w:right w:val="single" w:sz="4" w:space="0" w:color="auto"/>
            </w:tcBorders>
          </w:tcPr>
          <w:p w14:paraId="00101A87" w14:textId="00101ABB">
            <w:pPr>
              <w:pStyle w:val="Normal"/>
              <w:jc w:val="left"/>
            </w:pPr>
            <w:r>
              <w:t xml:space="preserve">Audit, risk, and internal control oversight</w:t>
            </w:r>
          </w:p>
        </w:tc>
        <w:tc>
          <w:tcPr>
            <w:vAlign w:val="center"/>
            <w:tcBorders>
              <w:top w:val="single" w:sz="4" w:space="0" w:color="auto"/>
              <w:left w:val="single" w:sz="4" w:space="0" w:color="auto"/>
              <w:bottom w:val="single" w:sz="4" w:space="0" w:color="auto"/>
              <w:right w:val="single" w:sz="4" w:space="0" w:color="auto"/>
            </w:tcBorders>
          </w:tcPr>
          <w:p w14:paraId="00101A89" w14:textId="00101ABC">
            <w:pPr>
              <w:pStyle w:val="Normal"/>
              <w:jc w:val="left"/>
            </w:pPr>
            <w:r>
              <w:t xml:space="preserve">Corporate Governance — Governance Framework — Committee Activities — Audit and Risk Committee</w:t>
            </w:r>
          </w:p>
        </w:tc>
        <w:tc>
          <w:tcPr>
            <w:vAlign w:val="center"/>
            <w:tcBorders>
              <w:top w:val="single" w:sz="4" w:space="0" w:color="auto"/>
              <w:left w:val="single" w:sz="4" w:space="0" w:color="auto"/>
              <w:bottom w:val="single" w:sz="4" w:space="0" w:color="auto"/>
              <w:right w:val="single" w:sz="4" w:space="0" w:color="auto"/>
            </w:tcBorders>
          </w:tcPr>
          <w:p w14:paraId="00101A8B" w14:textId="00101ABD">
            <w:pPr>
              <w:pStyle w:val="Normal"/>
              <w:jc w:val="left"/>
            </w:pPr>
            <w:r>
              <w:t xml:space="preserve">Risk Management — Risk Framework — Internal Controls — Control Monitoring</w:t>
            </w:r>
          </w:p>
        </w:tc>
        <w:tc>
          <w:tcPr>
            <w:vAlign w:val="center"/>
            <w:tcBorders>
              <w:top w:val="single" w:sz="4" w:space="0" w:color="auto"/>
              <w:left w:val="single" w:sz="4" w:space="0" w:color="auto"/>
              <w:bottom w:val="single" w:sz="4" w:space="0" w:color="auto"/>
              <w:right w:val="single" w:sz="4" w:space="0" w:color="auto"/>
            </w:tcBorders>
          </w:tcPr>
          <w:p w14:paraId="00101A8D" w14:textId="00101ABE">
            <w:pPr>
              <w:pStyle w:val="Normal"/>
              <w:jc w:val="left"/>
            </w:pPr>
            <w:r>
              <w:t xml:space="preserve">Links committee oversight with financial reporting integrity, assurance activity, and remediation tracking.</w:t>
            </w:r>
          </w:p>
        </w:tc>
      </w:tr>
      <w:tr>
        <w:tc>
          <w:tcPr>
            <w:vAlign w:val="center"/>
            <w:tcBorders>
              <w:top w:val="single" w:sz="4" w:space="0" w:color="auto"/>
              <w:left w:val="single" w:sz="4" w:space="0" w:color="auto"/>
              <w:bottom w:val="single" w:sz="4" w:space="0" w:color="auto"/>
              <w:right w:val="single" w:sz="4" w:space="0" w:color="auto"/>
            </w:tcBorders>
          </w:tcPr>
          <w:p w14:paraId="00101A8F" w14:textId="00101ABF">
            <w:pPr>
              <w:pStyle w:val="Normal"/>
              <w:jc w:val="left"/>
            </w:pPr>
            <w:r>
              <w:t xml:space="preserve">People, ethics, remuneration, and culture</w:t>
            </w:r>
          </w:p>
        </w:tc>
        <w:tc>
          <w:tcPr>
            <w:vAlign w:val="center"/>
            <w:tcBorders>
              <w:top w:val="single" w:sz="4" w:space="0" w:color="auto"/>
              <w:left w:val="single" w:sz="4" w:space="0" w:color="auto"/>
              <w:bottom w:val="single" w:sz="4" w:space="0" w:color="auto"/>
              <w:right w:val="single" w:sz="4" w:space="0" w:color="auto"/>
            </w:tcBorders>
          </w:tcPr>
          <w:p w14:paraId="00101A91" w14:textId="00101AC0">
            <w:pPr>
              <w:pStyle w:val="Normal"/>
              <w:jc w:val="left"/>
            </w:pPr>
            <w:r>
              <w:t xml:space="preserve">Corporate Governance — Governance Framework — Committee Activities — People and Ethics Committee</w:t>
            </w:r>
          </w:p>
        </w:tc>
        <w:tc>
          <w:tcPr>
            <w:vAlign w:val="center"/>
            <w:tcBorders>
              <w:top w:val="single" w:sz="4" w:space="0" w:color="auto"/>
              <w:left w:val="single" w:sz="4" w:space="0" w:color="auto"/>
              <w:bottom w:val="single" w:sz="4" w:space="0" w:color="auto"/>
              <w:right w:val="single" w:sz="4" w:space="0" w:color="auto"/>
            </w:tcBorders>
          </w:tcPr>
          <w:p w14:paraId="00101A93" w14:textId="00101AC1">
            <w:pPr>
              <w:pStyle w:val="Normal"/>
              <w:jc w:val="left"/>
            </w:pPr>
            <w:r>
              <w:t xml:space="preserve">Corporate Governance — Leadership and Conduct — Ethics and Remuneration — Business Conduct; Remuneration Outcomes</w:t>
            </w:r>
          </w:p>
        </w:tc>
        <w:tc>
          <w:tcPr>
            <w:vAlign w:val="center"/>
            <w:tcBorders>
              <w:top w:val="single" w:sz="4" w:space="0" w:color="auto"/>
              <w:left w:val="single" w:sz="4" w:space="0" w:color="auto"/>
              <w:bottom w:val="single" w:sz="4" w:space="0" w:color="auto"/>
              <w:right w:val="single" w:sz="4" w:space="0" w:color="auto"/>
            </w:tcBorders>
          </w:tcPr>
          <w:p w14:paraId="00101A95" w14:textId="00101AC2">
            <w:pPr>
              <w:pStyle w:val="Normal"/>
              <w:jc w:val="left"/>
            </w:pPr>
            <w:r>
              <w:t xml:space="preserve">Brings together conduct oversight, leadership succession, incentive design, and workforce culture matters.</w:t>
            </w:r>
          </w:p>
        </w:tc>
      </w:tr>
      <w:tr>
        <w:tc>
          <w:tcPr>
            <w:vAlign w:val="center"/>
            <w:tcBorders>
              <w:top w:val="single" w:sz="4" w:space="0" w:color="auto"/>
              <w:left w:val="single" w:sz="4" w:space="0" w:color="auto"/>
              <w:bottom w:val="single" w:sz="4" w:space="0" w:color="auto"/>
              <w:right w:val="single" w:sz="4" w:space="0" w:color="auto"/>
            </w:tcBorders>
          </w:tcPr>
          <w:p w14:paraId="00101A97" w14:textId="00101AC3">
            <w:pPr>
              <w:pStyle w:val="Normal"/>
              <w:jc w:val="left"/>
            </w:pPr>
            <w:r>
              <w:t xml:space="preserve">Business conduct and speak-up arrangements</w:t>
            </w:r>
          </w:p>
        </w:tc>
        <w:tc>
          <w:tcPr>
            <w:vAlign w:val="center"/>
            <w:tcBorders>
              <w:top w:val="single" w:sz="4" w:space="0" w:color="auto"/>
              <w:left w:val="single" w:sz="4" w:space="0" w:color="auto"/>
              <w:bottom w:val="single" w:sz="4" w:space="0" w:color="auto"/>
              <w:right w:val="single" w:sz="4" w:space="0" w:color="auto"/>
            </w:tcBorders>
          </w:tcPr>
          <w:p w14:paraId="00101A99" w14:textId="00101AC4">
            <w:pPr>
              <w:pStyle w:val="Normal"/>
              <w:jc w:val="left"/>
            </w:pPr>
            <w:r>
              <w:t xml:space="preserve">Corporate Governance — Leadership and Conduct — Ethics and Remuneration — Business Conduct</w:t>
            </w:r>
          </w:p>
        </w:tc>
        <w:tc>
          <w:tcPr>
            <w:vAlign w:val="center"/>
            <w:tcBorders>
              <w:top w:val="single" w:sz="4" w:space="0" w:color="auto"/>
              <w:left w:val="single" w:sz="4" w:space="0" w:color="auto"/>
              <w:bottom w:val="single" w:sz="4" w:space="0" w:color="auto"/>
              <w:right w:val="single" w:sz="4" w:space="0" w:color="auto"/>
            </w:tcBorders>
          </w:tcPr>
          <w:p w14:paraId="00101A9B" w14:textId="00101AC5">
            <w:pPr>
              <w:pStyle w:val="Normal"/>
              <w:jc w:val="left"/>
            </w:pPr>
            <w:r>
              <w:t xml:space="preserve">Risk Management — Principal Risks — Operational and Financial Risks — Operational Resilience</w:t>
            </w:r>
          </w:p>
        </w:tc>
        <w:tc>
          <w:tcPr>
            <w:vAlign w:val="center"/>
            <w:tcBorders>
              <w:top w:val="single" w:sz="4" w:space="0" w:color="auto"/>
              <w:left w:val="single" w:sz="4" w:space="0" w:color="auto"/>
              <w:bottom w:val="single" w:sz="4" w:space="0" w:color="auto"/>
              <w:right w:val="single" w:sz="4" w:space="0" w:color="auto"/>
            </w:tcBorders>
          </w:tcPr>
          <w:p w14:paraId="00101A9D" w14:textId="00101AC6">
            <w:pPr>
              <w:pStyle w:val="Normal"/>
              <w:jc w:val="left"/>
            </w:pPr>
            <w:r>
              <w:t xml:space="preserve">Includes policy framework, training expectations, investigations, and channels for raising concerns.</w:t>
            </w:r>
          </w:p>
        </w:tc>
      </w:tr>
      <w:tr>
        <w:tc>
          <w:tcPr>
            <w:vAlign w:val="center"/>
            <w:tcBorders>
              <w:top w:val="single" w:sz="4" w:space="0" w:color="auto"/>
              <w:left w:val="single" w:sz="4" w:space="0" w:color="auto"/>
              <w:bottom w:val="single" w:sz="4" w:space="0" w:color="auto"/>
              <w:right w:val="single" w:sz="4" w:space="0" w:color="auto"/>
            </w:tcBorders>
          </w:tcPr>
          <w:p w14:paraId="00101A9F" w14:textId="00101AC7">
            <w:pPr>
              <w:pStyle w:val="Normal"/>
              <w:jc w:val="left"/>
            </w:pPr>
            <w:r>
              <w:t xml:space="preserve">Remuneration principles and outcomes</w:t>
            </w:r>
          </w:p>
        </w:tc>
        <w:tc>
          <w:tcPr>
            <w:vAlign w:val="center"/>
            <w:tcBorders>
              <w:top w:val="single" w:sz="4" w:space="0" w:color="auto"/>
              <w:left w:val="single" w:sz="4" w:space="0" w:color="auto"/>
              <w:bottom w:val="single" w:sz="4" w:space="0" w:color="auto"/>
              <w:right w:val="single" w:sz="4" w:space="0" w:color="auto"/>
            </w:tcBorders>
          </w:tcPr>
          <w:p w14:paraId="00101AA1" w14:textId="00101AC8">
            <w:pPr>
              <w:pStyle w:val="Normal"/>
              <w:jc w:val="left"/>
            </w:pPr>
            <w:r>
              <w:t xml:space="preserve">Corporate Governance — Leadership and Conduct — Ethics and Remuneration — Remuneration Outcomes</w:t>
            </w:r>
          </w:p>
        </w:tc>
        <w:tc>
          <w:tcPr>
            <w:vAlign w:val="center"/>
            <w:tcBorders>
              <w:top w:val="single" w:sz="4" w:space="0" w:color="auto"/>
              <w:left w:val="single" w:sz="4" w:space="0" w:color="auto"/>
              <w:bottom w:val="single" w:sz="4" w:space="0" w:color="auto"/>
              <w:right w:val="single" w:sz="4" w:space="0" w:color="auto"/>
            </w:tcBorders>
          </w:tcPr>
          <w:p w14:paraId="00101AA3" w14:textId="00101AC9">
            <w:pPr>
              <w:pStyle w:val="Normal"/>
              <w:jc w:val="left"/>
            </w:pPr>
            <w:r>
              <w:t xml:space="preserve">Financial Note Disclosures — Equity and People Notes — Employee Benefits — Remuneration</w:t>
            </w:r>
          </w:p>
        </w:tc>
        <w:tc>
          <w:tcPr>
            <w:vAlign w:val="center"/>
            <w:tcBorders>
              <w:top w:val="single" w:sz="4" w:space="0" w:color="auto"/>
              <w:left w:val="single" w:sz="4" w:space="0" w:color="auto"/>
              <w:bottom w:val="single" w:sz="4" w:space="0" w:color="auto"/>
              <w:right w:val="single" w:sz="4" w:space="0" w:color="auto"/>
            </w:tcBorders>
          </w:tcPr>
          <w:p w14:paraId="00101AA5" w14:textId="00101ACA">
            <w:pPr>
              <w:pStyle w:val="Normal"/>
              <w:jc w:val="left"/>
            </w:pPr>
            <w:r>
              <w:t xml:space="preserve">Connects governance policy, performance-linked outcomes, and note disclosures on compensation components.</w:t>
            </w:r>
          </w:p>
        </w:tc>
      </w:tr>
      <w:tr>
        <w:tc>
          <w:tcPr>
            <w:vAlign w:val="center"/>
            <w:tcBorders>
              <w:top w:val="single" w:sz="4" w:space="0" w:color="auto"/>
              <w:left w:val="single" w:sz="4" w:space="0" w:color="auto"/>
              <w:bottom w:val="single" w:sz="4" w:space="0" w:color="auto"/>
              <w:right w:val="single" w:sz="4" w:space="0" w:color="auto"/>
            </w:tcBorders>
          </w:tcPr>
          <w:p w14:paraId="00101AA7" w14:textId="00101ACB">
            <w:pPr>
              <w:pStyle w:val="Normal"/>
              <w:jc w:val="left"/>
            </w:pPr>
            <w:r>
              <w:t xml:space="preserve">Sustainability and stakeholder oversight</w:t>
            </w:r>
          </w:p>
        </w:tc>
        <w:tc>
          <w:tcPr>
            <w:vAlign w:val="center"/>
            <w:tcBorders>
              <w:top w:val="single" w:sz="4" w:space="0" w:color="auto"/>
              <w:left w:val="single" w:sz="4" w:space="0" w:color="auto"/>
              <w:bottom w:val="single" w:sz="4" w:space="0" w:color="auto"/>
              <w:right w:val="single" w:sz="4" w:space="0" w:color="auto"/>
            </w:tcBorders>
          </w:tcPr>
          <w:p w14:paraId="00101AA9" w14:textId="00101ACC">
            <w:pPr>
              <w:pStyle w:val="Normal"/>
              <w:jc w:val="left"/>
            </w:pPr>
            <w:r>
              <w:t xml:space="preserve">Sustainability and Impact — Sustainability Strategy — Impact Governance — Accountability</w:t>
            </w:r>
          </w:p>
        </w:tc>
        <w:tc>
          <w:tcPr>
            <w:vAlign w:val="center"/>
            <w:tcBorders>
              <w:top w:val="single" w:sz="4" w:space="0" w:color="auto"/>
              <w:left w:val="single" w:sz="4" w:space="0" w:color="auto"/>
              <w:bottom w:val="single" w:sz="4" w:space="0" w:color="auto"/>
              <w:right w:val="single" w:sz="4" w:space="0" w:color="auto"/>
            </w:tcBorders>
          </w:tcPr>
          <w:p w14:paraId="00101AAB" w14:textId="00101ACD">
            <w:pPr>
              <w:pStyle w:val="Normal"/>
              <w:jc w:val="left"/>
            </w:pPr>
            <w:r>
              <w:t xml:space="preserve">Group Overview — Who We Are — Purpose and Value Creation — Stakeholder Outcomes</w:t>
            </w:r>
          </w:p>
        </w:tc>
        <w:tc>
          <w:tcPr>
            <w:vAlign w:val="center"/>
            <w:tcBorders>
              <w:top w:val="single" w:sz="4" w:space="0" w:color="auto"/>
              <w:left w:val="single" w:sz="4" w:space="0" w:color="auto"/>
              <w:bottom w:val="single" w:sz="4" w:space="0" w:color="auto"/>
              <w:right w:val="single" w:sz="4" w:space="0" w:color="auto"/>
            </w:tcBorders>
          </w:tcPr>
          <w:p w14:paraId="00101AAD" w14:textId="00101ACE">
            <w:pPr>
              <w:pStyle w:val="Normal"/>
              <w:jc w:val="left"/>
            </w:pPr>
            <w:r>
              <w:t xml:space="preserve">Shows how environmental, social, and stakeholder commitments are supervised and embedded in management routines.</w:t>
            </w:r>
          </w:p>
        </w:tc>
      </w:tr>
    </w:tbl>
    <w:p w14:paraId="00101ACF" w14:textId="00101AD0">
      <w:pPr>
        <w:pStyle w:val="Normal"/>
        <w:jc w:val="left"/>
      </w:pPr>
      <w:r>
        <w:t xml:space="preserve">Table 23 Governance reference index</w:t>
      </w:r>
    </w:p>
    <w:p w14:paraId="00101AD1" w14:textId="00101AD2">
      <w:pPr>
        <w:pStyle w:val="Normal"/>
        <w:jc w:val="left"/>
      </w:pPr>
      <w:r>
        <w:t xml:space="preserve">12. Reader Guidance</w:t>
      </w:r>
    </w:p>
    <w:p w14:paraId="00101AD3" w14:textId="00101AD4">
      <w:pPr>
        <w:pStyle w:val="Normal"/>
        <w:jc w:val="left"/>
      </w:pPr>
      <w:r>
        <w:t xml:space="preserve">This section is intended to help readers use the annual report consistently across narrative, financial, governance, and sustainability content. Rivermark Holdings presents the report as an integrated document, which means that strategy, segment performance, risk, governance, sustainability, and audited financial disclosures should be read together rather than as isolated chapters. Cross-references identify where a topic is discussed in greater detail, while tables and note schedules provide the supporting evidence behind management commentary.</w:t>
      </w:r>
    </w:p>
    <w:p w14:paraId="00101AD5" w14:textId="00101AD6">
      <w:pPr>
        <w:pStyle w:val="Normal"/>
        <w:jc w:val="left"/>
      </w:pPr>
      <w:r>
        <w:t xml:space="preserve">Reader guidance is particularly important where the same matter appears in more than one context. For example, climate-related capital expenditure may be discussed in the strategy narrative, reflected in segment investment activity, and measured in the financial statements through additions to property and equipment. Similarly, governance matters may appear in Board oversight disclosures, committee activity summaries, and remuneration or ethics note sections. This guidance is therefore designed to explain how to interpret terms, boundaries, presentation conventions, and comparative information so that performance, risk, and accountability can be evaluated on a like-for-like basis.</w:t>
      </w:r>
    </w:p>
    <w:p w14:paraId="00101AD7" w14:textId="00101AD8">
      <w:pPr>
        <w:pStyle w:val="Normal"/>
        <w:jc w:val="left"/>
      </w:pPr>
      <w:r>
        <w:t xml:space="preserve">In reading this report, users should assume that disclosed measures follow the conventions stated in the relevant section unless a local definition is provided directly beside a table, figure, or note. Financial data generally reflects the consolidated group, while operational and sustainability indicators may be reported on a managed-operations basis where that basis better reflects operational control and decision-making. Where this occurs, the difference in scope is stated in the related text, caption, or methodology note.</w:t>
      </w:r>
    </w:p>
    <w:p w14:paraId="00101AD9" w14:textId="00101ADA">
      <w:pPr>
        <w:pStyle w:val="Normal"/>
        <w:jc w:val="left"/>
      </w:pPr>
      <w:r>
        <w:t xml:space="preserve">Readers should also distinguish between audited statement information, unaudited supplementary analysis, and forward-looking discussion. Primary financial statements and related accounting notes are prepared under the applicable reporting framework described in the accounting basis section. Management performance measures, strategic outlook commentary, and certain sustainability indicators are supplementary in nature and may rely on estimates, allocation rules, or reporting boundaries that differ from statutory accounts. These distinctions do not reduce their relevance, but they do affect comparability, assurance level, and the way in which changes over time should be interpreted.</w:t>
      </w:r>
    </w:p>
    <w:p w14:paraId="00101ADB" w14:textId="00101ADC">
      <w:pPr>
        <w:pStyle w:val="Normal"/>
        <w:jc w:val="left"/>
      </w:pPr>
      <w:r>
        <w:t xml:space="preserve">12.2 Reporting Conventions</w:t>
      </w:r>
    </w:p>
    <w:p w14:paraId="00101ADD" w14:textId="00101ADE">
      <w:pPr>
        <w:pStyle w:val="Normal"/>
        <w:jc w:val="left"/>
      </w:pPr>
      <w:r>
        <w:t xml:space="preserve">The report uses a common set of conventions to support clarity, comparability, and navigability across a large volume of information. Headings indicate the disclosure hierarchy, and cross-references are written to guide readers from summary discussion to detailed support. Tables generally present current-year and comparative information, while narrative commentary explains the principal drivers of movement rather than reproducing every number shown in schedules. Where a measure is defined in a specific way for internal management purposes, that definition is either stated in the relevant section or cross-referenced to the performance-measures chapter.</w:t>
      </w:r>
    </w:p>
    <w:p w14:paraId="00101ADF" w14:textId="00101AE0">
      <w:pPr>
        <w:pStyle w:val="Normal"/>
        <w:jc w:val="left"/>
      </w:pPr>
      <w:r>
        <w:t xml:space="preserve">Conventions also support consistent interpretation of non-identical datasets. Some indicators are point-in-time measures, such as year-end debt or headcount at the reporting date, while others are period measures, such as revenue, emissions, safety rates, or training hours generated over the year. A number may therefore change because of underlying performance, portfolio changes, methodology refinements, or boundary updates. Where such effects are material to understanding trend data, the related section explains whether comparatives have been reclassified, restated, or simply presented on a non-comparable basis with explanatory notes.</w:t>
      </w:r>
    </w:p>
    <w:p w14:paraId="00101AE1" w14:textId="00101AE2">
      <w:pPr>
        <w:pStyle w:val="Normal"/>
        <w:jc w:val="left"/>
      </w:pPr>
      <w:r>
        <w:t xml:space="preserve">12.2.1 Financial Conventions</w:t>
      </w:r>
    </w:p>
    <w:p w14:paraId="00101AE3" w14:textId="00101AE7">
      <w:pPr>
        <w:pStyle w:val="Normal"/>
        <w:jc w:val="left"/>
      </w:pPr>
      <w:r>
        <w:t xml:space="preserve">Reporting currency:</w:t>
      </w:r>
      <w:r>
        <w:t xml:space="preserve"> Unless otherwise indicated, monetary amounts in this annual report are presented in Rivermark dollars, the presentation currency of Rivermark Holdings. Amounts arising in subsidiaries with different functional currencies are translated in accordance with the accounting policies described in the accounting basis and note disclosures. Where exchange-rate movements materially affect performance, commentary identifies whether the effect relates to transaction exposure, translation of foreign operations, or changes in the geographic mix of earnings.</w:t>
        <w:br/>
      </w:r>
      <w:r>
        <w:t xml:space="preserve">Measure basis:</w:t>
      </w:r>
      <w:r>
        <w:t xml:space="preserve"> Financial statement amounts are prepared on a consolidated basis and should be read together with the related accounting notes. Supplemental measures such as underlying operating profit, free cash flow, or return indicators are not substitutes for audited line items; they are analytical measures used by management to explain operating performance and capital efficiency. When such measures exclude significant items, acquisition effects, or noncash remeasurement impacts, the basis of adjustment is described in the relevant reconciliation so that readers can assess consistency from one period to the next.</w:t>
      </w:r>
    </w:p>
    <w:p w14:paraId="00101AE8" w14:textId="00101AE9">
      <w:pPr>
        <w:pStyle w:val="Normal"/>
        <w:jc w:val="left"/>
      </w:pPr>
      <w:r>
        <w:t xml:space="preserve">Rounding conventions are applied to improve readability, and as a result individual line items may not sum exactly to reported totals. Amounts shown in millions or thousands are identified by the surrounding table context or note description, and percentages are typically presented to one decimal place unless greater precision is necessary to explain a covenant, rate reconciliation, or sensitivity analysis. Minor variances caused by rounding do not affect the underlying accounting records or the conclusions drawn from the disclosures.</w:t>
      </w:r>
    </w:p>
    <w:p w14:paraId="00101AEA" w14:textId="00101AEB">
      <w:pPr>
        <w:pStyle w:val="Normal"/>
        <w:jc w:val="left"/>
      </w:pPr>
      <w:r>
        <w:t xml:space="preserve">Comparative information is presented for the prior period wherever required or useful to understanding performance and position. Comparatives may be reclassified to conform to current-year presentation when this improves consistency or reflects organizational changes, such as revised segment reporting, updated cost categories, or balance-sheet presentation changes. If a comparative is restated because of an error correction, methodology change, or accounting policy update, the relevant section explains the nature of the change and its effect on previously reported figures. Where no restatement has been made, trend analysis should take into account changes in portfolio composition, acquisitions, disposals, and reporting boundaries that may influence year-on-year comparability.</w:t>
      </w:r>
    </w:p>
    <w:p w14:paraId="00101AEC" w14:textId="00101AED">
      <w:pPr>
        <w:pStyle w:val="Normal"/>
        <w:jc w:val="left"/>
      </w:pPr>
      <w:r>
        <w:t xml:space="preserve">12.2.1 Nonfinancial Conventions</w:t>
      </w:r>
    </w:p>
    <w:p w14:paraId="00101AEE" w14:textId="00101AF1">
      <w:pPr>
        <w:pStyle w:val="Normal"/>
        <w:jc w:val="left"/>
      </w:pPr>
      <w:r>
        <w:t xml:space="preserve">Nonfinancial disclosures in this report are prepared using subject-specific boundaries that reflect operational accountability and data availability. In many cases, Rivermark Holdings reports environmental, safety, workforce, and community information for </w:t>
      </w:r>
      <w:r>
        <w:t xml:space="preserve">managed operations</w:t>
      </w:r>
      <w:r>
        <w:t xml:space="preserve"> rather than for every legal entity included in the consolidated financial statements. This distinction is important because the reporting boundary for impact indicators may follow operational control, joint operating arrangements, or site-level management responsibility instead of strict accounting consolidation. Where a metric uses the term managed operations, the related section clarifies the facilities, geographies, and activities included.</w:t>
        <w:br/>
        <w:t xml:space="preserve">Scope definitions may also differ between indicators. For example, workforce data may be based on year-end headcount, average full-time equivalent employees, or active employee records during the year; safety rates may cover employees and supervised contractors; and environmental data may distinguish direct operational impacts from selected value-chain effects. To maintain comparability, Rivermark explains material exclusions, estimation techniques, and any restatement of historical nonfinancial data where measurement methods improve. Readers should therefore interpret trend movements in light of both operational performance and the stated methodological basis for each indicator.</w:t>
      </w:r>
    </w:p>
    <w:p w14:paraId="00101AF2" w14:textId="00101AF3">
      <w:pPr>
        <w:pStyle w:val="Normal"/>
        <w:jc w:val="left"/>
      </w:pPr>
      <w:r>
        <w:t xml:space="preserve">Nonfinancial indicators in this report are presented using conventions intended to support comparability, transparency, and practical interpretation. Unless otherwise stated, employee, safety, community, and environmental indicators cover controlled operations consolidated for financial reporting at the reporting date; metrics for associates, joint ventures, franchise partners, and customer-controlled sites are excluded unless a specific disclosure says otherwise. Ratios are generally calculated from underlying rounded figures, which means recalculation from published tables may produce immaterial differences. Period-on-period movements are discussed on a like-for-like basis where operational changes, acquisitions, disposals, or methodology refinements would otherwise distort trend analysis.</w:t>
      </w:r>
    </w:p>
    <w:p w14:paraId="00101AF4" w14:textId="00101AF5">
      <w:pPr>
        <w:pStyle w:val="Normal"/>
        <w:jc w:val="left"/>
      </w:pPr>
      <w:r>
        <w:t xml:space="preserve">Indicator terminology is applied consistently across sections. Headcount measures refer to active employees at period end unless the metric is explicitly stated as an average. Safety rates are shown per million hours worked, while emissions, energy, water, and waste indicators reflect operationally attributable activity within stated boundaries. Where a baseline has been restated, the revised baseline is used throughout trend charts and dashboard commentary to preserve coherence between target tracking and current-year performance. Qualitative assessments such as moderate, stable, or improved describe management’s interpretation of measured outcomes and should be read together with the relevant definitions, scope notes, and source references set out in this section.</w:t>
      </w:r>
    </w:p>
    <w:p w14:paraId="00101AF6" w14:textId="00101AF7">
      <w:pPr>
        <w:pStyle w:val="Normal"/>
        <w:jc w:val="left"/>
      </w:pPr>
      <w:r>
        <w:t xml:space="preserve">12.2 Definitions and Sources</w:t>
      </w:r>
    </w:p>
    <w:p w14:paraId="00101AF8" w14:textId="00101AF9">
      <w:pPr>
        <w:pStyle w:val="Normal"/>
        <w:jc w:val="left"/>
      </w:pPr>
      <w:r>
        <w:t xml:space="preserve">This section provides the interpretive framework for the measures used across the annual report. Definitions are intended to ensure that readers understand what each reported metric includes, how it is calculated, and where judgment has been applied in setting boundaries or classifying activity. Financial measures are aligned with the basis used in the consolidated statements and note disclosures, while supplemental management indicators are identified where they differ from statutory presentation. Sustainability and people metrics are defined with reference to operational scope, unit of measure, and the point in time at which data is captured.</w:t>
      </w:r>
    </w:p>
    <w:p w14:paraId="00101AFA" w14:textId="00101AFB">
      <w:pPr>
        <w:pStyle w:val="Normal"/>
        <w:jc w:val="left"/>
      </w:pPr>
      <w:r>
        <w:t xml:space="preserve">Source information complements those definitions by showing where the underlying data originates and how it is governed before publication. Primary inputs include the general ledger, segment reporting systems, treasury records, human resources platforms, safety reporting tools, environmental data logs, and approved board or committee records. Narrative statements that discuss trends, targets, or commitments are supported by the same control environment used for quantitative disclosures, including preparer review, management approval, and cross-checking to underlying schedules. Together, the definitions and source register are intended to help readers distinguish audited figures, management measures, and operational indicators while preserving a clear trail from disclosure back to originating records.</w:t>
      </w:r>
    </w:p>
    <w:p w14:paraId="00101AFC" w14:textId="00101AFD">
      <w:pPr>
        <w:pStyle w:val="Normal"/>
        <w:jc w:val="left"/>
      </w:pPr>
      <w:r>
        <w:t xml:space="preserve">12.2.2 Metric Definitions</w:t>
      </w:r>
    </w:p>
    <w:p w14:paraId="00101AFE" w14:textId="00101B0D">
      <w:pPr>
        <w:pStyle w:val="Normal"/>
        <w:jc w:val="left"/>
      </w:pPr>
      <w:r>
        <w:t xml:space="preserve">*</w:t>
      </w:r>
      <w:r>
        <w:t xml:space="preserve">Revenue</w:t>
      </w:r>
      <w:r>
        <w:t xml:space="preserve">* means income arising from the transfer of goods or services to customers in the ordinary course of business, measured after rebates, returns, and similar deductions. *</w:t>
      </w:r>
      <w:r>
        <w:t xml:space="preserve">Underlying operating profit</w:t>
      </w:r>
      <w:r>
        <w:t xml:space="preserve">* refers to operating profit before items identified by management as non-underlying because of their size, infrequency, or relation to acquisition, disposal, restructuring, or similar events. *</w:t>
      </w:r>
      <w:r>
        <w:t xml:space="preserve">Free cash flow</w:t>
      </w:r>
      <w:r>
        <w:t xml:space="preserve">* is net cash from operating activities less capital expenditure on property, plant, equipment, and intangible assets, adjusted where relevant for proceeds from routine asset disposals. *</w:t>
      </w:r>
      <w:r>
        <w:t xml:space="preserve">Return on invested capital</w:t>
      </w:r>
      <w:r>
        <w:t xml:space="preserve">* represents after-tax operating performance relative to average invested capital employed in the business over the period.</w:t>
        <w:br/>
        <w:t xml:space="preserve">*</w:t>
      </w:r>
      <w:r>
        <w:t xml:space="preserve">Net debt</w:t>
      </w:r>
      <w:r>
        <w:t xml:space="preserve">* comprises interest-bearing borrowings and lease liabilities less cash, cash equivalents, and other immediately available treasury balances included in liquidity management. *</w:t>
      </w:r>
      <w:r>
        <w:t xml:space="preserve">Working capital</w:t>
      </w:r>
      <w:r>
        <w:t xml:space="preserve">* consists of inventories and trade and other receivables, less trade and other payables, excluding tax, financing, and exceptional transaction balances unless otherwise noted. *</w:t>
      </w:r>
      <w:r>
        <w:t xml:space="preserve">Underlying earnings per share</w:t>
      </w:r>
      <w:r>
        <w:t xml:space="preserve">* is profit attributable to ordinary shareholders after removing non-underlying items, divided by the weighted average number of shares in issue during the year. These definitions are used consistently in performance commentary and reconciled where necessary to the closest directly comparable IFRS measure in the financial and additional information sections.</w:t>
      </w:r>
    </w:p>
    <w:p w14:paraId="00101B0E" w14:textId="00101B21">
      <w:pPr>
        <w:pStyle w:val="Normal"/>
        <w:jc w:val="left"/>
      </w:pPr>
      <w:r>
        <w:t xml:space="preserve">*</w:t>
      </w:r>
      <w:r>
        <w:t xml:space="preserve">Lost-time injury frequency rate</w:t>
      </w:r>
      <w:r>
        <w:t xml:space="preserve">* is the number of work-related injuries resulting in at least one full shift lost, expressed per million hours worked by employees and supervised contractors within the reporting boundary. *</w:t>
      </w:r>
      <w:r>
        <w:t xml:space="preserve">Total recordable incident rate</w:t>
      </w:r>
      <w:r>
        <w:t xml:space="preserve">* includes lost-time injuries, restricted work cases, medical treatment injuries, and other recordable incidents, also stated per million hours worked. *</w:t>
      </w:r>
      <w:r>
        <w:t xml:space="preserve">Scope 1 emissions</w:t>
      </w:r>
      <w:r>
        <w:t xml:space="preserve">* are direct greenhouse-gas emissions from sources owned or controlled by Rivermark Holdings, while *</w:t>
      </w:r>
      <w:r>
        <w:t xml:space="preserve">Scope 2 emissions</w:t>
      </w:r>
      <w:r>
        <w:t xml:space="preserve">* are indirect emissions from purchased electricity, steam, heating, or cooling consumed by the Group.</w:t>
        <w:br/>
        <w:t xml:space="preserve">*</w:t>
      </w:r>
      <w:r>
        <w:t xml:space="preserve">Employee engagement score</w:t>
      </w:r>
      <w:r>
        <w:t xml:space="preserve">* is the favorable-response outcome from the annual Group engagement survey, calculated from defined questions on commitment, leadership, inclusion, and advocacy. *</w:t>
      </w:r>
      <w:r>
        <w:t xml:space="preserve">Voluntary turnover</w:t>
      </w:r>
      <w:r>
        <w:t xml:space="preserve">* refers to employee-initiated separations during the reporting period divided by average headcount for the same period. *</w:t>
      </w:r>
      <w:r>
        <w:t xml:space="preserve">Community investment</w:t>
      </w:r>
      <w:r>
        <w:t xml:space="preserve">* includes cash contributions, in-kind support, and approved employee volunteering costs directed to community programs, excluding commercial sponsorship and mandatory project compensation. *</w:t>
      </w:r>
      <w:r>
        <w:t xml:space="preserve">Water withdrawal</w:t>
      </w:r>
      <w:r>
        <w:t xml:space="preserve">* means water drawn from municipal, surface, ground, or other supply sources for operational use, and *</w:t>
      </w:r>
      <w:r>
        <w:t xml:space="preserve">waste diverted from disposal</w:t>
      </w:r>
      <w:r>
        <w:t xml:space="preserve">* refers to waste reused, recycled, composted, or otherwise recovered rather than sent to landfill or incineration without energy recovery. These terms are applied consistently in sustainability tables, dashboards, and year-on-year trend commentary.</w:t>
      </w:r>
    </w:p>
    <w:p w14:paraId="00101B22" w14:textId="00101B23">
      <w:pPr>
        <w:pStyle w:val="Normal"/>
        <w:jc w:val="left"/>
      </w:pPr>
      <w:r>
        <w:t xml:space="preserve">12.2.2 Source Register</w:t>
      </w:r>
    </w:p>
    <w:p w14:paraId="00101B24" w14:textId="00101B25">
      <w:pPr>
        <w:pStyle w:val="Normal"/>
        <w:jc w:val="left"/>
      </w:pPr>
      <w:r>
        <w:t xml:space="preserve">The source register explains how reported information can be traced to originating records, management schedules, or approved disclosures. Each major table, chart, and narrative indicator in this report is supported by a primary source category and, where applicable, a secondary review source. Financial statement figures and note balances are drawn from the consolidated reporting package and supporting ledgers maintained under the Group’s financial control framework. Segment measures are derived from management reporting packs used by executive leadership and reconciled to consolidated results before publication. Governance disclosures are supported by board papers, committee minutes, policy registers, and attendance logs maintained by the Company Secretariat.</w:t>
      </w:r>
    </w:p>
    <w:p w14:paraId="00101B26" w14:textId="00101B27">
      <w:pPr>
        <w:pStyle w:val="Normal"/>
        <w:jc w:val="left"/>
      </w:pPr>
      <w:r>
        <w:t xml:space="preserve">Sustainability, people, safety, and community indicators are sourced from designated operational systems, including environmental reporting tools, incident management platforms, human resources records, training systems, and approved program reports. Where estimation or manual consolidation is required, the relevant disclosure is subject to documented review and sign-off at segment and Group level. Source traceability is especially important for multi-year trend charts and cross-sectional indicators, because comparability depends not only on stable definitions but also on a clear understanding of data origin, review ownership, and any restatements made during the current reporting cycle. This register therefore functions as a practical bridge between the published report and the internal evidence base supporting it.</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1384"/>
        <w:gridCol w:w="1384"/>
        <w:gridCol w:w="1384"/>
        <w:gridCol w:w="1384"/>
        <w:gridCol w:w="1384"/>
        <w:gridCol w:w="1384"/>
      </w:tblGrid>
      <w:tr>
        <w:trPr>
          <w:tblHeader/>
        </w:trPr>
        <w:tc>
          <w:tcPr>
            <w:vAlign w:val="center"/>
            <w:tcBorders>
              <w:top w:val="single" w:sz="4" w:space="0" w:color="auto"/>
              <w:left w:val="single" w:sz="4" w:space="0" w:color="auto"/>
              <w:bottom w:val="single" w:sz="4" w:space="0" w:color="auto"/>
              <w:right w:val="single" w:sz="4" w:space="0" w:color="auto"/>
            </w:tcBorders>
          </w:tcPr>
          <w:p w14:paraId="00101B28" w14:textId="00101B88">
            <w:pPr>
              <w:pStyle w:val="Normal"/>
              <w:jc w:val="left"/>
            </w:pPr>
            <w:r>
              <w:t xml:space="preserve">Disclosure area</w:t>
            </w:r>
          </w:p>
        </w:tc>
        <w:tc>
          <w:tcPr>
            <w:vAlign w:val="center"/>
            <w:tcBorders>
              <w:top w:val="single" w:sz="4" w:space="0" w:color="auto"/>
              <w:left w:val="single" w:sz="4" w:space="0" w:color="auto"/>
              <w:bottom w:val="single" w:sz="4" w:space="0" w:color="auto"/>
              <w:right w:val="single" w:sz="4" w:space="0" w:color="auto"/>
            </w:tcBorders>
          </w:tcPr>
          <w:p w14:paraId="00101B2A" w14:textId="00101B89">
            <w:pPr>
              <w:pStyle w:val="Normal"/>
              <w:jc w:val="left"/>
            </w:pPr>
            <w:r>
              <w:t xml:space="preserve">Primary source owner</w:t>
            </w:r>
          </w:p>
        </w:tc>
        <w:tc>
          <w:tcPr>
            <w:vAlign w:val="center"/>
            <w:tcBorders>
              <w:top w:val="single" w:sz="4" w:space="0" w:color="auto"/>
              <w:left w:val="single" w:sz="4" w:space="0" w:color="auto"/>
              <w:bottom w:val="single" w:sz="4" w:space="0" w:color="auto"/>
              <w:right w:val="single" w:sz="4" w:space="0" w:color="auto"/>
            </w:tcBorders>
          </w:tcPr>
          <w:p w14:paraId="00101B2C" w14:textId="00101B8A">
            <w:pPr>
              <w:pStyle w:val="Normal"/>
              <w:jc w:val="left"/>
            </w:pPr>
            <w:r>
              <w:t xml:space="preserve">Core internal source systems / records</w:t>
            </w:r>
          </w:p>
        </w:tc>
        <w:tc>
          <w:tcPr>
            <w:vAlign w:val="center"/>
            <w:tcBorders>
              <w:top w:val="single" w:sz="4" w:space="0" w:color="auto"/>
              <w:left w:val="single" w:sz="4" w:space="0" w:color="auto"/>
              <w:bottom w:val="single" w:sz="4" w:space="0" w:color="auto"/>
              <w:right w:val="single" w:sz="4" w:space="0" w:color="auto"/>
            </w:tcBorders>
          </w:tcPr>
          <w:p w14:paraId="00101B2E" w14:textId="00101B8B">
            <w:pPr>
              <w:pStyle w:val="Normal"/>
              <w:jc w:val="left"/>
            </w:pPr>
            <w:r>
              <w:t xml:space="preserve">External or supporting reference</w:t>
            </w:r>
          </w:p>
        </w:tc>
        <w:tc>
          <w:tcPr>
            <w:vAlign w:val="center"/>
            <w:tcBorders>
              <w:top w:val="single" w:sz="4" w:space="0" w:color="auto"/>
              <w:left w:val="single" w:sz="4" w:space="0" w:color="auto"/>
              <w:bottom w:val="single" w:sz="4" w:space="0" w:color="auto"/>
              <w:right w:val="single" w:sz="4" w:space="0" w:color="auto"/>
            </w:tcBorders>
          </w:tcPr>
          <w:p w14:paraId="00101B30" w14:textId="00101B8C">
            <w:pPr>
              <w:pStyle w:val="Normal"/>
              <w:jc w:val="left"/>
            </w:pPr>
            <w:r>
              <w:t xml:space="preserve">Update cadence</w:t>
            </w:r>
          </w:p>
        </w:tc>
        <w:tc>
          <w:tcPr>
            <w:vAlign w:val="center"/>
            <w:tcBorders>
              <w:top w:val="single" w:sz="4" w:space="0" w:color="auto"/>
              <w:left w:val="single" w:sz="4" w:space="0" w:color="auto"/>
              <w:bottom w:val="single" w:sz="4" w:space="0" w:color="auto"/>
              <w:right w:val="single" w:sz="4" w:space="0" w:color="auto"/>
            </w:tcBorders>
          </w:tcPr>
          <w:p w14:paraId="00101B32" w14:textId="00101B8D">
            <w:pPr>
              <w:pStyle w:val="Normal"/>
              <w:jc w:val="left"/>
            </w:pPr>
            <w:r>
              <w:t xml:space="preserve">Note</w:t>
            </w:r>
          </w:p>
        </w:tc>
      </w:tr>
      <w:tr>
        <w:tc>
          <w:tcPr>
            <w:vAlign w:val="top"/>
            <w:tcBorders>
              <w:top w:val="single" w:sz="4" w:space="0" w:color="auto"/>
              <w:left w:val="single" w:sz="4" w:space="0" w:color="auto"/>
              <w:bottom w:val="single" w:sz="4" w:space="0" w:color="auto"/>
              <w:right w:val="single" w:sz="4" w:space="0" w:color="auto"/>
            </w:tcBorders>
          </w:tcPr>
          <w:p w14:paraId="00101B34" w14:textId="00101B8E">
            <w:pPr>
              <w:pStyle w:val="Normal"/>
              <w:jc w:val="left"/>
            </w:pPr>
            <w:r>
              <w:t xml:space="preserve">Consolidated financial statements and note disclosures</w:t>
            </w:r>
          </w:p>
        </w:tc>
        <w:tc>
          <w:tcPr>
            <w:vAlign w:val="center"/>
            <w:tcBorders>
              <w:top w:val="single" w:sz="4" w:space="0" w:color="auto"/>
              <w:left w:val="single" w:sz="4" w:space="0" w:color="auto"/>
              <w:bottom w:val="single" w:sz="4" w:space="0" w:color="auto"/>
              <w:right w:val="single" w:sz="4" w:space="0" w:color="auto"/>
            </w:tcBorders>
          </w:tcPr>
          <w:p w14:paraId="00101B36" w14:textId="00101B8F">
            <w:pPr>
              <w:pStyle w:val="Normal"/>
              <w:jc w:val="left"/>
            </w:pPr>
            <w:r>
              <w:t xml:space="preserve">Group Finance and Reporting</w:t>
            </w:r>
          </w:p>
        </w:tc>
        <w:tc>
          <w:tcPr>
            <w:vAlign w:val="center"/>
            <w:tcBorders>
              <w:top w:val="single" w:sz="4" w:space="0" w:color="auto"/>
              <w:left w:val="single" w:sz="4" w:space="0" w:color="auto"/>
              <w:bottom w:val="single" w:sz="4" w:space="0" w:color="auto"/>
              <w:right w:val="single" w:sz="4" w:space="0" w:color="auto"/>
            </w:tcBorders>
          </w:tcPr>
          <w:p w14:paraId="00101B38" w14:textId="00101B90">
            <w:pPr>
              <w:pStyle w:val="Normal"/>
              <w:jc w:val="left"/>
            </w:pPr>
            <w:r>
              <w:t xml:space="preserve">General ledger, consolidation system, treasury records, tax packs, statutory reporting submissions</w:t>
            </w:r>
          </w:p>
        </w:tc>
        <w:tc>
          <w:tcPr>
            <w:vAlign w:val="center"/>
            <w:tcBorders>
              <w:top w:val="single" w:sz="4" w:space="0" w:color="auto"/>
              <w:left w:val="single" w:sz="4" w:space="0" w:color="auto"/>
              <w:bottom w:val="single" w:sz="4" w:space="0" w:color="auto"/>
              <w:right w:val="single" w:sz="4" w:space="0" w:color="auto"/>
            </w:tcBorders>
          </w:tcPr>
          <w:p w14:paraId="00101B3A" w14:textId="00101B91">
            <w:pPr>
              <w:pStyle w:val="Normal"/>
              <w:jc w:val="left"/>
            </w:pPr>
            <w:r>
              <w:t xml:space="preserve">Approved accounting policies, audit completion papers, applicable reporting standards register</w:t>
            </w:r>
          </w:p>
        </w:tc>
        <w:tc>
          <w:tcPr>
            <w:vAlign w:val="center"/>
            <w:tcBorders>
              <w:top w:val="single" w:sz="4" w:space="0" w:color="auto"/>
              <w:left w:val="single" w:sz="4" w:space="0" w:color="auto"/>
              <w:bottom w:val="single" w:sz="4" w:space="0" w:color="auto"/>
              <w:right w:val="single" w:sz="4" w:space="0" w:color="auto"/>
            </w:tcBorders>
          </w:tcPr>
          <w:p w14:paraId="00101B3C" w14:textId="00101B92">
            <w:pPr>
              <w:pStyle w:val="Normal"/>
              <w:jc w:val="left"/>
            </w:pPr>
            <w:r>
              <w:t xml:space="preserve">Quarterly close; annual finalization</w:t>
            </w:r>
          </w:p>
        </w:tc>
        <w:tc>
          <w:tcPr>
            <w:vAlign w:val="center"/>
            <w:tcBorders>
              <w:top w:val="single" w:sz="4" w:space="0" w:color="auto"/>
              <w:left w:val="single" w:sz="4" w:space="0" w:color="auto"/>
              <w:bottom w:val="single" w:sz="4" w:space="0" w:color="auto"/>
              <w:right w:val="single" w:sz="4" w:space="0" w:color="auto"/>
            </w:tcBorders>
          </w:tcPr>
          <w:p w14:paraId="00101B3E" w14:textId="00101B93">
            <w:pPr>
              <w:pStyle w:val="Normal"/>
              <w:jc w:val="left"/>
            </w:pPr>
            <w:r>
              <w:t xml:space="preserve">Numbers are prepared by Group Finance and reviewed through the year-end reporting timetable before board approval.</w:t>
            </w:r>
          </w:p>
        </w:tc>
      </w:tr>
      <w:tr>
        <w:tc>
          <w:tcPr>
            <w:vAlign w:val="top"/>
            <w:tcBorders>
              <w:top w:val="single" w:sz="4" w:space="0" w:color="auto"/>
              <w:left w:val="single" w:sz="4" w:space="0" w:color="auto"/>
              <w:bottom w:val="single" w:sz="4" w:space="0" w:color="auto"/>
              <w:right w:val="single" w:sz="4" w:space="0" w:color="auto"/>
            </w:tcBorders>
          </w:tcPr>
          <w:p w14:paraId="00101B40" w14:textId="00101B94">
            <w:pPr>
              <w:pStyle w:val="Normal"/>
              <w:jc w:val="left"/>
            </w:pPr>
            <w:r>
              <w:t xml:space="preserve">Segment performance and alternative measures</w:t>
            </w:r>
          </w:p>
        </w:tc>
        <w:tc>
          <w:tcPr>
            <w:vAlign w:val="center"/>
            <w:tcBorders>
              <w:top w:val="single" w:sz="4" w:space="0" w:color="auto"/>
              <w:left w:val="single" w:sz="4" w:space="0" w:color="auto"/>
              <w:bottom w:val="single" w:sz="4" w:space="0" w:color="auto"/>
              <w:right w:val="single" w:sz="4" w:space="0" w:color="auto"/>
            </w:tcBorders>
          </w:tcPr>
          <w:p w14:paraId="00101B42" w14:textId="00101B95">
            <w:pPr>
              <w:pStyle w:val="Normal"/>
              <w:jc w:val="left"/>
            </w:pPr>
            <w:r>
              <w:t xml:space="preserve">Group FP&amp;A with segment finance teams</w:t>
            </w:r>
          </w:p>
        </w:tc>
        <w:tc>
          <w:tcPr>
            <w:vAlign w:val="center"/>
            <w:tcBorders>
              <w:top w:val="single" w:sz="4" w:space="0" w:color="auto"/>
              <w:left w:val="single" w:sz="4" w:space="0" w:color="auto"/>
              <w:bottom w:val="single" w:sz="4" w:space="0" w:color="auto"/>
              <w:right w:val="single" w:sz="4" w:space="0" w:color="auto"/>
            </w:tcBorders>
          </w:tcPr>
          <w:p w14:paraId="00101B44" w14:textId="00101B96">
            <w:pPr>
              <w:pStyle w:val="Normal"/>
              <w:jc w:val="left"/>
            </w:pPr>
            <w:r>
              <w:t xml:space="preserve">Management reporting cubes, segment KPI packs, budgeting and forecast models</w:t>
            </w:r>
          </w:p>
        </w:tc>
        <w:tc>
          <w:tcPr>
            <w:vAlign w:val="center"/>
            <w:tcBorders>
              <w:top w:val="single" w:sz="4" w:space="0" w:color="auto"/>
              <w:left w:val="single" w:sz="4" w:space="0" w:color="auto"/>
              <w:bottom w:val="single" w:sz="4" w:space="0" w:color="auto"/>
              <w:right w:val="single" w:sz="4" w:space="0" w:color="auto"/>
            </w:tcBorders>
          </w:tcPr>
          <w:p w14:paraId="00101B46" w14:textId="00101B97">
            <w:pPr>
              <w:pStyle w:val="Normal"/>
              <w:jc w:val="left"/>
            </w:pPr>
            <w:r>
              <w:t xml:space="preserve">Investor presentation support files and reconciliations to audited measures</w:t>
            </w:r>
          </w:p>
        </w:tc>
        <w:tc>
          <w:tcPr>
            <w:vAlign w:val="center"/>
            <w:tcBorders>
              <w:top w:val="single" w:sz="4" w:space="0" w:color="auto"/>
              <w:left w:val="single" w:sz="4" w:space="0" w:color="auto"/>
              <w:bottom w:val="single" w:sz="4" w:space="0" w:color="auto"/>
              <w:right w:val="single" w:sz="4" w:space="0" w:color="auto"/>
            </w:tcBorders>
          </w:tcPr>
          <w:p w14:paraId="00101B48" w14:textId="00101B98">
            <w:pPr>
              <w:pStyle w:val="Normal"/>
              <w:jc w:val="left"/>
            </w:pPr>
            <w:r>
              <w:t xml:space="preserve">Monthly; quarterly external alignment</w:t>
            </w:r>
          </w:p>
        </w:tc>
        <w:tc>
          <w:tcPr>
            <w:vAlign w:val="center"/>
            <w:tcBorders>
              <w:top w:val="single" w:sz="4" w:space="0" w:color="auto"/>
              <w:left w:val="single" w:sz="4" w:space="0" w:color="auto"/>
              <w:bottom w:val="single" w:sz="4" w:space="0" w:color="auto"/>
              <w:right w:val="single" w:sz="4" w:space="0" w:color="auto"/>
            </w:tcBorders>
          </w:tcPr>
          <w:p w14:paraId="00101B4A" w14:textId="00101B99">
            <w:pPr>
              <w:pStyle w:val="Normal"/>
              <w:jc w:val="left"/>
            </w:pPr>
            <w:r>
              <w:t xml:space="preserve">Non-IFRS and operating indicators are traced to source packs and reconciled to statutory results where applicable.</w:t>
            </w:r>
          </w:p>
        </w:tc>
      </w:tr>
      <w:tr>
        <w:tc>
          <w:tcPr>
            <w:vAlign w:val="top"/>
            <w:tcBorders>
              <w:top w:val="single" w:sz="4" w:space="0" w:color="auto"/>
              <w:left w:val="single" w:sz="4" w:space="0" w:color="auto"/>
              <w:bottom w:val="single" w:sz="4" w:space="0" w:color="auto"/>
              <w:right w:val="single" w:sz="4" w:space="0" w:color="auto"/>
            </w:tcBorders>
          </w:tcPr>
          <w:p w14:paraId="00101B4C" w14:textId="00101B9A">
            <w:pPr>
              <w:pStyle w:val="Normal"/>
              <w:jc w:val="left"/>
            </w:pPr>
            <w:r>
              <w:t xml:space="preserve">Governance, board, committee, and remuneration disclosures</w:t>
            </w:r>
          </w:p>
        </w:tc>
        <w:tc>
          <w:tcPr>
            <w:vAlign w:val="center"/>
            <w:tcBorders>
              <w:top w:val="single" w:sz="4" w:space="0" w:color="auto"/>
              <w:left w:val="single" w:sz="4" w:space="0" w:color="auto"/>
              <w:bottom w:val="single" w:sz="4" w:space="0" w:color="auto"/>
              <w:right w:val="single" w:sz="4" w:space="0" w:color="auto"/>
            </w:tcBorders>
          </w:tcPr>
          <w:p w14:paraId="00101B4E" w14:textId="00101B9B">
            <w:pPr>
              <w:pStyle w:val="Normal"/>
              <w:jc w:val="left"/>
            </w:pPr>
            <w:r>
              <w:t xml:space="preserve">Company Secretariat, People and Ethics Committee support office, Human Resources</w:t>
            </w:r>
          </w:p>
        </w:tc>
        <w:tc>
          <w:tcPr>
            <w:vAlign w:val="center"/>
            <w:tcBorders>
              <w:top w:val="single" w:sz="4" w:space="0" w:color="auto"/>
              <w:left w:val="single" w:sz="4" w:space="0" w:color="auto"/>
              <w:bottom w:val="single" w:sz="4" w:space="0" w:color="auto"/>
              <w:right w:val="single" w:sz="4" w:space="0" w:color="auto"/>
            </w:tcBorders>
          </w:tcPr>
          <w:p w14:paraId="00101B50" w14:textId="00101B9C">
            <w:pPr>
              <w:pStyle w:val="Normal"/>
              <w:jc w:val="left"/>
            </w:pPr>
            <w:r>
              <w:t xml:space="preserve">Board papers, committee minutes, attendance logs, remuneration records, policy registers</w:t>
            </w:r>
          </w:p>
        </w:tc>
        <w:tc>
          <w:tcPr>
            <w:vAlign w:val="center"/>
            <w:tcBorders>
              <w:top w:val="single" w:sz="4" w:space="0" w:color="auto"/>
              <w:left w:val="single" w:sz="4" w:space="0" w:color="auto"/>
              <w:bottom w:val="single" w:sz="4" w:space="0" w:color="auto"/>
              <w:right w:val="single" w:sz="4" w:space="0" w:color="auto"/>
            </w:tcBorders>
          </w:tcPr>
          <w:p w14:paraId="00101B52" w14:textId="00101B9D">
            <w:pPr>
              <w:pStyle w:val="Normal"/>
              <w:jc w:val="left"/>
            </w:pPr>
            <w:r>
              <w:t xml:space="preserve">Committee terms of reference, approved remuneration framework, governance calendar</w:t>
            </w:r>
          </w:p>
        </w:tc>
        <w:tc>
          <w:tcPr>
            <w:vAlign w:val="center"/>
            <w:tcBorders>
              <w:top w:val="single" w:sz="4" w:space="0" w:color="auto"/>
              <w:left w:val="single" w:sz="4" w:space="0" w:color="auto"/>
              <w:bottom w:val="single" w:sz="4" w:space="0" w:color="auto"/>
              <w:right w:val="single" w:sz="4" w:space="0" w:color="auto"/>
            </w:tcBorders>
          </w:tcPr>
          <w:p w14:paraId="00101B54" w14:textId="00101B9E">
            <w:pPr>
              <w:pStyle w:val="Normal"/>
              <w:jc w:val="left"/>
            </w:pPr>
            <w:r>
              <w:t xml:space="preserve">After each meeting; annual compilation</w:t>
            </w:r>
          </w:p>
        </w:tc>
        <w:tc>
          <w:tcPr>
            <w:vAlign w:val="center"/>
            <w:tcBorders>
              <w:top w:val="single" w:sz="4" w:space="0" w:color="auto"/>
              <w:left w:val="single" w:sz="4" w:space="0" w:color="auto"/>
              <w:bottom w:val="single" w:sz="4" w:space="0" w:color="auto"/>
              <w:right w:val="single" w:sz="4" w:space="0" w:color="auto"/>
            </w:tcBorders>
          </w:tcPr>
          <w:p w14:paraId="00101B56" w14:textId="00101B9F">
            <w:pPr>
              <w:pStyle w:val="Normal"/>
              <w:jc w:val="left"/>
            </w:pPr>
            <w:r>
              <w:t xml:space="preserve">Narrative governance references are maintained by the Company Secretariat, with remuneration data validated by Human Resources and Finance.</w:t>
            </w:r>
          </w:p>
        </w:tc>
      </w:tr>
      <w:tr>
        <w:tc>
          <w:tcPr>
            <w:vAlign w:val="top"/>
            <w:tcBorders>
              <w:top w:val="single" w:sz="4" w:space="0" w:color="auto"/>
              <w:left w:val="single" w:sz="4" w:space="0" w:color="auto"/>
              <w:bottom w:val="single" w:sz="4" w:space="0" w:color="auto"/>
              <w:right w:val="single" w:sz="4" w:space="0" w:color="auto"/>
            </w:tcBorders>
          </w:tcPr>
          <w:p w14:paraId="00101B58" w14:textId="00101BA0">
            <w:pPr>
              <w:pStyle w:val="Normal"/>
              <w:jc w:val="left"/>
            </w:pPr>
            <w:r>
              <w:t xml:space="preserve">Risk management and internal control disclosures</w:t>
            </w:r>
          </w:p>
        </w:tc>
        <w:tc>
          <w:tcPr>
            <w:vAlign w:val="center"/>
            <w:tcBorders>
              <w:top w:val="single" w:sz="4" w:space="0" w:color="auto"/>
              <w:left w:val="single" w:sz="4" w:space="0" w:color="auto"/>
              <w:bottom w:val="single" w:sz="4" w:space="0" w:color="auto"/>
              <w:right w:val="single" w:sz="4" w:space="0" w:color="auto"/>
            </w:tcBorders>
          </w:tcPr>
          <w:p w14:paraId="00101B5A" w14:textId="00101BA1">
            <w:pPr>
              <w:pStyle w:val="Normal"/>
              <w:jc w:val="left"/>
            </w:pPr>
            <w:r>
              <w:t xml:space="preserve">Group Risk and Internal Audit</w:t>
            </w:r>
          </w:p>
        </w:tc>
        <w:tc>
          <w:tcPr>
            <w:vAlign w:val="center"/>
            <w:tcBorders>
              <w:top w:val="single" w:sz="4" w:space="0" w:color="auto"/>
              <w:left w:val="single" w:sz="4" w:space="0" w:color="auto"/>
              <w:bottom w:val="single" w:sz="4" w:space="0" w:color="auto"/>
              <w:right w:val="single" w:sz="4" w:space="0" w:color="auto"/>
            </w:tcBorders>
          </w:tcPr>
          <w:p w14:paraId="00101B5C" w14:textId="00101BA2">
            <w:pPr>
              <w:pStyle w:val="Normal"/>
              <w:jc w:val="left"/>
            </w:pPr>
            <w:r>
              <w:t xml:space="preserve">Risk register, control testing results, incident logs, assurance reports, remediation trackers</w:t>
            </w:r>
          </w:p>
        </w:tc>
        <w:tc>
          <w:tcPr>
            <w:vAlign w:val="center"/>
            <w:tcBorders>
              <w:top w:val="single" w:sz="4" w:space="0" w:color="auto"/>
              <w:left w:val="single" w:sz="4" w:space="0" w:color="auto"/>
              <w:bottom w:val="single" w:sz="4" w:space="0" w:color="auto"/>
              <w:right w:val="single" w:sz="4" w:space="0" w:color="auto"/>
            </w:tcBorders>
          </w:tcPr>
          <w:p w14:paraId="00101B5E" w14:textId="00101BA3">
            <w:pPr>
              <w:pStyle w:val="Normal"/>
              <w:jc w:val="left"/>
            </w:pPr>
            <w:r>
              <w:t xml:space="preserve">Risk appetite statement, audit plans, control methodology documents</w:t>
            </w:r>
          </w:p>
        </w:tc>
        <w:tc>
          <w:tcPr>
            <w:vAlign w:val="center"/>
            <w:tcBorders>
              <w:top w:val="single" w:sz="4" w:space="0" w:color="auto"/>
              <w:left w:val="single" w:sz="4" w:space="0" w:color="auto"/>
              <w:bottom w:val="single" w:sz="4" w:space="0" w:color="auto"/>
              <w:right w:val="single" w:sz="4" w:space="0" w:color="auto"/>
            </w:tcBorders>
          </w:tcPr>
          <w:p w14:paraId="00101B60" w14:textId="00101BA4">
            <w:pPr>
              <w:pStyle w:val="Normal"/>
              <w:jc w:val="left"/>
            </w:pPr>
            <w:r>
              <w:t xml:space="preserve">Quarterly risk cycle; annual summary</w:t>
            </w:r>
          </w:p>
        </w:tc>
        <w:tc>
          <w:tcPr>
            <w:vAlign w:val="center"/>
            <w:tcBorders>
              <w:top w:val="single" w:sz="4" w:space="0" w:color="auto"/>
              <w:left w:val="single" w:sz="4" w:space="0" w:color="auto"/>
              <w:bottom w:val="single" w:sz="4" w:space="0" w:color="auto"/>
              <w:right w:val="single" w:sz="4" w:space="0" w:color="auto"/>
            </w:tcBorders>
          </w:tcPr>
          <w:p w14:paraId="00101B62" w14:textId="00101BA5">
            <w:pPr>
              <w:pStyle w:val="Normal"/>
              <w:jc w:val="left"/>
            </w:pPr>
            <w:r>
              <w:t xml:space="preserve">Principal risk descriptions are updated through the formal risk review process and aligned with Audit and Risk Committee reporting.</w:t>
            </w:r>
          </w:p>
        </w:tc>
      </w:tr>
      <w:tr>
        <w:tc>
          <w:tcPr>
            <w:vAlign w:val="top"/>
            <w:tcBorders>
              <w:top w:val="single" w:sz="4" w:space="0" w:color="auto"/>
              <w:left w:val="single" w:sz="4" w:space="0" w:color="auto"/>
              <w:bottom w:val="single" w:sz="4" w:space="0" w:color="auto"/>
              <w:right w:val="single" w:sz="4" w:space="0" w:color="auto"/>
            </w:tcBorders>
          </w:tcPr>
          <w:p w14:paraId="00101B64" w14:textId="00101BA6">
            <w:pPr>
              <w:pStyle w:val="Normal"/>
              <w:jc w:val="left"/>
            </w:pPr>
            <w:r>
              <w:t xml:space="preserve">Sustainability, people, safety, and impact indicators</w:t>
            </w:r>
          </w:p>
        </w:tc>
        <w:tc>
          <w:tcPr>
            <w:vAlign w:val="center"/>
            <w:tcBorders>
              <w:top w:val="single" w:sz="4" w:space="0" w:color="auto"/>
              <w:left w:val="single" w:sz="4" w:space="0" w:color="auto"/>
              <w:bottom w:val="single" w:sz="4" w:space="0" w:color="auto"/>
              <w:right w:val="single" w:sz="4" w:space="0" w:color="auto"/>
            </w:tcBorders>
          </w:tcPr>
          <w:p w14:paraId="00101B66" w14:textId="00101BA7">
            <w:pPr>
              <w:pStyle w:val="Normal"/>
              <w:jc w:val="left"/>
            </w:pPr>
            <w:r>
              <w:t xml:space="preserve">Sustainability Office with operational data stewards</w:t>
            </w:r>
          </w:p>
        </w:tc>
        <w:tc>
          <w:tcPr>
            <w:vAlign w:val="center"/>
            <w:tcBorders>
              <w:top w:val="single" w:sz="4" w:space="0" w:color="auto"/>
              <w:left w:val="single" w:sz="4" w:space="0" w:color="auto"/>
              <w:bottom w:val="single" w:sz="4" w:space="0" w:color="auto"/>
              <w:right w:val="single" w:sz="4" w:space="0" w:color="auto"/>
            </w:tcBorders>
          </w:tcPr>
          <w:p w14:paraId="00101B68" w14:textId="00101BA8">
            <w:pPr>
              <w:pStyle w:val="Normal"/>
              <w:jc w:val="left"/>
            </w:pPr>
            <w:r>
              <w:t xml:space="preserve">Environmental data platform, HR information system, safety incident database, community program records</w:t>
            </w:r>
          </w:p>
        </w:tc>
        <w:tc>
          <w:tcPr>
            <w:vAlign w:val="center"/>
            <w:tcBorders>
              <w:top w:val="single" w:sz="4" w:space="0" w:color="auto"/>
              <w:left w:val="single" w:sz="4" w:space="0" w:color="auto"/>
              <w:bottom w:val="single" w:sz="4" w:space="0" w:color="auto"/>
              <w:right w:val="single" w:sz="4" w:space="0" w:color="auto"/>
            </w:tcBorders>
          </w:tcPr>
          <w:p w14:paraId="00101B6A" w14:textId="00101BA9">
            <w:pPr>
              <w:pStyle w:val="Normal"/>
              <w:jc w:val="left"/>
            </w:pPr>
            <w:r>
              <w:t xml:space="preserve">Methodology manuals, limited assurance working papers, reporting boundary definitions</w:t>
            </w:r>
          </w:p>
        </w:tc>
        <w:tc>
          <w:tcPr>
            <w:vAlign w:val="center"/>
            <w:tcBorders>
              <w:top w:val="single" w:sz="4" w:space="0" w:color="auto"/>
              <w:left w:val="single" w:sz="4" w:space="0" w:color="auto"/>
              <w:bottom w:val="single" w:sz="4" w:space="0" w:color="auto"/>
              <w:right w:val="single" w:sz="4" w:space="0" w:color="auto"/>
            </w:tcBorders>
          </w:tcPr>
          <w:p w14:paraId="00101B6C" w14:textId="00101BAA">
            <w:pPr>
              <w:pStyle w:val="Normal"/>
              <w:jc w:val="left"/>
            </w:pPr>
            <w:r>
              <w:t xml:space="preserve">Monthly operational collection; annual disclosure refresh</w:t>
            </w:r>
          </w:p>
        </w:tc>
        <w:tc>
          <w:tcPr>
            <w:vAlign w:val="center"/>
            <w:tcBorders>
              <w:top w:val="single" w:sz="4" w:space="0" w:color="auto"/>
              <w:left w:val="single" w:sz="4" w:space="0" w:color="auto"/>
              <w:bottom w:val="single" w:sz="4" w:space="0" w:color="auto"/>
              <w:right w:val="single" w:sz="4" w:space="0" w:color="auto"/>
            </w:tcBorders>
          </w:tcPr>
          <w:p w14:paraId="00101B6E" w14:textId="00101BAB">
            <w:pPr>
              <w:pStyle w:val="Normal"/>
              <w:jc w:val="left"/>
            </w:pPr>
            <w:r>
              <w:t xml:space="preserve">Selected indicators may be subject to assurance procedures; boundary statements and definitions govern comparability across periods.</w:t>
            </w:r>
          </w:p>
        </w:tc>
      </w:tr>
      <w:tr>
        <w:tc>
          <w:tcPr>
            <w:vAlign w:val="top"/>
            <w:tcBorders>
              <w:top w:val="single" w:sz="4" w:space="0" w:color="auto"/>
              <w:left w:val="single" w:sz="4" w:space="0" w:color="auto"/>
              <w:bottom w:val="single" w:sz="4" w:space="0" w:color="auto"/>
              <w:right w:val="single" w:sz="4" w:space="0" w:color="auto"/>
            </w:tcBorders>
          </w:tcPr>
          <w:p w14:paraId="00101B70" w14:textId="00101BAC">
            <w:pPr>
              <w:pStyle w:val="Normal"/>
              <w:jc w:val="left"/>
            </w:pPr>
            <w:r>
              <w:t xml:space="preserve">Shareholder, market, and investor information</w:t>
            </w:r>
          </w:p>
        </w:tc>
        <w:tc>
          <w:tcPr>
            <w:vAlign w:val="center"/>
            <w:tcBorders>
              <w:top w:val="single" w:sz="4" w:space="0" w:color="auto"/>
              <w:left w:val="single" w:sz="4" w:space="0" w:color="auto"/>
              <w:bottom w:val="single" w:sz="4" w:space="0" w:color="auto"/>
              <w:right w:val="single" w:sz="4" w:space="0" w:color="auto"/>
            </w:tcBorders>
          </w:tcPr>
          <w:p w14:paraId="00101B72" w14:textId="00101BAD">
            <w:pPr>
              <w:pStyle w:val="Normal"/>
              <w:jc w:val="left"/>
            </w:pPr>
            <w:r>
              <w:t xml:space="preserve">Investor Relations and Company Secretariat</w:t>
            </w:r>
          </w:p>
        </w:tc>
        <w:tc>
          <w:tcPr>
            <w:vAlign w:val="center"/>
            <w:tcBorders>
              <w:top w:val="single" w:sz="4" w:space="0" w:color="auto"/>
              <w:left w:val="single" w:sz="4" w:space="0" w:color="auto"/>
              <w:bottom w:val="single" w:sz="4" w:space="0" w:color="auto"/>
              <w:right w:val="single" w:sz="4" w:space="0" w:color="auto"/>
            </w:tcBorders>
          </w:tcPr>
          <w:p w14:paraId="00101B74" w14:textId="00101BAE">
            <w:pPr>
              <w:pStyle w:val="Normal"/>
              <w:jc w:val="left"/>
            </w:pPr>
            <w:r>
              <w:t xml:space="preserve">Share registrar reports, exchange announcements, shareholder analytics, dividend administration records</w:t>
            </w:r>
          </w:p>
        </w:tc>
        <w:tc>
          <w:tcPr>
            <w:vAlign w:val="center"/>
            <w:tcBorders>
              <w:top w:val="single" w:sz="4" w:space="0" w:color="auto"/>
              <w:left w:val="single" w:sz="4" w:space="0" w:color="auto"/>
              <w:bottom w:val="single" w:sz="4" w:space="0" w:color="auto"/>
              <w:right w:val="single" w:sz="4" w:space="0" w:color="auto"/>
            </w:tcBorders>
          </w:tcPr>
          <w:p w14:paraId="00101B76" w14:textId="00101BAF">
            <w:pPr>
              <w:pStyle w:val="Normal"/>
              <w:jc w:val="left"/>
            </w:pPr>
            <w:r>
              <w:t xml:space="preserve">Registrar confirmations, market data feeds, listing rules reference file</w:t>
            </w:r>
          </w:p>
        </w:tc>
        <w:tc>
          <w:tcPr>
            <w:vAlign w:val="center"/>
            <w:tcBorders>
              <w:top w:val="single" w:sz="4" w:space="0" w:color="auto"/>
              <w:left w:val="single" w:sz="4" w:space="0" w:color="auto"/>
              <w:bottom w:val="single" w:sz="4" w:space="0" w:color="auto"/>
              <w:right w:val="single" w:sz="4" w:space="0" w:color="auto"/>
            </w:tcBorders>
          </w:tcPr>
          <w:p w14:paraId="00101B78" w14:textId="00101BB0">
            <w:pPr>
              <w:pStyle w:val="Normal"/>
              <w:jc w:val="left"/>
            </w:pPr>
            <w:r>
              <w:t xml:space="preserve">As events occur; annual roll-up</w:t>
            </w:r>
          </w:p>
        </w:tc>
        <w:tc>
          <w:tcPr>
            <w:vAlign w:val="center"/>
            <w:tcBorders>
              <w:top w:val="single" w:sz="4" w:space="0" w:color="auto"/>
              <w:left w:val="single" w:sz="4" w:space="0" w:color="auto"/>
              <w:bottom w:val="single" w:sz="4" w:space="0" w:color="auto"/>
              <w:right w:val="single" w:sz="4" w:space="0" w:color="auto"/>
            </w:tcBorders>
          </w:tcPr>
          <w:p w14:paraId="00101B7A" w14:textId="00101BB1">
            <w:pPr>
              <w:pStyle w:val="Normal"/>
              <w:jc w:val="left"/>
            </w:pPr>
            <w:r>
              <w:t xml:space="preserve">Ownership and market references are based on the latest available registrar and market data at the report authorization date.</w:t>
            </w:r>
          </w:p>
        </w:tc>
      </w:tr>
      <w:tr>
        <w:tc>
          <w:tcPr>
            <w:vAlign w:val="top"/>
            <w:tcBorders>
              <w:top w:val="single" w:sz="4" w:space="0" w:color="auto"/>
              <w:left w:val="single" w:sz="4" w:space="0" w:color="auto"/>
              <w:bottom w:val="single" w:sz="4" w:space="0" w:color="auto"/>
              <w:right w:val="single" w:sz="4" w:space="0" w:color="auto"/>
            </w:tcBorders>
          </w:tcPr>
          <w:p w14:paraId="00101B7C" w14:textId="00101BB2">
            <w:pPr>
              <w:pStyle w:val="Normal"/>
              <w:jc w:val="left"/>
            </w:pPr>
            <w:r>
              <w:t xml:space="preserve">Source register and cross-reference controls</w:t>
            </w:r>
          </w:p>
        </w:tc>
        <w:tc>
          <w:tcPr>
            <w:vAlign w:val="center"/>
            <w:tcBorders>
              <w:top w:val="single" w:sz="4" w:space="0" w:color="auto"/>
              <w:left w:val="single" w:sz="4" w:space="0" w:color="auto"/>
              <w:bottom w:val="single" w:sz="4" w:space="0" w:color="auto"/>
              <w:right w:val="single" w:sz="4" w:space="0" w:color="auto"/>
            </w:tcBorders>
          </w:tcPr>
          <w:p w14:paraId="00101B7E" w14:textId="00101BB3">
            <w:pPr>
              <w:pStyle w:val="Normal"/>
              <w:jc w:val="left"/>
            </w:pPr>
            <w:r>
              <w:t xml:space="preserve">Group Reporting with document control support</w:t>
            </w:r>
          </w:p>
        </w:tc>
        <w:tc>
          <w:tcPr>
            <w:vAlign w:val="center"/>
            <w:tcBorders>
              <w:top w:val="single" w:sz="4" w:space="0" w:color="auto"/>
              <w:left w:val="single" w:sz="4" w:space="0" w:color="auto"/>
              <w:bottom w:val="single" w:sz="4" w:space="0" w:color="auto"/>
              <w:right w:val="single" w:sz="4" w:space="0" w:color="auto"/>
            </w:tcBorders>
          </w:tcPr>
          <w:p w14:paraId="00101B80" w14:textId="00101BB4">
            <w:pPr>
              <w:pStyle w:val="Normal"/>
              <w:jc w:val="left"/>
            </w:pPr>
            <w:r>
              <w:t xml:space="preserve">Master disclosure index, document version log, cross-reference matrix, approval checklist</w:t>
            </w:r>
          </w:p>
        </w:tc>
        <w:tc>
          <w:tcPr>
            <w:vAlign w:val="center"/>
            <w:tcBorders>
              <w:top w:val="single" w:sz="4" w:space="0" w:color="auto"/>
              <w:left w:val="single" w:sz="4" w:space="0" w:color="auto"/>
              <w:bottom w:val="single" w:sz="4" w:space="0" w:color="auto"/>
              <w:right w:val="single" w:sz="4" w:space="0" w:color="auto"/>
            </w:tcBorders>
          </w:tcPr>
          <w:p w14:paraId="00101B82" w14:textId="00101BB5">
            <w:pPr>
              <w:pStyle w:val="Normal"/>
              <w:jc w:val="left"/>
            </w:pPr>
            <w:r>
              <w:t xml:space="preserve">Final publication proof set and archived sign-off package</w:t>
            </w:r>
          </w:p>
        </w:tc>
        <w:tc>
          <w:tcPr>
            <w:vAlign w:val="center"/>
            <w:tcBorders>
              <w:top w:val="single" w:sz="4" w:space="0" w:color="auto"/>
              <w:left w:val="single" w:sz="4" w:space="0" w:color="auto"/>
              <w:bottom w:val="single" w:sz="4" w:space="0" w:color="auto"/>
              <w:right w:val="single" w:sz="4" w:space="0" w:color="auto"/>
            </w:tcBorders>
          </w:tcPr>
          <w:p w14:paraId="00101B84" w14:textId="00101BB6">
            <w:pPr>
              <w:pStyle w:val="Normal"/>
              <w:jc w:val="left"/>
            </w:pPr>
            <w:r>
              <w:t xml:space="preserve">Each reporting cycle</w:t>
            </w:r>
          </w:p>
        </w:tc>
        <w:tc>
          <w:tcPr>
            <w:vAlign w:val="center"/>
            <w:tcBorders>
              <w:top w:val="single" w:sz="4" w:space="0" w:color="auto"/>
              <w:left w:val="single" w:sz="4" w:space="0" w:color="auto"/>
              <w:bottom w:val="single" w:sz="4" w:space="0" w:color="auto"/>
              <w:right w:val="single" w:sz="4" w:space="0" w:color="auto"/>
            </w:tcBorders>
          </w:tcPr>
          <w:p w14:paraId="00101B86" w14:textId="00101BB7">
            <w:pPr>
              <w:pStyle w:val="Normal"/>
              <w:jc w:val="left"/>
            </w:pPr>
            <w:r>
              <w:t xml:space="preserve">This register supports consistency across sections by identifying the accountable owner and the source hierarchy for each disclosure family.</w:t>
            </w:r>
          </w:p>
        </w:tc>
      </w:tr>
    </w:tbl>
    <w:p w14:paraId="00101BB8" w14:textId="00101BB9">
      <w:pPr>
        <w:pStyle w:val="Normal"/>
        <w:jc w:val="left"/>
      </w:pPr>
      <w:r>
        <w:t xml:space="preserve">Table 58 Source register by disclosure</w:t>
      </w:r>
    </w:p>
    <w:p w14:paraId="00101D04" w14:textId="00101D05">
      <w:pPr>
        <w:pStyle w:val="Normal"/>
        <w:jc w:val="left"/>
        <w:sectPr>
          <w:type w:val="nextPage"/>
          <w:pgSz w:w="11906" w:h="16838"/>
          <w:pgMar w:top="1440" w:right="1440" w:bottom="1440" w:left="1440" w:header="1440" w:footer="1440" w:gutter="0"/>
          <w:cols w:space="720" w:num="1"/>
        </w:sectPr>
      </w:pPr>
    </w:p>
    <w:p w14:paraId="00101BBE" w14:textId="00101BBF">
      <w:pPr>
        <w:pStyle w:val="Normal"/>
        <w:jc w:val="left"/>
      </w:pPr>
      <w:r>
        <w:t xml:space="preserve">Supplementary Schedules</w:t>
      </w:r>
    </w:p>
    <w:p w14:paraId="00101BC0" w14:textId="00101BC1">
      <w:pPr>
        <w:pStyle w:val="Normal"/>
        <w:jc w:val="left"/>
      </w:pPr>
      <w:r>
        <w:t xml:space="preserve">This back section assembles detailed supporting schedules and figure references that complement, but do not replace, the primary narrative, governance disclosures, sustainability reporting, and audited financial statements presented in the main body of the Rivermark Holdings Annual Report. Its purpose is to give readers a stable reference point for extended data sets, comparative schedules, and presentation exhibits that are useful for analysis yet would be too detailed to place within the main chapters without interrupting readability.</w:t>
      </w:r>
    </w:p>
    <w:p w14:paraId="00101BC2" w14:textId="00101BC3">
      <w:pPr>
        <w:pStyle w:val="Normal"/>
        <w:jc w:val="left"/>
      </w:pPr>
      <w:r>
        <w:t xml:space="preserve">The material in this section is organized into supplementary tables and appendix figures. The table portion brings together expanded financial schedules, segment reconciliations, and selected comparative disclosures that support the group’s reported measures, note disclosures, and performance commentary. The figure portion, presented in the following batches, groups supporting charts, structural diagrams, and footprint visuals referenced elsewhere in the report. Together, these annex materials help users trace summary statements back to underlying schedules, compare current-year and prior-year movements, and understand how Rivermark Holdings presents operating, financial, and impact information across the report as an integrated whole.</w:t>
      </w:r>
    </w:p>
    <w:p w14:paraId="00101BC4" w14:textId="00101BC5">
      <w:pPr>
        <w:pStyle w:val="Normal"/>
        <w:jc w:val="left"/>
      </w:pPr>
      <w:r>
        <w:t xml:space="preserve">Chapter 13 Supplementary Tables</w:t>
      </w:r>
    </w:p>
    <w:p w14:paraId="00101BC6" w14:textId="00101BC7">
      <w:pPr>
        <w:pStyle w:val="Normal"/>
        <w:jc w:val="left"/>
      </w:pPr>
      <w:r>
        <w:t xml:space="preserve">The supplementary table appendix provides a structured repository for tabular information that extends the disclosures in the main report. These tables are designed for readers who require a more granular view of balances, movements, reconciliations, and segment-level indicators than is practical within the core chapters. In particular, they support cross-reading between the Group Financial Review, Consolidated Statements, Financial Note Disclosures, and Additional Financial Information sections by presenting data in a consistent, comparable format.</w:t>
      </w:r>
    </w:p>
    <w:p w14:paraId="00101BC8" w14:textId="00101BC9">
      <w:pPr>
        <w:pStyle w:val="Normal"/>
        <w:jc w:val="left"/>
      </w:pPr>
      <w:r>
        <w:t xml:space="preserve">Tables included in this appendix may restate line items used in the main report, but they do so for reference, breakdown, or reconciliation purposes rather than to introduce an alternative reporting basis. Where totals align with audited financial statement amounts, the figures should be read in conjunction with the relevant accounting policies and note disclosures. Where management measures or operational indicators are shown, they follow the definitions used elsewhere in the report and are intended to clarify drivers such as segment contribution, capital deployment, cash conversion, or comparative trend performance. As a result, the appendix functions as an analytical extension of the annual report, helping investors, lenders, analysts, and other stakeholders move efficiently from headline disclosures to supporting detail.</w:t>
      </w:r>
    </w:p>
    <w:p w14:paraId="00101BCA" w14:textId="00101BCB">
      <w:pPr>
        <w:pStyle w:val="Normal"/>
        <w:jc w:val="left"/>
      </w:pPr>
      <w:r>
        <w:t xml:space="preserve">13. Financial Schedules</w:t>
      </w:r>
    </w:p>
    <w:p w14:paraId="00101BCC" w14:textId="00101BCD">
      <w:pPr>
        <w:pStyle w:val="Normal"/>
        <w:jc w:val="left"/>
      </w:pPr>
      <w:r>
        <w:t xml:space="preserve">The financial schedules in this annex present supporting detail for selected statement captions, note disclosures, and performance measures reported by Rivermark Holdings for the year ended 31 December of the reporting period. Their scope includes comparative schedules, roll-forwards, disaggregated balances, and reconciliations that assist readers in understanding movements between opening and closing positions, the composition of major reported balances, and links between statutory measures and supplemental management analysis. These schedules should be read together with the consolidated statements, the accounting basis section, and the detailed financial note disclosures.</w:t>
      </w:r>
    </w:p>
    <w:p w14:paraId="00101BCE" w14:textId="00101BCF">
      <w:pPr>
        <w:pStyle w:val="Normal"/>
        <w:jc w:val="left"/>
      </w:pPr>
      <w:r>
        <w:t xml:space="preserve">Unless otherwise indicated, amounts are presented on the same basis of preparation, consolidation perimeter, currency presentation, and rounding conventions used throughout the annual report. Comparative information is included where relevant to support trend analysis and year-on-year interpretation. The annex does not create new accounting policies, modify recognition or measurement conclusions, or supersede the audited disclosures in the main financial sections. Instead, it provides an organized presentation layer for readers seeking clearer visibility into debt profiles, capital expenditure allocation, segment reconciliations, cash-related measures, and other detailed financial schedules. In this way, the section improves transparency and usability while preserving consistency with the report’s primary financial statements and explanatory notes.</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1BD0" w14:textId="00101C08">
            <w:pPr>
              <w:pStyle w:val="Normal"/>
              <w:jc w:val="left"/>
            </w:pPr>
            <w:r>
              <w:t xml:space="preserve">Schedule</w:t>
            </w:r>
          </w:p>
        </w:tc>
        <w:tc>
          <w:tcPr>
            <w:vAlign w:val="center"/>
            <w:tcBorders>
              <w:top w:val="single" w:sz="4" w:space="0" w:color="auto"/>
              <w:left w:val="single" w:sz="4" w:space="0" w:color="auto"/>
              <w:bottom w:val="single" w:sz="4" w:space="0" w:color="auto"/>
              <w:right w:val="single" w:sz="4" w:space="0" w:color="auto"/>
            </w:tcBorders>
          </w:tcPr>
          <w:p w14:paraId="00101BD2" w14:textId="00101C09">
            <w:pPr>
              <w:pStyle w:val="Normal"/>
              <w:jc w:val="left"/>
            </w:pPr>
            <w:r>
              <w:t xml:space="preserve">Purpose</w:t>
            </w:r>
          </w:p>
        </w:tc>
        <w:tc>
          <w:tcPr>
            <w:vAlign w:val="center"/>
            <w:tcBorders>
              <w:top w:val="single" w:sz="4" w:space="0" w:color="auto"/>
              <w:left w:val="single" w:sz="4" w:space="0" w:color="auto"/>
              <w:bottom w:val="single" w:sz="4" w:space="0" w:color="auto"/>
              <w:right w:val="single" w:sz="4" w:space="0" w:color="auto"/>
            </w:tcBorders>
          </w:tcPr>
          <w:p w14:paraId="00101BD4" w14:textId="00101C0A">
            <w:pPr>
              <w:pStyle w:val="Normal"/>
              <w:jc w:val="left"/>
            </w:pPr>
            <w:r>
              <w:t xml:space="preserve">Primary contents</w:t>
            </w:r>
          </w:p>
        </w:tc>
        <w:tc>
          <w:tcPr>
            <w:vAlign w:val="center"/>
            <w:tcBorders>
              <w:top w:val="single" w:sz="4" w:space="0" w:color="auto"/>
              <w:left w:val="single" w:sz="4" w:space="0" w:color="auto"/>
              <w:bottom w:val="single" w:sz="4" w:space="0" w:color="auto"/>
              <w:right w:val="single" w:sz="4" w:space="0" w:color="auto"/>
            </w:tcBorders>
          </w:tcPr>
          <w:p w14:paraId="00101BD6" w14:textId="00101C0B">
            <w:pPr>
              <w:pStyle w:val="Normal"/>
              <w:jc w:val="left"/>
            </w:pPr>
            <w:r>
              <w:t xml:space="preserve">Basis and linkage</w:t>
            </w:r>
          </w:p>
        </w:tc>
      </w:tr>
      <w:tr>
        <w:tc>
          <w:tcPr>
            <w:vAlign w:val="top"/>
            <w:tcBorders>
              <w:top w:val="single" w:sz="4" w:space="0" w:color="auto"/>
              <w:left w:val="single" w:sz="4" w:space="0" w:color="auto"/>
              <w:bottom w:val="single" w:sz="4" w:space="0" w:color="auto"/>
              <w:right w:val="single" w:sz="4" w:space="0" w:color="auto"/>
            </w:tcBorders>
          </w:tcPr>
          <w:p w14:paraId="00101BD8" w14:textId="00101C0C">
            <w:pPr>
              <w:pStyle w:val="Normal"/>
              <w:jc w:val="left"/>
            </w:pPr>
            <w:r>
              <w:t xml:space="preserve">Comparative financial schedule</w:t>
            </w:r>
          </w:p>
        </w:tc>
        <w:tc>
          <w:tcPr>
            <w:vAlign w:val="center"/>
            <w:tcBorders>
              <w:top w:val="single" w:sz="4" w:space="0" w:color="auto"/>
              <w:left w:val="single" w:sz="4" w:space="0" w:color="auto"/>
              <w:bottom w:val="single" w:sz="4" w:space="0" w:color="auto"/>
              <w:right w:val="single" w:sz="4" w:space="0" w:color="auto"/>
            </w:tcBorders>
          </w:tcPr>
          <w:p w14:paraId="00101BDA" w14:textId="00101C0D">
            <w:pPr>
              <w:pStyle w:val="Normal"/>
              <w:jc w:val="left"/>
            </w:pPr>
            <w:r>
              <w:t xml:space="preserve">Presents supplementary multi-period detail supporting the consolidated statements</w:t>
            </w:r>
          </w:p>
        </w:tc>
        <w:tc>
          <w:tcPr>
            <w:vAlign w:val="center"/>
            <w:tcBorders>
              <w:top w:val="single" w:sz="4" w:space="0" w:color="auto"/>
              <w:left w:val="single" w:sz="4" w:space="0" w:color="auto"/>
              <w:bottom w:val="single" w:sz="4" w:space="0" w:color="auto"/>
              <w:right w:val="single" w:sz="4" w:space="0" w:color="auto"/>
            </w:tcBorders>
          </w:tcPr>
          <w:p w14:paraId="00101BDC" w14:textId="00101C0E">
            <w:pPr>
              <w:pStyle w:val="Normal"/>
              <w:jc w:val="left"/>
            </w:pPr>
            <w:r>
              <w:t xml:space="preserve">Five-year revenue, operating profit, operating cash flow, capital expenditure, net debt, and return indicators by year</w:t>
            </w:r>
          </w:p>
        </w:tc>
        <w:tc>
          <w:tcPr>
            <w:vAlign w:val="center"/>
            <w:tcBorders>
              <w:top w:val="single" w:sz="4" w:space="0" w:color="auto"/>
              <w:left w:val="single" w:sz="4" w:space="0" w:color="auto"/>
              <w:bottom w:val="single" w:sz="4" w:space="0" w:color="auto"/>
              <w:right w:val="single" w:sz="4" w:space="0" w:color="auto"/>
            </w:tcBorders>
          </w:tcPr>
          <w:p w14:paraId="00101BDE" w14:textId="00101C0F">
            <w:pPr>
              <w:pStyle w:val="Normal"/>
              <w:jc w:val="left"/>
            </w:pPr>
            <w:r>
              <w:t xml:space="preserve">Amounts are derived from audited statements and note disclosures; alternative measures are reconciled in Additional Financial Information</w:t>
            </w:r>
          </w:p>
        </w:tc>
      </w:tr>
      <w:tr>
        <w:tc>
          <w:tcPr>
            <w:vAlign w:val="top"/>
            <w:tcBorders>
              <w:top w:val="single" w:sz="4" w:space="0" w:color="auto"/>
              <w:left w:val="single" w:sz="4" w:space="0" w:color="auto"/>
              <w:bottom w:val="single" w:sz="4" w:space="0" w:color="auto"/>
              <w:right w:val="single" w:sz="4" w:space="0" w:color="auto"/>
            </w:tcBorders>
          </w:tcPr>
          <w:p w14:paraId="00101BE0" w14:textId="00101C10">
            <w:pPr>
              <w:pStyle w:val="Normal"/>
              <w:jc w:val="left"/>
            </w:pPr>
            <w:r>
              <w:t xml:space="preserve">Disclosure reconciliation schedule</w:t>
            </w:r>
          </w:p>
        </w:tc>
        <w:tc>
          <w:tcPr>
            <w:vAlign w:val="center"/>
            <w:tcBorders>
              <w:top w:val="single" w:sz="4" w:space="0" w:color="auto"/>
              <w:left w:val="single" w:sz="4" w:space="0" w:color="auto"/>
              <w:bottom w:val="single" w:sz="4" w:space="0" w:color="auto"/>
              <w:right w:val="single" w:sz="4" w:space="0" w:color="auto"/>
            </w:tcBorders>
          </w:tcPr>
          <w:p w14:paraId="00101BE2" w14:textId="00101C11">
            <w:pPr>
              <w:pStyle w:val="Normal"/>
              <w:jc w:val="left"/>
            </w:pPr>
            <w:r>
              <w:t xml:space="preserve">Bridges headline measures to statutory results and note balances</w:t>
            </w:r>
          </w:p>
        </w:tc>
        <w:tc>
          <w:tcPr>
            <w:vAlign w:val="center"/>
            <w:tcBorders>
              <w:top w:val="single" w:sz="4" w:space="0" w:color="auto"/>
              <w:left w:val="single" w:sz="4" w:space="0" w:color="auto"/>
              <w:bottom w:val="single" w:sz="4" w:space="0" w:color="auto"/>
              <w:right w:val="single" w:sz="4" w:space="0" w:color="auto"/>
            </w:tcBorders>
          </w:tcPr>
          <w:p w14:paraId="00101BE4" w14:textId="00101C12">
            <w:pPr>
              <w:pStyle w:val="Normal"/>
              <w:jc w:val="left"/>
            </w:pPr>
            <w:r>
              <w:t xml:space="preserve">Underlying operating profit adjustments, nonrecurring items, depreciation and amortization bridges, and free cash flow conversion</w:t>
            </w:r>
          </w:p>
        </w:tc>
        <w:tc>
          <w:tcPr>
            <w:vAlign w:val="center"/>
            <w:tcBorders>
              <w:top w:val="single" w:sz="4" w:space="0" w:color="auto"/>
              <w:left w:val="single" w:sz="4" w:space="0" w:color="auto"/>
              <w:bottom w:val="single" w:sz="4" w:space="0" w:color="auto"/>
              <w:right w:val="single" w:sz="4" w:space="0" w:color="auto"/>
            </w:tcBorders>
          </w:tcPr>
          <w:p w14:paraId="00101BE6" w14:textId="00101C13">
            <w:pPr>
              <w:pStyle w:val="Normal"/>
              <w:jc w:val="left"/>
            </w:pPr>
            <w:r>
              <w:t xml:space="preserve">Prepared on the same reporting perimeter as the annual report and cross-referenced to performance measure definitions</w:t>
            </w:r>
          </w:p>
        </w:tc>
      </w:tr>
      <w:tr>
        <w:tc>
          <w:tcPr>
            <w:vAlign w:val="top"/>
            <w:tcBorders>
              <w:top w:val="single" w:sz="4" w:space="0" w:color="auto"/>
              <w:left w:val="single" w:sz="4" w:space="0" w:color="auto"/>
              <w:bottom w:val="single" w:sz="4" w:space="0" w:color="auto"/>
              <w:right w:val="single" w:sz="4" w:space="0" w:color="auto"/>
            </w:tcBorders>
          </w:tcPr>
          <w:p w14:paraId="00101BE8" w14:textId="00101C14">
            <w:pPr>
              <w:pStyle w:val="Normal"/>
              <w:jc w:val="left"/>
            </w:pPr>
            <w:r>
              <w:t xml:space="preserve">Segment revenue and margin schedule</w:t>
            </w:r>
          </w:p>
        </w:tc>
        <w:tc>
          <w:tcPr>
            <w:vAlign w:val="center"/>
            <w:tcBorders>
              <w:top w:val="single" w:sz="4" w:space="0" w:color="auto"/>
              <w:left w:val="single" w:sz="4" w:space="0" w:color="auto"/>
              <w:bottom w:val="single" w:sz="4" w:space="0" w:color="auto"/>
              <w:right w:val="single" w:sz="4" w:space="0" w:color="auto"/>
            </w:tcBorders>
          </w:tcPr>
          <w:p w14:paraId="00101BEA" w14:textId="00101C15">
            <w:pPr>
              <w:pStyle w:val="Normal"/>
              <w:jc w:val="left"/>
            </w:pPr>
            <w:r>
              <w:t xml:space="preserve">Provides supplemental comparison across operating segments</w:t>
            </w:r>
          </w:p>
        </w:tc>
        <w:tc>
          <w:tcPr>
            <w:vAlign w:val="center"/>
            <w:tcBorders>
              <w:top w:val="single" w:sz="4" w:space="0" w:color="auto"/>
              <w:left w:val="single" w:sz="4" w:space="0" w:color="auto"/>
              <w:bottom w:val="single" w:sz="4" w:space="0" w:color="auto"/>
              <w:right w:val="single" w:sz="4" w:space="0" w:color="auto"/>
            </w:tcBorders>
          </w:tcPr>
          <w:p w14:paraId="00101BEC" w14:textId="00101C16">
            <w:pPr>
              <w:pStyle w:val="Normal"/>
              <w:jc w:val="left"/>
            </w:pPr>
            <w:r>
              <w:t xml:space="preserve">Industrial Solutions, Consumer Platforms, and Infrastructure Services revenue, adjusted operating profit, margin, and year-on-year movement</w:t>
            </w:r>
          </w:p>
        </w:tc>
        <w:tc>
          <w:tcPr>
            <w:vAlign w:val="center"/>
            <w:tcBorders>
              <w:top w:val="single" w:sz="4" w:space="0" w:color="auto"/>
              <w:left w:val="single" w:sz="4" w:space="0" w:color="auto"/>
              <w:bottom w:val="single" w:sz="4" w:space="0" w:color="auto"/>
              <w:right w:val="single" w:sz="4" w:space="0" w:color="auto"/>
            </w:tcBorders>
          </w:tcPr>
          <w:p w14:paraId="00101BEE" w14:textId="00101C17">
            <w:pPr>
              <w:pStyle w:val="Normal"/>
              <w:jc w:val="left"/>
            </w:pPr>
            <w:r>
              <w:t xml:space="preserve">Segment measures align with those reviewed by the chief operating decision maker and reconcile to consolidated totals</w:t>
            </w:r>
          </w:p>
        </w:tc>
      </w:tr>
      <w:tr>
        <w:tc>
          <w:tcPr>
            <w:vAlign w:val="top"/>
            <w:tcBorders>
              <w:top w:val="single" w:sz="4" w:space="0" w:color="auto"/>
              <w:left w:val="single" w:sz="4" w:space="0" w:color="auto"/>
              <w:bottom w:val="single" w:sz="4" w:space="0" w:color="auto"/>
              <w:right w:val="single" w:sz="4" w:space="0" w:color="auto"/>
            </w:tcBorders>
          </w:tcPr>
          <w:p w14:paraId="00101BF0" w14:textId="00101C18">
            <w:pPr>
              <w:pStyle w:val="Normal"/>
              <w:jc w:val="left"/>
            </w:pPr>
            <w:r>
              <w:t xml:space="preserve">Segment capital schedule</w:t>
            </w:r>
          </w:p>
        </w:tc>
        <w:tc>
          <w:tcPr>
            <w:vAlign w:val="center"/>
            <w:tcBorders>
              <w:top w:val="single" w:sz="4" w:space="0" w:color="auto"/>
              <w:left w:val="single" w:sz="4" w:space="0" w:color="auto"/>
              <w:bottom w:val="single" w:sz="4" w:space="0" w:color="auto"/>
              <w:right w:val="single" w:sz="4" w:space="0" w:color="auto"/>
            </w:tcBorders>
          </w:tcPr>
          <w:p w14:paraId="00101BF2" w14:textId="00101C19">
            <w:pPr>
              <w:pStyle w:val="Normal"/>
              <w:jc w:val="left"/>
            </w:pPr>
            <w:r>
              <w:t xml:space="preserve">Shows capital deployment and asset intensity by segment</w:t>
            </w:r>
          </w:p>
        </w:tc>
        <w:tc>
          <w:tcPr>
            <w:vAlign w:val="center"/>
            <w:tcBorders>
              <w:top w:val="single" w:sz="4" w:space="0" w:color="auto"/>
              <w:left w:val="single" w:sz="4" w:space="0" w:color="auto"/>
              <w:bottom w:val="single" w:sz="4" w:space="0" w:color="auto"/>
              <w:right w:val="single" w:sz="4" w:space="0" w:color="auto"/>
            </w:tcBorders>
          </w:tcPr>
          <w:p w14:paraId="00101BF4" w14:textId="00101C1A">
            <w:pPr>
              <w:pStyle w:val="Normal"/>
              <w:jc w:val="left"/>
            </w:pPr>
            <w:r>
              <w:t xml:space="preserve">Capital expenditure, depreciation, working capital employed, selected noncurrent assets, and indicative return metrics</w:t>
            </w:r>
          </w:p>
        </w:tc>
        <w:tc>
          <w:tcPr>
            <w:vAlign w:val="center"/>
            <w:tcBorders>
              <w:top w:val="single" w:sz="4" w:space="0" w:color="auto"/>
              <w:left w:val="single" w:sz="4" w:space="0" w:color="auto"/>
              <w:bottom w:val="single" w:sz="4" w:space="0" w:color="auto"/>
              <w:right w:val="single" w:sz="4" w:space="0" w:color="auto"/>
            </w:tcBorders>
          </w:tcPr>
          <w:p w14:paraId="00101BF6" w14:textId="00101C1B">
            <w:pPr>
              <w:pStyle w:val="Normal"/>
              <w:jc w:val="left"/>
            </w:pPr>
            <w:r>
              <w:t xml:space="preserve">Compiled from management reporting records consistent with segment note disclosures and capital allocation commentary</w:t>
            </w:r>
          </w:p>
        </w:tc>
      </w:tr>
      <w:tr>
        <w:tc>
          <w:tcPr>
            <w:vAlign w:val="top"/>
            <w:tcBorders>
              <w:top w:val="single" w:sz="4" w:space="0" w:color="auto"/>
              <w:left w:val="single" w:sz="4" w:space="0" w:color="auto"/>
              <w:bottom w:val="single" w:sz="4" w:space="0" w:color="auto"/>
              <w:right w:val="single" w:sz="4" w:space="0" w:color="auto"/>
            </w:tcBorders>
          </w:tcPr>
          <w:p w14:paraId="00101BF8" w14:textId="00101C1C">
            <w:pPr>
              <w:pStyle w:val="Normal"/>
              <w:jc w:val="left"/>
            </w:pPr>
            <w:r>
              <w:t xml:space="preserve">Backlog and pipeline schedule</w:t>
            </w:r>
          </w:p>
        </w:tc>
        <w:tc>
          <w:tcPr>
            <w:vAlign w:val="center"/>
            <w:tcBorders>
              <w:top w:val="single" w:sz="4" w:space="0" w:color="auto"/>
              <w:left w:val="single" w:sz="4" w:space="0" w:color="auto"/>
              <w:bottom w:val="single" w:sz="4" w:space="0" w:color="auto"/>
              <w:right w:val="single" w:sz="4" w:space="0" w:color="auto"/>
            </w:tcBorders>
          </w:tcPr>
          <w:p w14:paraId="00101BFA" w14:textId="00101C1D">
            <w:pPr>
              <w:pStyle w:val="Normal"/>
              <w:jc w:val="left"/>
            </w:pPr>
            <w:r>
              <w:t xml:space="preserve">Supports forward-looking discussion for service and project activities</w:t>
            </w:r>
          </w:p>
        </w:tc>
        <w:tc>
          <w:tcPr>
            <w:vAlign w:val="center"/>
            <w:tcBorders>
              <w:top w:val="single" w:sz="4" w:space="0" w:color="auto"/>
              <w:left w:val="single" w:sz="4" w:space="0" w:color="auto"/>
              <w:bottom w:val="single" w:sz="4" w:space="0" w:color="auto"/>
              <w:right w:val="single" w:sz="4" w:space="0" w:color="auto"/>
            </w:tcBorders>
          </w:tcPr>
          <w:p w14:paraId="00101BFC" w14:textId="00101C1E">
            <w:pPr>
              <w:pStyle w:val="Normal"/>
              <w:jc w:val="left"/>
            </w:pPr>
            <w:r>
              <w:t xml:space="preserve">Opening backlog, new awards, revenue recognized from backlog, closing backlog, and qualified pipeline indicators</w:t>
            </w:r>
          </w:p>
        </w:tc>
        <w:tc>
          <w:tcPr>
            <w:vAlign w:val="center"/>
            <w:tcBorders>
              <w:top w:val="single" w:sz="4" w:space="0" w:color="auto"/>
              <w:left w:val="single" w:sz="4" w:space="0" w:color="auto"/>
              <w:bottom w:val="single" w:sz="4" w:space="0" w:color="auto"/>
              <w:right w:val="single" w:sz="4" w:space="0" w:color="auto"/>
            </w:tcBorders>
          </w:tcPr>
          <w:p w14:paraId="00101BFE" w14:textId="00101C1F">
            <w:pPr>
              <w:pStyle w:val="Normal"/>
              <w:jc w:val="left"/>
            </w:pPr>
            <w:r>
              <w:t xml:space="preserve">Backlog reflects contracted or highly committed work; pipeline amounts are management estimates and are not recognized revenue</w:t>
            </w:r>
          </w:p>
        </w:tc>
      </w:tr>
      <w:tr>
        <w:tc>
          <w:tcPr>
            <w:vAlign w:val="top"/>
            <w:tcBorders>
              <w:top w:val="single" w:sz="4" w:space="0" w:color="auto"/>
              <w:left w:val="single" w:sz="4" w:space="0" w:color="auto"/>
              <w:bottom w:val="single" w:sz="4" w:space="0" w:color="auto"/>
              <w:right w:val="single" w:sz="4" w:space="0" w:color="auto"/>
            </w:tcBorders>
          </w:tcPr>
          <w:p w14:paraId="00101C00" w14:textId="00101C20">
            <w:pPr>
              <w:pStyle w:val="Normal"/>
              <w:jc w:val="left"/>
            </w:pPr>
            <w:r>
              <w:t xml:space="preserve">Regional exposure schedule</w:t>
            </w:r>
          </w:p>
        </w:tc>
        <w:tc>
          <w:tcPr>
            <w:vAlign w:val="center"/>
            <w:tcBorders>
              <w:top w:val="single" w:sz="4" w:space="0" w:color="auto"/>
              <w:left w:val="single" w:sz="4" w:space="0" w:color="auto"/>
              <w:bottom w:val="single" w:sz="4" w:space="0" w:color="auto"/>
              <w:right w:val="single" w:sz="4" w:space="0" w:color="auto"/>
            </w:tcBorders>
          </w:tcPr>
          <w:p w14:paraId="00101C02" w14:textId="00101C21">
            <w:pPr>
              <w:pStyle w:val="Normal"/>
              <w:jc w:val="left"/>
            </w:pPr>
            <w:r>
              <w:t xml:space="preserve">Summarizes geographic concentration and diversification</w:t>
            </w:r>
          </w:p>
        </w:tc>
        <w:tc>
          <w:tcPr>
            <w:vAlign w:val="center"/>
            <w:tcBorders>
              <w:top w:val="single" w:sz="4" w:space="0" w:color="auto"/>
              <w:left w:val="single" w:sz="4" w:space="0" w:color="auto"/>
              <w:bottom w:val="single" w:sz="4" w:space="0" w:color="auto"/>
              <w:right w:val="single" w:sz="4" w:space="0" w:color="auto"/>
            </w:tcBorders>
          </w:tcPr>
          <w:p w14:paraId="00101C04" w14:textId="00101C22">
            <w:pPr>
              <w:pStyle w:val="Normal"/>
              <w:jc w:val="left"/>
            </w:pPr>
            <w:r>
              <w:t xml:space="preserve">Revenue by customer location, selected noncurrent assets by region, and major market exposure notes</w:t>
            </w:r>
          </w:p>
        </w:tc>
        <w:tc>
          <w:tcPr>
            <w:vAlign w:val="center"/>
            <w:tcBorders>
              <w:top w:val="single" w:sz="4" w:space="0" w:color="auto"/>
              <w:left w:val="single" w:sz="4" w:space="0" w:color="auto"/>
              <w:bottom w:val="single" w:sz="4" w:space="0" w:color="auto"/>
              <w:right w:val="single" w:sz="4" w:space="0" w:color="auto"/>
            </w:tcBorders>
          </w:tcPr>
          <w:p w14:paraId="00101C06" w14:textId="00101C23">
            <w:pPr>
              <w:pStyle w:val="Normal"/>
              <w:jc w:val="left"/>
            </w:pPr>
            <w:r>
              <w:t xml:space="preserve">Prepared using customer destination and operating asset location conventions consistent with revenue and asset note disclosures</w:t>
            </w:r>
          </w:p>
        </w:tc>
      </w:tr>
    </w:tbl>
    <w:p w14:paraId="00101C24" w14:textId="00101C25">
      <w:pPr>
        <w:pStyle w:val="Normal"/>
        <w:jc w:val="left"/>
      </w:pPr>
      <w:r>
        <w:t xml:space="preserve">Table 39 Supplementary disclosure schedules supporting financial and segment analysis</w:t>
      </w:r>
    </w:p>
    <w:p w14:paraId="00101C26" w14:textId="00101C27">
      <w:pPr>
        <w:pStyle w:val="Normal"/>
        <w:jc w:val="left"/>
      </w:pPr>
      <w:r>
        <w:t xml:space="preserve">13. Segment Schedules</w:t>
      </w:r>
    </w:p>
    <w:p w14:paraId="00101C28" w14:textId="00101C29">
      <w:pPr>
        <w:pStyle w:val="Normal"/>
        <w:jc w:val="left"/>
      </w:pPr>
      <w:r>
        <w:t xml:space="preserve">This section brings together supplementary schedules that deepen the segment analysis presented in the main body of the report. Whereas the Segment Performance chapter emphasizes narrative drivers, market conditions, and management priorities, the schedules in the back matter provide a more compact analytical view of comparative revenue, margins, capital deployment, backlog, and selected operating indicators across Industrial Solutions, Consumer Platforms, and Infrastructure Services. The intention is to allow readers to trace how segment-level performance translated into group outcomes without interrupting the flow of the principal discussion.</w:t>
      </w:r>
    </w:p>
    <w:p w14:paraId="00101C2A" w14:textId="00101C2B">
      <w:pPr>
        <w:pStyle w:val="Normal"/>
        <w:jc w:val="left"/>
      </w:pPr>
      <w:r>
        <w:t xml:space="preserve">The schedules are prepared using the same segment perimeter and internal reporting definitions applied throughout the annual report. Where a measure differs from an IFRS line item, the schedule is intended to be read alongside the relevant reconciliation in the Additional Financial Information section and the segment note disclosures. Comparative information is presented on a consistent basis unless otherwise stated, and intersegment items are eliminated in group totals where required. This approach is particularly important in a portfolio such as Rivermark Holdings, where the underlying economics of product manufacturing, customer platforms, and contract delivery activities differ materially in working-capital intensity, revenue timing, and margin structure.</w:t>
      </w:r>
    </w:p>
    <w:p w14:paraId="00101C2C" w14:textId="00101C2D">
      <w:pPr>
        <w:pStyle w:val="Normal"/>
        <w:jc w:val="left"/>
      </w:pPr>
      <w:r>
        <w:t xml:space="preserve">Used together, these schedules provide a more precise basis for evaluating portfolio balance, investment discipline, and the sustainability of segment earnings. They also support year-on-year comparison by isolating the key numerical relationships behind management commentary, helping investors and other stakeholders assess scale, resilience, and directional performance across the operating portfolio.</w:t>
      </w:r>
    </w:p>
    <w:tbl>
      <w:tblPr>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5000" w:type="pct"/>
        <w:jc w:val="center"/>
      </w:tblPr>
      <w:tblGrid>
        <w:gridCol w:w="2076"/>
        <w:gridCol w:w="2076"/>
        <w:gridCol w:w="2076"/>
        <w:gridCol w:w="2076"/>
      </w:tblGrid>
      <w:tr>
        <w:trPr>
          <w:tblHeader/>
        </w:trPr>
        <w:tc>
          <w:tcPr>
            <w:vAlign w:val="center"/>
            <w:tcBorders>
              <w:top w:val="single" w:sz="4" w:space="0" w:color="auto"/>
              <w:left w:val="single" w:sz="4" w:space="0" w:color="auto"/>
              <w:bottom w:val="single" w:sz="4" w:space="0" w:color="auto"/>
              <w:right w:val="single" w:sz="4" w:space="0" w:color="auto"/>
            </w:tcBorders>
          </w:tcPr>
          <w:p w14:paraId="00101C2E" w14:textId="00101C76">
            <w:pPr>
              <w:pStyle w:val="Normal"/>
              <w:jc w:val="left"/>
            </w:pPr>
            <w:r>
              <w:t xml:space="preserve">Metric</w:t>
            </w:r>
          </w:p>
        </w:tc>
        <w:tc>
          <w:tcPr>
            <w:vAlign w:val="center"/>
            <w:tcBorders>
              <w:top w:val="single" w:sz="4" w:space="0" w:color="auto"/>
              <w:left w:val="single" w:sz="4" w:space="0" w:color="auto"/>
              <w:bottom w:val="single" w:sz="4" w:space="0" w:color="auto"/>
              <w:right w:val="single" w:sz="4" w:space="0" w:color="auto"/>
            </w:tcBorders>
          </w:tcPr>
          <w:p w14:paraId="00101C30" w14:textId="00101C77">
            <w:pPr>
              <w:pStyle w:val="Normal"/>
              <w:jc w:val="left"/>
            </w:pPr>
            <w:r>
              <w:t xml:space="preserve">2022</w:t>
            </w:r>
          </w:p>
        </w:tc>
        <w:tc>
          <w:tcPr>
            <w:vAlign w:val="center"/>
            <w:tcBorders>
              <w:top w:val="single" w:sz="4" w:space="0" w:color="auto"/>
              <w:left w:val="single" w:sz="4" w:space="0" w:color="auto"/>
              <w:bottom w:val="single" w:sz="4" w:space="0" w:color="auto"/>
              <w:right w:val="single" w:sz="4" w:space="0" w:color="auto"/>
            </w:tcBorders>
          </w:tcPr>
          <w:p w14:paraId="00101C32" w14:textId="00101C78">
            <w:pPr>
              <w:pStyle w:val="Normal"/>
              <w:jc w:val="left"/>
            </w:pPr>
            <w:r>
              <w:t xml:space="preserve">2023</w:t>
            </w:r>
          </w:p>
        </w:tc>
        <w:tc>
          <w:tcPr>
            <w:vAlign w:val="center"/>
            <w:tcBorders>
              <w:top w:val="single" w:sz="4" w:space="0" w:color="auto"/>
              <w:left w:val="single" w:sz="4" w:space="0" w:color="auto"/>
              <w:bottom w:val="single" w:sz="4" w:space="0" w:color="auto"/>
              <w:right w:val="single" w:sz="4" w:space="0" w:color="auto"/>
            </w:tcBorders>
          </w:tcPr>
          <w:p w14:paraId="00101C34" w14:textId="00101C79">
            <w:pPr>
              <w:pStyle w:val="Normal"/>
              <w:jc w:val="left"/>
            </w:pPr>
            <w:r>
              <w:t xml:space="preserve">2024</w:t>
            </w:r>
          </w:p>
        </w:tc>
      </w:tr>
      <w:tr>
        <w:tc>
          <w:tcPr>
            <w:vAlign w:val="center"/>
            <w:tcBorders>
              <w:top w:val="single" w:sz="4" w:space="0" w:color="auto"/>
              <w:left w:val="single" w:sz="4" w:space="0" w:color="auto"/>
              <w:bottom w:val="single" w:sz="4" w:space="0" w:color="auto"/>
              <w:right w:val="single" w:sz="4" w:space="0" w:color="auto"/>
            </w:tcBorders>
          </w:tcPr>
          <w:p w14:paraId="00101C36" w14:textId="00101C7A">
            <w:pPr>
              <w:pStyle w:val="Normal"/>
              <w:jc w:val="left"/>
            </w:pPr>
            <w:r>
              <w:t xml:space="preserve">Industrial Solutions revenue (RMB million)</w:t>
            </w:r>
          </w:p>
        </w:tc>
        <w:tc>
          <w:tcPr>
            <w:vAlign w:val="center"/>
            <w:tcBorders>
              <w:top w:val="single" w:sz="4" w:space="0" w:color="auto"/>
              <w:left w:val="single" w:sz="4" w:space="0" w:color="auto"/>
              <w:bottom w:val="single" w:sz="4" w:space="0" w:color="auto"/>
              <w:right w:val="single" w:sz="4" w:space="0" w:color="auto"/>
            </w:tcBorders>
          </w:tcPr>
          <w:p w14:paraId="00101C38" w14:textId="00101C7B">
            <w:pPr>
              <w:pStyle w:val="Normal"/>
              <w:jc w:val="left"/>
            </w:pPr>
            <w:r>
              <w:t xml:space="preserve">8,420</w:t>
            </w:r>
          </w:p>
        </w:tc>
        <w:tc>
          <w:tcPr>
            <w:vAlign w:val="center"/>
            <w:tcBorders>
              <w:top w:val="single" w:sz="4" w:space="0" w:color="auto"/>
              <w:left w:val="single" w:sz="4" w:space="0" w:color="auto"/>
              <w:bottom w:val="single" w:sz="4" w:space="0" w:color="auto"/>
              <w:right w:val="single" w:sz="4" w:space="0" w:color="auto"/>
            </w:tcBorders>
          </w:tcPr>
          <w:p w14:paraId="00101C3A" w14:textId="00101C7C">
            <w:pPr>
              <w:pStyle w:val="Normal"/>
              <w:jc w:val="left"/>
            </w:pPr>
            <w:r>
              <w:t xml:space="preserve">9,105</w:t>
            </w:r>
          </w:p>
        </w:tc>
        <w:tc>
          <w:tcPr>
            <w:vAlign w:val="center"/>
            <w:tcBorders>
              <w:top w:val="single" w:sz="4" w:space="0" w:color="auto"/>
              <w:left w:val="single" w:sz="4" w:space="0" w:color="auto"/>
              <w:bottom w:val="single" w:sz="4" w:space="0" w:color="auto"/>
              <w:right w:val="single" w:sz="4" w:space="0" w:color="auto"/>
            </w:tcBorders>
          </w:tcPr>
          <w:p w14:paraId="00101C3C" w14:textId="00101C7D">
            <w:pPr>
              <w:pStyle w:val="Normal"/>
              <w:jc w:val="left"/>
            </w:pPr>
            <w:r>
              <w:t xml:space="preserve">9,860</w:t>
            </w:r>
          </w:p>
        </w:tc>
      </w:tr>
      <w:tr>
        <w:tc>
          <w:tcPr>
            <w:vAlign w:val="center"/>
            <w:tcBorders>
              <w:top w:val="single" w:sz="4" w:space="0" w:color="auto"/>
              <w:left w:val="single" w:sz="4" w:space="0" w:color="auto"/>
              <w:bottom w:val="single" w:sz="4" w:space="0" w:color="auto"/>
              <w:right w:val="single" w:sz="4" w:space="0" w:color="auto"/>
            </w:tcBorders>
          </w:tcPr>
          <w:p w14:paraId="00101C3E" w14:textId="00101C7E">
            <w:pPr>
              <w:pStyle w:val="Normal"/>
              <w:jc w:val="left"/>
            </w:pPr>
            <w:r>
              <w:t xml:space="preserve">Consumer Platforms revenue (RMB million)</w:t>
            </w:r>
          </w:p>
        </w:tc>
        <w:tc>
          <w:tcPr>
            <w:vAlign w:val="center"/>
            <w:tcBorders>
              <w:top w:val="single" w:sz="4" w:space="0" w:color="auto"/>
              <w:left w:val="single" w:sz="4" w:space="0" w:color="auto"/>
              <w:bottom w:val="single" w:sz="4" w:space="0" w:color="auto"/>
              <w:right w:val="single" w:sz="4" w:space="0" w:color="auto"/>
            </w:tcBorders>
          </w:tcPr>
          <w:p w14:paraId="00101C40" w14:textId="00101C7F">
            <w:pPr>
              <w:pStyle w:val="Normal"/>
              <w:jc w:val="left"/>
            </w:pPr>
            <w:r>
              <w:t xml:space="preserve">6,780</w:t>
            </w:r>
          </w:p>
        </w:tc>
        <w:tc>
          <w:tcPr>
            <w:vAlign w:val="center"/>
            <w:tcBorders>
              <w:top w:val="single" w:sz="4" w:space="0" w:color="auto"/>
              <w:left w:val="single" w:sz="4" w:space="0" w:color="auto"/>
              <w:bottom w:val="single" w:sz="4" w:space="0" w:color="auto"/>
              <w:right w:val="single" w:sz="4" w:space="0" w:color="auto"/>
            </w:tcBorders>
          </w:tcPr>
          <w:p w14:paraId="00101C42" w14:textId="00101C80">
            <w:pPr>
              <w:pStyle w:val="Normal"/>
              <w:jc w:val="left"/>
            </w:pPr>
            <w:r>
              <w:t xml:space="preserve">7,260</w:t>
            </w:r>
          </w:p>
        </w:tc>
        <w:tc>
          <w:tcPr>
            <w:vAlign w:val="center"/>
            <w:tcBorders>
              <w:top w:val="single" w:sz="4" w:space="0" w:color="auto"/>
              <w:left w:val="single" w:sz="4" w:space="0" w:color="auto"/>
              <w:bottom w:val="single" w:sz="4" w:space="0" w:color="auto"/>
              <w:right w:val="single" w:sz="4" w:space="0" w:color="auto"/>
            </w:tcBorders>
          </w:tcPr>
          <w:p w14:paraId="00101C44" w14:textId="00101C81">
            <w:pPr>
              <w:pStyle w:val="Normal"/>
              <w:jc w:val="left"/>
            </w:pPr>
            <w:r>
              <w:t xml:space="preserve">7,640</w:t>
            </w:r>
          </w:p>
        </w:tc>
      </w:tr>
      <w:tr>
        <w:tc>
          <w:tcPr>
            <w:vAlign w:val="center"/>
            <w:tcBorders>
              <w:top w:val="single" w:sz="4" w:space="0" w:color="auto"/>
              <w:left w:val="single" w:sz="4" w:space="0" w:color="auto"/>
              <w:bottom w:val="single" w:sz="4" w:space="0" w:color="auto"/>
              <w:right w:val="single" w:sz="4" w:space="0" w:color="auto"/>
            </w:tcBorders>
          </w:tcPr>
          <w:p w14:paraId="00101C46" w14:textId="00101C82">
            <w:pPr>
              <w:pStyle w:val="Normal"/>
              <w:jc w:val="left"/>
            </w:pPr>
            <w:r>
              <w:t xml:space="preserve">Infrastructure Services revenue (RMB million)</w:t>
            </w:r>
          </w:p>
        </w:tc>
        <w:tc>
          <w:tcPr>
            <w:vAlign w:val="center"/>
            <w:tcBorders>
              <w:top w:val="single" w:sz="4" w:space="0" w:color="auto"/>
              <w:left w:val="single" w:sz="4" w:space="0" w:color="auto"/>
              <w:bottom w:val="single" w:sz="4" w:space="0" w:color="auto"/>
              <w:right w:val="single" w:sz="4" w:space="0" w:color="auto"/>
            </w:tcBorders>
          </w:tcPr>
          <w:p w14:paraId="00101C48" w14:textId="00101C83">
            <w:pPr>
              <w:pStyle w:val="Normal"/>
              <w:jc w:val="left"/>
            </w:pPr>
            <w:r>
              <w:t xml:space="preserve">5,930</w:t>
            </w:r>
          </w:p>
        </w:tc>
        <w:tc>
          <w:tcPr>
            <w:vAlign w:val="center"/>
            <w:tcBorders>
              <w:top w:val="single" w:sz="4" w:space="0" w:color="auto"/>
              <w:left w:val="single" w:sz="4" w:space="0" w:color="auto"/>
              <w:bottom w:val="single" w:sz="4" w:space="0" w:color="auto"/>
              <w:right w:val="single" w:sz="4" w:space="0" w:color="auto"/>
            </w:tcBorders>
          </w:tcPr>
          <w:p w14:paraId="00101C4A" w14:textId="00101C84">
            <w:pPr>
              <w:pStyle w:val="Normal"/>
              <w:jc w:val="left"/>
            </w:pPr>
            <w:r>
              <w:t xml:space="preserve">6,410</w:t>
            </w:r>
          </w:p>
        </w:tc>
        <w:tc>
          <w:tcPr>
            <w:vAlign w:val="center"/>
            <w:tcBorders>
              <w:top w:val="single" w:sz="4" w:space="0" w:color="auto"/>
              <w:left w:val="single" w:sz="4" w:space="0" w:color="auto"/>
              <w:bottom w:val="single" w:sz="4" w:space="0" w:color="auto"/>
              <w:right w:val="single" w:sz="4" w:space="0" w:color="auto"/>
            </w:tcBorders>
          </w:tcPr>
          <w:p w14:paraId="00101C4C" w14:textId="00101C85">
            <w:pPr>
              <w:pStyle w:val="Normal"/>
              <w:jc w:val="left"/>
            </w:pPr>
            <w:r>
              <w:t xml:space="preserve">7,050</w:t>
            </w:r>
          </w:p>
        </w:tc>
      </w:tr>
      <w:tr>
        <w:tc>
          <w:tcPr>
            <w:vAlign w:val="center"/>
            <w:tcBorders>
              <w:top w:val="single" w:sz="4" w:space="0" w:color="auto"/>
              <w:left w:val="single" w:sz="4" w:space="0" w:color="auto"/>
              <w:bottom w:val="single" w:sz="4" w:space="0" w:color="auto"/>
              <w:right w:val="single" w:sz="4" w:space="0" w:color="auto"/>
            </w:tcBorders>
          </w:tcPr>
          <w:p w14:paraId="00101C4E" w14:textId="00101C86">
            <w:pPr>
              <w:pStyle w:val="Normal"/>
              <w:jc w:val="left"/>
            </w:pPr>
            <w:r>
              <w:t xml:space="preserve">Industrial Solutions operating margin</w:t>
            </w:r>
          </w:p>
        </w:tc>
        <w:tc>
          <w:tcPr>
            <w:vAlign w:val="center"/>
            <w:tcBorders>
              <w:top w:val="single" w:sz="4" w:space="0" w:color="auto"/>
              <w:left w:val="single" w:sz="4" w:space="0" w:color="auto"/>
              <w:bottom w:val="single" w:sz="4" w:space="0" w:color="auto"/>
              <w:right w:val="single" w:sz="4" w:space="0" w:color="auto"/>
            </w:tcBorders>
          </w:tcPr>
          <w:p w14:paraId="00101C50" w14:textId="00101C87">
            <w:pPr>
              <w:pStyle w:val="Normal"/>
              <w:jc w:val="left"/>
            </w:pPr>
            <w:r>
              <w:t xml:space="preserve">11.2%</w:t>
            </w:r>
          </w:p>
        </w:tc>
        <w:tc>
          <w:tcPr>
            <w:vAlign w:val="center"/>
            <w:tcBorders>
              <w:top w:val="single" w:sz="4" w:space="0" w:color="auto"/>
              <w:left w:val="single" w:sz="4" w:space="0" w:color="auto"/>
              <w:bottom w:val="single" w:sz="4" w:space="0" w:color="auto"/>
              <w:right w:val="single" w:sz="4" w:space="0" w:color="auto"/>
            </w:tcBorders>
          </w:tcPr>
          <w:p w14:paraId="00101C52" w14:textId="00101C88">
            <w:pPr>
              <w:pStyle w:val="Normal"/>
              <w:jc w:val="left"/>
            </w:pPr>
            <w:r>
              <w:t xml:space="preserve">11.8%</w:t>
            </w:r>
          </w:p>
        </w:tc>
        <w:tc>
          <w:tcPr>
            <w:vAlign w:val="center"/>
            <w:tcBorders>
              <w:top w:val="single" w:sz="4" w:space="0" w:color="auto"/>
              <w:left w:val="single" w:sz="4" w:space="0" w:color="auto"/>
              <w:bottom w:val="single" w:sz="4" w:space="0" w:color="auto"/>
              <w:right w:val="single" w:sz="4" w:space="0" w:color="auto"/>
            </w:tcBorders>
          </w:tcPr>
          <w:p w14:paraId="00101C54" w14:textId="00101C89">
            <w:pPr>
              <w:pStyle w:val="Normal"/>
              <w:jc w:val="left"/>
            </w:pPr>
            <w:r>
              <w:t xml:space="preserve">12.4%</w:t>
            </w:r>
          </w:p>
        </w:tc>
      </w:tr>
      <w:tr>
        <w:tc>
          <w:tcPr>
            <w:vAlign w:val="center"/>
            <w:tcBorders>
              <w:top w:val="single" w:sz="4" w:space="0" w:color="auto"/>
              <w:left w:val="single" w:sz="4" w:space="0" w:color="auto"/>
              <w:bottom w:val="single" w:sz="4" w:space="0" w:color="auto"/>
              <w:right w:val="single" w:sz="4" w:space="0" w:color="auto"/>
            </w:tcBorders>
          </w:tcPr>
          <w:p w14:paraId="00101C56" w14:textId="00101C8A">
            <w:pPr>
              <w:pStyle w:val="Normal"/>
              <w:jc w:val="left"/>
            </w:pPr>
            <w:r>
              <w:t xml:space="preserve">Consumer Platforms operating margin</w:t>
            </w:r>
          </w:p>
        </w:tc>
        <w:tc>
          <w:tcPr>
            <w:vAlign w:val="center"/>
            <w:tcBorders>
              <w:top w:val="single" w:sz="4" w:space="0" w:color="auto"/>
              <w:left w:val="single" w:sz="4" w:space="0" w:color="auto"/>
              <w:bottom w:val="single" w:sz="4" w:space="0" w:color="auto"/>
              <w:right w:val="single" w:sz="4" w:space="0" w:color="auto"/>
            </w:tcBorders>
          </w:tcPr>
          <w:p w14:paraId="00101C58" w14:textId="00101C8B">
            <w:pPr>
              <w:pStyle w:val="Normal"/>
              <w:jc w:val="left"/>
            </w:pPr>
            <w:r>
              <w:t xml:space="preserve">9.1%</w:t>
            </w:r>
          </w:p>
        </w:tc>
        <w:tc>
          <w:tcPr>
            <w:vAlign w:val="center"/>
            <w:tcBorders>
              <w:top w:val="single" w:sz="4" w:space="0" w:color="auto"/>
              <w:left w:val="single" w:sz="4" w:space="0" w:color="auto"/>
              <w:bottom w:val="single" w:sz="4" w:space="0" w:color="auto"/>
              <w:right w:val="single" w:sz="4" w:space="0" w:color="auto"/>
            </w:tcBorders>
          </w:tcPr>
          <w:p w14:paraId="00101C5A" w14:textId="00101C8C">
            <w:pPr>
              <w:pStyle w:val="Normal"/>
              <w:jc w:val="left"/>
            </w:pPr>
            <w:r>
              <w:t xml:space="preserve">9.6%</w:t>
            </w:r>
          </w:p>
        </w:tc>
        <w:tc>
          <w:tcPr>
            <w:vAlign w:val="center"/>
            <w:tcBorders>
              <w:top w:val="single" w:sz="4" w:space="0" w:color="auto"/>
              <w:left w:val="single" w:sz="4" w:space="0" w:color="auto"/>
              <w:bottom w:val="single" w:sz="4" w:space="0" w:color="auto"/>
              <w:right w:val="single" w:sz="4" w:space="0" w:color="auto"/>
            </w:tcBorders>
          </w:tcPr>
          <w:p w14:paraId="00101C5C" w14:textId="00101C8D">
            <w:pPr>
              <w:pStyle w:val="Normal"/>
              <w:jc w:val="left"/>
            </w:pPr>
            <w:r>
              <w:t xml:space="preserve">10.0%</w:t>
            </w:r>
          </w:p>
        </w:tc>
      </w:tr>
      <w:tr>
        <w:tc>
          <w:tcPr>
            <w:vAlign w:val="center"/>
            <w:tcBorders>
              <w:top w:val="single" w:sz="4" w:space="0" w:color="auto"/>
              <w:left w:val="single" w:sz="4" w:space="0" w:color="auto"/>
              <w:bottom w:val="single" w:sz="4" w:space="0" w:color="auto"/>
              <w:right w:val="single" w:sz="4" w:space="0" w:color="auto"/>
            </w:tcBorders>
          </w:tcPr>
          <w:p w14:paraId="00101C5E" w14:textId="00101C8E">
            <w:pPr>
              <w:pStyle w:val="Normal"/>
              <w:jc w:val="left"/>
            </w:pPr>
            <w:r>
              <w:t xml:space="preserve">Infrastructure Services operating margin</w:t>
            </w:r>
          </w:p>
        </w:tc>
        <w:tc>
          <w:tcPr>
            <w:vAlign w:val="center"/>
            <w:tcBorders>
              <w:top w:val="single" w:sz="4" w:space="0" w:color="auto"/>
              <w:left w:val="single" w:sz="4" w:space="0" w:color="auto"/>
              <w:bottom w:val="single" w:sz="4" w:space="0" w:color="auto"/>
              <w:right w:val="single" w:sz="4" w:space="0" w:color="auto"/>
            </w:tcBorders>
          </w:tcPr>
          <w:p w14:paraId="00101C60" w14:textId="00101C8F">
            <w:pPr>
              <w:pStyle w:val="Normal"/>
              <w:jc w:val="left"/>
            </w:pPr>
            <w:r>
              <w:t xml:space="preserve">7.4%</w:t>
            </w:r>
          </w:p>
        </w:tc>
        <w:tc>
          <w:tcPr>
            <w:vAlign w:val="center"/>
            <w:tcBorders>
              <w:top w:val="single" w:sz="4" w:space="0" w:color="auto"/>
              <w:left w:val="single" w:sz="4" w:space="0" w:color="auto"/>
              <w:bottom w:val="single" w:sz="4" w:space="0" w:color="auto"/>
              <w:right w:val="single" w:sz="4" w:space="0" w:color="auto"/>
            </w:tcBorders>
          </w:tcPr>
          <w:p w14:paraId="00101C62" w14:textId="00101C90">
            <w:pPr>
              <w:pStyle w:val="Normal"/>
              <w:jc w:val="left"/>
            </w:pPr>
            <w:r>
              <w:t xml:space="preserve">8.1%</w:t>
            </w:r>
          </w:p>
        </w:tc>
        <w:tc>
          <w:tcPr>
            <w:vAlign w:val="center"/>
            <w:tcBorders>
              <w:top w:val="single" w:sz="4" w:space="0" w:color="auto"/>
              <w:left w:val="single" w:sz="4" w:space="0" w:color="auto"/>
              <w:bottom w:val="single" w:sz="4" w:space="0" w:color="auto"/>
              <w:right w:val="single" w:sz="4" w:space="0" w:color="auto"/>
            </w:tcBorders>
          </w:tcPr>
          <w:p w14:paraId="00101C64" w14:textId="00101C91">
            <w:pPr>
              <w:pStyle w:val="Normal"/>
              <w:jc w:val="left"/>
            </w:pPr>
            <w:r>
              <w:t xml:space="preserve">8.8%</w:t>
            </w:r>
          </w:p>
        </w:tc>
      </w:tr>
      <w:tr>
        <w:tc>
          <w:tcPr>
            <w:vAlign w:val="center"/>
            <w:tcBorders>
              <w:top w:val="single" w:sz="4" w:space="0" w:color="auto"/>
              <w:left w:val="single" w:sz="4" w:space="0" w:color="auto"/>
              <w:bottom w:val="single" w:sz="4" w:space="0" w:color="auto"/>
              <w:right w:val="single" w:sz="4" w:space="0" w:color="auto"/>
            </w:tcBorders>
          </w:tcPr>
          <w:p w14:paraId="00101C66" w14:textId="00101C92">
            <w:pPr>
              <w:pStyle w:val="Normal"/>
              <w:jc w:val="left"/>
            </w:pPr>
            <w:r>
              <w:t xml:space="preserve">Segment capital expenditure (RMB million)</w:t>
            </w:r>
          </w:p>
        </w:tc>
        <w:tc>
          <w:tcPr>
            <w:vAlign w:val="center"/>
            <w:tcBorders>
              <w:top w:val="single" w:sz="4" w:space="0" w:color="auto"/>
              <w:left w:val="single" w:sz="4" w:space="0" w:color="auto"/>
              <w:bottom w:val="single" w:sz="4" w:space="0" w:color="auto"/>
              <w:right w:val="single" w:sz="4" w:space="0" w:color="auto"/>
            </w:tcBorders>
          </w:tcPr>
          <w:p w14:paraId="00101C68" w14:textId="00101C93">
            <w:pPr>
              <w:pStyle w:val="Normal"/>
              <w:jc w:val="left"/>
            </w:pPr>
            <w:r>
              <w:t xml:space="preserve">1,240</w:t>
            </w:r>
          </w:p>
        </w:tc>
        <w:tc>
          <w:tcPr>
            <w:vAlign w:val="center"/>
            <w:tcBorders>
              <w:top w:val="single" w:sz="4" w:space="0" w:color="auto"/>
              <w:left w:val="single" w:sz="4" w:space="0" w:color="auto"/>
              <w:bottom w:val="single" w:sz="4" w:space="0" w:color="auto"/>
              <w:right w:val="single" w:sz="4" w:space="0" w:color="auto"/>
            </w:tcBorders>
          </w:tcPr>
          <w:p w14:paraId="00101C6A" w14:textId="00101C94">
            <w:pPr>
              <w:pStyle w:val="Normal"/>
              <w:jc w:val="left"/>
            </w:pPr>
            <w:r>
              <w:t xml:space="preserve">1,365</w:t>
            </w:r>
          </w:p>
        </w:tc>
        <w:tc>
          <w:tcPr>
            <w:vAlign w:val="center"/>
            <w:tcBorders>
              <w:top w:val="single" w:sz="4" w:space="0" w:color="auto"/>
              <w:left w:val="single" w:sz="4" w:space="0" w:color="auto"/>
              <w:bottom w:val="single" w:sz="4" w:space="0" w:color="auto"/>
              <w:right w:val="single" w:sz="4" w:space="0" w:color="auto"/>
            </w:tcBorders>
          </w:tcPr>
          <w:p w14:paraId="00101C6C" w14:textId="00101C95">
            <w:pPr>
              <w:pStyle w:val="Normal"/>
              <w:jc w:val="left"/>
            </w:pPr>
            <w:r>
              <w:t xml:space="preserve">1,520</w:t>
            </w:r>
          </w:p>
        </w:tc>
      </w:tr>
      <w:tr>
        <w:tc>
          <w:tcPr>
            <w:vAlign w:val="center"/>
            <w:tcBorders>
              <w:top w:val="single" w:sz="4" w:space="0" w:color="auto"/>
              <w:left w:val="single" w:sz="4" w:space="0" w:color="auto"/>
              <w:bottom w:val="single" w:sz="4" w:space="0" w:color="auto"/>
              <w:right w:val="single" w:sz="4" w:space="0" w:color="auto"/>
            </w:tcBorders>
          </w:tcPr>
          <w:p w14:paraId="00101C6E" w14:textId="00101C96">
            <w:pPr>
              <w:pStyle w:val="Normal"/>
              <w:jc w:val="left"/>
            </w:pPr>
            <w:r>
              <w:t xml:space="preserve">Order backlog / recurring revenue coverage</w:t>
            </w:r>
          </w:p>
        </w:tc>
        <w:tc>
          <w:tcPr>
            <w:vAlign w:val="center"/>
            <w:tcBorders>
              <w:top w:val="single" w:sz="4" w:space="0" w:color="auto"/>
              <w:left w:val="single" w:sz="4" w:space="0" w:color="auto"/>
              <w:bottom w:val="single" w:sz="4" w:space="0" w:color="auto"/>
              <w:right w:val="single" w:sz="4" w:space="0" w:color="auto"/>
            </w:tcBorders>
          </w:tcPr>
          <w:p w14:paraId="00101C70" w14:textId="00101C97">
            <w:pPr>
              <w:pStyle w:val="Normal"/>
              <w:jc w:val="left"/>
            </w:pPr>
            <w:r>
              <w:t xml:space="preserve">1.4x</w:t>
            </w:r>
          </w:p>
        </w:tc>
        <w:tc>
          <w:tcPr>
            <w:vAlign w:val="center"/>
            <w:tcBorders>
              <w:top w:val="single" w:sz="4" w:space="0" w:color="auto"/>
              <w:left w:val="single" w:sz="4" w:space="0" w:color="auto"/>
              <w:bottom w:val="single" w:sz="4" w:space="0" w:color="auto"/>
              <w:right w:val="single" w:sz="4" w:space="0" w:color="auto"/>
            </w:tcBorders>
          </w:tcPr>
          <w:p w14:paraId="00101C72" w14:textId="00101C98">
            <w:pPr>
              <w:pStyle w:val="Normal"/>
              <w:jc w:val="left"/>
            </w:pPr>
            <w:r>
              <w:t xml:space="preserve">1.5x</w:t>
            </w:r>
          </w:p>
        </w:tc>
        <w:tc>
          <w:tcPr>
            <w:vAlign w:val="center"/>
            <w:tcBorders>
              <w:top w:val="single" w:sz="4" w:space="0" w:color="auto"/>
              <w:left w:val="single" w:sz="4" w:space="0" w:color="auto"/>
              <w:bottom w:val="single" w:sz="4" w:space="0" w:color="auto"/>
              <w:right w:val="single" w:sz="4" w:space="0" w:color="auto"/>
            </w:tcBorders>
          </w:tcPr>
          <w:p w14:paraId="00101C74" w14:textId="00101C99">
            <w:pPr>
              <w:pStyle w:val="Normal"/>
              <w:jc w:val="left"/>
            </w:pPr>
            <w:r>
              <w:t xml:space="preserve">1.6x</w:t>
            </w:r>
          </w:p>
        </w:tc>
      </w:tr>
    </w:tbl>
    <w:p w14:paraId="00101C9A" w14:textId="00101C9B">
      <w:pPr>
        <w:pStyle w:val="Normal"/>
        <w:jc w:val="left"/>
      </w:pPr>
      <w:r>
        <w:t xml:space="preserve">Table 46 Segment metrics by period</w:t>
      </w:r>
    </w:p>
    <w:p w14:paraId="00101C9C" w14:textId="00101C9D">
      <w:pPr>
        <w:pStyle w:val="Normal"/>
        <w:jc w:val="left"/>
      </w:pPr>
      <w:r>
        <w:t xml:space="preserve">Chapter 14 Appendix Figures</w:t>
      </w:r>
    </w:p>
    <w:p w14:paraId="00101C9E" w14:textId="00101C9F">
      <w:pPr>
        <w:pStyle w:val="Normal"/>
        <w:jc w:val="left"/>
      </w:pPr>
      <w:r>
        <w:t xml:space="preserve">This appendix consolidates the supplementary figures that support the narrative, performance analysis, and disclosure framework presented throughout the annual report. The exhibits gathered here are intended to improve navigability for readers who wish to review visual evidence separately from the main chapters, while preserving consistency with the measures, definitions, and reporting boundaries used elsewhere in the document. Accordingly, each figure in this appendix should be read together with the corresponding section discussion, note disclosure, or methodological statement in the body of the report.</w:t>
      </w:r>
    </w:p>
    <w:p w14:paraId="00101CA0" w14:textId="00101CA1">
      <w:pPr>
        <w:pStyle w:val="Normal"/>
        <w:jc w:val="left"/>
      </w:pPr>
      <w:r>
        <w:t xml:space="preserve">The appendix includes indicator charts that summarize multi-period financial, operating, sustainability, and market developments, together with structural diagrams and footprint maps that explain how Rivermark Holdings is organized and where it operates. These visual summaries do not introduce alternative accounting treatments or revised nonfinancial boundaries. Instead, they present the same underlying information in a format designed to highlight movement over time, regional concentration, segment contribution, and organizational relationships. Where comparative periods have been restated for presentation alignment or classification consistency, the related chart basis follows the restated amounts and is aligned to the definitions used in the relevant primary chapter.</w:t>
      </w:r>
    </w:p>
    <w:p w14:paraId="00101CA2" w14:textId="00101CA3">
      <w:pPr>
        <w:pStyle w:val="Normal"/>
        <w:jc w:val="left"/>
      </w:pPr>
      <w:r>
        <w:t xml:space="preserve">As a result, the appendix serves as a practical reference tool. It allows shareholders, lenders, analysts, employees, and other stakeholders to trace key trends efficiently, compare data points across periods, and understand the structural context behind reported outcomes without duplicating the full narrative discussion contained in the main report.</w:t>
      </w:r>
    </w:p>
    <w:p w14:paraId="00101CA4" w14:textId="00101CA5">
      <w:pPr>
        <w:pStyle w:val="Normal"/>
        <w:jc w:val="left"/>
      </w:pPr>
      <w:r>
        <w:t xml:space="preserve">14. Indicator Charts</w:t>
      </w:r>
    </w:p>
    <w:p w14:paraId="00101CA6" w14:textId="00101CA7">
      <w:pPr>
        <w:pStyle w:val="Normal"/>
        <w:jc w:val="left"/>
      </w:pPr>
      <w:r>
        <w:t xml:space="preserve">The indicator charts in this appendix bring together selected trend views from across group performance, segment execution, capital allocation, sustainability progress, and shareholder outcomes. Their purpose is not merely illustrative. By placing multi-year movements on a comparable visual basis, the charts help readers distinguish between short-term volatility and sustained directional change. In the case of Rivermark Holdings, this is particularly relevant where revenue growth, margin progression, cash conversion, safety performance, emissions intensity, and market indicators interact across reporting periods and business segments.</w:t>
      </w:r>
    </w:p>
    <w:p w14:paraId="00101CA8" w14:textId="00101CA9">
      <w:pPr>
        <w:pStyle w:val="Normal"/>
        <w:jc w:val="left"/>
      </w:pPr>
      <w:r>
        <w:t xml:space="preserve">Chart preparation follows the same control environment applied to the underlying disclosed data. Financial series are derived from audited or board-reviewed information used in the consolidated statements, segment review, and additional financial information sections. Nonfinancial series are sourced from the group sustainability reporting process, using the operational boundaries, estimation methods, and control checks described in the Basis and Assurance chapter. Comparative data are presented on a consistent basis unless a chart note indicates reclassification, rebasing, or scope refinement.</w:t>
      </w:r>
    </w:p>
    <w:p w14:paraId="00101CAA" w14:textId="00101CAB">
      <w:pPr>
        <w:pStyle w:val="Normal"/>
        <w:jc w:val="left"/>
      </w:pPr>
      <w:r>
        <w:t xml:space="preserve">Readers should therefore use these charts as interpretive aids rather than standalone disclosures. Each exhibit is designed to complement the relevant narrative by showing scale, direction, and relative movement. When considered alongside the detailed tables and explanatory text, the charts provide a concise visual bridge between raw performance measures and management’s analysis of what changed during the year and why it matters for future decision-making.</w:t>
      </w:r>
    </w:p>
    <w:p w14:paraId="00101CAC" w14:textId="00101CAD">
      <w:pPr>
        <w:pStyle w:val="Normal"/>
        <w:jc w:val="left"/>
      </w:pPr>
      <w:r>
        <w:drawing>
          <wp:inline distT="0" distB="0" distL="0" distR="0">
            <wp:extent cx="4320000" cy="4320000"/>
            <wp:effectExtent l="0" t="0" r="0" b="0"/>
            <wp:docPr id="26" name="F01_26.png" descr=""/>
            <wp:cNvGraphicFramePr>
              <a:graphicFrameLocks noChangeAspect="1"/>
            </wp:cNvGraphicFramePr>
            <a:graphic>
              <a:graphicData uri="http://schemas.openxmlformats.org/drawingml/2006/picture">
                <pic:pic>
                  <pic:nvPicPr>
                    <pic:cNvPr id="26" name="F01_26.png"/>
                    <pic:cNvPicPr/>
                  </pic:nvPicPr>
                  <pic:blipFill>
                    <a:blip r:embed="R1f196a9d2f2b4447" cstate="print"/>
                    <a:stretch>
                      <a:fillRect/>
                    </a:stretch>
                  </pic:blipFill>
                  <pic:spPr>
                    <a:xfrm>
                      <a:off x="0" y="0"/>
                      <a:ext cx="3960000" cy="3960000"/>
                    </a:xfrm>
                    <a:prstGeom prst="rect">
                      <a:avLst/>
                    </a:prstGeom>
                  </pic:spPr>
                </pic:pic>
              </a:graphicData>
            </a:graphic>
          </wp:inline>
        </w:drawing>
      </w:r>
    </w:p>
    <w:p w14:paraId="00101CAE" w14:textId="00101CAF">
      <w:pPr>
        <w:pStyle w:val="Normal"/>
        <w:jc w:val="left"/>
      </w:pPr>
      <w:r>
        <w:t xml:space="preserve">Figure 18 Supplementary indicator charts for financial, operating, sustainability, and market trends</w:t>
      </w:r>
    </w:p>
    <w:p w14:paraId="00101CB0" w14:textId="00101CB1">
      <w:pPr>
        <w:pStyle w:val="Normal"/>
        <w:jc w:val="left"/>
      </w:pPr>
      <w:r>
        <w:t xml:space="preserve">14. Structure and Footprint</w:t>
      </w:r>
    </w:p>
    <w:p w14:paraId="00101CB2" w14:textId="00101CB3">
      <w:pPr>
        <w:pStyle w:val="Normal"/>
        <w:jc w:val="left"/>
      </w:pPr>
      <w:r>
        <w:t xml:space="preserve">The structure and footprint figures provide the organizational and geographic context necessary for interpreting the group’s reported results. Financial and operating performance cannot be understood fully without reference to how Rivermark Holdings is governed, how its principal businesses are arranged, and where those businesses conduct production, service delivery, distribution, and customer-facing activity. The appendix therefore includes a group structure diagram and a footprint map that summarize these dimensions in a concise form.</w:t>
      </w:r>
    </w:p>
    <w:p w14:paraId="00101CB4" w14:textId="00101CB5">
      <w:pPr>
        <w:pStyle w:val="Normal"/>
        <w:jc w:val="left"/>
      </w:pPr>
      <w:r>
        <w:t xml:space="preserve">The structure diagram is designed to show the relationship between the holding company, the three principal operating segments, central functions, and selected controlled entities that are material to management oversight and reporting. It is not intended to replace the legal-entity disclosures contained in the financial note schedules. Rather, it illustrates reporting lines, oversight linkages, and the operational architecture through which strategic direction, capital allocation, risk management, and performance accountability are exercised.</w:t>
      </w:r>
    </w:p>
    <w:p w14:paraId="00101CB6" w14:textId="00101CB7">
      <w:pPr>
        <w:pStyle w:val="Normal"/>
        <w:jc w:val="left"/>
      </w:pPr>
      <w:r>
        <w:t xml:space="preserve">The footprint map complements that view by locating major operating regions, service hubs, manufacturing or project-delivery concentrations, and selected market-presence clusters. It is presented on a management reporting basis and supports the regional revenue, noncurrent asset, customer, and workforce discussions elsewhere in the report. Together, these figures help readers connect segment outcomes with the group’s physical presence and management configuration, showing how geographic spread and organizational design shape resilience, growth opportunities, and execution complexity across the portfolio.</w:t>
      </w:r>
    </w:p>
    <w:p w14:paraId="00101CB8" w14:textId="00101CB9">
      <w:pPr>
        <w:pStyle w:val="Normal"/>
        <w:jc w:val="left"/>
      </w:pPr>
      <w:r>
        <w:drawing>
          <wp:inline distT="0" distB="0" distL="0" distR="0">
            <wp:extent cx="5400000" cy="3240000"/>
            <wp:effectExtent l="0" t="0" r="0" b="0"/>
            <wp:docPr id="27" name="F02_27.png" descr=""/>
            <wp:cNvGraphicFramePr>
              <a:graphicFrameLocks noChangeAspect="1"/>
            </wp:cNvGraphicFramePr>
            <a:graphic>
              <a:graphicData uri="http://schemas.openxmlformats.org/drawingml/2006/picture">
                <pic:pic>
                  <pic:nvPicPr>
                    <pic:cNvPr id="27" name="F02_27.png"/>
                    <pic:cNvPicPr/>
                  </pic:nvPicPr>
                  <pic:blipFill>
                    <a:blip r:embed="R69dff39a74a148b2" cstate="print"/>
                    <a:stretch>
                      <a:fillRect/>
                    </a:stretch>
                  </pic:blipFill>
                  <pic:spPr>
                    <a:xfrm>
                      <a:off x="0" y="0"/>
                      <a:ext cx="5040000" cy="2880000"/>
                    </a:xfrm>
                    <a:prstGeom prst="rect">
                      <a:avLst/>
                    </a:prstGeom>
                  </pic:spPr>
                </pic:pic>
              </a:graphicData>
            </a:graphic>
          </wp:inline>
        </w:drawing>
      </w:r>
    </w:p>
    <w:p w14:paraId="00101CBA" w14:textId="00101CBB">
      <w:pPr>
        <w:pStyle w:val="Normal"/>
        <w:jc w:val="left"/>
      </w:pPr>
      <w:r>
        <w:t xml:space="preserve">Figure 19 Rivermark Holdings group structure and reporting architecture</w:t>
      </w:r>
    </w:p>
    <w:p w14:paraId="00101CBC" w14:textId="00101CBD">
      <w:pPr>
        <w:pStyle w:val="Normal"/>
        <w:jc w:val="left"/>
      </w:pPr>
      <w:r>
        <w:drawing>
          <wp:inline distT="0" distB="0" distL="0" distR="0">
            <wp:extent cx="4680000" cy="3600000"/>
            <wp:effectExtent l="0" t="0" r="0" b="0"/>
            <wp:docPr id="28" name="F03_28.png" descr=""/>
            <wp:cNvGraphicFramePr>
              <a:graphicFrameLocks noChangeAspect="1"/>
            </wp:cNvGraphicFramePr>
            <a:graphic>
              <a:graphicData uri="http://schemas.openxmlformats.org/drawingml/2006/picture">
                <pic:pic>
                  <pic:nvPicPr>
                    <pic:cNvPr id="28" name="F03_28.png"/>
                    <pic:cNvPicPr/>
                  </pic:nvPicPr>
                  <pic:blipFill>
                    <a:blip r:embed="R9f2f587d3785491c" cstate="print"/>
                    <a:stretch>
                      <a:fillRect/>
                    </a:stretch>
                  </pic:blipFill>
                  <pic:spPr>
                    <a:xfrm>
                      <a:off x="0" y="0"/>
                      <a:ext cx="5040000" cy="3240000"/>
                    </a:xfrm>
                    <a:prstGeom prst="rect">
                      <a:avLst/>
                    </a:prstGeom>
                  </pic:spPr>
                </pic:pic>
              </a:graphicData>
            </a:graphic>
          </wp:inline>
        </w:drawing>
      </w:r>
    </w:p>
    <w:p w14:paraId="00101CBE" w14:textId="00101CBF">
      <w:pPr>
        <w:pStyle w:val="Normal"/>
        <w:jc w:val="left"/>
      </w:pPr>
      <w:r>
        <w:t xml:space="preserve">Figure 20 Rivermark Holdings operating footprint by region and principal activity</w:t>
      </w:r>
    </w:p>
    <w:p w14:paraId="00101D06" w14:textId="00101D07">
      <w:pPr>
        <w:pStyle w:val="Normal"/>
        <w:jc w:val="left"/>
        <w:sectPr>
          <w:type w:val="nextPage"/>
          <w:pgSz w:w="11906" w:h="16838"/>
          <w:pgMar w:top="1440" w:right="1440" w:bottom="1440" w:left="1440" w:header="1440" w:footer="1440" w:gutter="0"/>
          <w:cols w:space="720" w:num="1"/>
        </w:sectPr>
      </w:pPr>
    </w:p>
    <w:p w14:paraId="00101CC4" w14:textId="00101CC5">
      <w:pPr>
        <w:pStyle w:val="Normal"/>
        <w:jc w:val="left"/>
      </w:pPr>
      <w:r>
        <w:t xml:space="preserve">Glossary and Contacts</w:t>
      </w:r>
    </w:p>
    <w:p w14:paraId="00101CC6" w14:textId="00101CC7">
      <w:pPr>
        <w:pStyle w:val="Normal"/>
        <w:jc w:val="left"/>
      </w:pPr>
      <w:r>
        <w:t xml:space="preserve">This glossary and contact section is provided as a practical reference to support consistent reading of the Rivermark Holdings Integrated Group Annual Report. It brings together selected financial, operational, governance, sustainability, and reporting terms that recur across the report, particularly in the strategic review, segment discussion, risk disclosures, sustainability indicators, and detailed financial notes. The section also consolidates the principal registered, shareholder, and investor-relations contact points so that readers can identify the appropriate channel for corporate information, regulatory correspondence, shareholding administration, and market enquiries.</w:t>
      </w:r>
    </w:p>
    <w:p w14:paraId="00101CC8" w14:textId="00101CC9">
      <w:pPr>
        <w:pStyle w:val="Normal"/>
        <w:jc w:val="left"/>
      </w:pPr>
      <w:r>
        <w:t xml:space="preserve">Unless otherwise stated, definitions in this section apply to the current reporting year and should be read together with the more detailed methodologies described in the Basis and Assurance chapter, the Additional Financial Information section, and the relevant financial note disclosures. Some terms are simplified here for ease of navigation and do not replace the full accounting policy, legal definition, or contractual wording used elsewhere in the report. Abbreviations are included where they improve readability and reflect common usage within group reporting. Where a measure is non-statutory or management-defined, readers should refer to the corresponding reconciliation or explanatory note before comparing it with similarly named measures used by other issuers or reporting frameworks.</w:t>
      </w:r>
    </w:p>
    <w:p w14:paraId="00101CCA" w14:textId="00101CCE">
      <w:pPr>
        <w:pStyle w:val="Normal"/>
        <w:jc w:val="left"/>
      </w:pPr>
      <w:r>
        <w:t xml:space="preserve">Revenue:</w:t>
      </w:r>
      <w:r>
        <w:t xml:space="preserve"> In this report, revenue refers to consideration recognized from the transfer of promised goods or services to customers in the ordinary course of business, measured in accordance with the group’s stated accounting policies.</w:t>
        <w:br/>
        <w:t xml:space="preserve">Underlying operating profit: A management performance measure used to assess core trading performance before separately disclosed items that, in the judgment of management, may distort year-on-year comparability.</w:t>
        <w:br/>
        <w:t xml:space="preserve">Free cash flow: Cash generated from operating activities after capital expenditure required to sustain and develop the business, used internally to assess cash generation capacity and funding flexibility.</w:t>
        <w:br/>
        <w:t xml:space="preserve">Reportable segment: An operating component of Rivermark Holdings for which discrete financial information is available and regularly reviewed by the chief operating decision maker.</w:t>
        <w:br/>
        <w:t xml:space="preserve">Material topic: A sustainability or governance matter considered sufficiently significant because of its impact on enterprise value, stakeholder decisions, operational resilience, or social and environmental outcomes.</w:t>
        <w:br/>
        <w:t xml:space="preserve">&lt;i&gt;</w:t>
      </w:r>
      <w:r>
        <w:t xml:space="preserve">EBITDA</w:t>
      </w:r>
      <w:r>
        <w:t xml:space="preserve">&lt;/i&gt;: Earnings before interest, tax, depreciation, and amortization; used as a supplemental indicator of operating performance and cash-generating capability.</w:t>
        <w:br/>
        <w:t xml:space="preserve">&lt;i&gt;Scope 1 emissions&lt;/i&gt;: Direct greenhouse-gas emissions from sources owned or controlled by the group, including fuel combustion and certain process-related emissions.</w:t>
        <w:br/>
        <w:t xml:space="preserve">&lt;i&gt;LTIFR&lt;/i&gt;: Lost Time Injury Frequency Rate, representing the number of lost time injuries per million hours worked and used as a key safety performance indicator.</w:t>
        <w:br/>
        <w:t xml:space="preserve">&lt;i&gt;NCI&lt;/i&gt;: Non-controlling interests, being the portion of equity in a subsidiary not attributable, directly or indirectly, to Rivermark Holdings.</w:t>
        <w:br/>
        <w:t xml:space="preserve">&lt;i&gt;ROIC&lt;/i&gt;: Return on invested capital, a measure used to evaluate how effectively the group converts invested funds into post-tax operating returns.</w:t>
      </w:r>
    </w:p>
    <w:p w14:paraId="00101CCF" w14:textId="00101CD3">
      <w:pPr>
        <w:pStyle w:val="Normal"/>
        <w:jc w:val="left"/>
      </w:pPr>
      <w:r>
        <w:t xml:space="preserve">Registered office:</w:t>
      </w:r>
      <w:r>
        <w:t xml:space="preserve"> Rivermark Holdings, Rivermark House, 18 Harbor Exchange, North Quay District, Riverton.</w:t>
        <w:br/>
        <w:t xml:space="preserve">Company secretary: Office of the Company Secretary, Rivermark House, 18 Harbor Exchange, North Quay District, Riverton.</w:t>
        <w:br/>
      </w:r>
      <w:r>
        <w:t xml:space="preserve">Investor relations:</w:t>
      </w:r>
      <w:r>
        <w:t xml:space="preserve"> investor.relations@rivermarkholdings.com | www.rivermarkholdings.com/investors</w:t>
        <w:br/>
        <w:t xml:space="preserve">Shareholder services: Rivermark Share Registry Services, Registry Centre, 44 Meridian Avenue, Lakeport.</w:t>
        <w:br/>
        <w:t xml:space="preserve">Media enquiries: corporate.affairs@rivermarkholdings.com</w:t>
        <w:br/>
        <w:t xml:space="preserve">General correspondence: info@rivermarkholdings.com</w:t>
        <w:br/>
        <w:t xml:space="preserve">Telephone: +00 400 555 2100</w:t>
        <w:br/>
        <w:t xml:space="preserve">Website: www.rivermarkholdings.com</w:t>
        <w:br/>
        <w:t xml:space="preserve">Communications regarding annual meeting participation, dividend payments, address changes, and shareholding records should be directed to shareholder services. Enquiries relating to financial results, strategy presentations, debt investors, and market disclosures should be directed to investor relations. Formal legal notices and statutory correspondence should be sent to the registered office.</w:t>
      </w:r>
    </w:p>
    <w:p w14:paraId="00101D08" w14:textId="00101D09">
      <w:pPr>
        <w:pStyle w:val="Normal"/>
        <w:jc w:val="left"/>
        <w:sectPr>
          <w:type w:val="nextPage"/>
          <w:pgSz w:w="11906" w:h="16838"/>
          <w:pgMar w:top="1440" w:right="1440" w:bottom="1440" w:left="1440" w:header="1440" w:footer="1440" w:gutter="0"/>
          <w:cols w:space="720" w:num="1"/>
        </w:sectPr>
      </w:pPr>
    </w:p>
    <w:p w14:paraId="00101CD8" w14:textId="00101CD9">
      <w:pPr>
        <w:pStyle w:val="Normal"/>
        <w:jc w:val="left"/>
      </w:pPr>
      <w:r>
        <w:t xml:space="preserve">Legal Notice</w:t>
      </w:r>
    </w:p>
    <w:p w14:paraId="00101CDA" w14:textId="00101CDC">
      <w:pPr>
        <w:pStyle w:val="Normal"/>
        <w:jc w:val="left"/>
      </w:pPr>
      <w:r>
        <w:t xml:space="preserve">Forward-looking statement basis:</w:t>
      </w:r>
      <w:r>
        <w:t xml:space="preserve"> This annual report contains statements about Rivermark Holdings, its segments, markets, plans, expectations, and future performance that are based on current assumptions, estimates, and judgments. These statements reflect management's expectations as of the date of authorization and are subject to risks and uncertainties that could cause actual results to differ materially from those expressed or implied. Readers should treat such statements as forward-looking only and should not place undue reliance on them. The Group undertakes no obligation to update these statements except as required by applicable law.</w:t>
      </w:r>
    </w:p>
    <w:p w14:paraId="00101CDD" w14:textId="00101CE1">
      <w:pPr>
        <w:pStyle w:val="Normal"/>
        <w:jc w:val="left"/>
      </w:pPr>
      <w:r>
        <w:t xml:space="preserve">Legal disclaimers and limits:</w:t>
      </w:r>
      <w:r>
        <w:t xml:space="preserve"> This report is prepared for general informational purposes and does not constitute an offer, solicitation, or recommendation to buy, sell, or hold any security or other instrument. It should be read together with the audited consolidated financial statements and notes, which remain the primary source for financial reporting. Nonfinancial metrics, operating indicators, and sustainability measures are presented on the basis described elsewhere in this report and may involve estimates, boundary judgments, and revised methodologies. Certain figures are rounded, and totals may not always sum due to rounding. In the event of any inconsistency, the audited financial statements and applicable legal filings prevail. References to *</w:t>
      </w:r>
      <w:r>
        <w:t xml:space="preserve">annual report</w:t>
      </w:r>
      <w:r>
        <w:t xml:space="preserve">* and other defined terms are used for convenience and have the meanings given in the report glossary.</w:t>
      </w:r>
    </w:p>
    <w:sectPr>
      <w:type w:val="nextPage"/>
      <w:pgSz w:w="11906" w:h="16838"/>
      <w:pgMar w:top="1440" w:right="1440" w:bottom="1440" w:left="1440" w:header="1440" w:footer="1440" w:gutter="0"/>
      <w:cols w:space="720" w:num="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2.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3.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4.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5.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6.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7.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8.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9.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0.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1.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2.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3.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4.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5.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6.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7.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8.xml><?xml version="1.0" encoding="utf-8"?>
<w:ftr xmlns:mc="http://schemas.openxmlformats.org/markup-compatibility/2006" xmlns:w14="http://schemas.microsoft.com/office/word/2010/wordml" xmlns:w="http://schemas.openxmlformats.org/wordprocessingml/2006/main" mc:Ignorable="w14">
  <w:p>
    <w:pPr>
      <w:pStyle w:val="Normal"/>
    </w:pPr>
  </w:p>
</w:ftr>
</file>

<file path=word/footer19.xml><?xml version="1.0" encoding="utf-8"?>
<w:ftr xmlns:mc="http://schemas.openxmlformats.org/markup-compatibility/2006" xmlns:w14="http://schemas.microsoft.com/office/word/2010/wordml" xmlns:w="http://schemas.openxmlformats.org/wordprocessingml/2006/main" mc:Ignorable="w14">
  <w:p>
    <w:pPr>
      <w:pStyle w:val="Normal"/>
    </w:pPr>
  </w:p>
</w:ftr>
</file>

<file path=word/header1.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2.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3.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4.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5.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6.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7.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8.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9.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0.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1.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2.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3.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4.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5.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6.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7.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8.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19.xml><?xml version="1.0" encoding="utf-8"?>
<w:hdr xmlns:mc="http://schemas.openxmlformats.org/markup-compatibility/2006" xmlns:w14="http://schemas.microsoft.com/office/word/2010/wordml" xmlns:w="http://schemas.openxmlformats.org/wordprocessingml/2006/main" mc:Ignorable="w14">
  <w:p>
    <w:pPr>
      <w:pStyle w:val="Normal"/>
    </w:pPr>
  </w:p>
</w:hdr>
</file>

<file path=word/header20.xml><?xml version="1.0" encoding="utf-8"?>
<w:hdr xmlns:mc="http://schemas.openxmlformats.org/markup-compatibility/2006" xmlns:w14="http://schemas.microsoft.com/office/word/2010/wordml" xmlns:w="http://schemas.openxmlformats.org/wordprocessingml/2006/main" mc:Ignorable="w14">
  <w:p>
    <w:pPr>
      <w:pStyle w:val="Normal"/>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902">
    <w:abstractNumId w:val="0"/>
    <w:lvlOverride w:ilvl="0">
      <w:startOverride w:val="1"/>
    </w:lvlOverride>
  </w:num>
  <w:num w:numId="910">
    <w:abstractNumId w:val="1"/>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ParaNumberedList" w:customStyle="true">
    <w:name w:val="Numbered list"/>
    <w:basedOn w:val="Normal"/>
    <w:pPr>
      <w:spacing w:after="120" w:line="276" w:lineRule="auto"/>
    </w:pPr>
    <w:rPr>
      <w:sz w:val="24"/>
    </w:rPr>
  </w:style>
  <w:style w:type="paragraph" w:styleId="ParaLetterSalutation" w:customStyle="true">
    <w:name w:val="Letter salutation"/>
    <w:basedOn w:val="Normal"/>
    <w:pPr>
      <w:spacing w:after="240"/>
    </w:pPr>
    <w:rPr>
      <w:sz w:val="24"/>
    </w:rPr>
  </w:style>
  <w:style w:type="paragraph" w:styleId="ParaFigureCaption" w:customStyle="true">
    <w:name w:val="Figure caption"/>
    <w:basedOn w:val="Normal"/>
    <w:pPr>
      <w:spacing w:before="120" w:after="240"/>
      <w:jc w:val="center"/>
    </w:pPr>
    <w:rPr>
      <w:sz w:val="21"/>
    </w:rPr>
  </w:style>
  <w:style w:type="paragraph" w:styleId="ParaTocEntryL1" w:customStyle="true">
    <w:name w:val="Contents entry level 1"/>
    <w:basedOn w:val="Normal"/>
    <w:pPr>
      <w:spacing w:before="120" w:after="120"/>
      <w:jc w:val="left"/>
    </w:pPr>
    <w:rPr>
      <w:sz w:val="24"/>
    </w:rPr>
  </w:style>
  <w:style w:type="paragraph" w:styleId="ParaGlossaryEntry" w:customStyle="true">
    <w:name w:val="Glossary entry"/>
    <w:basedOn w:val="Normal"/>
    <w:pPr>
      <w:spacing w:after="120"/>
      <w:ind w:hanging="720"/>
      <w:jc w:val="left"/>
    </w:pPr>
    <w:rPr>
      <w:sz w:val="21"/>
    </w:rPr>
  </w:style>
  <w:style w:type="paragraph" w:styleId="ParaCoverTitle" w:customStyle="true">
    <w:name w:val="Cover title"/>
    <w:basedOn w:val="Normal"/>
    <w:pPr>
      <w:spacing w:after="480"/>
      <w:jc w:val="center"/>
    </w:pPr>
    <w:rPr>
      <w:rFonts w:ascii="Cambria" w:hAnsi="Cambria" w:eastAsia="Heiti/SimHei"/>
      <w:b/>
      <w:sz w:val="44"/>
    </w:rPr>
  </w:style>
  <w:style w:type="paragraph" w:styleId="ParaExecutiveSummary" w:customStyle="true">
    <w:name w:val="Executive summary"/>
    <w:basedOn w:val="Normal"/>
    <w:pPr>
      <w:spacing w:after="240" w:line="276" w:lineRule="auto"/>
      <w:jc w:val="both"/>
    </w:pPr>
    <w:rPr>
      <w:sz w:val="24"/>
    </w:rPr>
  </w:style>
  <w:style w:type="paragraph" w:styleId="ParaCoverSubtitle" w:customStyle="true">
    <w:name w:val="Cover subtitle"/>
    <w:basedOn w:val="Normal"/>
    <w:pPr>
      <w:jc w:val="center"/>
    </w:pPr>
    <w:rPr>
      <w:sz w:val="32"/>
    </w:rPr>
  </w:style>
  <w:style w:type="paragraph" w:styleId="ParaContactInfo" w:customStyle="true">
    <w:name w:val="Contact information"/>
    <w:basedOn w:val="Normal"/>
    <w:pPr>
      <w:spacing w:after="120"/>
      <w:jc w:val="left"/>
    </w:pPr>
    <w:rPr>
      <w:sz w:val="21"/>
    </w:rPr>
  </w:style>
  <w:style w:type="paragraph" w:styleId="ParaTocEntryL2" w:customStyle="true">
    <w:name w:val="Contents entry level 2"/>
    <w:basedOn w:val="Normal"/>
    <w:pPr>
      <w:spacing w:after="60"/>
      <w:jc w:val="left"/>
    </w:pPr>
    <w:rPr>
      <w:sz w:val="21"/>
    </w:rPr>
  </w:style>
  <w:style w:type="paragraph" w:styleId="ParaAnnexHeading" w:customStyle="true">
    <w:name w:val="Annex heading"/>
    <w:basedOn w:val="Normal"/>
    <w:pPr>
      <w:spacing w:before="480" w:after="240"/>
      <w:outlineLvl xmlns:w="http://schemas.openxmlformats.org/wordprocessingml/2006/main" w:val="8"/>
    </w:pPr>
    <w:rPr>
      <w:b/>
      <w:sz w:val="28"/>
    </w:rPr>
  </w:style>
  <w:style w:type="paragraph" w:styleId="ParaHeading3" w:customStyle="true">
    <w:name w:val="Heading 3"/>
    <w:basedOn w:val="Normal"/>
    <w:pPr>
      <w:spacing w:before="240" w:after="120"/>
      <w:jc w:val="left"/>
      <w:outlineLvl xmlns:w="http://schemas.openxmlformats.org/wordprocessingml/2006/main" w:val="2"/>
    </w:pPr>
    <w:rPr>
      <w:rFonts w:ascii="Calibri" w:hAnsi="Calibri" w:eastAsia="Microsoft YaHei"/>
      <w:b/>
      <w:sz w:val="28"/>
    </w:rPr>
  </w:style>
  <w:style w:type="paragraph" w:styleId="ParaBodyText" w:customStyle="true">
    <w:name w:val="Body text"/>
    <w:basedOn w:val="Normal"/>
    <w:pPr>
      <w:spacing w:after="240" w:line="276" w:lineRule="auto"/>
      <w:ind w:firstLine="720"/>
      <w:jc w:val="both"/>
    </w:pPr>
    <w:rPr>
      <w:sz w:val="24"/>
    </w:rPr>
  </w:style>
  <w:style w:type="paragraph" w:styleId="ParaSegmentNarrative" w:customStyle="true">
    <w:name w:val="Segment narrative"/>
    <w:basedOn w:val="Normal"/>
    <w:pPr>
      <w:spacing w:after="120" w:line="276" w:lineRule="auto"/>
      <w:ind w:firstLine="720"/>
      <w:jc w:val="both"/>
    </w:pPr>
    <w:rPr>
      <w:sz w:val="21"/>
    </w:rPr>
  </w:style>
  <w:style w:type="paragraph" w:styleId="ParaHighlightLead" w:customStyle="true">
    <w:name w:val="Highlight lead"/>
    <w:basedOn w:val="Normal"/>
    <w:pPr>
      <w:spacing w:after="240"/>
      <w:jc w:val="center"/>
    </w:pPr>
    <w:rPr>
      <w:b/>
      <w:sz w:val="28"/>
    </w:rPr>
  </w:style>
  <w:style w:type="paragraph" w:styleId="ParaSourceNote" w:customStyle="true">
    <w:name w:val="Source note"/>
    <w:basedOn w:val="Normal"/>
    <w:pPr>
      <w:spacing w:before="60" w:after="120"/>
      <w:jc w:val="left"/>
    </w:pPr>
    <w:rPr>
      <w:sz w:val="21"/>
    </w:rPr>
  </w:style>
  <w:style w:type="paragraph" w:styleId="ParaHeading4" w:customStyle="true">
    <w:name w:val="Heading 4"/>
    <w:basedOn w:val="Normal"/>
    <w:pPr>
      <w:spacing w:before="240" w:after="60"/>
      <w:jc w:val="left"/>
      <w:outlineLvl xmlns:w="http://schemas.openxmlformats.org/wordprocessingml/2006/main" w:val="3"/>
    </w:pPr>
    <w:rPr>
      <w:rFonts w:ascii="Calibri" w:hAnsi="Calibri" w:eastAsia="Microsoft YaHei"/>
      <w:b/>
      <w:sz w:val="24"/>
    </w:rPr>
  </w:style>
  <w:style w:type="paragraph" w:styleId="ParaBulletList" w:customStyle="true">
    <w:name w:val="Bulleted list"/>
    <w:basedOn w:val="Normal"/>
    <w:pPr>
      <w:spacing w:after="120" w:line="276" w:lineRule="auto"/>
    </w:pPr>
    <w:rPr>
      <w:sz w:val="24"/>
    </w:rPr>
  </w:style>
  <w:style w:type="paragraph" w:styleId="ParaTblDataCell" w:customStyle="true">
    <w:name w:val="Data cell"/>
    <w:basedOn w:val="Normal"/>
    <w:pPr>
      <w:jc w:val="center"/>
    </w:pPr>
    <w:rPr>
      <w:sz w:val="21"/>
    </w:rPr>
  </w:style>
  <w:style w:type="paragraph" w:styleId="ParaLetterBody" w:customStyle="true">
    <w:name w:val="Letter body"/>
    <w:basedOn w:val="Normal"/>
    <w:pPr>
      <w:spacing w:after="240" w:line="360" w:lineRule="auto"/>
      <w:ind w:firstLine="0"/>
      <w:jc w:val="left"/>
    </w:pPr>
    <w:rPr>
      <w:sz w:val="24"/>
    </w:rPr>
  </w:style>
  <w:style w:type="paragraph" w:styleId="ParaTblStubCell" w:customStyle="true">
    <w:name w:val="Stub cell"/>
    <w:basedOn w:val="Normal"/>
    <w:pPr>
      <w:jc w:val="left"/>
    </w:pPr>
    <w:rPr>
      <w:sz w:val="21"/>
    </w:rPr>
  </w:style>
  <w:style w:type="paragraph" w:styleId="ParaTblHeaderCell" w:customStyle="true">
    <w:name w:val="Header cell"/>
    <w:basedOn w:val="Normal"/>
    <w:pPr>
      <w:jc w:val="center"/>
    </w:pPr>
    <w:rPr>
      <w:b/>
      <w:sz w:val="21"/>
    </w:rPr>
  </w:style>
  <w:style w:type="paragraph" w:styleId="ParaDisclosureNote" w:customStyle="true">
    <w:name w:val="Disclosure note"/>
    <w:basedOn w:val="Normal"/>
    <w:pPr>
      <w:spacing w:after="120" w:line="276" w:lineRule="auto"/>
      <w:ind w:hanging="360"/>
      <w:jc w:val="both"/>
    </w:pPr>
    <w:rPr>
      <w:sz w:val="21"/>
    </w:rPr>
  </w:style>
  <w:style w:type="paragraph" w:styleId="ParaLegalNotice" w:customStyle="true">
    <w:name w:val="Legal notice"/>
    <w:basedOn w:val="Normal"/>
    <w:pPr>
      <w:spacing w:after="120" w:line="276" w:lineRule="auto"/>
      <w:jc w:val="both"/>
    </w:pPr>
    <w:rPr>
      <w:sz w:val="21"/>
    </w:rPr>
  </w:style>
  <w:style w:type="paragraph" w:styleId="ParaHeading1" w:customStyle="true">
    <w:name w:val="Heading 1"/>
    <w:basedOn w:val="Normal"/>
    <w:pPr>
      <w:spacing w:before="480" w:after="240"/>
      <w:jc w:val="center"/>
      <w:outlineLvl xmlns:w="http://schemas.openxmlformats.org/wordprocessingml/2006/main" w:val="0"/>
    </w:pPr>
    <w:rPr>
      <w:rFonts w:ascii="Arial" w:hAnsi="Arial" w:eastAsia="Heiti/SimHei"/>
      <w:b/>
      <w:sz w:val="36"/>
    </w:rPr>
  </w:style>
  <w:style w:type="paragraph" w:styleId="ParaTableCaption" w:customStyle="true">
    <w:name w:val="Table caption"/>
    <w:basedOn w:val="Normal"/>
    <w:pPr>
      <w:spacing w:before="240" w:after="120"/>
      <w:jc w:val="center"/>
    </w:pPr>
    <w:rPr>
      <w:sz w:val="21"/>
    </w:rPr>
  </w:style>
  <w:style w:type="paragraph" w:styleId="ParaFinancialStatementLine" w:customStyle="true">
    <w:name w:val="Financial statement lead"/>
    <w:basedOn w:val="Normal"/>
    <w:pPr>
      <w:spacing w:before="360" w:after="120"/>
      <w:jc w:val="center"/>
    </w:pPr>
    <w:rPr>
      <w:b/>
      <w:sz w:val="24"/>
    </w:rPr>
  </w:style>
  <w:style w:type="paragraph" w:styleId="ParaHeading2" w:customStyle="true">
    <w:name w:val="Heading 2"/>
    <w:basedOn w:val="Normal"/>
    <w:pPr>
      <w:spacing w:before="360" w:after="120"/>
      <w:jc w:val="left"/>
      <w:outlineLvl xmlns:w="http://schemas.openxmlformats.org/wordprocessingml/2006/main" w:val="1"/>
    </w:pPr>
    <w:rPr>
      <w:rFonts w:ascii="Arial" w:hAnsi="Arial" w:eastAsia="Heiti/SimHei"/>
      <w:b/>
      <w:sz w:val="32"/>
    </w:rPr>
  </w:style>
  <w:style w:type="paragraph" w:styleId="ParaContentsTitle" w:customStyle="true">
    <w:name w:val="Contents title"/>
    <w:basedOn w:val="Normal"/>
    <w:pPr>
      <w:spacing w:after="360"/>
      <w:jc w:val="center"/>
    </w:pPr>
    <w:rPr>
      <w:b/>
      <w:sz w:val="36"/>
    </w:rPr>
  </w:style>
  <w:style w:type="paragraph" w:styleId="ParaTblNoteCell" w:customStyle="true">
    <w:name w:val="Note cell"/>
    <w:basedOn w:val="Normal"/>
    <w:pPr>
      <w:jc w:val="left"/>
    </w:pPr>
    <w:rPr>
      <w:sz w:val="21"/>
    </w:rPr>
  </w:style>
  <w:style w:type="paragraph" w:styleId="ParaLetterSignature" w:customStyle="true">
    <w:name w:val="Letter signature"/>
    <w:basedOn w:val="Normal"/>
    <w:pPr>
      <w:spacing w:before="360"/>
    </w:pPr>
    <w:rPr>
      <w:sz w:val="21"/>
    </w:rPr>
  </w:style>
  <w:style w:type="paragraph" w:styleId="ParaHeading5" w:customStyle="true">
    <w:name w:val="Heading 5"/>
    <w:basedOn w:val="Normal"/>
    <w:pPr>
      <w:spacing w:before="120" w:after="60"/>
      <w:jc w:val="left"/>
      <w:outlineLvl xmlns:w="http://schemas.openxmlformats.org/wordprocessingml/2006/main" w:val="4"/>
    </w:pPr>
    <w:rPr>
      <w:rFonts w:ascii="Garamond" w:hAnsi="Garamond" w:eastAsia="Song/SimSun"/>
      <w:b/>
      <w:sz w:val="21"/>
    </w:rPr>
  </w:style>
  <w:style w:type="paragraph" w:styleId="ParaHeading6" w:customStyle="true">
    <w:name w:val="Heading 6"/>
    <w:basedOn w:val="Normal"/>
    <w:pPr>
      <w:spacing w:before="120" w:after="0"/>
      <w:jc w:val="left"/>
      <w:outlineLvl xmlns:w="http://schemas.openxmlformats.org/wordprocessingml/2006/main" w:val="5"/>
    </w:pPr>
    <w:rPr>
      <w:rFonts w:ascii="Garamond" w:hAnsi="Garamond" w:eastAsia="Song/SimSun"/>
      <w:b/>
      <w:sz w:val="21"/>
    </w:rPr>
  </w:style>
</w:styles>
</file>

<file path=word/_rels/document.xml.rels>&#65279;<?xml version="1.0" encoding="utf-8"?><Relationships xmlns="http://schemas.openxmlformats.org/package/2006/relationships"><Relationship Type="http://schemas.openxmlformats.org/officeDocument/2006/relationships/settings" Target="/word/settings.xml" Id="R6d7c049be9744477" /><Relationship Type="http://schemas.openxmlformats.org/officeDocument/2006/relationships/styles" Target="/word/styles.xml" Id="R5c3464d52e1d42e1" /><Relationship Type="http://schemas.openxmlformats.org/officeDocument/2006/relationships/theme" Target="/word/theme/theme1.xml" Id="Rc89dc02f2546447d" /><Relationship Type="http://schemas.openxmlformats.org/officeDocument/2006/relationships/numbering" Target="/word/numbering.xml" Id="R3027a57a4f5f4687" /><Relationship Type="http://schemas.openxmlformats.org/officeDocument/2006/relationships/image" Target="/media/image.png" Id="Rc109f191c6e64a1c" /><Relationship Type="http://schemas.openxmlformats.org/officeDocument/2006/relationships/header" Target="/word/header1.xml" Id="R7946aaf1ffba4839" /><Relationship Type="http://schemas.openxmlformats.org/officeDocument/2006/relationships/footer" Target="/word/footer1.xml" Id="Rf2b8dde05dfc473e" /><Relationship Type="http://schemas.openxmlformats.org/officeDocument/2006/relationships/header" Target="/word/header2.xml" Id="R0ea7d36d0a6e447d" /><Relationship Type="http://schemas.openxmlformats.org/officeDocument/2006/relationships/header" Target="/word/header3.xml" Id="R74541855be584418" /><Relationship Type="http://schemas.openxmlformats.org/officeDocument/2006/relationships/footer" Target="/word/footer2.xml" Id="R6bef51fb9d2e467b" /><Relationship Type="http://schemas.openxmlformats.org/officeDocument/2006/relationships/header" Target="/word/header4.xml" Id="R9b14b4648bc94591" /><Relationship Type="http://schemas.openxmlformats.org/officeDocument/2006/relationships/footer" Target="/word/footer3.xml" Id="R616c90582346478c" /><Relationship Type="http://schemas.openxmlformats.org/officeDocument/2006/relationships/image" Target="/media/image2.png" Id="R05800261e22643b6" /><Relationship Type="http://schemas.openxmlformats.org/officeDocument/2006/relationships/header" Target="/word/header5.xml" Id="R4ab0b5fbac5b4842" /><Relationship Type="http://schemas.openxmlformats.org/officeDocument/2006/relationships/footer" Target="/word/footer4.xml" Id="R513ba4cc526d4f59" /><Relationship Type="http://schemas.openxmlformats.org/officeDocument/2006/relationships/image" Target="/media/image3.png" Id="R9e9005c3e2f4424d" /><Relationship Type="http://schemas.openxmlformats.org/officeDocument/2006/relationships/image" Target="/media/image4.png" Id="R220296e82df8420d" /><Relationship Type="http://schemas.openxmlformats.org/officeDocument/2006/relationships/image" Target="/media/image5.png" Id="R0f93a2ee48bc4724" /><Relationship Type="http://schemas.openxmlformats.org/officeDocument/2006/relationships/image" Target="/media/image6.png" Id="Reb843d91a8f14d48" /><Relationship Type="http://schemas.openxmlformats.org/officeDocument/2006/relationships/header" Target="/word/header6.xml" Id="R7810aeb06ff842c2" /><Relationship Type="http://schemas.openxmlformats.org/officeDocument/2006/relationships/footer" Target="/word/footer5.xml" Id="R940ebf777cda4012" /><Relationship Type="http://schemas.openxmlformats.org/officeDocument/2006/relationships/image" Target="/media/image7.png" Id="R2ccda36dca4446a0" /><Relationship Type="http://schemas.openxmlformats.org/officeDocument/2006/relationships/image" Target="/media/image8.png" Id="Re0fedff8b93b4d80" /><Relationship Type="http://schemas.openxmlformats.org/officeDocument/2006/relationships/image" Target="/media/image9.png" Id="R7acceff86c6b4e15" /><Relationship Type="http://schemas.openxmlformats.org/officeDocument/2006/relationships/image" Target="/media/image10.png" Id="R40b7cbc8f8ec408f" /><Relationship Type="http://schemas.openxmlformats.org/officeDocument/2006/relationships/header" Target="/word/header7.xml" Id="Rda71a1159acc4fcb" /><Relationship Type="http://schemas.openxmlformats.org/officeDocument/2006/relationships/footer" Target="/word/footer6.xml" Id="R6bc079205dae4d90" /><Relationship Type="http://schemas.openxmlformats.org/officeDocument/2006/relationships/image" Target="/media/image11.png" Id="R9aa3dd90c2024fff" /><Relationship Type="http://schemas.openxmlformats.org/officeDocument/2006/relationships/image" Target="/media/image12.png" Id="R6db9b0d6602d4a6a" /><Relationship Type="http://schemas.openxmlformats.org/officeDocument/2006/relationships/image" Target="/media/image13.png" Id="R7ad05f1353984522" /><Relationship Type="http://schemas.openxmlformats.org/officeDocument/2006/relationships/header" Target="/word/header8.xml" Id="R6425ab5934af4d90" /><Relationship Type="http://schemas.openxmlformats.org/officeDocument/2006/relationships/footer" Target="/word/footer7.xml" Id="Rcbbefc10fba04908" /><Relationship Type="http://schemas.openxmlformats.org/officeDocument/2006/relationships/image" Target="/media/image14.png" Id="R1f7a44a2887f4a78" /><Relationship Type="http://schemas.openxmlformats.org/officeDocument/2006/relationships/image" Target="/media/image15.png" Id="R0103a6cb220b4688" /><Relationship Type="http://schemas.openxmlformats.org/officeDocument/2006/relationships/header" Target="/word/header9.xml" Id="R8acbaa1071ad4158" /><Relationship Type="http://schemas.openxmlformats.org/officeDocument/2006/relationships/footer" Target="/word/footer8.xml" Id="R5c073c12fb614af9" /><Relationship Type="http://schemas.openxmlformats.org/officeDocument/2006/relationships/image" Target="/media/image16.png" Id="R5b710bcd4f3c42a5" /><Relationship Type="http://schemas.openxmlformats.org/officeDocument/2006/relationships/header" Target="/word/header10.xml" Id="R584d41d2d7c141b3" /><Relationship Type="http://schemas.openxmlformats.org/officeDocument/2006/relationships/footer" Target="/word/footer9.xml" Id="R99d549b8a1634e98" /><Relationship Type="http://schemas.openxmlformats.org/officeDocument/2006/relationships/image" Target="/media/image17.png" Id="Rb740a6b8a35f436c" /><Relationship Type="http://schemas.openxmlformats.org/officeDocument/2006/relationships/image" Target="/media/image18.png" Id="Raa2be3e1d77b4e6f" /><Relationship Type="http://schemas.openxmlformats.org/officeDocument/2006/relationships/image" Target="/media/image19.png" Id="R19dfe38d751c437c" /><Relationship Type="http://schemas.openxmlformats.org/officeDocument/2006/relationships/header" Target="/word/header11.xml" Id="R2ce7da2c84164e9d" /><Relationship Type="http://schemas.openxmlformats.org/officeDocument/2006/relationships/footer" Target="/word/footer10.xml" Id="R0a3c55bb1e4c4db4" /><Relationship Type="http://schemas.openxmlformats.org/officeDocument/2006/relationships/header" Target="/word/header12.xml" Id="Reac42dbbf6fb4f81" /><Relationship Type="http://schemas.openxmlformats.org/officeDocument/2006/relationships/footer" Target="/word/footer11.xml" Id="R218b9c577f0c4780" /><Relationship Type="http://schemas.openxmlformats.org/officeDocument/2006/relationships/header" Target="/word/header13.xml" Id="R5988059a82284ac7" /><Relationship Type="http://schemas.openxmlformats.org/officeDocument/2006/relationships/footer" Target="/word/footer12.xml" Id="R63bd7c1412cf4854" /><Relationship Type="http://schemas.openxmlformats.org/officeDocument/2006/relationships/image" Target="/media/image20.png" Id="R1818c14e550c4a1e" /><Relationship Type="http://schemas.openxmlformats.org/officeDocument/2006/relationships/image" Target="/media/image21.png" Id="R6ee8b9b2479c4964" /><Relationship Type="http://schemas.openxmlformats.org/officeDocument/2006/relationships/image" Target="/media/image22.png" Id="R4df9739c27b7422c" /><Relationship Type="http://schemas.openxmlformats.org/officeDocument/2006/relationships/image" Target="/media/image23.png" Id="R4884ce8b9e414d50" /><Relationship Type="http://schemas.openxmlformats.org/officeDocument/2006/relationships/image" Target="/media/image24.png" Id="R8d7aba8e4ef746d1" /><Relationship Type="http://schemas.openxmlformats.org/officeDocument/2006/relationships/header" Target="/word/header14.xml" Id="Rceb84c93d0d64f6b" /><Relationship Type="http://schemas.openxmlformats.org/officeDocument/2006/relationships/footer" Target="/word/footer13.xml" Id="Rb93142c8c3794886" /><Relationship Type="http://schemas.openxmlformats.org/officeDocument/2006/relationships/header" Target="/word/header15.xml" Id="R7ccf37eda3cc4fe9" /><Relationship Type="http://schemas.openxmlformats.org/officeDocument/2006/relationships/footer" Target="/word/footer14.xml" Id="Rfb04ee73c7214507" /><Relationship Type="http://schemas.openxmlformats.org/officeDocument/2006/relationships/image" Target="/media/image25.png" Id="R75da2b7e89ec4d94" /><Relationship Type="http://schemas.openxmlformats.org/officeDocument/2006/relationships/header" Target="/word/header16.xml" Id="Rf17a3171beb44b6e" /><Relationship Type="http://schemas.openxmlformats.org/officeDocument/2006/relationships/footer" Target="/word/footer15.xml" Id="Rd1e22065793d431e" /><Relationship Type="http://schemas.openxmlformats.org/officeDocument/2006/relationships/header" Target="/word/header17.xml" Id="R15002ec0becb4638" /><Relationship Type="http://schemas.openxmlformats.org/officeDocument/2006/relationships/footer" Target="/word/footer16.xml" Id="Rae6ca069dfe74943" /><Relationship Type="http://schemas.openxmlformats.org/officeDocument/2006/relationships/image" Target="/media/image26.png" Id="R1f196a9d2f2b4447" /><Relationship Type="http://schemas.openxmlformats.org/officeDocument/2006/relationships/image" Target="/media/image27.png" Id="R69dff39a74a148b2" /><Relationship Type="http://schemas.openxmlformats.org/officeDocument/2006/relationships/image" Target="/media/image28.png" Id="R9f2f587d3785491c" /><Relationship Type="http://schemas.openxmlformats.org/officeDocument/2006/relationships/header" Target="/word/header18.xml" Id="R845fabe110a744fd" /><Relationship Type="http://schemas.openxmlformats.org/officeDocument/2006/relationships/footer" Target="/word/footer17.xml" Id="Rb7c12329fbfa479a" /><Relationship Type="http://schemas.openxmlformats.org/officeDocument/2006/relationships/header" Target="/word/header19.xml" Id="R3497dc45b158421b" /><Relationship Type="http://schemas.openxmlformats.org/officeDocument/2006/relationships/footer" Target="/word/footer18.xml" Id="R9a619227807640b4" /><Relationship Type="http://schemas.openxmlformats.org/officeDocument/2006/relationships/header" Target="/word/header20.xml" Id="R44eebf2d2dd34a28" /><Relationship Type="http://schemas.openxmlformats.org/officeDocument/2006/relationships/footer" Target="/word/footer19.xml" Id="Re0b19d3aa85244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2026-08-29T12:07:14Z</dcterms:created>
  <cp:lastModifiedBy>OfficeCLI</cp:lastModifiedBy>
  <dcterms:modified xsi:type="dcterms:W3CDTF">2026-08-29T12:07:14Z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2026-08-29T12:31:27Z</vt:lpwstr>
  </op:property>
</op:Properties>
</file>