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footer1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59a472533c8484e" /><Relationship Type="http://schemas.openxmlformats.org/package/2006/relationships/metadata/core-properties" Target="/docProps/core.xml" Id="R3181475b6b314b6d" /><Relationship Type="http://schemas.openxmlformats.org/officeDocument/2006/relationships/extended-properties" Target="/docProps/app.xml" Id="Rca431d17bada45d3" /><Relationship Type="http://schemas.openxmlformats.org/officeDocument/2006/relationships/custom-properties" Target="/docProps/custom.xml" Id="R22e2b8bd3e54465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ParaCoverTitle"/>
      </w:pPr>
      <w:r>
        <w:rPr/>
        <w:t xml:space="preserve">Rivermark Holdings Annual Report</w:t>
      </w:r>
    </w:p>
    <w:p w14:paraId="00100002" w14:textId="00100003">
      <w:pPr>
        <w:spacing w:before="120" w:after="120"/>
        <w:jc w:val="center"/>
      </w:pPr>
      <w:r>
        <w:drawing>
          <wp:inline distT="0" distB="0" distL="0" distR="0">
            <wp:extent cx="1152000" cy="1152000"/>
            <wp:effectExtent l="0" t="0" r="0" b="0"/>
            <wp:docPr id="1" name="F0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01.png"/>
                    <pic:cNvPicPr/>
                  </pic:nvPicPr>
                  <pic:blipFill>
                    <a:blip r:embed="R649f8be634fb40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306" w:type="dxa"/>
        <w:jc w:val="center"/>
        <w:tblBorders>
          <w:top w:val="none" w:sz="4"/>
          <w:left w:val="none" w:sz="4"/>
          <w:bottom w:val="none" w:sz="4"/>
          <w:right w:val="none" w:sz="4"/>
          <w:insideH w:val="none" w:sz="4"/>
          <w:insideV w:val="none" w:sz="4"/>
        </w:tblBorders>
        <w:tblLayout w:type="autofit"/>
      </w:tblPr>
      <w:tblGrid>
        <w:gridCol w:w="4153"/>
        <w:gridCol w:w="4153"/>
      </w:tblGrid>
      <w:tr>
        <w:trPr/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004" w14:textId="00100010">
            <w:pPr>
              <w:pStyle w:val="ParaTblLabelCell"/>
            </w:pPr>
            <w:r>
              <w:t xml:space="preserve">Entity</w:t>
            </w:r>
          </w:p>
        </w:tc>
        <w:tc>
          <w:tcPr>
            <w:tcBorders>
              <w:top w:val="nil"/>
              <w:left w:val="nil"/>
              <w:bottom w:val="single" w:color="auto" w:sz="4"/>
              <w:right w:val="nil"/>
            </w:tcBorders>
            <w:vAlign w:val="center"/>
          </w:tcPr>
          <w:p w14:paraId="00100006" w14:textId="00100011">
            <w:pPr>
              <w:pStyle w:val="ParaTblDataCell"/>
            </w:pPr>
            <w:r>
              <w:t xml:space="preserve">Rivermark Holdings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008" w14:textId="00100012">
            <w:pPr>
              <w:pStyle w:val="ParaTblLabelCell"/>
            </w:pPr>
            <w:r>
              <w:t xml:space="preserve">Period</w:t>
            </w:r>
          </w:p>
        </w:tc>
        <w:tc>
          <w:tcPr>
            <w:tcBorders>
              <w:top w:val="nil"/>
              <w:left w:val="nil"/>
              <w:bottom w:val="single" w:color="auto" w:sz="4"/>
              <w:right w:val="nil"/>
            </w:tcBorders>
            <w:vAlign w:val="center"/>
          </w:tcPr>
          <w:p w14:paraId="0010000A" w14:textId="00100013">
            <w:pPr>
              <w:pStyle w:val="ParaTblDataCell"/>
            </w:pPr>
            <w:r>
              <w:t xml:space="preserve">FY2024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00C" w14:textId="00100014">
            <w:pPr>
              <w:pStyle w:val="ParaTblLabelCell"/>
            </w:pPr>
            <w:r>
              <w:t xml:space="preserve">Date</w:t>
            </w:r>
          </w:p>
        </w:tc>
        <w:tc>
          <w:tcPr>
            <w:tcBorders>
              <w:top w:val="nil"/>
              <w:left w:val="nil"/>
              <w:bottom w:val="single" w:color="auto" w:sz="4"/>
              <w:right w:val="nil"/>
            </w:tcBorders>
            <w:vAlign w:val="center"/>
          </w:tcPr>
          <w:p w14:paraId="0010000E" w14:textId="00100015">
            <w:pPr>
              <w:pStyle w:val="ParaTblDataCell"/>
            </w:pPr>
            <w:r>
              <w:t xml:space="preserve">2025-03-31</w:t>
            </w:r>
          </w:p>
        </w:tc>
      </w:tr>
    </w:tbl>
    <w:p w14:paraId="00100053" w14:textId="00100054">
      <w:pPr>
        <w:sectPr>
          <w:headerReference w:type="first" r:id="R3f135a822af24a9d"/>
          <w:headerReference w:type="default" r:id="R7bdf3e84f3b840bd"/>
          <w:footerReference w:type="default" r:id="Rce3ad280a37548ea"/>
          <w:type w:val="nextPage"/>
          <w:pgSz w:w="11906" w:h="16838" w:orient="portrait"/>
          <w:pgMar w:top="1984" w:right="1701" w:bottom="1701" w:left="1701"/>
          <w:pgNumType w:fmt="lowerRoman" w:start="1"/>
          <w:cols w:num="1"/>
          <w:titlePg/>
        </w:sectPr>
      </w:pPr>
    </w:p>
    <w:p w14:paraId="0010001C" w14:textId="0010001D">
      <w:pPr>
        <w:pStyle w:val="ParaContentsTitle"/>
      </w:pPr>
      <w:r>
        <w:rPr/>
        <w:t xml:space="preserve">Contents</w:t>
      </w:r>
    </w:p>
    <w:p w14:paraId="0010001E" w14:textId="0010001F">
      <w:pPr>
        <w:pStyle w:val="ParaTocEntryL1"/>
      </w:pPr>
      <w:r>
        <w:rPr/>
        <w:t xml:space="preserve">1 Governance overview  12</w:t>
      </w:r>
    </w:p>
    <w:p w14:paraId="00100020" w14:textId="00100021">
      <w:pPr>
        <w:pStyle w:val="ParaTocEntryL2"/>
      </w:pPr>
      <w:r>
        <w:rPr/>
        <w:t xml:space="preserve">1.1 Board composition  14</w:t>
      </w:r>
    </w:p>
    <w:p w14:paraId="00100055" w14:textId="00100056">
      <w:pPr>
        <w:sectPr>
          <w:headerReference w:type="default" r:id="Rd9bd25cada5946c0"/>
          <w:footerReference w:type="default" r:id="R4d46382dd850482f"/>
          <w:type w:val="nextPage"/>
          <w:pgSz w:w="11906" w:h="16838" w:orient="portrait"/>
          <w:pgMar w:top="1417" w:right="1417" w:bottom="1417" w:left="1417"/>
          <w:pgNumType w:fmt="decimal" w:start="1"/>
          <w:cols w:num="1"/>
        </w:sectPr>
      </w:pPr>
    </w:p>
    <w:p w14:paraId="00100026" w14:textId="00100027">
      <w:pPr>
        <w:pStyle w:val="ParaLetterSalutation"/>
      </w:pPr>
      <w:r>
        <w:rPr/>
        <w:t xml:space="preserve">Open leadership letter</w:t>
      </w:r>
    </w:p>
    <w:p w14:paraId="00100028" w14:textId="0010002B">
      <w:pPr>
        <w:pStyle w:val="ParaLetterBody"/>
      </w:pPr>
      <w:r>
        <w:rPr/>
        <w:t xml:space="preserve">We </w:t>
      </w:r>
      <w:r>
        <w:rPr>
          <w:u w:val="single"/>
        </w:rPr>
        <w:t xml:space="preserve">______</w:t>
      </w:r>
      <w:r>
        <w:rPr/>
        <w:t xml:space="preserve"> delivered steady progress across the group and kept the balance sheet disciplined. The team is focused on execution, customer outcomes, and a clear path into</w:t>
      </w:r>
    </w:p>
    <w:p w14:paraId="0010002C" w14:textId="0010002D">
      <w:pPr>
        <w:pStyle w:val="ParaLetterSignature"/>
      </w:pPr>
      <w:r>
        <w:rPr/>
        <w:t xml:space="preserve">Sincerely,</w:t>
      </w:r>
    </w:p>
    <w:p w14:paraId="0010002E" w14:textId="00100030">
      <w:pPr>
        <w:pStyle w:val="ParaLetterSignature"/>
      </w:pPr>
      <w:r>
        <w:rPr/>
        <w:t xml:space="preserve"/>
      </w:r>
      <w:r>
        <w:rPr>
          <w:u w:val="single"/>
        </w:rPr>
        <w:t xml:space="preserve">______</w:t>
      </w:r>
    </w:p>
    <w:p w14:paraId="00100057" w14:textId="00100058">
      <w:pPr>
        <w:sectPr>
          <w:headerReference w:type="default" r:id="R7959d2a7c6924d12"/>
          <w:footerReference w:type="default" r:id="Ra307a8520bd54978"/>
          <w:type w:val="nextPage"/>
          <w:pgSz w:w="11906" w:h="16838" w:orient="portrait"/>
          <w:pgMar w:top="1417" w:right="1417" w:bottom="1417" w:left="1701"/>
          <w:pgNumType w:fmt="lowerRoman"/>
          <w:cols w:num="1"/>
        </w:sectPr>
      </w:pPr>
    </w:p>
    <w:p w14:paraId="00100035" w14:textId="00100036">
      <w:pPr>
        <w:pStyle w:val="ParaHeading1"/>
      </w:pPr>
      <w:r>
        <w:rPr/>
        <w:t xml:space="preserve">Chapter 1 Year in Review</w:t>
      </w:r>
    </w:p>
    <w:p w14:paraId="00100037" w14:textId="0010003A">
      <w:pPr>
        <w:pStyle w:val="ParaHighlightLead"/>
      </w:pPr>
      <w:r>
        <w:rPr/>
        <w:t xml:space="preserve"/>
      </w:r>
      <w:r>
        <w:rPr>
          <w:b/>
        </w:rPr>
        <w:t xml:space="preserve">Overall highlights:</w:t>
      </w:r>
      <w:r>
        <w:rPr/>
        <w:t xml:space="preserve"> Rivermark Holdings closed the year with steadier revenue quality, firmer cash generation, and better coordination across its operating segme</w:t>
      </w:r>
    </w:p>
    <w:tbl>
      <w:tblPr>
        <w:tblW w:w="5000" w:type="pct"/>
        <w:jc w:val="center"/>
        <w:tblBorders>
          <w:top w:val="none" w:sz="4"/>
          <w:left w:val="none" w:sz="4"/>
          <w:bottom w:val="none" w:sz="4"/>
          <w:right w:val="none" w:sz="4"/>
          <w:insideH w:val="none" w:sz="4"/>
          <w:insideV w:val="non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tcPr>
            <w:tcBorders>
              <w:top w:val="nil"/>
              <w:left w:val="nil"/>
              <w:bottom w:val="single" w:color="auto" w:sz="4"/>
              <w:right w:val="nil"/>
            </w:tcBorders>
            <w:vAlign w:val="center"/>
          </w:tcPr>
          <w:p w14:paraId="0010003B" w14:textId="00100059">
            <w:pPr>
              <w:pStyle w:val="ParaTblHeaderCell"/>
            </w:pPr>
            <w:r>
              <w:t xml:space="preserve">Metric</w:t>
            </w:r>
          </w:p>
        </w:tc>
        <w:tc>
          <w:tcPr>
            <w:tcBorders>
              <w:top w:val="nil"/>
              <w:left w:val="nil"/>
              <w:bottom w:val="single" w:color="auto" w:sz="4"/>
              <w:right w:val="nil"/>
            </w:tcBorders>
            <w:vAlign w:val="center"/>
          </w:tcPr>
          <w:p w14:paraId="0010003D" w14:textId="0010005A">
            <w:pPr>
              <w:pStyle w:val="ParaTblHeaderCell"/>
            </w:pPr>
            <w:r>
              <w:t xml:space="preserve">FY2024</w:t>
            </w:r>
          </w:p>
        </w:tc>
        <w:tc>
          <w:tcPr>
            <w:tcBorders>
              <w:top w:val="nil"/>
              <w:left w:val="nil"/>
              <w:bottom w:val="single" w:color="auto" w:sz="4"/>
              <w:right w:val="nil"/>
            </w:tcBorders>
            <w:vAlign w:val="center"/>
          </w:tcPr>
          <w:p w14:paraId="0010003F" w14:textId="0010005B">
            <w:pPr>
              <w:pStyle w:val="ParaTblHeaderCell"/>
            </w:pPr>
            <w:r>
              <w:t xml:space="preserve">FY2023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041" w14:textId="0010005C">
            <w:pPr>
              <w:pStyle w:val="ParaTblStubCell"/>
            </w:pPr>
            <w:r>
              <w:t xml:space="preserve">Revenue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043" w14:textId="0010005D">
            <w:pPr>
              <w:pStyle w:val="ParaTblDataCell"/>
            </w:pPr>
            <w:r>
              <w:t xml:space="preserve">8.6 bn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045" w14:textId="0010005E">
            <w:pPr>
              <w:pStyle w:val="ParaTblDataCell"/>
            </w:pPr>
            <w:r>
              <w:t xml:space="preserve">8.1 bn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047" w14:textId="0010005F">
            <w:pPr>
              <w:pStyle w:val="ParaTblStubCell"/>
            </w:pPr>
            <w:r>
              <w:t xml:space="preserve">Operating margin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049" w14:textId="00100060">
            <w:pPr>
              <w:pStyle w:val="ParaTblDataCell"/>
            </w:pPr>
            <w:r>
              <w:t xml:space="preserve">14.2%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04B" w14:textId="00100061">
            <w:pPr>
              <w:pStyle w:val="ParaTblDataCell"/>
            </w:pPr>
            <w:r>
              <w:t xml:space="preserve">13.4%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04D" w14:textId="00100062">
            <w:pPr>
              <w:pStyle w:val="ParaTblStubCell"/>
            </w:pPr>
            <w:r>
              <w:t xml:space="preserve">Free cash flow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04F" w14:textId="00100063">
            <w:pPr>
              <w:pStyle w:val="ParaTblDataCell"/>
            </w:pPr>
            <w:r>
              <w:t xml:space="preserve">1.1 bn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051" w14:textId="00100064">
            <w:pPr>
              <w:pStyle w:val="ParaTblDataCell"/>
            </w:pPr>
            <w:r>
              <w:t xml:space="preserve">0.9 bn</w:t>
            </w:r>
          </w:p>
        </w:tc>
      </w:tr>
    </w:tbl>
    <w:p w14:paraId="00100065" w14:textId="00100066">
      <w:pPr>
        <w:pStyle w:val="ParaTableCaption"/>
      </w:pPr>
      <w:r>
        <w:rPr/>
        <w:t xml:space="preserve">Table 1 Performance indicators by period</w:t>
      </w:r>
    </w:p>
    <w:p w14:paraId="00100067" w14:textId="00100068">
      <w:pPr>
        <w:spacing w:before="120" w:after="120"/>
        <w:jc w:val="center"/>
      </w:pPr>
      <w:r>
        <w:drawing>
          <wp:inline distT="0" distB="0" distL="0" distR="0">
            <wp:extent cx="3960000" cy="3960000"/>
            <wp:effectExtent l="0" t="0" r="0" b="0"/>
            <wp:docPr id="2" name="F01_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F01_2.png"/>
                    <pic:cNvPicPr/>
                  </pic:nvPicPr>
                  <pic:blipFill>
                    <a:blip r:embed="R5f2111918cfc4ae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69" w14:textId="0010006A">
      <w:pPr>
        <w:pStyle w:val="ParaFigureCaption"/>
      </w:pPr>
      <w:r>
        <w:rPr/>
        <w:t xml:space="preserve">Figure 1 Annual performance trend</w:t>
      </w:r>
    </w:p>
    <w:p w14:paraId="001000F6" w14:textId="001000F7">
      <w:pPr>
        <w:sectPr>
          <w:headerReference w:type="default" r:id="R588aae1db2d2485e"/>
          <w:footerReference w:type="default" r:id="Rdb1fa1c33d3445b4"/>
          <w:type w:val="nextPage"/>
          <w:pgSz w:w="11906" w:h="16838" w:orient="portrait"/>
          <w:pgMar w:top="1417" w:right="1417" w:bottom="1417" w:left="1417"/>
          <w:pgNumType w:fmt="lowerRoman"/>
          <w:cols w:num="1"/>
        </w:sectPr>
      </w:pPr>
    </w:p>
    <w:p w14:paraId="0010006F" w14:textId="00100070">
      <w:pPr>
        <w:pStyle w:val="ParaHeading1"/>
      </w:pPr>
      <w:r>
        <w:rPr/>
        <w:t xml:space="preserve">Chapter 2 Group Overview</w:t>
      </w:r>
    </w:p>
    <w:p w14:paraId="00100071" w14:textId="00100074">
      <w:pPr>
        <w:pStyle w:val="ParaExecutiveSummary"/>
      </w:pPr>
      <w:r>
        <w:rPr/>
        <w:t xml:space="preserve"/>
      </w:r>
      <w:r>
        <w:rPr>
          <w:b/>
        </w:rPr>
        <w:t xml:space="preserve">The group</w:t>
      </w:r>
      <w:r>
        <w:rPr/>
        <w:t xml:space="preserve"> serves a diversified portfolio of businesses with a shared operating model and clear accountability. This chapter outlines how value is created, gover</w:t>
      </w:r>
    </w:p>
    <w:p w14:paraId="00100075" w14:textId="00100076">
      <w:pPr>
        <w:pStyle w:val="ParaHeading2"/>
      </w:pPr>
      <w:r>
        <w:rPr/>
        <w:t xml:space="preserve">2. Who We Are</w:t>
      </w:r>
    </w:p>
    <w:p w14:paraId="00100077" w14:textId="00100078">
      <w:pPr>
        <w:pStyle w:val="ParaBodyText"/>
      </w:pPr>
      <w:r>
        <w:rPr/>
        <w:t xml:space="preserve">The portfolio is managed as one group with common controls and shared priorities. Local execution remains important, but reporting and decision-making follow a</w:t>
      </w:r>
    </w:p>
    <w:p w14:paraId="00100079" w14:textId="0010007A">
      <w:pPr>
        <w:pStyle w:val="ParaHeading3"/>
      </w:pPr>
      <w:r>
        <w:rPr/>
        <w:t xml:space="preserve">2.1 Purpose and Value Creation</w:t>
      </w:r>
    </w:p>
    <w:p w14:paraId="0010007B" w14:textId="0010007C">
      <w:pPr>
        <w:pStyle w:val="ParaNumberedList"/>
        <w:numPr>
          <w:numId w:val="910"/>
        </w:numPr>
      </w:pPr>
      <w:r>
        <w:rPr/>
        <w:t xml:space="preserve">Allocate capital to priority businesses.</w:t>
      </w:r>
    </w:p>
    <w:p w14:paraId="0010007D" w14:textId="0010007E">
      <w:pPr>
        <w:pStyle w:val="ParaNumberedList"/>
        <w:numPr>
          <w:numId w:val="910"/>
        </w:numPr>
      </w:pPr>
      <w:r>
        <w:rPr/>
        <w:t xml:space="preserve">2. Convert operating discipline into resilient earnings.</w:t>
      </w:r>
    </w:p>
    <w:p w14:paraId="0010007F" w14:textId="00100080">
      <w:pPr>
        <w:pStyle w:val="ParaNumberedList"/>
        <w:numPr>
          <w:numId w:val="910"/>
        </w:numPr>
      </w:pPr>
      <w:r>
        <w:rPr/>
        <w:t xml:space="preserve">3. Return insights from customers and markets into the next</w:t>
      </w:r>
    </w:p>
    <w:p w14:paraId="00100081" w14:textId="00100082">
      <w:pPr>
        <w:pStyle w:val="ParaHeading4"/>
      </w:pPr>
      <w:r>
        <w:rPr/>
        <w:t xml:space="preserve">2.1.1 Business Model</w:t>
      </w:r>
    </w:p>
    <w:p w14:paraId="00100083" w14:textId="00100084">
      <w:pPr>
        <w:spacing w:before="120" w:after="120"/>
        <w:jc w:val="center"/>
      </w:pPr>
      <w:r>
        <w:drawing>
          <wp:inline distT="0" distB="0" distL="0" distR="0">
            <wp:extent cx="5040000" cy="2520000"/>
            <wp:effectExtent l="0" t="0" r="0" b="0"/>
            <wp:docPr id="3" name="F01_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F01_3.png"/>
                    <pic:cNvPicPr/>
                  </pic:nvPicPr>
                  <pic:blipFill>
                    <a:blip r:embed="Rc808e8ed748f445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85" w14:textId="00100086">
      <w:pPr>
        <w:pStyle w:val="ParaFigureCaption"/>
      </w:pPr>
      <w:r>
        <w:rPr/>
        <w:t xml:space="preserve">Figure 1 Business model process map</w:t>
      </w:r>
    </w:p>
    <w:p w14:paraId="00100087" w14:textId="00100088">
      <w:pPr>
        <w:pStyle w:val="ParaHeading4"/>
      </w:pPr>
      <w:r>
        <w:rPr/>
        <w:t xml:space="preserve">2.1.1 Operating Footprint</w:t>
      </w:r>
    </w:p>
    <w:p w14:paraId="00100089" w14:textId="0010008A">
      <w:pPr>
        <w:spacing w:before="120" w:after="120"/>
        <w:jc w:val="center"/>
      </w:pPr>
      <w:r>
        <w:drawing>
          <wp:inline distT="0" distB="0" distL="0" distR="0">
            <wp:extent cx="5040000" cy="3240000"/>
            <wp:effectExtent l="0" t="0" r="0" b="0"/>
            <wp:docPr id="4" name="F0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F02.png"/>
                    <pic:cNvPicPr/>
                  </pic:nvPicPr>
                  <pic:blipFill>
                    <a:blip r:embed="R9e6c652e646c49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8B" w14:textId="0010008C">
      <w:pPr>
        <w:pStyle w:val="ParaFigureCaption"/>
      </w:pPr>
      <w:r>
        <w:rPr/>
        <w:t xml:space="preserve">Figure 2 Operating footprint map</w:t>
      </w:r>
    </w:p>
    <w:p w14:paraId="0010008D" w14:textId="0010008E">
      <w:pPr>
        <w:pStyle w:val="ParaBodyText"/>
      </w:pPr>
      <w:r>
        <w:rPr/>
        <w:t xml:space="preserve">The footprint spans core markets and selected growth corridors. The operating model is tuned to local demand while keeping group standards consistent across reg</w:t>
      </w:r>
    </w:p>
    <w:p w14:paraId="0010008F" w14:textId="00100090">
      <w:pPr>
        <w:pStyle w:val="ParaHeading5"/>
      </w:pPr>
      <w:r>
        <w:rPr/>
        <w:t xml:space="preserve">2.1.1.2 Group Structure</w:t>
      </w:r>
    </w:p>
    <w:p w14:paraId="00100091" w14:textId="00100092">
      <w:pPr>
        <w:spacing w:before="120" w:after="120"/>
        <w:jc w:val="center"/>
      </w:pPr>
      <w:r>
        <w:drawing>
          <wp:inline distT="0" distB="0" distL="0" distR="0">
            <wp:extent cx="5040000" cy="2880000"/>
            <wp:effectExtent l="0" t="0" r="0" b="0"/>
            <wp:docPr id="5" name="F0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F03.png"/>
                    <pic:cNvPicPr/>
                  </pic:nvPicPr>
                  <pic:blipFill>
                    <a:blip r:embed="R4d65a29c1f374dd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93" w14:textId="00100094">
      <w:pPr>
        <w:pStyle w:val="ParaFigureCaption"/>
      </w:pPr>
      <w:r>
        <w:rPr/>
        <w:t xml:space="preserve">Figure 3 Group structure diagram</w:t>
      </w:r>
    </w:p>
    <w:p w14:paraId="00100095" w14:textId="00100096">
      <w:pPr>
        <w:pStyle w:val="ParaHeading6"/>
      </w:pPr>
      <w:r>
        <w:rPr/>
        <w:t xml:space="preserve">2.1.1.2.1 Management Responses</w:t>
      </w:r>
    </w:p>
    <w:p w14:paraId="00100097" w14:textId="00100098">
      <w:pPr>
        <w:pStyle w:val="ParaBulletList"/>
        <w:numPr>
          <w:numId w:val="902"/>
        </w:numPr>
      </w:pPr>
      <w:r>
        <w:rPr/>
        <w:t xml:space="preserve">Focused execution on priority initiatives.</w:t>
      </w:r>
    </w:p>
    <w:p w14:paraId="00100099" w14:textId="0010009A">
      <w:pPr>
        <w:pStyle w:val="ParaBulletList"/>
        <w:numPr>
          <w:numId w:val="902"/>
        </w:numPr>
      </w:pPr>
      <w:r>
        <w:rPr/>
        <w:t xml:space="preserve">Tighter review of operating risks and controls.</w:t>
      </w:r>
    </w:p>
    <w:p w14:paraId="0010009B" w14:textId="0010009C">
      <w:pPr>
        <w:pStyle w:val="ParaBulletList"/>
        <w:numPr>
          <w:numId w:val="902"/>
        </w:numPr>
      </w:pPr>
      <w:r>
        <w:rPr/>
        <w:t xml:space="preserve">Clearer links between strategy, metrics, and action.</w:t>
      </w:r>
    </w:p>
    <w:p w14:paraId="0010009D" w14:textId="0010009E">
      <w:pPr>
        <w:pStyle w:val="ParaTableCaption"/>
      </w:pPr>
      <w:r>
        <w:rPr/>
        <w:t xml:space="preserve">Indicator table caption</w:t>
      </w:r>
    </w:p>
    <w:p w14:paraId="001000F8" w14:textId="001000F9">
      <w:pPr>
        <w:sectPr>
          <w:headerReference w:type="default" r:id="R1997a5ac63a74124"/>
          <w:footerReference w:type="default" r:id="Rbd3c23f4eade46e4"/>
          <w:type w:val="nextPage"/>
          <w:pgSz w:w="11906" w:h="16838" w:orient="portrait"/>
          <w:pgMar w:top="1417" w:right="1417" w:bottom="1417" w:left="1701"/>
          <w:pgNumType w:fmt="decimal"/>
          <w:cols w:num="1"/>
        </w:sectPr>
      </w:pPr>
    </w:p>
    <w:p w14:paraId="001000A3" w14:textId="001000A4">
      <w:pPr>
        <w:pStyle w:val="ParaHeading1"/>
      </w:pPr>
      <w:r>
        <w:rPr/>
        <w:t xml:space="preserve">Chapter 3 Segment Performance</w:t>
      </w:r>
    </w:p>
    <w:p w14:paraId="001000A5" w14:textId="001000A8">
      <w:pPr>
        <w:pStyle w:val="ParaSegmentNarrative"/>
      </w:pPr>
      <w:r>
        <w:rPr/>
        <w:t xml:space="preserve"/>
      </w:r>
      <w:r>
        <w:rPr>
          <w:b/>
        </w:rPr>
        <w:t xml:space="preserve">Key point:</w:t>
      </w:r>
      <w:r>
        <w:rPr/>
        <w:t xml:space="preserve"> Segment results and outlook overview. Results remain mixed across the portfolio, with demand and pricing moving at different speeds.</w:t>
      </w:r>
    </w:p>
    <w:p w14:paraId="001000A9" w14:textId="001000AA">
      <w:pPr>
        <w:pStyle w:val="ParaHeading2"/>
      </w:pPr>
      <w:r>
        <w:rPr/>
        <w:t xml:space="preserve">3. Segment Portfolio</w:t>
      </w:r>
    </w:p>
    <w:p w14:paraId="001000AB" w14:textId="001000AC">
      <w:pPr>
        <w:pStyle w:val="ParaHeading3"/>
      </w:pPr>
      <w:r>
        <w:rPr/>
        <w:t xml:space="preserve">3.1 Comparative Performance</w:t>
      </w:r>
    </w:p>
    <w:p w14:paraId="001000AD" w14:textId="001000AE">
      <w:pPr>
        <w:pStyle w:val="ParaTableCaption"/>
      </w:pPr>
      <w:r>
        <w:rPr/>
        <w:t xml:space="preserve">Table 1 Comparative performance table</w:t>
      </w:r>
    </w:p>
    <w:p w14:paraId="001000AF" w14:textId="001000B0">
      <w:pPr>
        <w:pStyle w:val="ParaFigureCaption"/>
      </w:pPr>
      <w:r>
        <w:rPr/>
        <w:t xml:space="preserve">Figure 1 Comparative performance trend</w:t>
      </w:r>
    </w:p>
    <w:p w14:paraId="001000B1" w14:textId="001000B2">
      <w:pPr>
        <w:pStyle w:val="ParaHeading4"/>
      </w:pPr>
      <w:r>
        <w:rPr/>
        <w:t xml:space="preserve">3.1.1 Growth and Margins</w:t>
      </w:r>
    </w:p>
    <w:p w14:paraId="001000B3" w14:textId="001000B4">
      <w:pPr>
        <w:pStyle w:val="ParaBodyText"/>
      </w:pPr>
      <w:r>
        <w:rPr/>
        <w:t xml:space="preserve">Growth remains uneven by segment, and margin pressure is still visible in selected markets. Management is balancing investment with disciplined cost control.</w:t>
      </w:r>
    </w:p>
    <w:p w14:paraId="001000B5" w14:textId="001000B6">
      <w:pPr>
        <w:spacing w:before="120" w:after="120"/>
        <w:jc w:val="center"/>
      </w:pPr>
      <w:r>
        <w:drawing>
          <wp:inline distT="0" distB="0" distL="0" distR="0">
            <wp:extent cx="4680000" cy="2880000"/>
            <wp:effectExtent l="0" t="0" r="0" b="0"/>
            <wp:docPr id="6" name="F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F2.png"/>
                    <pic:cNvPicPr/>
                  </pic:nvPicPr>
                  <pic:blipFill>
                    <a:blip r:embed="R27d6489924f548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B7" w14:textId="001000B8">
      <w:pPr>
        <w:pStyle w:val="ParaFigureCaption"/>
      </w:pPr>
      <w:r>
        <w:rPr/>
        <w:t xml:space="preserve">Figure 2 Industrial operations photo</w:t>
      </w:r>
    </w:p>
    <w:p w14:paraId="001000B9" w14:textId="001000BA">
      <w:pPr>
        <w:pStyle w:val="ParaHeading2"/>
      </w:pPr>
      <w:r>
        <w:rPr/>
        <w:t xml:space="preserve">3. Industrial Solutions</w:t>
      </w:r>
    </w:p>
    <w:p w14:paraId="001000BB" w14:textId="001000BC">
      <w:pPr>
        <w:pStyle w:val="ParaHeading3"/>
      </w:pPr>
      <w:r>
        <w:rPr/>
        <w:t xml:space="preserve">3.2 Risks and Outlook</w:t>
      </w:r>
    </w:p>
    <w:p w14:paraId="001000BD" w14:textId="001000BE">
      <w:pPr>
        <w:pStyle w:val="ParaHeading4"/>
      </w:pPr>
      <w:r>
        <w:rPr/>
        <w:t xml:space="preserve">3.2.1 Key Opportunities</w:t>
      </w:r>
    </w:p>
    <w:p w14:paraId="001000BF" w14:textId="001000C0">
      <w:pPr>
        <w:pStyle w:val="ParaBodyText"/>
      </w:pPr>
      <w:r>
        <w:rPr/>
        <w:t xml:space="preserve">Scale benefits are emerging in core accounts, and product upgrades are supporting retention. The next phase depends on execution and market timing.</w:t>
      </w:r>
    </w:p>
    <w:p w14:paraId="001000C1" w14:textId="001000C2">
      <w:pPr>
        <w:pStyle w:val="ParaHeading4"/>
      </w:pPr>
      <w:r>
        <w:rPr/>
        <w:t xml:space="preserve">3.2.1 Execution Risks</w:t>
      </w:r>
    </w:p>
    <w:p w14:paraId="001000C3" w14:textId="001000C4">
      <w:pPr>
        <w:pStyle w:val="ParaBodyText"/>
      </w:pPr>
      <w:r>
        <w:rPr/>
        <w:t xml:space="preserve">Delivery slippage and pricing discipline remain the main watchpoints. Teams are prioritizing service continuity and cost visibility.</w:t>
      </w:r>
    </w:p>
    <w:p w14:paraId="001000C5" w14:textId="001000C6">
      <w:pPr>
        <w:pStyle w:val="ParaTableCaption"/>
      </w:pPr>
      <w:r>
        <w:rPr/>
        <w:t xml:space="preserve">Table 2 Industrial financial results</w:t>
      </w:r>
    </w:p>
    <w:p w14:paraId="001000C7" w14:textId="001000C8">
      <w:pPr>
        <w:pStyle w:val="ParaHeading2"/>
      </w:pPr>
      <w:r>
        <w:rPr/>
        <w:t xml:space="preserve">3. Consumer Platforms</w:t>
      </w:r>
    </w:p>
    <w:p w14:paraId="001000C9" w14:textId="001000CA">
      <w:pPr>
        <w:pStyle w:val="ParaSegmentNarrative"/>
      </w:pPr>
      <w:r>
        <w:rPr/>
        <w:t xml:space="preserve">Consumer segment performance narrative. Customer activity stayed steady, but mix and conversion varied by channel.</w:t>
      </w:r>
    </w:p>
    <w:p w14:paraId="001000CB" w14:textId="001000CC">
      <w:pPr>
        <w:pStyle w:val="ParaHeading3"/>
      </w:pPr>
      <w:r>
        <w:rPr/>
        <w:t xml:space="preserve">3.3 Performance and Customers</w:t>
      </w:r>
    </w:p>
    <w:p w14:paraId="001000CD" w14:textId="001000CE">
      <w:pPr>
        <w:pStyle w:val="ParaHeading4"/>
      </w:pPr>
      <w:r>
        <w:rPr/>
        <w:t xml:space="preserve">3.3.1 Customer Indicators</w:t>
      </w:r>
    </w:p>
    <w:p w14:paraId="001000CF" w14:textId="001000D0">
      <w:pPr>
        <w:pStyle w:val="ParaFigureCaption"/>
      </w:pPr>
      <w:r>
        <w:rPr/>
        <w:t xml:space="preserve">Figure 3 Customer indicator trends</w:t>
      </w:r>
    </w:p>
    <w:p w14:paraId="001000D1" w14:textId="001000D2">
      <w:pPr>
        <w:pStyle w:val="ParaHeading2"/>
      </w:pPr>
      <w:r>
        <w:rPr/>
        <w:t xml:space="preserve">3. Infrastructure Services</w:t>
      </w:r>
    </w:p>
    <w:p w14:paraId="001000D3" w14:textId="001000D4">
      <w:pPr>
        <w:pStyle w:val="ParaSegmentNarrative"/>
      </w:pPr>
      <w:r>
        <w:rPr/>
        <w:t xml:space="preserve">Infrastructure segment performance narrative. Delivery discipline improved, while backlog conversion stayed selective.</w:t>
      </w:r>
    </w:p>
    <w:p w14:paraId="001000D5" w14:textId="001000D6">
      <w:pPr>
        <w:pStyle w:val="ParaHeading3"/>
      </w:pPr>
      <w:r>
        <w:rPr/>
        <w:t xml:space="preserve">3.4 Capacity and Outlook</w:t>
      </w:r>
    </w:p>
    <w:p w14:paraId="001000D7" w14:textId="001000D8">
      <w:pPr>
        <w:pStyle w:val="ParaHeading4"/>
      </w:pPr>
      <w:r>
        <w:rPr/>
        <w:t xml:space="preserve">3.4.1 Capacity Planning</w:t>
      </w:r>
    </w:p>
    <w:p w14:paraId="001000D9" w14:textId="001000DA">
      <w:pPr>
        <w:pStyle w:val="ParaBodyText"/>
      </w:pPr>
      <w:r>
        <w:rPr/>
        <w:t xml:space="preserve">Resources are aligned to the highest-priority projects, with facilities and staffing kept flexible. The outlook remains tied to pipeline quality and timing.</w:t>
      </w:r>
    </w:p>
    <w:p w14:paraId="001000FA" w14:textId="001000FB">
      <w:pPr>
        <w:sectPr>
          <w:headerReference w:type="default" r:id="Ref9dc1e49d7b4a6c"/>
          <w:footerReference w:type="default" r:id="R01f2c9b6f38f46cc"/>
          <w:type w:val="nextPage"/>
          <w:pgSz w:w="11906" w:h="16838" w:orient="portrait"/>
          <w:pgMar w:top="1417" w:right="1417" w:bottom="1417" w:left="1701"/>
          <w:pgNumType w:fmt="decimal"/>
          <w:cols w:num="1"/>
        </w:sectPr>
      </w:pPr>
    </w:p>
    <w:p w14:paraId="001000DF" w14:textId="001000E0">
      <w:pPr>
        <w:pStyle w:val="ParaHeading1"/>
      </w:pPr>
      <w:r>
        <w:rPr/>
        <w:t xml:space="preserve">Chapter 4 Group Financial Review</w:t>
      </w:r>
    </w:p>
    <w:p w14:paraId="001000E1" w14:textId="001000E2">
      <w:pPr>
        <w:pStyle w:val="ParaHeading2"/>
      </w:pPr>
      <w:r>
        <w:rPr/>
        <w:t xml:space="preserve">4. Financial Performance</w:t>
      </w:r>
    </w:p>
    <w:p w14:paraId="001000E3" w14:textId="001000E4">
      <w:pPr>
        <w:pStyle w:val="ParaExecutiveSummary"/>
      </w:pPr>
      <w:r>
        <w:rPr/>
        <w:t xml:space="preserve">Performance remains resilient, with volume, pricing, and mix supporting revenue. Margin pressure is visible, but cash generation and liquidity headroom stay sol</w:t>
      </w:r>
    </w:p>
    <w:p w14:paraId="001000E5" w14:textId="001000E6">
      <w:pPr>
        <w:pStyle w:val="ParaHeading3"/>
      </w:pPr>
      <w:r>
        <w:rPr/>
        <w:t xml:space="preserve">4.1 Revenue and Profitability</w:t>
      </w:r>
    </w:p>
    <w:p w14:paraId="001000E7" w14:textId="001000E8">
      <w:pPr>
        <w:pStyle w:val="ParaHeading4"/>
      </w:pPr>
      <w:r>
        <w:rPr/>
        <w:t xml:space="preserve">4.1.1 Revenue Drivers</w:t>
      </w:r>
    </w:p>
    <w:p w14:paraId="001000E9" w14:textId="001000EA">
      <w:pPr>
        <w:pStyle w:val="ParaBodyText"/>
      </w:pPr>
      <w:r>
        <w:rPr/>
        <w:t xml:space="preserve">Revenue increased across core markets, helped by a better product mix and selective price realization. Foreign exchange was mixed, but demand held up through th</w:t>
      </w:r>
    </w:p>
    <w:p w14:paraId="001000EB" w14:textId="001000EC">
      <w:pPr>
        <w:pStyle w:val="ParaFigureCaption"/>
      </w:pPr>
      <w:r>
        <w:rPr/>
        <w:t xml:space="preserve">Figure 1 Profitability trend by quarter.</w:t>
      </w:r>
    </w:p>
    <w:p w14:paraId="001000ED" w14:textId="001000EE">
      <w:pPr>
        <w:pStyle w:val="ParaHeading2"/>
      </w:pPr>
      <w:r>
        <w:rPr/>
        <w:t xml:space="preserve">4. Consolidated Statements</w:t>
      </w:r>
    </w:p>
    <w:p w14:paraId="001000EF" w14:textId="001000F0">
      <w:pPr>
        <w:pStyle w:val="ParaHeading3"/>
      </w:pPr>
      <w:r>
        <w:rPr/>
        <w:t xml:space="preserve">4.2 Statement of Financial Position</w:t>
      </w:r>
    </w:p>
    <w:p w14:paraId="001000F1" w14:textId="001000F2">
      <w:pPr>
        <w:pStyle w:val="ParaHeading4"/>
      </w:pPr>
      <w:r>
        <w:rPr/>
        <w:t xml:space="preserve">4.2.1 Assets</w:t>
      </w:r>
    </w:p>
    <w:p w14:paraId="001000F3" w14:textId="001000FC">
      <w:pPr>
        <w:pStyle w:val="ParaFinancialStatementLine"/>
      </w:pPr>
      <w:r>
        <w:rPr/>
        <w:t xml:space="preserve"/>
      </w:r>
      <w:r>
        <w:rPr>
          <w:b/>
        </w:rPr>
        <w:t xml:space="preserve">Primary statements:</w:t>
      </w:r>
      <w:r>
        <w:rPr/>
        <w:t xml:space="preserve"> the balance sheet and income statement are presented below.</w:t>
      </w:r>
    </w:p>
    <w:tbl>
      <w:tblPr>
        <w:tblW w:w="5000" w:type="pct"/>
        <w:jc w:val="center"/>
        <w:tblBorders>
          <w:top w:val="none" w:sz="4"/>
          <w:left w:val="none" w:sz="4"/>
          <w:bottom w:val="none" w:sz="4"/>
          <w:right w:val="none" w:sz="4"/>
          <w:insideH w:val="none" w:sz="4"/>
          <w:insideV w:val="none" w:sz="4"/>
        </w:tblBorders>
      </w:tblPr>
      <w:tblGrid>
        <w:gridCol w:w="4153"/>
        <w:gridCol w:w="4153"/>
      </w:tblGrid>
      <w:tr>
        <w:trPr>
          <w:tblHeader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01000FD" w14:textId="00100109">
            <w:pPr>
              <w:pStyle w:val="ParaTblStubCell"/>
            </w:pPr>
            <w:r>
              <w:t xml:space="preserve">Assets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0FF" w14:textId="0010010A">
            <w:pPr>
              <w:pStyle w:val="ParaTblDataCell"/>
            </w:pPr>
            <w:r>
              <w:t xml:space="preserve">Cash and equivalents 120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0100101" w14:textId="0010010B">
            <w:pPr>
              <w:pStyle w:val="ParaTblStubCell"/>
            </w:pPr>
            <w:r>
              <w:t xml:space="preserve">Liabilities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103" w14:textId="0010010C">
            <w:pPr>
              <w:pStyle w:val="ParaTblDataCell"/>
            </w:pPr>
            <w:r>
              <w:t xml:space="preserve">Borrowings 80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0100105" w14:textId="0010010D">
            <w:pPr>
              <w:pStyle w:val="ParaTblStubCell"/>
            </w:pPr>
            <w:r>
              <w:t xml:space="preserve">Equity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107" w14:textId="0010010E">
            <w:pPr>
              <w:pStyle w:val="ParaTblDataCell"/>
            </w:pPr>
            <w:r>
              <w:t xml:space="preserve">Net assets 40</w:t>
            </w:r>
          </w:p>
        </w:tc>
      </w:tr>
    </w:tbl>
    <w:p w14:paraId="0010010F" w14:textId="00100110">
      <w:pPr>
        <w:pStyle w:val="ParaTableCaption"/>
      </w:pPr>
      <w:r>
        <w:rPr/>
        <w:t xml:space="preserve">Statement of financial position</w:t>
      </w:r>
    </w:p>
    <w:tbl>
      <w:tblPr>
        <w:tblW w:w="5000" w:type="pct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3"/>
        <w:gridCol w:w="4153"/>
      </w:tblGrid>
      <w:tr>
        <w:trPr>
          <w:tblHeader/>
        </w:trPr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top"/>
          </w:tcPr>
          <w:p w14:paraId="00100111" w14:textId="0010011D">
            <w:pPr>
              <w:pStyle w:val="ParaTblStubCell"/>
            </w:pPr>
            <w:r>
              <w:t xml:space="preserve">Facility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113" w14:textId="0010011E">
            <w:pPr>
              <w:pStyle w:val="ParaTblDataCell"/>
            </w:pPr>
            <w:r>
              <w:t xml:space="preserve">Revolving credit facility</w:t>
            </w:r>
          </w:p>
        </w:tc>
      </w:tr>
      <w:tr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top"/>
          </w:tcPr>
          <w:p w14:paraId="00100115" w14:textId="0010011F">
            <w:pPr>
              <w:pStyle w:val="ParaTblStubCell"/>
            </w:pPr>
            <w:r>
              <w:t xml:space="preserve">Due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117" w14:textId="00100120">
            <w:pPr>
              <w:pStyle w:val="ParaTblDataCell"/>
            </w:pPr>
            <w:r>
              <w:t xml:space="preserve">2027</w:t>
            </w:r>
          </w:p>
        </w:tc>
      </w:tr>
      <w:tr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top"/>
          </w:tcPr>
          <w:p w14:paraId="00100119" w14:textId="00100121">
            <w:pPr>
              <w:pStyle w:val="ParaTblStubCell"/>
            </w:pPr>
            <w:r>
              <w:t xml:space="preserve">Covenant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11B" w14:textId="00100122">
            <w:pPr>
              <w:pStyle w:val="ParaTblDataCell"/>
            </w:pPr>
            <w:r>
              <w:t xml:space="preserve">Net debt / EBITDA 2.5x</w:t>
            </w:r>
          </w:p>
        </w:tc>
      </w:tr>
    </w:tbl>
    <w:p w14:paraId="00100154" w14:textId="00100155">
      <w:pPr>
        <w:sectPr>
          <w:headerReference w:type="default" r:id="Rd62c8fb3e0f546cf"/>
          <w:footerReference w:type="default" r:id="R525f402f2a7e4ab8"/>
          <w:type w:val="nextPage"/>
          <w:pgSz w:w="11906" w:h="16838" w:orient="portrait"/>
          <w:pgMar w:top="1417" w:right="1417" w:bottom="1417" w:left="1417"/>
          <w:pgNumType w:fmt="decimal"/>
          <w:cols w:num="1"/>
        </w:sectPr>
      </w:pPr>
    </w:p>
    <w:p w14:paraId="00100127" w14:textId="00100128">
      <w:pPr>
        <w:pStyle w:val="ParaHeading1"/>
      </w:pPr>
      <w:r>
        <w:rPr/>
        <w:t xml:space="preserve">Chapter 5 Corporate Governance</w:t>
      </w:r>
    </w:p>
    <w:p w14:paraId="00100129" w14:textId="0010012A">
      <w:pPr>
        <w:pStyle w:val="ParaHeading2"/>
      </w:pPr>
      <w:r>
        <w:rPr/>
        <w:t xml:space="preserve">5. Governance Framework</w:t>
      </w:r>
    </w:p>
    <w:p w14:paraId="0010012B" w14:textId="00100133">
      <w:pPr>
        <w:pStyle w:val="ParaBodyText"/>
      </w:pPr>
      <w:r>
        <w:rPr/>
        <w:t xml:space="preserve"/>
      </w:r>
      <w:r>
        <w:rPr>
          <w:b/>
        </w:rPr>
        <w:t xml:space="preserve">Note:</w:t>
      </w:r>
      <w:r>
        <w:rPr/>
        <w:t xml:space="preserve"> The board oversight model links committee review with </w:t>
      </w:r>
      <w:r>
        <w:rPr>
          <w:i/>
        </w:rPr>
        <w:t xml:space="preserve">operating effectiveness</w:t>
      </w:r>
      <w:r>
        <w:rPr/>
        <w:t xml:space="preserve"> and clear accountability. The policy owner signs </w:t>
      </w:r>
      <w:r>
        <w:rPr>
          <w:u w:val="single"/>
        </w:rPr>
        <w:t xml:space="preserve">______</w:t>
      </w:r>
      <w:r>
        <w:rPr/>
        <w:t xml:space="preserve"> after each annual re</w:t>
      </w:r>
      <w:r>
        <w:rPr>
          <w:vertAlign w:val="superscript"/>
        </w:rPr>
        <w:t xml:space="preserve">1</w:t>
      </w:r>
    </w:p>
    <w:p w14:paraId="00100134" w14:textId="00100135">
      <w:pPr>
        <w:pStyle w:val="ParaFigureCaption"/>
      </w:pPr>
      <w:r>
        <w:rPr/>
        <w:t xml:space="preserve">Figure 1 Governance structure overview</w:t>
      </w:r>
    </w:p>
    <w:p w14:paraId="00100136" w14:textId="00100137">
      <w:pPr>
        <w:pStyle w:val="ParaHeading3"/>
      </w:pPr>
      <w:r>
        <w:rPr/>
        <w:t xml:space="preserve">5.1 Board Oversight</w:t>
      </w:r>
    </w:p>
    <w:p w14:paraId="00100138" w14:textId="00100139">
      <w:pPr>
        <w:pStyle w:val="ParaHeading4"/>
      </w:pPr>
      <w:r>
        <w:rPr/>
        <w:t xml:space="preserve">5.1.1 Board Responsibilities</w:t>
      </w:r>
    </w:p>
    <w:p w14:paraId="0010013A" w14:textId="0010013B">
      <w:pPr>
        <w:pStyle w:val="ParaBodyText"/>
      </w:pPr>
      <w:r>
        <w:rPr/>
        <w:t xml:space="preserve">Reserved matters, delegation limits, and annual evaluation are kept visible in the board calendar. Succession and skills coverage are reviewed alongside attenda</w:t>
      </w:r>
    </w:p>
    <w:tbl>
      <w:tblPr>
        <w:tblW w:w="4500" w:type="pct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fill="F3F6F9"/>
            <w:vAlign w:val="center"/>
          </w:tcPr>
          <w:p w14:paraId="0010013C" w14:textId="00100156">
            <w:pPr>
              <w:pStyle w:val="ParaTblHeaderCell"/>
            </w:pPr>
            <w:r>
              <w:t xml:space="preserve">Role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fill="F3F6F9"/>
            <w:vAlign w:val="center"/>
          </w:tcPr>
          <w:p w14:paraId="0010013E" w14:textId="00100157">
            <w:pPr>
              <w:pStyle w:val="ParaTblHeaderCell"/>
            </w:pPr>
            <w:r>
              <w:t xml:space="preserve">Name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fill="F3F6F9"/>
            <w:vAlign w:val="center"/>
          </w:tcPr>
          <w:p w14:paraId="00100140" w14:textId="00100158">
            <w:pPr>
              <w:pStyle w:val="ParaTblHeaderCell"/>
            </w:pPr>
            <w:r>
              <w:t xml:space="preserve">Experience</w:t>
            </w:r>
          </w:p>
        </w:tc>
      </w:tr>
      <w:tr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142" w14:textId="00100159">
            <w:pPr>
              <w:pStyle w:val="ParaTblStubCell"/>
            </w:pPr>
            <w:r>
              <w:t xml:space="preserve">Chair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144" w14:textId="0010015A">
            <w:pPr>
              <w:pStyle w:val="ParaTblDataCell"/>
            </w:pPr>
            <w:r>
              <w:t xml:space="preserve">A. Chen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146" w14:textId="0010015B">
            <w:pPr>
              <w:pStyle w:val="ParaTblDataCell"/>
            </w:pPr>
            <w:r>
              <w:t xml:space="preserve">Independent director, audit background</w:t>
            </w:r>
          </w:p>
        </w:tc>
      </w:tr>
      <w:tr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148" w14:textId="0010015C">
            <w:pPr>
              <w:pStyle w:val="ParaTblStubCell"/>
            </w:pPr>
            <w:r>
              <w:t xml:space="preserve">CEO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14A" w14:textId="0010015D">
            <w:pPr>
              <w:pStyle w:val="ParaTblDataCell"/>
            </w:pPr>
            <w:r>
              <w:t xml:space="preserve">M. Patel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14C" w14:textId="0010015E">
            <w:pPr>
              <w:pStyle w:val="ParaTblDataCell"/>
            </w:pPr>
            <w:r>
              <w:t xml:space="preserve">Operations and capital allocation</w:t>
            </w:r>
          </w:p>
        </w:tc>
      </w:tr>
      <w:tr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14E" w14:textId="0010015F">
            <w:pPr>
              <w:pStyle w:val="ParaTblStubCell"/>
            </w:pPr>
            <w:r>
              <w:t xml:space="preserve">CFO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150" w14:textId="00100160">
            <w:pPr>
              <w:pStyle w:val="ParaTblDataCell"/>
            </w:pPr>
            <w:r>
              <w:t xml:space="preserve">L. Wong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152" w14:textId="00100161">
            <w:pPr>
              <w:pStyle w:val="ParaTblDataCell"/>
            </w:pPr>
            <w:r>
              <w:t xml:space="preserve">Finance, controls, and repo</w:t>
            </w:r>
          </w:p>
        </w:tc>
      </w:tr>
    </w:tbl>
    <w:p w14:paraId="00100162" w14:textId="00100163">
      <w:pPr>
        <w:pStyle w:val="ParaFigureCaption"/>
      </w:pPr>
      <w:r>
        <w:rPr/>
        <w:t xml:space="preserve">Figure 2 Leadership portrait of the chair</w:t>
      </w:r>
    </w:p>
    <w:p w14:paraId="00100164" w14:textId="00100165">
      <w:pPr>
        <w:spacing w:before="120" w:after="120"/>
        <w:jc w:val="center"/>
      </w:pPr>
      <w:r>
        <w:drawing>
          <wp:inline distT="0" distB="0" distL="0" distR="0">
            <wp:extent cx="2880000" cy="3600000"/>
            <wp:effectExtent l="0" t="0" r="0" b="0"/>
            <wp:docPr id="7" name="F2_7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F2_7.png"/>
                    <pic:cNvPicPr/>
                  </pic:nvPicPr>
                  <pic:blipFill>
                    <a:blip r:embed="Rebb2cf74a81f4f7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66" w14:textId="00100167">
      <w:pPr>
        <w:pStyle w:val="ParaHeading3"/>
      </w:pPr>
      <w:r>
        <w:rPr/>
        <w:t xml:space="preserve">5.1 Committee Activities</w:t>
      </w:r>
    </w:p>
    <w:p w14:paraId="00100168" w14:textId="00100169">
      <w:pPr>
        <w:pStyle w:val="ParaHeading4"/>
      </w:pPr>
      <w:r>
        <w:rPr/>
        <w:t xml:space="preserve">5.1.2 Audit and Risk Committee</w:t>
      </w:r>
    </w:p>
    <w:p w14:paraId="0010016A" w14:textId="0010016B">
      <w:pPr>
        <w:pStyle w:val="ParaBodyText"/>
      </w:pPr>
      <w:r>
        <w:rPr/>
        <w:t xml:space="preserve">The committee reviews financial reporting, internal controls, and key risk actions. It also tracks remediation progress and closes issues only after evidence is</w:t>
      </w:r>
    </w:p>
    <w:p w14:paraId="001001E0" w14:textId="001001E1">
      <w:pPr>
        <w:sectPr>
          <w:headerReference w:type="default" r:id="R32e8259adae147ac"/>
          <w:footerReference w:type="default" r:id="Rb2fab5b3368644ea"/>
          <w:type w:val="nextPage"/>
          <w:pgSz w:w="11906" w:h="16838" w:orient="portrait"/>
          <w:pgMar w:top="1417" w:right="1417" w:bottom="1417" w:left="1701"/>
          <w:pgNumType w:fmt="decimal"/>
          <w:cols w:num="1"/>
        </w:sectPr>
      </w:pPr>
    </w:p>
    <w:p w14:paraId="00100170" w14:textId="00100171">
      <w:pPr>
        <w:pStyle w:val="ParaHeading1"/>
      </w:pPr>
      <w:r>
        <w:rPr/>
        <w:t xml:space="preserve">Chapter 6 Risk Management</w:t>
      </w:r>
    </w:p>
    <w:p w14:paraId="00100172" w14:textId="00100175">
      <w:pPr>
        <w:pStyle w:val="ParaBodyText"/>
      </w:pPr>
      <w:r>
        <w:rPr/>
        <w:t xml:space="preserve">The section outlines how Rivermark identifies, ranks, and responds to material uncertainties across operations and capital planning. </w:t>
      </w:r>
      <w:r>
        <w:rPr>
          <w:b/>
        </w:rPr>
        <w:t xml:space="preserve">Overall conclusion:</w:t>
      </w:r>
      <w:r>
        <w:rPr/>
        <w:t xml:space="preserve"> managem</w:t>
      </w:r>
    </w:p>
    <w:p w14:paraId="00100176" w14:textId="00100177">
      <w:pPr>
        <w:pStyle w:val="ParaHeading2"/>
      </w:pPr>
      <w:r>
        <w:rPr/>
        <w:t xml:space="preserve">6. Risk Framework</w:t>
      </w:r>
    </w:p>
    <w:p w14:paraId="00100178" w14:textId="0010017B">
      <w:pPr>
        <w:pStyle w:val="ParaBodyText"/>
      </w:pPr>
      <w:r>
        <w:rPr/>
        <w:t xml:space="preserve">The framework links strategy,</w:t>
      </w:r>
      <w:r>
        <w:rPr>
          <w:i/>
        </w:rPr>
        <w:t xml:space="preserve">integrated value model</w:t>
      </w:r>
      <w:r>
        <w:rPr/>
        <w:t xml:space="preserve"> controls, and reporting so that significant issues are escalated through a defined committee route. Each assessment considers like</w:t>
      </w:r>
    </w:p>
    <w:p w14:paraId="0010017C" w14:textId="0010017D">
      <w:pPr>
        <w:pStyle w:val="ParaHeading3"/>
      </w:pPr>
      <w:r>
        <w:rPr/>
        <w:t xml:space="preserve">6.1 Risk Governance</w:t>
      </w:r>
    </w:p>
    <w:p w14:paraId="0010017E" w14:textId="0010017F">
      <w:pPr>
        <w:pStyle w:val="ParaHeading4"/>
      </w:pPr>
      <w:r>
        <w:rPr/>
        <w:t xml:space="preserve">6.1.1 Risk Appetite</w:t>
      </w:r>
    </w:p>
    <w:p w14:paraId="00100180" w14:textId="00100181">
      <w:pPr>
        <w:pStyle w:val="ParaExecutiveSummary"/>
      </w:pPr>
      <w:r>
        <w:rPr/>
        <w:t xml:space="preserve">Sustainability and impact disclosures connect environmental, workforce, and community outcomes to the group risk model. The specimen shows how concise summary t</w:t>
      </w:r>
    </w:p>
    <w:p w14:paraId="001001E2" w14:textId="001001E3">
      <w:pPr>
        <w:sectPr>
          <w:headerReference w:type="default" r:id="R2660cc1b4956413f"/>
          <w:footerReference w:type="default" r:id="R924ac68ccf6d4f59"/>
          <w:type w:val="nextPage"/>
          <w:pgSz w:w="11906" w:h="16838" w:orient="portrait"/>
          <w:pgMar w:top="1417" w:right="1417" w:bottom="1417" w:left="1701"/>
          <w:pgNumType w:fmt="decimal"/>
          <w:cols w:num="1"/>
        </w:sectPr>
      </w:pPr>
    </w:p>
    <w:p w14:paraId="00100186" w14:textId="00100187">
      <w:pPr>
        <w:pStyle w:val="ParaHeading1"/>
      </w:pPr>
      <w:r>
        <w:rPr/>
        <w:t xml:space="preserve">Chapter 7 Financial Note Disclosures</w:t>
      </w:r>
    </w:p>
    <w:p w14:paraId="00100188" w14:textId="00100189">
      <w:pPr>
        <w:pStyle w:val="ParaExecutiveSummary"/>
      </w:pPr>
      <w:r>
        <w:rPr/>
        <w:t xml:space="preserve">These notes explain the judgment behind group structure, revenue recognition, and segment reporting. They are written for quick scanning, but each item still ti</w:t>
      </w:r>
    </w:p>
    <w:p w14:paraId="0010018A" w14:textId="0010018D">
      <w:pPr>
        <w:pStyle w:val="ParaBodyText"/>
      </w:pPr>
      <w:r>
        <w:rPr/>
        <w:t xml:space="preserve">The disclosures are organized from group composition through business combinations and revenue. Basis note </w:t>
      </w:r>
      <w:r>
        <w:rPr>
          <w:vertAlign w:val="superscript"/>
        </w:rPr>
        <w:t xml:space="preserve">1</w:t>
      </w:r>
      <w:r>
        <w:rPr/>
        <w:t xml:space="preserve"> applies to these disclosures.</w:t>
      </w:r>
    </w:p>
    <w:p w14:paraId="0010018E" w14:textId="0010018F">
      <w:pPr>
        <w:pStyle w:val="ParaHeading2"/>
      </w:pPr>
      <w:r>
        <w:rPr/>
        <w:t xml:space="preserve">7. Group and Revenue Notes</w:t>
      </w:r>
    </w:p>
    <w:p w14:paraId="00100190" w14:textId="00100191">
      <w:pPr>
        <w:pStyle w:val="ParaDisclosureNote"/>
      </w:pPr>
      <w:r>
        <w:rPr/>
        <w:t xml:space="preserve">This note sets the disclosure basis for control, ownership, and revenue timing. It also defines when a subsidiary, contract balance, or segment view needs separ</w:t>
      </w:r>
    </w:p>
    <w:p w14:paraId="00100192" w14:textId="00100193">
      <w:pPr>
        <w:pStyle w:val="ParaHeading3"/>
      </w:pPr>
      <w:r>
        <w:rPr/>
        <w:t xml:space="preserve">7.1 Group Composition</w:t>
      </w:r>
    </w:p>
    <w:p w14:paraId="00100194" w14:textId="00100195">
      <w:pPr>
        <w:pStyle w:val="ParaHeading4"/>
      </w:pPr>
      <w:r>
        <w:rPr/>
        <w:t xml:space="preserve">7.1.1 Subsidiaries</w:t>
      </w:r>
    </w:p>
    <w:p w14:paraId="00100196" w14:textId="00100197">
      <w:pPr>
        <w:pStyle w:val="ParaHeading5"/>
      </w:pPr>
      <w:r>
        <w:rPr/>
        <w:t xml:space="preserve">7.1.1.1 Ownership Details</w:t>
      </w:r>
    </w:p>
    <w:p w14:paraId="00100198" w14:textId="00100199">
      <w:pPr>
        <w:pStyle w:val="ParaHeading6"/>
      </w:pPr>
      <w:r>
        <w:rPr/>
        <w:t xml:space="preserve">7.1.1.1.1 Control Assessment</w:t>
      </w:r>
    </w:p>
    <w:p w14:paraId="0010019A" w14:textId="0010019B">
      <w:pPr>
        <w:pStyle w:val="ParaHeading6"/>
      </w:pPr>
      <w:r>
        <w:rPr/>
        <w:t xml:space="preserve">7.1.1.1.1 Noncontrolling Interests</w:t>
      </w:r>
    </w:p>
    <w:p w14:paraId="001001E4" w14:textId="001001E5">
      <w:pPr>
        <w:sectPr>
          <w:headerReference w:type="default" r:id="Rd38c159c83744e8d"/>
          <w:footerReference w:type="default" r:id="R730fdab57f744178"/>
          <w:type w:val="nextPage"/>
          <w:pgSz w:w="11906" w:h="16838" w:orient="portrait"/>
          <w:pgMar w:top="1417" w:right="1417" w:bottom="1417" w:left="1417"/>
          <w:pgNumType w:fmt="decimal"/>
          <w:cols w:num="1"/>
        </w:sectPr>
      </w:pPr>
    </w:p>
    <w:p w14:paraId="001001A0" w14:textId="001001A1">
      <w:pPr>
        <w:pStyle w:val="ParaAnnexHeading"/>
      </w:pPr>
      <w:r>
        <w:rPr/>
        <w:t xml:space="preserve">Supplementary Disclosures</w:t>
      </w:r>
    </w:p>
    <w:p w14:paraId="001001A2" w14:textId="001001A3">
      <w:pPr>
        <w:pStyle w:val="ParaHeading1"/>
      </w:pPr>
      <w:r>
        <w:rPr/>
        <w:t xml:space="preserve">Chapter 8 Additional Financial Information</w:t>
      </w:r>
    </w:p>
    <w:p w14:paraId="001001A4" w14:textId="001001A7">
      <w:pPr>
        <w:pStyle w:val="ParaExecutiveSummary"/>
      </w:pPr>
      <w:r>
        <w:rPr/>
        <w:t xml:space="preserve"/>
      </w:r>
      <w:r>
        <w:rPr>
          <w:b/>
        </w:rPr>
        <w:t xml:space="preserve">Note:</w:t>
      </w:r>
      <w:r>
        <w:rPr/>
        <w:t xml:space="preserve"> This annex collects non-statutory supplements, assurance context, and shareholder reference material in one place. It keeps the main report lean while pre</w:t>
      </w:r>
    </w:p>
    <w:p w14:paraId="001001A8" w14:textId="001001A9">
      <w:pPr>
        <w:pStyle w:val="ParaHeading2"/>
      </w:pPr>
      <w:r>
        <w:rPr/>
        <w:t xml:space="preserve">8. Reporting Basis</w:t>
      </w:r>
    </w:p>
    <w:p w14:paraId="001001AA" w14:textId="001001AD">
      <w:pPr>
        <w:pStyle w:val="ParaBodyText"/>
      </w:pPr>
      <w:r>
        <w:rPr/>
        <w:t xml:space="preserve">The group defines </w:t>
      </w:r>
      <w:r>
        <w:rPr>
          <w:i/>
        </w:rPr>
        <w:t xml:space="preserve">operating supplements</w:t>
      </w:r>
      <w:r>
        <w:rPr/>
        <w:t xml:space="preserve"> consistently across periods so that trend review remains comparable. Key terms are aligned to the internal policy set an</w:t>
      </w:r>
    </w:p>
    <w:p w14:paraId="001001AE" w14:textId="001001AF">
      <w:pPr>
        <w:pStyle w:val="ParaHeading3"/>
      </w:pPr>
      <w:r>
        <w:rPr/>
        <w:t xml:space="preserve">8.1 Methods and Definitions</w:t>
      </w:r>
    </w:p>
    <w:p w14:paraId="001001B0" w14:textId="001001B3">
      <w:pPr>
        <w:pStyle w:val="ParaSourceNote"/>
      </w:pPr>
      <w:r>
        <w:rPr/>
        <w:t xml:space="preserve"/>
      </w:r>
      <w:r>
        <w:rPr>
          <w:b/>
        </w:rPr>
        <w:t xml:space="preserve">Source note:</w:t>
      </w:r>
      <w:r>
        <w:rPr/>
        <w:t xml:space="preserve"> figures are compiled from management reporting packs and reviewed against the final consolidation file. Minor rounding differences may occur when t</w:t>
      </w:r>
    </w:p>
    <w:p w14:paraId="001001B4" w14:textId="001001B5">
      <w:pPr>
        <w:pStyle w:val="ParaHeading4"/>
      </w:pPr>
      <w:r>
        <w:rPr/>
        <w:t xml:space="preserve">8.1.1 Selected Terms</w:t>
      </w:r>
    </w:p>
    <w:p w14:paraId="001001B6" w14:textId="001001B9">
      <w:pPr>
        <w:pStyle w:val="ParaGlossaryEntry"/>
      </w:pPr>
      <w:r>
        <w:rPr/>
        <w:t xml:space="preserve">Adjusted EBITDA,</w:t>
      </w:r>
      <w:r>
        <w:rPr>
          <w:i/>
        </w:rPr>
        <w:t xml:space="preserve">integrated value model</w:t>
      </w:r>
      <w:r>
        <w:rPr/>
        <w:t xml:space="preserve"> profit before finance costs, tax, depreciation, and amortization after defined normalization items.</w:t>
      </w:r>
    </w:p>
    <w:p w14:paraId="001001BA" w14:textId="001001BD">
      <w:pPr>
        <w:pStyle w:val="ParaGlossaryEntry"/>
      </w:pPr>
      <w:r>
        <w:rPr/>
        <w:t xml:space="preserve">Free cash flow,</w:t>
      </w:r>
      <w:r>
        <w:rPr>
          <w:i/>
        </w:rPr>
        <w:t xml:space="preserve">integrated value model</w:t>
      </w:r>
      <w:r>
        <w:rPr/>
        <w:t xml:space="preserve"> cash generated after maintenance capital expenditure and required lease payments.</w:t>
      </w:r>
    </w:p>
    <w:p w14:paraId="001001BE" w14:textId="001001BF">
      <w:pPr>
        <w:pStyle w:val="ParaHeading2"/>
      </w:pPr>
      <w:r>
        <w:rPr/>
        <w:t xml:space="preserve">8. Shareholder Information</w:t>
      </w:r>
    </w:p>
    <w:p w14:paraId="001001C0" w14:textId="001001C1">
      <w:pPr>
        <w:pStyle w:val="ParaContactInfo"/>
      </w:pPr>
      <w:r>
        <w:rPr/>
        <w:t xml:space="preserve">Investor Relations|ir@rivermark.com</w:t>
      </w:r>
    </w:p>
    <w:p w14:paraId="001001C2" w14:textId="001001C3">
      <w:pPr>
        <w:pStyle w:val="ParaContactInfo"/>
      </w:pPr>
      <w:r>
        <w:rPr/>
        <w:t xml:space="preserve">Telephone|+1 555 014 2200</w:t>
      </w:r>
    </w:p>
    <w:p w14:paraId="001001C4" w14:textId="001001C5">
      <w:pPr>
        <w:pStyle w:val="ParaContactInfo"/>
      </w:pPr>
      <w:r>
        <w:rPr/>
        <w:t xml:space="preserve">Address|1200 Riverfront Plaza, Boston, MA 02110</w:t>
      </w:r>
    </w:p>
    <w:p w14:paraId="001001C6" w14:textId="001001C7">
      <w:pPr>
        <w:pStyle w:val="ParaHeading3"/>
      </w:pPr>
      <w:r>
        <w:rPr/>
        <w:t xml:space="preserve">8.2 Reference Notes</w:t>
      </w:r>
    </w:p>
    <w:p w14:paraId="001001C8" w14:textId="001001CB">
      <w:pPr>
        <w:pStyle w:val="ParaBodyText"/>
      </w:pPr>
      <w:r>
        <w:rPr/>
        <w:t xml:space="preserve">The board-approved policy is disclosed for readers who need the control basis behind supplemental measures. See note </w:t>
      </w:r>
      <w:r>
        <w:rPr>
          <w:vertAlign w:val="superscript"/>
        </w:rPr>
        <w:t xml:space="preserve">1</w:t>
      </w:r>
      <w:r>
        <w:rPr/>
        <w:t xml:space="preserve"> for the principal reconciliation line.</w:t>
      </w:r>
    </w:p>
    <w:p w14:paraId="001001E6" w14:textId="001001E7">
      <w:pPr>
        <w:sectPr>
          <w:headerReference w:type="default" r:id="Redc9da47d3c646cd"/>
          <w:footerReference w:type="default" r:id="Racbfe7fb523c484f"/>
          <w:type w:val="nextPage"/>
          <w:pgSz w:w="11906" w:h="16838" w:orient="portrait"/>
          <w:pgMar w:top="1417" w:right="1417" w:bottom="1417" w:left="1701"/>
          <w:pgNumType w:fmt="decimal"/>
          <w:cols w:num="1"/>
        </w:sectPr>
      </w:pPr>
    </w:p>
    <w:p w14:paraId="001001D0" w14:textId="001001D1">
      <w:pPr>
        <w:pStyle w:val="ParaAnnexHeading"/>
      </w:pPr>
      <w:r>
        <w:rPr/>
        <w:t xml:space="preserve">Glossary and Contacts</w:t>
      </w:r>
    </w:p>
    <w:p w14:paraId="001001D2" w14:textId="001001D5">
      <w:pPr>
        <w:pStyle w:val="ParaBodyText"/>
      </w:pPr>
      <w:r>
        <w:rPr/>
        <w:t xml:space="preserve"/>
      </w:r>
      <w:r>
        <w:rPr>
          <w:b/>
        </w:rPr>
        <w:t xml:space="preserve">Reference scope:</w:t>
      </w:r>
      <w:r>
        <w:rPr/>
        <w:t xml:space="preserve"> this annex defines the terms used in the report and lists the contact channels for follow-up. It is intended for quick lookup, not as a full po</w:t>
      </w:r>
    </w:p>
    <w:p w14:paraId="001001D6" w14:textId="001001DB">
      <w:pPr>
        <w:pStyle w:val="ParaGlossaryEntry"/>
      </w:pPr>
      <w:r>
        <w:rPr/>
        <w:t xml:space="preserve"/>
      </w:r>
      <w:r>
        <w:rPr>
          <w:b/>
        </w:rPr>
        <w:t xml:space="preserve">Liquidity:</w:t>
      </w:r>
      <w:r>
        <w:rPr/>
        <w:t xml:space="preserve"> the ability to meet obligations as they fall due, measured against cash and committed facilities. </w:t>
      </w:r>
      <w:r>
        <w:rPr>
          <w:i/>
        </w:rPr>
        <w:t xml:space="preserve">Operating effectiveness</w:t>
      </w:r>
      <w:r>
        <w:rPr/>
        <w:t xml:space="preserve">: the degree to which a cont</w:t>
      </w:r>
    </w:p>
    <w:p w14:paraId="001001DC" w14:textId="001001DF">
      <w:pPr>
        <w:pStyle w:val="ParaContactInfo"/>
      </w:pPr>
      <w:r>
        <w:rPr/>
        <w:t xml:space="preserve"/>
      </w:r>
      <w:r>
        <w:rPr>
          <w:b/>
        </w:rPr>
        <w:t xml:space="preserve">Key point:</w:t>
      </w:r>
      <w:r>
        <w:rPr/>
        <w:t xml:space="preserve"> Investor Relations|investors@rivermark.com</w:t>
        <w:br/>
        <w:t xml:space="preserve">Registered Office|12 Harbour Road, London</w:t>
        <w:br/>
        <w:t xml:space="preserve">General Enquiries|+44 20 5555 0148</w:t>
      </w:r>
    </w:p>
    <w:p w14:paraId="001001E8" w14:textId="001001E9">
      <w:pPr>
        <w:sectPr>
          <w:headerReference w:type="default" r:id="Rb1b2c72288f7475c"/>
          <w:footerReference w:type="default" r:id="R6be74d5fc5874742"/>
          <w:type w:val="nextPage"/>
          <w:pgSz w:w="11906" w:h="16838" w:orient="portrait"/>
          <w:pgMar w:top="1417" w:right="1417" w:bottom="1417" w:left="1701"/>
          <w:pgNumType w:fmt="decimal"/>
          <w:cols w:num="1"/>
        </w:sectPr>
      </w:pPr>
    </w:p>
    <w:p w14:paraId="001001EE" w14:textId="001001EF">
      <w:pPr>
        <w:pStyle w:val="ParaAnnexHeading"/>
      </w:pPr>
      <w:r>
        <w:rPr/>
        <w:t xml:space="preserve">Legal Notice</w:t>
      </w:r>
    </w:p>
    <w:p w14:paraId="001001F0" w14:textId="001001F5">
      <w:pPr>
        <w:pStyle w:val="ParaLegalNotice"/>
      </w:pPr>
      <w:r>
        <w:rPr/>
        <w:t xml:space="preserve"/>
      </w:r>
      <w:r>
        <w:rPr>
          <w:b/>
        </w:rPr>
        <w:t xml:space="preserve">Forward-looking statement basis</w:t>
      </w:r>
      <w:r>
        <w:rPr/>
        <w:t xml:space="preserve">: This report includes statements about expected results, </w:t>
      </w:r>
      <w:r>
        <w:rPr>
          <w:i/>
        </w:rPr>
        <w:t xml:space="preserve">market conditions</w:t>
      </w:r>
      <w:r>
        <w:rPr/>
        <w:t xml:space="preserve">, and capital allocation that are subject to change.</w:t>
      </w:r>
    </w:p>
    <w:p w14:paraId="001001F6" w14:textId="001001F9">
      <w:pPr>
        <w:pStyle w:val="ParaLegalNotice"/>
      </w:pPr>
      <w:r>
        <w:rPr/>
        <w:t xml:space="preserve">Key </w:t>
      </w:r>
      <w:r>
        <w:rPr>
          <w:i/>
        </w:rPr>
        <w:t xml:space="preserve">integrated value model</w:t>
      </w:r>
      <w:r>
        <w:rPr/>
        <w:t xml:space="preserve"> point: Readers should treat these statements as estimates only. Actual outcomes may differ because of regulatory, operational, and financing factors.</w:t>
      </w:r>
    </w:p>
    <w:sectPr>
      <w:headerReference w:type="default" r:id="Rad92ed1d38624c09"/>
      <w:footerReference w:type="default" r:id="R184e713fe1a549dc"/>
      <w:type w:val="nextPage"/>
      <w:pgSz w:w="11906" w:h="16838" w:orient="portrait"/>
      <w:pgMar w:top="1417" w:right="1417" w:bottom="1701" w:left="1701"/>
      <w:pgNumType w:fmt="decimal"/>
      <w:cols w:equalWidth="true" w:space="720" w:num="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18" w14:textId="00100019">
    <w:pPr>
      <w:jc w:val="center"/>
    </w:pPr>
    <w:r>
      <w:rPr>
        <w:color w:val="B0B0B0"/>
        <w:sz w:val="18"/>
      </w:rPr>
      <w:t xml:space="preserve"/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24" w14:textId="00100025">
    <w:pPr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separate"/>
    </w:r>
    <w:r>
      <w:rPr>
        <w:color w:val="808080"/>
        <w:sz w:val="18"/>
      </w:rPr>
      <w:t xml:space="preserve">1</w:t>
    </w:r>
    <w:r>
      <w:rPr>
        <w:color w:val="808080"/>
        <w:sz w:val="18"/>
      </w:rPr>
      <w:fldChar w:fldCharType="end"/>
    </w:r>
  </w:p>
</w:ftr>
</file>

<file path=word/footer3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33" w14:textId="00100034">
    <w:pPr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separate"/>
    </w:r>
    <w:r>
      <w:rPr>
        <w:color w:val="808080"/>
        <w:sz w:val="18"/>
      </w:rPr>
      <w:t xml:space="preserve">1</w:t>
    </w:r>
    <w:r>
      <w:rPr>
        <w:color w:val="808080"/>
        <w:sz w:val="18"/>
      </w:rPr>
      <w:fldChar w:fldCharType="end"/>
    </w:r>
  </w:p>
</w:ftr>
</file>

<file path=word/footer4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6D" w14:textId="0010006E">
    <w:pPr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separate"/>
    </w:r>
    <w:r>
      <w:rPr>
        <w:color w:val="808080"/>
        <w:sz w:val="18"/>
      </w:rPr>
      <w:t xml:space="preserve">1</w:t>
    </w:r>
    <w:r>
      <w:rPr>
        <w:color w:val="808080"/>
        <w:sz w:val="18"/>
      </w:rPr>
      <w:fldChar w:fldCharType="end"/>
    </w:r>
  </w:p>
</w:ftr>
</file>

<file path=word/footer5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A1" w14:textId="001000A2">
    <w:pPr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 xml:space="preserve">1</w:t>
    </w:r>
    <w:r>
      <w:rPr>
        <w:color w:val="666666"/>
        <w:sz w:val="18"/>
      </w:rPr>
      <w:fldChar w:fldCharType="end"/>
    </w:r>
  </w:p>
</w:ftr>
</file>

<file path=word/footer6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DD" w14:textId="001000DE">
    <w:pPr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 xml:space="preserve">1</w:t>
    </w:r>
    <w:r>
      <w:rPr>
        <w:color w:val="666666"/>
        <w:sz w:val="18"/>
      </w:rPr>
      <w:fldChar w:fldCharType="end"/>
    </w:r>
  </w:p>
</w:ftr>
</file>

<file path=word/footer7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25" w14:textId="00100126">
    <w:pPr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 xml:space="preserve">1</w:t>
    </w:r>
    <w:r>
      <w:rPr>
        <w:color w:val="666666"/>
        <w:sz w:val="18"/>
      </w:rPr>
      <w:fldChar w:fldCharType="end"/>
    </w:r>
  </w:p>
</w:ftr>
</file>

<file path=word/footer8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6E" w14:textId="0010016F">
    <w:pPr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 xml:space="preserve">1</w:t>
    </w:r>
    <w:r>
      <w:rPr>
        <w:color w:val="666666"/>
        <w:sz w:val="18"/>
      </w:rPr>
      <w:fldChar w:fldCharType="end"/>
    </w:r>
  </w:p>
</w:ftr>
</file>

<file path=word/footer9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84" w14:textId="00100185">
    <w:pPr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 xml:space="preserve">1</w:t>
    </w:r>
    <w:r>
      <w:rPr>
        <w:color w:val="666666"/>
        <w:sz w:val="18"/>
      </w:rPr>
      <w:fldChar w:fldCharType="end"/>
    </w:r>
  </w:p>
</w:ftr>
</file>

<file path=word/footer10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9E" w14:textId="0010019F">
    <w:pPr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 xml:space="preserve">1</w:t>
    </w:r>
    <w:r>
      <w:rPr>
        <w:color w:val="666666"/>
        <w:sz w:val="18"/>
      </w:rPr>
      <w:fldChar w:fldCharType="end"/>
    </w:r>
  </w:p>
</w:ftr>
</file>

<file path=word/footer1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CE" w14:textId="001001CF">
    <w:pPr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separate"/>
    </w:r>
    <w:r>
      <w:rPr>
        <w:color w:val="808080"/>
        <w:sz w:val="18"/>
      </w:rPr>
      <w:t xml:space="preserve">1</w:t>
    </w:r>
    <w:r>
      <w:rPr>
        <w:color w:val="808080"/>
        <w:sz w:val="18"/>
      </w:rPr>
      <w:fldChar w:fldCharType="end"/>
    </w:r>
  </w:p>
</w:ftr>
</file>

<file path=word/footer1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EC" w14:textId="001001ED">
    <w:pPr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separate"/>
    </w:r>
    <w:r>
      <w:rPr>
        <w:color w:val="808080"/>
        <w:sz w:val="18"/>
      </w:rPr>
      <w:t xml:space="preserve">1</w:t>
    </w:r>
    <w:r>
      <w:rPr>
        <w:color w:val="808080"/>
        <w:sz w:val="18"/>
      </w:rPr>
      <w:fldChar w:fldCharType="end"/>
    </w:r>
  </w:p>
</w:ftr>
</file>

<file path=word/footer13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FC" w14:textId="001001FD">
    <w:pPr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separate"/>
    </w:r>
    <w:r>
      <w:rPr>
        <w:color w:val="808080"/>
        <w:sz w:val="18"/>
      </w:rPr>
      <w:t xml:space="preserve">1</w:t>
    </w:r>
    <w:r>
      <w:rPr>
        <w:color w:val="808080"/>
        <w:sz w:val="18"/>
      </w:rPr>
      <w:fldChar w:fldCharType="end"/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16" w14:textId="00100017">
    <w:pPr>
      <w:jc w:val="center"/>
    </w:pPr>
    <w:r>
      <w:rPr>
        <w:color w:val="B0B0B0"/>
        <w:sz w:val="18"/>
      </w:rPr>
      <w:t xml:space="preserve"/>
    </w:r>
  </w:p>
</w:hdr>
</file>

<file path=word/header2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1A" w14:textId="0010001B">
    <w:pPr>
      <w:jc w:val="center"/>
    </w:pPr>
    <w:r>
      <w:rPr>
        <w:color w:val="B0B0B0"/>
        <w:sz w:val="18"/>
      </w:rPr>
      <w:t xml:space="preserve"/>
    </w:r>
  </w:p>
</w:hdr>
</file>

<file path=word/header3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22" w14:textId="00100023">
    <w:pPr>
      <w:jc w:val="center"/>
    </w:pPr>
    <w:r>
      <w:rPr>
        <w:color w:val="A0A0A0"/>
        <w:sz w:val="18"/>
      </w:rPr>
      <w:t xml:space="preserve">Contents</w:t>
    </w:r>
  </w:p>
</w:hdr>
</file>

<file path=word/header4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31" w14:textId="00100032">
    <w:pPr>
      <w:jc w:val="center"/>
    </w:pPr>
    <w:r>
      <w:rPr>
        <w:color w:val="808080"/>
        <w:sz w:val="18"/>
      </w:rPr>
      <w:t xml:space="preserve">Chair and CEO Message</w:t>
    </w:r>
  </w:p>
</w:hdr>
</file>

<file path=word/header5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6B" w14:textId="0010006C">
    <w:pPr>
      <w:jc w:val="center"/>
    </w:pPr>
    <w:r>
      <w:rPr>
        <w:color w:val="A0A0A0"/>
        <w:sz w:val="18"/>
      </w:rPr>
      <w:t xml:space="preserve">Annual Highlights</w:t>
    </w:r>
  </w:p>
</w:hdr>
</file>

<file path=word/header6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9F" w14:textId="001000A0">
    <w:pPr>
      <w:jc w:val="center"/>
    </w:pPr>
    <w:r>
      <w:rPr>
        <w:color w:val="666666"/>
        <w:sz w:val="18"/>
      </w:rPr>
      <w:t xml:space="preserve">Rivermark Integrated Report</w:t>
    </w:r>
  </w:p>
</w:hdr>
</file>

<file path=word/header7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DB" w14:textId="001000DC">
    <w:pPr>
      <w:jc w:val="center"/>
    </w:pPr>
    <w:r>
      <w:rPr>
        <w:color w:val="666666"/>
        <w:sz w:val="18"/>
      </w:rPr>
      <w:t xml:space="preserve">Segment Review</w:t>
    </w:r>
  </w:p>
</w:hdr>
</file>

<file path=word/header8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123" w14:textId="00100124">
    <w:pPr>
      <w:jc w:val="center"/>
    </w:pPr>
    <w:r>
      <w:rPr>
        <w:color w:val="666666"/>
        <w:sz w:val="18"/>
      </w:rPr>
      <w:t xml:space="preserve">Financial Statements</w:t>
    </w:r>
  </w:p>
</w:hdr>
</file>

<file path=word/header9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16C" w14:textId="0010016D">
    <w:pPr>
      <w:jc w:val="center"/>
    </w:pPr>
    <w:r>
      <w:rPr>
        <w:color w:val="666666"/>
        <w:sz w:val="18"/>
      </w:rPr>
      <w:t xml:space="preserve">Governance Report</w:t>
    </w:r>
  </w:p>
</w:hdr>
</file>

<file path=word/header10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182" w14:textId="00100183">
    <w:pPr>
      <w:jc w:val="center"/>
    </w:pPr>
    <w:r>
      <w:rPr>
        <w:color w:val="666666"/>
        <w:sz w:val="18"/>
      </w:rPr>
      <w:t xml:space="preserve">Risk and Sustainability</w:t>
    </w:r>
  </w:p>
</w:hdr>
</file>

<file path=word/header1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19C" w14:textId="0010019D">
    <w:pPr>
      <w:jc w:val="center"/>
    </w:pPr>
    <w:r>
      <w:rPr>
        <w:color w:val="666666"/>
        <w:sz w:val="18"/>
      </w:rPr>
      <w:t xml:space="preserve">Notes to the Financial Statements</w:t>
    </w:r>
  </w:p>
</w:hdr>
</file>

<file path=word/header12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1CC" w14:textId="001001CD">
    <w:pPr>
      <w:jc w:val="center"/>
    </w:pPr>
    <w:r>
      <w:rPr>
        <w:color w:val="808080"/>
        <w:sz w:val="18"/>
      </w:rPr>
      <w:t xml:space="preserve">Appendix</w:t>
    </w:r>
  </w:p>
</w:hdr>
</file>

<file path=word/header13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1EA" w14:textId="001001EB">
    <w:pPr>
      <w:jc w:val="center"/>
    </w:pPr>
    <w:r>
      <w:rPr>
        <w:color w:val="808080"/>
        <w:sz w:val="18"/>
      </w:rPr>
      <w:t xml:space="preserve">Glossary and Contacts</w:t>
    </w:r>
  </w:p>
</w:hdr>
</file>

<file path=word/header14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1FA" w14:textId="001001FB">
    <w:pPr>
      <w:jc w:val="center"/>
    </w:pPr>
    <w:r>
      <w:rPr>
        <w:color w:val="808080"/>
        <w:sz w:val="18"/>
      </w:rPr>
      <w:t xml:space="preserve">Legal Notice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902">
    <w:abstractNumId w:val="0"/>
    <w:lvlOverride w:ilvl="0">
      <w:startOverride w:val="1"/>
    </w:lvlOverride>
  </w:num>
  <w:num w:numId="910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ParaAnnexHeading" w:customStyle="true">
    <w:name w:val="Annex heading"/>
    <w:basedOn w:val="Normal"/>
    <w:pPr>
      <w:spacing w:before="480" w:after="240"/>
      <w:outlineLvl xmlns:w="http://schemas.openxmlformats.org/wordprocessingml/2006/main" w:val="8"/>
    </w:pPr>
    <w:rPr>
      <w:b/>
      <w:sz w:val="28"/>
    </w:rPr>
  </w:style>
  <w:style w:type="paragraph" w:styleId="ParaTableCaption" w:customStyle="true">
    <w:name w:val="Table caption"/>
    <w:basedOn w:val="Normal"/>
    <w:pPr>
      <w:spacing w:before="240" w:after="120"/>
      <w:jc w:val="center"/>
    </w:pPr>
    <w:rPr>
      <w:sz w:val="21"/>
    </w:rPr>
  </w:style>
  <w:style w:type="paragraph" w:styleId="ParaFinancialStatementLine" w:customStyle="true">
    <w:name w:val="Financial statement lead"/>
    <w:basedOn w:val="Normal"/>
    <w:pPr>
      <w:spacing w:before="360" w:after="120"/>
      <w:jc w:val="center"/>
    </w:pPr>
    <w:rPr>
      <w:b/>
      <w:sz w:val="24"/>
    </w:rPr>
  </w:style>
  <w:style w:type="paragraph" w:styleId="ParaTocEntryL2" w:customStyle="true">
    <w:name w:val="Contents entry level 2"/>
    <w:basedOn w:val="Normal"/>
    <w:pPr>
      <w:spacing w:after="60"/>
      <w:jc w:val="left"/>
    </w:pPr>
    <w:rPr>
      <w:sz w:val="21"/>
    </w:rPr>
  </w:style>
  <w:style w:type="paragraph" w:styleId="ParaTblNoteCell" w:customStyle="true">
    <w:name w:val="Note cell"/>
    <w:basedOn w:val="Normal"/>
    <w:pPr>
      <w:jc w:val="left"/>
    </w:pPr>
    <w:rPr>
      <w:sz w:val="21"/>
    </w:rPr>
  </w:style>
  <w:style w:type="paragraph" w:styleId="ParaGlossaryEntry" w:customStyle="true">
    <w:name w:val="Glossary entry"/>
    <w:basedOn w:val="Normal"/>
    <w:pPr>
      <w:spacing w:after="120"/>
      <w:ind w:hanging="720"/>
      <w:jc w:val="left"/>
    </w:pPr>
    <w:rPr>
      <w:sz w:val="21"/>
    </w:rPr>
  </w:style>
  <w:style w:type="paragraph" w:styleId="ParaHeading5" w:customStyle="true">
    <w:name w:val="Heading 5"/>
    <w:basedOn w:val="Normal"/>
    <w:pPr>
      <w:spacing w:before="120" w:after="60"/>
      <w:jc w:val="left"/>
      <w:outlineLvl xmlns:w="http://schemas.openxmlformats.org/wordprocessingml/2006/main" w:val="4"/>
    </w:pPr>
    <w:rPr>
      <w:rFonts w:ascii="Garamond" w:hAnsi="Garamond" w:eastAsia="Song/SimSun"/>
      <w:b/>
      <w:sz w:val="21"/>
    </w:rPr>
  </w:style>
  <w:style w:type="paragraph" w:styleId="ParaTblHeaderCell" w:customStyle="true">
    <w:name w:val="Header cell"/>
    <w:basedOn w:val="Normal"/>
    <w:pPr>
      <w:jc w:val="center"/>
    </w:pPr>
    <w:rPr>
      <w:b/>
      <w:sz w:val="21"/>
    </w:rPr>
  </w:style>
  <w:style w:type="paragraph" w:styleId="ParaExecutiveSummary" w:customStyle="true">
    <w:name w:val="Executive summary"/>
    <w:basedOn w:val="Normal"/>
    <w:pPr>
      <w:spacing w:after="240" w:line="276" w:lineRule="auto"/>
      <w:jc w:val="both"/>
    </w:pPr>
    <w:rPr>
      <w:sz w:val="24"/>
    </w:rPr>
  </w:style>
  <w:style w:type="paragraph" w:styleId="ParaCoverTitle" w:customStyle="true">
    <w:name w:val="Cover title"/>
    <w:basedOn w:val="Normal"/>
    <w:pPr>
      <w:spacing w:after="480"/>
      <w:jc w:val="center"/>
    </w:pPr>
    <w:rPr>
      <w:rFonts w:ascii="Cambria" w:hAnsi="Cambria" w:eastAsia="Heiti/SimHei"/>
      <w:b/>
      <w:sz w:val="44"/>
    </w:rPr>
  </w:style>
  <w:style w:type="paragraph" w:styleId="ParaTblStubCell" w:customStyle="true">
    <w:name w:val="Stub cell"/>
    <w:basedOn w:val="Normal"/>
    <w:pPr>
      <w:jc w:val="left"/>
    </w:pPr>
    <w:rPr>
      <w:sz w:val="21"/>
    </w:rPr>
  </w:style>
  <w:style w:type="paragraph" w:styleId="ParaLegalNotice" w:customStyle="true">
    <w:name w:val="Legal notice"/>
    <w:basedOn w:val="Normal"/>
    <w:pPr>
      <w:spacing w:after="120" w:line="276" w:lineRule="auto"/>
      <w:jc w:val="both"/>
    </w:pPr>
    <w:rPr>
      <w:sz w:val="21"/>
    </w:rPr>
  </w:style>
  <w:style w:type="paragraph" w:styleId="ParaHeading3" w:customStyle="true">
    <w:name w:val="Heading 3"/>
    <w:basedOn w:val="Normal"/>
    <w:pPr>
      <w:spacing w:before="240" w:after="120"/>
      <w:jc w:val="left"/>
      <w:outlineLvl xmlns:w="http://schemas.openxmlformats.org/wordprocessingml/2006/main" w:val="2"/>
    </w:pPr>
    <w:rPr>
      <w:rFonts w:ascii="Calibri" w:hAnsi="Calibri" w:eastAsia="Microsoft YaHei"/>
      <w:b/>
      <w:sz w:val="28"/>
    </w:rPr>
  </w:style>
  <w:style w:type="paragraph" w:styleId="ParaHighlightLead" w:customStyle="true">
    <w:name w:val="Highlight lead"/>
    <w:basedOn w:val="Normal"/>
    <w:pPr>
      <w:spacing w:after="240"/>
      <w:jc w:val="center"/>
    </w:pPr>
    <w:rPr>
      <w:b/>
      <w:sz w:val="28"/>
    </w:rPr>
  </w:style>
  <w:style w:type="paragraph" w:styleId="ParaTocEntryL1" w:customStyle="true">
    <w:name w:val="Contents entry level 1"/>
    <w:basedOn w:val="Normal"/>
    <w:pPr>
      <w:spacing w:before="120" w:after="120"/>
      <w:jc w:val="left"/>
    </w:pPr>
    <w:rPr>
      <w:sz w:val="24"/>
    </w:rPr>
  </w:style>
  <w:style w:type="paragraph" w:styleId="ParaHeading1" w:customStyle="true">
    <w:name w:val="Heading 1"/>
    <w:basedOn w:val="Normal"/>
    <w:pPr>
      <w:spacing w:before="480" w:after="240"/>
      <w:jc w:val="center"/>
      <w:outlineLvl xmlns:w="http://schemas.openxmlformats.org/wordprocessingml/2006/main" w:val="0"/>
    </w:pPr>
    <w:rPr>
      <w:rFonts w:ascii="Arial" w:hAnsi="Arial" w:eastAsia="Heiti/SimHei"/>
      <w:b/>
      <w:sz w:val="36"/>
    </w:rPr>
  </w:style>
  <w:style w:type="paragraph" w:styleId="ParaSegmentNarrative" w:customStyle="true">
    <w:name w:val="Segment narrative"/>
    <w:basedOn w:val="Normal"/>
    <w:pPr>
      <w:spacing w:after="120" w:line="276" w:lineRule="auto"/>
      <w:ind w:firstLine="720"/>
      <w:jc w:val="both"/>
    </w:pPr>
    <w:rPr>
      <w:sz w:val="21"/>
    </w:rPr>
  </w:style>
  <w:style w:type="paragraph" w:styleId="ParaHeading2" w:customStyle="true">
    <w:name w:val="Heading 2"/>
    <w:basedOn w:val="Normal"/>
    <w:pPr>
      <w:spacing w:before="360" w:after="120"/>
      <w:jc w:val="left"/>
      <w:outlineLvl xmlns:w="http://schemas.openxmlformats.org/wordprocessingml/2006/main" w:val="1"/>
    </w:pPr>
    <w:rPr>
      <w:rFonts w:ascii="Arial" w:hAnsi="Arial" w:eastAsia="Heiti/SimHei"/>
      <w:b/>
      <w:sz w:val="32"/>
    </w:rPr>
  </w:style>
  <w:style w:type="paragraph" w:styleId="ParaNumberedList" w:customStyle="true">
    <w:name w:val="Numbered list"/>
    <w:basedOn w:val="Normal"/>
    <w:pPr>
      <w:spacing w:after="120" w:line="276" w:lineRule="auto"/>
    </w:pPr>
    <w:rPr>
      <w:sz w:val="24"/>
    </w:rPr>
  </w:style>
  <w:style w:type="paragraph" w:styleId="ParaHeading4" w:customStyle="true">
    <w:name w:val="Heading 4"/>
    <w:basedOn w:val="Normal"/>
    <w:pPr>
      <w:spacing w:before="240" w:after="60"/>
      <w:jc w:val="left"/>
      <w:outlineLvl xmlns:w="http://schemas.openxmlformats.org/wordprocessingml/2006/main" w:val="3"/>
    </w:pPr>
    <w:rPr>
      <w:rFonts w:ascii="Calibri" w:hAnsi="Calibri" w:eastAsia="Microsoft YaHei"/>
      <w:b/>
      <w:sz w:val="24"/>
    </w:rPr>
  </w:style>
  <w:style w:type="paragraph" w:styleId="ParaBodyText" w:customStyle="true">
    <w:name w:val="Body text"/>
    <w:basedOn w:val="Normal"/>
    <w:pPr>
      <w:spacing w:after="240" w:line="276" w:lineRule="auto"/>
      <w:ind w:firstLine="720"/>
      <w:jc w:val="both"/>
    </w:pPr>
    <w:rPr>
      <w:sz w:val="24"/>
    </w:rPr>
  </w:style>
  <w:style w:type="paragraph" w:styleId="ParaContactInfo" w:customStyle="true">
    <w:name w:val="Contact information"/>
    <w:basedOn w:val="Normal"/>
    <w:pPr>
      <w:spacing w:after="120"/>
      <w:jc w:val="left"/>
    </w:pPr>
    <w:rPr>
      <w:sz w:val="21"/>
    </w:rPr>
  </w:style>
  <w:style w:type="paragraph" w:styleId="ParaSourceNote" w:customStyle="true">
    <w:name w:val="Source note"/>
    <w:basedOn w:val="Normal"/>
    <w:pPr>
      <w:spacing w:before="60" w:after="120"/>
      <w:jc w:val="left"/>
    </w:pPr>
    <w:rPr>
      <w:sz w:val="21"/>
    </w:rPr>
  </w:style>
  <w:style w:type="paragraph" w:styleId="ParaDisclosureNote" w:customStyle="true">
    <w:name w:val="Disclosure note"/>
    <w:basedOn w:val="Normal"/>
    <w:pPr>
      <w:spacing w:after="120" w:line="276" w:lineRule="auto"/>
      <w:ind w:hanging="360"/>
      <w:jc w:val="both"/>
    </w:pPr>
    <w:rPr>
      <w:sz w:val="21"/>
    </w:rPr>
  </w:style>
  <w:style w:type="paragraph" w:styleId="ParaLetterSignature" w:customStyle="true">
    <w:name w:val="Letter signature"/>
    <w:basedOn w:val="Normal"/>
    <w:pPr>
      <w:spacing w:before="360"/>
    </w:pPr>
    <w:rPr>
      <w:sz w:val="21"/>
    </w:rPr>
  </w:style>
  <w:style w:type="paragraph" w:styleId="ParaLetterBody" w:customStyle="true">
    <w:name w:val="Letter body"/>
    <w:basedOn w:val="Normal"/>
    <w:pPr>
      <w:spacing w:after="240" w:line="360" w:lineRule="auto"/>
      <w:ind w:firstLine="0"/>
      <w:jc w:val="left"/>
    </w:pPr>
    <w:rPr>
      <w:sz w:val="24"/>
    </w:rPr>
  </w:style>
  <w:style w:type="paragraph" w:styleId="ParaCoverSubtitle" w:customStyle="true">
    <w:name w:val="Cover subtitle"/>
    <w:basedOn w:val="Normal"/>
    <w:pPr>
      <w:jc w:val="center"/>
    </w:pPr>
    <w:rPr>
      <w:sz w:val="32"/>
    </w:rPr>
  </w:style>
  <w:style w:type="paragraph" w:styleId="ParaHeading6" w:customStyle="true">
    <w:name w:val="Heading 6"/>
    <w:basedOn w:val="Normal"/>
    <w:pPr>
      <w:spacing w:before="120" w:after="0"/>
      <w:jc w:val="left"/>
      <w:outlineLvl xmlns:w="http://schemas.openxmlformats.org/wordprocessingml/2006/main" w:val="5"/>
    </w:pPr>
    <w:rPr>
      <w:rFonts w:ascii="Garamond" w:hAnsi="Garamond" w:eastAsia="Song/SimSun"/>
      <w:b/>
      <w:sz w:val="21"/>
    </w:rPr>
  </w:style>
  <w:style w:type="paragraph" w:styleId="ParaLetterSalutation" w:customStyle="true">
    <w:name w:val="Letter salutation"/>
    <w:basedOn w:val="Normal"/>
    <w:pPr>
      <w:spacing w:after="240"/>
    </w:pPr>
    <w:rPr>
      <w:sz w:val="24"/>
    </w:rPr>
  </w:style>
  <w:style w:type="paragraph" w:styleId="ParaTblDataCell" w:customStyle="true">
    <w:name w:val="Data cell"/>
    <w:basedOn w:val="Normal"/>
    <w:pPr>
      <w:jc w:val="center"/>
    </w:pPr>
    <w:rPr>
      <w:sz w:val="21"/>
    </w:rPr>
  </w:style>
  <w:style w:type="paragraph" w:styleId="ParaFigureCaption" w:customStyle="true">
    <w:name w:val="Figure caption"/>
    <w:basedOn w:val="Normal"/>
    <w:pPr>
      <w:spacing w:before="120" w:after="240"/>
      <w:jc w:val="center"/>
    </w:pPr>
    <w:rPr>
      <w:sz w:val="21"/>
    </w:rPr>
  </w:style>
  <w:style w:type="paragraph" w:styleId="ParaBulletList" w:customStyle="true">
    <w:name w:val="Bulleted list"/>
    <w:basedOn w:val="Normal"/>
    <w:pPr>
      <w:spacing w:after="120" w:line="276" w:lineRule="auto"/>
    </w:pPr>
    <w:rPr>
      <w:sz w:val="24"/>
    </w:rPr>
  </w:style>
  <w:style w:type="paragraph" w:styleId="ParaContentsTitle" w:customStyle="true">
    <w:name w:val="Contents title"/>
    <w:basedOn w:val="Normal"/>
    <w:pPr>
      <w:spacing w:after="360"/>
      <w:jc w:val="center"/>
    </w:pPr>
    <w:rPr>
      <w:b/>
      <w:sz w:val="3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72336d20ab4423e" /><Relationship Type="http://schemas.openxmlformats.org/officeDocument/2006/relationships/styles" Target="/word/styles.xml" Id="Rc57806c7e5064587" /><Relationship Type="http://schemas.openxmlformats.org/officeDocument/2006/relationships/theme" Target="/word/theme/theme1.xml" Id="R22ef9e4fb0d64641" /><Relationship Type="http://schemas.openxmlformats.org/officeDocument/2006/relationships/numbering" Target="/word/numbering.xml" Id="Rf7ce036ff4aa4620" /><Relationship Type="http://schemas.openxmlformats.org/officeDocument/2006/relationships/image" Target="/media/image.png" Id="R649f8be634fb40d2" /><Relationship Type="http://schemas.openxmlformats.org/officeDocument/2006/relationships/header" Target="/word/header1.xml" Id="R7bdf3e84f3b840bd" /><Relationship Type="http://schemas.openxmlformats.org/officeDocument/2006/relationships/footer" Target="/word/footer1.xml" Id="Rce3ad280a37548ea" /><Relationship Type="http://schemas.openxmlformats.org/officeDocument/2006/relationships/header" Target="/word/header2.xml" Id="R3f135a822af24a9d" /><Relationship Type="http://schemas.openxmlformats.org/officeDocument/2006/relationships/header" Target="/word/header3.xml" Id="Rd9bd25cada5946c0" /><Relationship Type="http://schemas.openxmlformats.org/officeDocument/2006/relationships/footer" Target="/word/footer2.xml" Id="R4d46382dd850482f" /><Relationship Type="http://schemas.openxmlformats.org/officeDocument/2006/relationships/header" Target="/word/header4.xml" Id="R7959d2a7c6924d12" /><Relationship Type="http://schemas.openxmlformats.org/officeDocument/2006/relationships/footer" Target="/word/footer3.xml" Id="Ra307a8520bd54978" /><Relationship Type="http://schemas.openxmlformats.org/officeDocument/2006/relationships/image" Target="/media/image2.png" Id="R5f2111918cfc4ae1" /><Relationship Type="http://schemas.openxmlformats.org/officeDocument/2006/relationships/header" Target="/word/header5.xml" Id="R588aae1db2d2485e" /><Relationship Type="http://schemas.openxmlformats.org/officeDocument/2006/relationships/footer" Target="/word/footer4.xml" Id="Rdb1fa1c33d3445b4" /><Relationship Type="http://schemas.openxmlformats.org/officeDocument/2006/relationships/image" Target="/media/image3.png" Id="Rc808e8ed748f445f" /><Relationship Type="http://schemas.openxmlformats.org/officeDocument/2006/relationships/image" Target="/media/image4.png" Id="R9e6c652e646c4903" /><Relationship Type="http://schemas.openxmlformats.org/officeDocument/2006/relationships/image" Target="/media/image5.png" Id="R4d65a29c1f374dda" /><Relationship Type="http://schemas.openxmlformats.org/officeDocument/2006/relationships/header" Target="/word/header6.xml" Id="R1997a5ac63a74124" /><Relationship Type="http://schemas.openxmlformats.org/officeDocument/2006/relationships/footer" Target="/word/footer5.xml" Id="Rbd3c23f4eade46e4" /><Relationship Type="http://schemas.openxmlformats.org/officeDocument/2006/relationships/image" Target="/media/image6.png" Id="R27d6489924f54858" /><Relationship Type="http://schemas.openxmlformats.org/officeDocument/2006/relationships/header" Target="/word/header7.xml" Id="Ref9dc1e49d7b4a6c" /><Relationship Type="http://schemas.openxmlformats.org/officeDocument/2006/relationships/footer" Target="/word/footer6.xml" Id="R01f2c9b6f38f46cc" /><Relationship Type="http://schemas.openxmlformats.org/officeDocument/2006/relationships/header" Target="/word/header8.xml" Id="Rd62c8fb3e0f546cf" /><Relationship Type="http://schemas.openxmlformats.org/officeDocument/2006/relationships/footer" Target="/word/footer7.xml" Id="R525f402f2a7e4ab8" /><Relationship Type="http://schemas.openxmlformats.org/officeDocument/2006/relationships/image" Target="/media/image7.png" Id="Rebb2cf74a81f4f7e" /><Relationship Type="http://schemas.openxmlformats.org/officeDocument/2006/relationships/header" Target="/word/header9.xml" Id="R32e8259adae147ac" /><Relationship Type="http://schemas.openxmlformats.org/officeDocument/2006/relationships/footer" Target="/word/footer8.xml" Id="Rb2fab5b3368644ea" /><Relationship Type="http://schemas.openxmlformats.org/officeDocument/2006/relationships/header" Target="/word/header10.xml" Id="R2660cc1b4956413f" /><Relationship Type="http://schemas.openxmlformats.org/officeDocument/2006/relationships/footer" Target="/word/footer9.xml" Id="R924ac68ccf6d4f59" /><Relationship Type="http://schemas.openxmlformats.org/officeDocument/2006/relationships/header" Target="/word/header11.xml" Id="Rd38c159c83744e8d" /><Relationship Type="http://schemas.openxmlformats.org/officeDocument/2006/relationships/footer" Target="/word/footer10.xml" Id="R730fdab57f744178" /><Relationship Type="http://schemas.openxmlformats.org/officeDocument/2006/relationships/header" Target="/word/header12.xml" Id="Redc9da47d3c646cd" /><Relationship Type="http://schemas.openxmlformats.org/officeDocument/2006/relationships/footer" Target="/word/footer11.xml" Id="Racbfe7fb523c484f" /><Relationship Type="http://schemas.openxmlformats.org/officeDocument/2006/relationships/header" Target="/word/header13.xml" Id="Rb1b2c72288f7475c" /><Relationship Type="http://schemas.openxmlformats.org/officeDocument/2006/relationships/footer" Target="/word/footer12.xml" Id="R6be74d5fc5874742" /><Relationship Type="http://schemas.openxmlformats.org/officeDocument/2006/relationships/header" Target="/word/header14.xml" Id="Rad92ed1d38624c09" /><Relationship Type="http://schemas.openxmlformats.org/officeDocument/2006/relationships/footer" Target="/word/footer13.xml" Id="R184e713fe1a549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2026-09-03T09:49:41Z</dcterms:created>
  <cp:lastModifiedBy>OfficeCLI</cp:lastModifiedBy>
  <dcterms:modified xsi:type="dcterms:W3CDTF">2026-09-03T09:49:41Z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1.0.146</vt:lpwstr>
  </op:property>
  <op:property fmtid="{D5CDD505-2E9C-101B-9397-08002B2CF9AE}" pid="3" name="OfficeCLI.LastModified">
    <vt:lpwstr xmlns:vt="http://schemas.openxmlformats.org/officeDocument/2006/docPropsVTypes">2026-09-03T09:50:14Z</vt:lpwstr>
  </op:property>
</op:Properties>
</file>