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ec6bff6e42a4247" /><Relationship Type="http://schemas.openxmlformats.org/package/2006/relationships/metadata/core-properties" Target="/docProps/core.xml" Id="R1707218cfa984c96" /><Relationship Type="http://schemas.openxmlformats.org/officeDocument/2006/relationships/extended-properties" Target="/docProps/app.xml" Id="Rf6140ec440be41f0" /><Relationship Type="http://schemas.openxmlformats.org/officeDocument/2006/relationships/custom-properties" Target="/docProps/custom.xml" Id="Ree9bf1a99e064aa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jc w:val="left"/>
      </w:pPr>
      <w:r>
        <w:t xml:space="preserve">Rivermark Group Annual Report and Operating Review 2025</w:t>
      </w:r>
    </w:p>
    <w:p w14:paraId="00100002" w14:textId="00100003">
      <w:pPr>
        <w:pStyle w:val="Normal"/>
        <w:jc w:val="left"/>
      </w:pPr>
      <w:r>
        <w:drawing>
          <wp:inline distT="0" distB="0" distL="0" distR="0">
            <wp:extent cx="1800000" cy="720000"/>
            <wp:effectExtent l="0" t="0" r="0" b="0"/>
            <wp:docPr id="1" name="FIG-P01-IMG1.png" descr=""/>
            <wp:cNvGraphicFramePr>
              <a:graphicFrameLocks noChangeAspect="1"/>
            </wp:cNvGraphicFramePr>
            <a:graphic>
              <a:graphicData uri="http://schemas.openxmlformats.org/drawingml/2006/picture">
                <pic:pic>
                  <pic:nvPicPr>
                    <pic:cNvPr id="1" name="FIG-P01-IMG1.png"/>
                    <pic:cNvPicPr/>
                  </pic:nvPicPr>
                  <pic:blipFill>
                    <a:blip r:embed="R6218e80b5b78421c" cstate="print"/>
                    <a:stretch>
                      <a:fillRect/>
                    </a:stretch>
                  </pic:blipFill>
                  <pic:spPr>
                    <a:xfrm>
                      <a:off x="0" y="0"/>
                      <a:ext cx="2160000" cy="1080000"/>
                    </a:xfrm>
                    <a:prstGeom prst="rect">
                      <a:avLst/>
                    </a:prstGeom>
                  </pic:spPr>
                </pic:pic>
              </a:graphicData>
            </a:graphic>
          </wp:inline>
        </w:drawing>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4153"/>
        <w:gridCol w:w="4153"/>
      </w:tblGrid>
      <w:tr>
        <w:trPr>
          <w:tblHeader/>
        </w:trPr>
        <w:tc>
          <w:tcPr>
            <w:vAlign w:val="center"/>
            <w:tcBorders>
              <w:top w:val="single" w:sz="4" w:space="0" w:color="auto"/>
              <w:left w:val="single" w:sz="4" w:space="0" w:color="auto"/>
              <w:bottom w:val="single" w:sz="4" w:space="0" w:color="auto"/>
              <w:right w:val="single" w:sz="4" w:space="0" w:color="auto"/>
            </w:tcBorders>
          </w:tcPr>
          <w:p w14:paraId="00100004" w14:textId="0010001C">
            <w:pPr>
              <w:pStyle w:val="Normal"/>
              <w:jc w:val="left"/>
            </w:pPr>
            <w:r>
              <w:t xml:space="preserve">Reporting entity</w:t>
            </w:r>
          </w:p>
        </w:tc>
        <w:tc>
          <w:tcPr>
            <w:vAlign w:val="center"/>
            <w:tcBorders>
              <w:top w:val="single" w:sz="4" w:space="0" w:color="auto"/>
              <w:left w:val="single" w:sz="4" w:space="0" w:color="auto"/>
              <w:bottom w:val="single" w:sz="4" w:space="0" w:color="auto"/>
              <w:right w:val="single" w:sz="4" w:space="0" w:color="auto"/>
            </w:tcBorders>
          </w:tcPr>
          <w:p w14:paraId="00100006" w14:textId="0010001D">
            <w:pPr>
              <w:pStyle w:val="Normal"/>
              <w:jc w:val="left"/>
            </w:pPr>
            <w:r>
              <w:t xml:space="preserve">Rivermark Group plc</w:t>
            </w:r>
          </w:p>
        </w:tc>
      </w:tr>
      <w:tr>
        <w:tc>
          <w:tcPr>
            <w:vAlign w:val="center"/>
            <w:tcBorders>
              <w:top w:val="single" w:sz="4" w:space="0" w:color="auto"/>
              <w:left w:val="single" w:sz="4" w:space="0" w:color="auto"/>
              <w:bottom w:val="single" w:sz="4" w:space="0" w:color="auto"/>
              <w:right w:val="single" w:sz="4" w:space="0" w:color="auto"/>
            </w:tcBorders>
          </w:tcPr>
          <w:p w14:paraId="00100008" w14:textId="0010001E">
            <w:pPr>
              <w:pStyle w:val="Normal"/>
              <w:jc w:val="left"/>
            </w:pPr>
            <w:r>
              <w:t xml:space="preserve">Reporting period</w:t>
            </w:r>
          </w:p>
        </w:tc>
        <w:tc>
          <w:tcPr>
            <w:vAlign w:val="center"/>
            <w:tcBorders>
              <w:top w:val="single" w:sz="4" w:space="0" w:color="auto"/>
              <w:left w:val="single" w:sz="4" w:space="0" w:color="auto"/>
              <w:bottom w:val="single" w:sz="4" w:space="0" w:color="auto"/>
              <w:right w:val="single" w:sz="4" w:space="0" w:color="auto"/>
            </w:tcBorders>
          </w:tcPr>
          <w:p w14:paraId="0010000A" w14:textId="0010001F">
            <w:pPr>
              <w:pStyle w:val="Normal"/>
              <w:jc w:val="left"/>
            </w:pPr>
            <w:r>
              <w:t xml:space="preserve">Year ended 31 December 2025</w:t>
            </w:r>
          </w:p>
        </w:tc>
      </w:tr>
      <w:tr>
        <w:tc>
          <w:tcPr>
            <w:vAlign w:val="center"/>
            <w:tcBorders>
              <w:top w:val="single" w:sz="4" w:space="0" w:color="auto"/>
              <w:left w:val="single" w:sz="4" w:space="0" w:color="auto"/>
              <w:bottom w:val="single" w:sz="4" w:space="0" w:color="auto"/>
              <w:right w:val="single" w:sz="4" w:space="0" w:color="auto"/>
            </w:tcBorders>
          </w:tcPr>
          <w:p w14:paraId="0010000C" w14:textId="00100020">
            <w:pPr>
              <w:pStyle w:val="Normal"/>
              <w:jc w:val="left"/>
            </w:pPr>
            <w:r>
              <w:t xml:space="preserve">Head office</w:t>
            </w:r>
          </w:p>
        </w:tc>
        <w:tc>
          <w:tcPr>
            <w:vAlign w:val="center"/>
            <w:tcBorders>
              <w:top w:val="single" w:sz="4" w:space="0" w:color="auto"/>
              <w:left w:val="single" w:sz="4" w:space="0" w:color="auto"/>
              <w:bottom w:val="single" w:sz="4" w:space="0" w:color="auto"/>
              <w:right w:val="single" w:sz="4" w:space="0" w:color="auto"/>
            </w:tcBorders>
          </w:tcPr>
          <w:p w14:paraId="0010000E" w14:textId="00100021">
            <w:pPr>
              <w:pStyle w:val="Normal"/>
              <w:jc w:val="left"/>
            </w:pPr>
            <w:r>
              <w:t xml:space="preserve">Rivermark House, Calder Quay, Northport</w:t>
            </w:r>
          </w:p>
        </w:tc>
      </w:tr>
      <w:tr>
        <w:tc>
          <w:tcPr>
            <w:vAlign w:val="center"/>
            <w:tcBorders>
              <w:top w:val="single" w:sz="4" w:space="0" w:color="auto"/>
              <w:left w:val="single" w:sz="4" w:space="0" w:color="auto"/>
              <w:bottom w:val="single" w:sz="4" w:space="0" w:color="auto"/>
              <w:right w:val="single" w:sz="4" w:space="0" w:color="auto"/>
            </w:tcBorders>
          </w:tcPr>
          <w:p w14:paraId="00100010" w14:textId="00100022">
            <w:pPr>
              <w:pStyle w:val="Normal"/>
              <w:jc w:val="left"/>
            </w:pPr>
            <w:r>
              <w:t xml:space="preserve">Primary listing</w:t>
            </w:r>
          </w:p>
        </w:tc>
        <w:tc>
          <w:tcPr>
            <w:vAlign w:val="center"/>
            <w:tcBorders>
              <w:top w:val="single" w:sz="4" w:space="0" w:color="auto"/>
              <w:left w:val="single" w:sz="4" w:space="0" w:color="auto"/>
              <w:bottom w:val="single" w:sz="4" w:space="0" w:color="auto"/>
              <w:right w:val="single" w:sz="4" w:space="0" w:color="auto"/>
            </w:tcBorders>
          </w:tcPr>
          <w:p w14:paraId="00100012" w14:textId="00100023">
            <w:pPr>
              <w:pStyle w:val="Normal"/>
              <w:jc w:val="left"/>
            </w:pPr>
            <w:r>
              <w:t xml:space="preserve">Northport Exchange, Main Market</w:t>
            </w:r>
          </w:p>
        </w:tc>
      </w:tr>
      <w:tr>
        <w:tc>
          <w:tcPr>
            <w:vAlign w:val="center"/>
            <w:tcBorders>
              <w:top w:val="single" w:sz="4" w:space="0" w:color="auto"/>
              <w:left w:val="single" w:sz="4" w:space="0" w:color="auto"/>
              <w:bottom w:val="single" w:sz="4" w:space="0" w:color="auto"/>
              <w:right w:val="single" w:sz="4" w:space="0" w:color="auto"/>
            </w:tcBorders>
          </w:tcPr>
          <w:p w14:paraId="00100014" w14:textId="00100024">
            <w:pPr>
              <w:pStyle w:val="Normal"/>
              <w:jc w:val="left"/>
            </w:pPr>
            <w:r>
              <w:t xml:space="preserve">Operating segments</w:t>
            </w:r>
          </w:p>
        </w:tc>
        <w:tc>
          <w:tcPr>
            <w:vAlign w:val="center"/>
            <w:tcBorders>
              <w:top w:val="single" w:sz="4" w:space="0" w:color="auto"/>
              <w:left w:val="single" w:sz="4" w:space="0" w:color="auto"/>
              <w:bottom w:val="single" w:sz="4" w:space="0" w:color="auto"/>
              <w:right w:val="single" w:sz="4" w:space="0" w:color="auto"/>
            </w:tcBorders>
          </w:tcPr>
          <w:p w14:paraId="00100016" w14:textId="00100025">
            <w:pPr>
              <w:pStyle w:val="Normal"/>
              <w:jc w:val="left"/>
            </w:pPr>
            <w:r>
              <w:t xml:space="preserve">Infrastructure; Industrial; Consumer; Digital Services</w:t>
            </w:r>
          </w:p>
        </w:tc>
      </w:tr>
      <w:tr>
        <w:tc>
          <w:tcPr>
            <w:vAlign w:val="center"/>
            <w:tcBorders>
              <w:top w:val="single" w:sz="4" w:space="0" w:color="auto"/>
              <w:left w:val="single" w:sz="4" w:space="0" w:color="auto"/>
              <w:bottom w:val="single" w:sz="4" w:space="0" w:color="auto"/>
              <w:right w:val="single" w:sz="4" w:space="0" w:color="auto"/>
            </w:tcBorders>
          </w:tcPr>
          <w:p w14:paraId="00100018" w14:textId="00100026">
            <w:pPr>
              <w:pStyle w:val="Normal"/>
              <w:jc w:val="left"/>
            </w:pPr>
            <w:r>
              <w:t xml:space="preserve">Report scope</w:t>
            </w:r>
          </w:p>
        </w:tc>
        <w:tc>
          <w:tcPr>
            <w:vAlign w:val="center"/>
            <w:tcBorders>
              <w:top w:val="single" w:sz="4" w:space="0" w:color="auto"/>
              <w:left w:val="single" w:sz="4" w:space="0" w:color="auto"/>
              <w:bottom w:val="single" w:sz="4" w:space="0" w:color="auto"/>
              <w:right w:val="single" w:sz="4" w:space="0" w:color="auto"/>
            </w:tcBorders>
          </w:tcPr>
          <w:p w14:paraId="0010001A" w14:textId="00100027">
            <w:pPr>
              <w:pStyle w:val="Normal"/>
              <w:jc w:val="left"/>
            </w:pPr>
            <w:r>
              <w:t xml:space="preserve">Consolidated review of group operations, governance, sustainability, and financial statements</w:t>
            </w:r>
          </w:p>
        </w:tc>
      </w:tr>
    </w:tbl>
    <w:p w14:paraId="00100028" w14:textId="00100029">
      <w:pPr>
        <w:pStyle w:val="Normal"/>
        <w:jc w:val="left"/>
      </w:pPr>
      <w:r>
        <w:t xml:space="preserve">Table 1 Cover information and key report facts</w:t>
      </w:r>
    </w:p>
    <w:p w14:paraId="00101667" w14:textId="00101668">
      <w:pPr>
        <w:pStyle w:val="Normal"/>
        <w:jc w:val="left"/>
        <w:sectPr>
          <w:type w:val="nextPage"/>
          <w:pgSz w:w="11906" w:h="16838"/>
          <w:pgMar w:top="1440" w:right="1440" w:bottom="1440" w:left="1440" w:header="1440" w:footer="1440" w:gutter="0"/>
          <w:cols w:space="720" w:num="1"/>
        </w:sectPr>
      </w:pPr>
    </w:p>
    <w:p w14:paraId="00100030" w14:textId="00100031">
      <w:pPr>
        <w:pStyle w:val="Normal"/>
        <w:jc w:val="left"/>
      </w:pPr>
      <w:r>
        <w:t xml:space="preserve">Contents</w:t>
      </w:r>
    </w:p>
    <w:p w14:paraId="00100032" w14:textId="00100033">
      <w:pPr>
        <w:pStyle w:val="Normal"/>
        <w:jc w:val="left"/>
      </w:pPr>
      <w:r>
        <w:t xml:space="preserve">I. Group Overview …… 3</w:t>
      </w:r>
    </w:p>
    <w:p w14:paraId="00100034" w14:textId="00100035">
      <w:pPr>
        <w:pStyle w:val="Normal"/>
        <w:jc w:val="left"/>
      </w:pPr>
      <w:r>
        <w:t xml:space="preserve">Strategy and Priorities …… 6</w:t>
      </w:r>
    </w:p>
    <w:p w14:paraId="00100036" w14:textId="00100037">
      <w:pPr>
        <w:pStyle w:val="Normal"/>
        <w:jc w:val="left"/>
      </w:pPr>
      <w:r>
        <w:t xml:space="preserve">Operating Review …… 12</w:t>
      </w:r>
    </w:p>
    <w:p w14:paraId="00100038" w14:textId="00100039">
      <w:pPr>
        <w:pStyle w:val="Normal"/>
        <w:jc w:val="left"/>
      </w:pPr>
      <w:r>
        <w:t xml:space="preserve">II. Governance …… 41</w:t>
      </w:r>
    </w:p>
    <w:p w14:paraId="0010003A" w14:textId="0010003B">
      <w:pPr>
        <w:pStyle w:val="Normal"/>
        <w:jc w:val="left"/>
      </w:pPr>
      <w:r>
        <w:t xml:space="preserve">Board and Leadership …… 42</w:t>
      </w:r>
    </w:p>
    <w:p w14:paraId="0010003C" w14:textId="0010003D">
      <w:pPr>
        <w:pStyle w:val="Normal"/>
        <w:jc w:val="left"/>
      </w:pPr>
      <w:r>
        <w:t xml:space="preserve">Risk and Sustainability …… 48</w:t>
      </w:r>
    </w:p>
    <w:p w14:paraId="0010003E" w14:textId="0010003F">
      <w:pPr>
        <w:pStyle w:val="Normal"/>
        <w:jc w:val="left"/>
      </w:pPr>
      <w:r>
        <w:t xml:space="preserve">III. Financial Statements …… 57</w:t>
      </w:r>
    </w:p>
    <w:p w14:paraId="00100040" w14:textId="00100041">
      <w:pPr>
        <w:pStyle w:val="Normal"/>
        <w:jc w:val="left"/>
      </w:pPr>
      <w:r>
        <w:t xml:space="preserve">IV. Notes to Financials, Annex, Glossary and Contact, Legal Notice …… 63</w:t>
      </w:r>
    </w:p>
    <w:p w14:paraId="00101669" w14:textId="0010166A">
      <w:pPr>
        <w:pStyle w:val="Normal"/>
        <w:jc w:val="left"/>
        <w:sectPr>
          <w:type w:val="nextPage"/>
          <w:pgSz w:w="11906" w:h="16838"/>
          <w:pgMar w:top="1440" w:right="1440" w:bottom="1440" w:left="1440" w:header="1440" w:footer="1440" w:gutter="0"/>
          <w:cols w:space="720" w:num="1"/>
        </w:sectPr>
      </w:pPr>
    </w:p>
    <w:p w14:paraId="00100046" w14:textId="00100047">
      <w:pPr>
        <w:pStyle w:val="Heading1a"/>
        <w:jc w:val="left"/>
      </w:pPr>
      <w:r>
        <w:t xml:space="preserve">Opening Message</w:t>
      </w:r>
    </w:p>
    <w:p w14:paraId="00100048" w14:textId="00100049">
      <w:pPr>
        <w:pStyle w:val="Normal"/>
        <w:jc w:val="left"/>
      </w:pPr>
      <w:r>
        <w:t xml:space="preserve">Dear shareholders, colleagues, customers, and partners,</w:t>
      </w:r>
    </w:p>
    <w:p w14:paraId="0010004A" w14:textId="0010004D">
      <w:pPr>
        <w:pStyle w:val="Normal"/>
        <w:jc w:val="left"/>
      </w:pPr>
      <w:r>
        <w:t xml:space="preserve"/>
      </w:r>
      <w:r>
        <w:t xml:space="preserve">Lead message:</w:t>
      </w:r>
      <w:r>
        <w:t xml:space="preserve"> The year under review asked Rivermark Group to balance resilience with ambition. Across our markets, demand patterns remained uneven, cost conditions stayed elevated, and customers continued to expect higher service, faster response, and clearer proof of value. In that environment, our people responded with discipline and commitment. On behalf of the Board, I want to thank every employee across our Infrastructure, Industrial, Consumer, and Digital Services businesses for the professionalism with which they served customers and supported one another.</w:t>
        <w:br/>
        <w:t xml:space="preserve">I also extend my appreciation to our clients, suppliers, financing partners, and long-term investors. Their confidence enabled the Group to keep investing in capability while maintaining prudent oversight of cash, risk, and capital allocation. We entered the year with a clear intention to strengthen the quality of earnings, improve operating consistency, and build a platform for sustainable growth. We leave it with measurable progress in each of those areas, even as some parts of the portfolio faced slower volumes and more selective purchasing behavior.</w:t>
        <w:br/>
        <w:t xml:space="preserve">Our performance this year was not the result of one decision or one market tailwind. It came from steady execution: protecting customer relationships, improving commercial discipline, simplifying processes, and directing resources toward businesses where Rivermark Group has the right to win. That combination of near-term focus and long-term investment remains central to how the Board assesses performance and stewardship.</w:t>
      </w:r>
    </w:p>
    <w:p w14:paraId="0010004E" w14:textId="0010004F">
      <w:pPr>
        <w:pStyle w:val="Normal"/>
        <w:jc w:val="left"/>
      </w:pPr>
      <w:r>
        <w:drawing>
          <wp:inline distT="0" distB="0" distL="0" distR="0">
            <wp:extent cx="3240000" cy="3240000"/>
            <wp:effectExtent l="0" t="0" r="0" b="0"/>
            <wp:docPr id="2" name="Fig-I03-01.png" descr=""/>
            <wp:cNvGraphicFramePr>
              <a:graphicFrameLocks noChangeAspect="1"/>
            </wp:cNvGraphicFramePr>
            <a:graphic>
              <a:graphicData uri="http://schemas.openxmlformats.org/drawingml/2006/picture">
                <pic:pic>
                  <pic:nvPicPr>
                    <pic:cNvPr id="2" name="Fig-I03-01.png"/>
                    <pic:cNvPicPr/>
                  </pic:nvPicPr>
                  <pic:blipFill>
                    <a:blip r:embed="R3553c46ae4f9459b" cstate="print"/>
                    <a:stretch>
                      <a:fillRect/>
                    </a:stretch>
                  </pic:blipFill>
                  <pic:spPr>
                    <a:xfrm>
                      <a:off x="0" y="0"/>
                      <a:ext cx="2880000" cy="3600000"/>
                    </a:xfrm>
                    <a:prstGeom prst="rect">
                      <a:avLst/>
                    </a:prstGeom>
                  </pic:spPr>
                </pic:pic>
              </a:graphicData>
            </a:graphic>
          </wp:inline>
        </w:drawing>
      </w:r>
    </w:p>
    <w:p w14:paraId="00100050" w14:textId="00100051">
      <w:pPr>
        <w:pStyle w:val="Normal"/>
        <w:jc w:val="left"/>
      </w:pPr>
      <w:r>
        <w:t xml:space="preserve">Figure 1. Portrait of the Chair of Rivermark Group.</w:t>
      </w:r>
    </w:p>
    <w:p w14:paraId="00100052" w14:textId="00100053">
      <w:pPr>
        <w:pStyle w:val="Normal"/>
        <w:jc w:val="left"/>
      </w:pPr>
      <w:r>
        <w:t xml:space="preserve">The broader context of the year was shaped by mixed economic signals. Public and private investment remained supportive in selected infrastructure and digital programs, while some industrial customers delayed commitments and consumer channels showed more cautious replenishment behavior. Inflation moderated compared with the prior year, but labor availability, energy costs, logistics complexity, and financing conditions continued to influence decisions across the Group. These factors reinforced the need for planning discipline and a sharper prioritization of capital.</w:t>
      </w:r>
    </w:p>
    <w:p w14:paraId="00100054" w14:textId="00100055">
      <w:pPr>
        <w:pStyle w:val="Normal"/>
        <w:jc w:val="left"/>
      </w:pPr>
      <w:r>
        <w:t xml:space="preserve">Against that backdrop, the Board and executive leadership maintained three priorities. First, we focused on operational reliability, because service consistency is the foundation of customer retention and margin quality. Second, we emphasized selective growth, choosing opportunities that strengthen our market position, improve mix, or deepen recurring revenue rather than pursuing volume for its own sake. Third, we preserved financial flexibility through close attention to working capital, investment sequencing, and returns discipline.</w:t>
      </w:r>
    </w:p>
    <w:p w14:paraId="00100056" w14:textId="00100057">
      <w:pPr>
        <w:pStyle w:val="Normal"/>
        <w:jc w:val="left"/>
      </w:pPr>
      <w:r>
        <w:t xml:space="preserve">These priorities are deliberately connected. Reliable operations support stronger customer economics; stronger customer economics support better cash generation; and better cash generation allows the Group to invest in capacity, technology, and people without weakening balance sheet resilience. In a year marked by both opportunity and uncertainty, that logic helped Rivermark Group move forward with confidence and restraint in equal measure.</w:t>
      </w:r>
    </w:p>
    <w:p w14:paraId="00100058" w14:textId="00100059">
      <w:pPr>
        <w:pStyle w:val="Normal"/>
        <w:jc w:val="left"/>
      </w:pPr>
      <w:r>
        <w:t xml:space="preserve">Operationally, the Group made meaningful progress. The Infrastructure Segment benefited from disciplined project execution and a healthy pipeline in essential network and maintenance activities. The Industrial Segment navigated softer order patterns in some end markets by improving scheduling, procurement control, and plant efficiency. In Consumer, management worked to balance promotional intensity with pricing architecture, channel mix, and brand support. Digital Services continued to expand platform capability and deepen client integration, strengthening the recurring characteristics of that segment’s revenue base.</w:t>
      </w:r>
    </w:p>
    <w:p w14:paraId="0010005A" w14:textId="0010005B">
      <w:pPr>
        <w:pStyle w:val="Normal"/>
        <w:jc w:val="left"/>
      </w:pPr>
      <w:r>
        <w:t xml:space="preserve">Across the portfolio, management concentrated on actions within its control. Teams simplified planning routines, improved service-level visibility, and tightened follow-through on cost and productivity initiatives. Capital expenditure remained directed toward capacity bottlenecks, digital tools, and operational upgrades with clear payback logic. We also saw progress in cross-segment collaboration, particularly where data, customer insight, and shared service capabilities could improve speed and quality of decision-making.</w:t>
      </w:r>
    </w:p>
    <w:p w14:paraId="0010005C" w14:textId="0010005D">
      <w:pPr>
        <w:pStyle w:val="Normal"/>
        <w:jc w:val="left"/>
      </w:pPr>
      <w:r>
        <w:t xml:space="preserve">Importantly, progress was not judged only by revenue growth. The Board paid close attention to margin development, cash conversion, safety performance, customer delivery metrics, and the health of the talent pipeline. Those indicators provide a better view of whether the Group is building durable value. While there is more work ahead, the year demonstrated that Rivermark Group can adapt its operating model without losing strategic direction.</w:t>
      </w:r>
    </w:p>
    <w:p w14:paraId="0010005E" w14:textId="0010005F">
      <w:pPr>
        <w:pStyle w:val="Normal"/>
        <w:jc w:val="left"/>
      </w:pPr>
      <w:r>
        <w:t xml:space="preserve">Looking ahead, we remain realistic about the environment but confident in the Group’s direction. Demand visibility is stronger in some parts of the portfolio than in others, and we expect market conditions to remain differentiated by region and customer segment. For that reason, our approach will continue to combine agility in the short term with consistency in the long term. We will support growth where customer demand is compelling, maintain cost discipline where markets are slower, and continue to apply clear return thresholds to investment decisions.</w:t>
      </w:r>
    </w:p>
    <w:p w14:paraId="00100060" w14:textId="00100061">
      <w:pPr>
        <w:pStyle w:val="Normal"/>
        <w:jc w:val="left"/>
      </w:pPr>
      <w:r>
        <w:t xml:space="preserve">The Board’s commitment is to steward Rivermark Group for sustainable performance rather than temporary gains. That means preserving strong governance, maintaining an appropriate balance between growth and resilience, and ensuring that risk, safety, and people development remain integral to strategy rather than adjacent to it. We believe the Group is better positioned today than it was a year ago: more focused in its priorities, more consistent in execution, and more deliberate in the use of capital.</w:t>
      </w:r>
    </w:p>
    <w:p w14:paraId="00100062" w14:textId="00100063">
      <w:pPr>
        <w:pStyle w:val="Normal"/>
        <w:jc w:val="left"/>
      </w:pPr>
      <w:r>
        <w:t xml:space="preserve">Thank you for your continued trust in Rivermark Group. We value that trust deeply, and we recognize that it must be earned through transparent reporting, sound judgment, and steady delivery. On behalf of the Board, I look forward to the year ahead with determination and confidence.</w:t>
      </w:r>
    </w:p>
    <w:p w14:paraId="0010166B" w14:textId="0010166C">
      <w:pPr>
        <w:pStyle w:val="Normal"/>
        <w:jc w:val="left"/>
        <w:sectPr>
          <w:type w:val="nextPage"/>
          <w:pgSz w:w="11906" w:h="16838"/>
          <w:pgMar w:top="1440" w:right="1440" w:bottom="1440" w:left="1440" w:header="1440" w:footer="1440" w:gutter="0"/>
          <w:cols w:space="720" w:num="1"/>
        </w:sectPr>
      </w:pPr>
    </w:p>
    <w:p w14:paraId="00100068" w14:textId="00100069">
      <w:pPr>
        <w:pStyle w:val="Heading1a"/>
        <w:jc w:val="left"/>
      </w:pPr>
      <w:r>
        <w:t xml:space="preserve">Year Highlights</w:t>
      </w:r>
    </w:p>
    <w:p w14:paraId="0010006A" w14:textId="0010006C">
      <w:pPr>
        <w:pStyle w:val="Normal"/>
        <w:jc w:val="left"/>
      </w:pPr>
      <w:r>
        <w:t xml:space="preserve">Overall performance:</w:t>
      </w:r>
      <w:r>
        <w:t xml:space="preserve"> Rivermark Group delivered a resilient set of results in the year, combining measured revenue growth with improved operating discipline and stronger cash generation. Group revenue reached $8.46 billion, up 6.8% year on year, supported by steady demand in Infrastructure and Digital Services, selective pricing actions, and a more favorable business mix. Adjusted EBIT rose to $812 million, lifting margin to 9.6%, as productivity gains and procurement savings partly offset wage inflation, logistics pressure, and continuing investment in technology platforms. Free cash flow improved to $468 million, reflecting tighter working capital control, more disciplined capital expenditure sequencing, and better collection performance in the second half. Net debt to EBITDA reduced to 1.8x, strengthening balance sheet flexibility and supporting the Group’s capital allocation priorities. The result was not uniform across all end markets, but the portfolio proved balanced, with stronger recurring and service-led activities helping to absorb softer conditions in selected industrial submarkets.</w:t>
      </w:r>
    </w:p>
    <w:p w14:paraId="0010006D" w14:textId="0010006E">
      <w:pPr>
        <w:pStyle w:val="Normal"/>
        <w:jc w:val="left"/>
      </w:pPr>
      <w:r>
        <w:t xml:space="preserve">The year also marked tangible business progress beyond the headline numbers. Rivermark Group deepened customer relationships through multiyear contract renewals in infrastructure maintenance, expanded industrial solution content in key accounts, and increased digital subscription penetration across existing enterprise clients. In Consumer, brand execution improved through channel rationalization, targeted innovation, and better inventory alignment with retailer demand. Across the portfolio, management completed several operational initiatives that strengthened the earnings base, including network optimization, automation upgrades at major sites, and broader use of common sourcing platforms. Safety performance improved, with a lower recordable incident rate and stronger frontline compliance in high-risk operations. The Group also advanced strategic capacity in data integration, field service scheduling, and customer analytics, laying groundwork for future productivity and service quality gains. Taken together, these actions improved both the immediate trading outcome and the longer-term quality of earnings, while reinforcing Rivermark Group’s position in markets where reliability, technical capability, and delivery consistency remain decisive competitive factors.</w:t>
      </w:r>
    </w:p>
    <w:p w14:paraId="0010006F" w14:textId="00100072">
      <w:pPr>
        <w:pStyle w:val="Normal"/>
        <w:jc w:val="left"/>
      </w:pPr>
      <w:r>
        <w:t xml:space="preserve">Looking ahead, management enters the new year with a disciplined but constructive view. Demand conditions are expected to remain mixed by region and segment, yet order visibility in core infrastructure programs, recurring service activity, and software-linked revenues provides a stable base for planning. The Group’s near-term focus is to protect margin, convert pipeline opportunities selectively, and sustain cash generation while continuing to invest in capabilities that support long-run differentiation. Priority actions include capacity debottlenecking in targeted sites, further simplification of the operating model, tighter pricing governance, and accelerated rollout of data-led planning tools. At the same time, Rivermark Group will continue to assess portfolio options and capital deployment through a clear *</w:t>
      </w:r>
      <w:r>
        <w:t xml:space="preserve">return discipline</w:t>
      </w:r>
      <w:r>
        <w:t xml:space="preserve">*, with emphasis on projects that strengthen market position and produce attractive payback. The central objective for the coming year is not simply expansion, but higher-quality growth: growth supported by recurring revenue, stronger execution, and consistent returns across the cycle.</w:t>
      </w:r>
    </w:p>
    <w:p w14:paraId="00100073" w14:textId="00100074">
      <w:pPr>
        <w:pStyle w:val="Normal"/>
        <w:jc w:val="left"/>
      </w:pPr>
      <w:r>
        <w:t xml:space="preserve">Table 1 Key financial and operating indicators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075" w14:textId="001000C5">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077" w14:textId="001000C6">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079" w14:textId="001000C7">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07B" w14:textId="001000C8">
            <w:pPr>
              <w:pStyle w:val="Normal"/>
              <w:jc w:val="left"/>
            </w:pPr>
            <w:r>
              <w:t xml:space="preserve">Change</w:t>
            </w:r>
          </w:p>
        </w:tc>
        <w:tc>
          <w:tcPr>
            <w:vAlign w:val="center"/>
            <w:tcBorders>
              <w:top w:val="single" w:sz="4" w:space="0" w:color="auto"/>
              <w:left w:val="single" w:sz="4" w:space="0" w:color="auto"/>
              <w:bottom w:val="single" w:sz="4" w:space="0" w:color="auto"/>
              <w:right w:val="single" w:sz="4" w:space="0" w:color="auto"/>
            </w:tcBorders>
          </w:tcPr>
          <w:p w14:paraId="0010007D" w14:textId="001000C9">
            <w:pPr>
              <w:pStyle w:val="Normal"/>
              <w:jc w:val="left"/>
            </w:pPr>
            <w:r>
              <w:t xml:space="preserve">Note</w:t>
            </w:r>
          </w:p>
        </w:tc>
      </w:tr>
      <w:tr>
        <w:tc>
          <w:tcPr>
            <w:vAlign w:val="center"/>
            <w:tcBorders>
              <w:top w:val="single" w:sz="4" w:space="0" w:color="auto"/>
              <w:left w:val="single" w:sz="4" w:space="0" w:color="auto"/>
              <w:bottom w:val="single" w:sz="4" w:space="0" w:color="auto"/>
              <w:right w:val="single" w:sz="4" w:space="0" w:color="auto"/>
            </w:tcBorders>
          </w:tcPr>
          <w:p w14:paraId="0010007F" w14:textId="001000CA">
            <w:pPr>
              <w:pStyle w:val="Normal"/>
              <w:jc w:val="left"/>
            </w:pPr>
            <w:r>
              <w:t xml:space="preserve">Revenue ($m)</w:t>
            </w:r>
          </w:p>
        </w:tc>
        <w:tc>
          <w:tcPr>
            <w:vAlign w:val="center"/>
            <w:tcBorders>
              <w:top w:val="single" w:sz="4" w:space="0" w:color="auto"/>
              <w:left w:val="single" w:sz="4" w:space="0" w:color="auto"/>
              <w:bottom w:val="single" w:sz="4" w:space="0" w:color="auto"/>
              <w:right w:val="single" w:sz="4" w:space="0" w:color="auto"/>
            </w:tcBorders>
          </w:tcPr>
          <w:p w14:paraId="00100081" w14:textId="001000CB">
            <w:pPr>
              <w:pStyle w:val="Normal"/>
              <w:jc w:val="left"/>
            </w:pPr>
            <w:r>
              <w:t xml:space="preserve">8,460</w:t>
            </w:r>
          </w:p>
        </w:tc>
        <w:tc>
          <w:tcPr>
            <w:vAlign w:val="center"/>
            <w:tcBorders>
              <w:top w:val="single" w:sz="4" w:space="0" w:color="auto"/>
              <w:left w:val="single" w:sz="4" w:space="0" w:color="auto"/>
              <w:bottom w:val="single" w:sz="4" w:space="0" w:color="auto"/>
              <w:right w:val="single" w:sz="4" w:space="0" w:color="auto"/>
            </w:tcBorders>
          </w:tcPr>
          <w:p w14:paraId="00100083" w14:textId="001000CC">
            <w:pPr>
              <w:pStyle w:val="Normal"/>
              <w:jc w:val="left"/>
            </w:pPr>
            <w:r>
              <w:t xml:space="preserve">7,920</w:t>
            </w:r>
          </w:p>
        </w:tc>
        <w:tc>
          <w:tcPr>
            <w:vAlign w:val="center"/>
            <w:tcBorders>
              <w:top w:val="single" w:sz="4" w:space="0" w:color="auto"/>
              <w:left w:val="single" w:sz="4" w:space="0" w:color="auto"/>
              <w:bottom w:val="single" w:sz="4" w:space="0" w:color="auto"/>
              <w:right w:val="single" w:sz="4" w:space="0" w:color="auto"/>
            </w:tcBorders>
          </w:tcPr>
          <w:p w14:paraId="00100085" w14:textId="001000CD">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0087" w14:textId="001000CE">
            <w:pPr>
              <w:pStyle w:val="Normal"/>
              <w:jc w:val="left"/>
            </w:pPr>
            <w:r>
              <w:t xml:space="preserve">Growth supported by pricing, service activity, and portfolio mix</w:t>
            </w:r>
          </w:p>
        </w:tc>
      </w:tr>
      <w:tr>
        <w:tc>
          <w:tcPr>
            <w:vAlign w:val="center"/>
            <w:tcBorders>
              <w:top w:val="single" w:sz="4" w:space="0" w:color="auto"/>
              <w:left w:val="single" w:sz="4" w:space="0" w:color="auto"/>
              <w:bottom w:val="single" w:sz="4" w:space="0" w:color="auto"/>
              <w:right w:val="single" w:sz="4" w:space="0" w:color="auto"/>
            </w:tcBorders>
          </w:tcPr>
          <w:p w14:paraId="00100089" w14:textId="001000CF">
            <w:pPr>
              <w:pStyle w:val="Normal"/>
              <w:jc w:val="left"/>
            </w:pPr>
            <w:r>
              <w:t xml:space="preserve">Adjusted EBIT ($m)</w:t>
            </w:r>
          </w:p>
        </w:tc>
        <w:tc>
          <w:tcPr>
            <w:vAlign w:val="center"/>
            <w:tcBorders>
              <w:top w:val="single" w:sz="4" w:space="0" w:color="auto"/>
              <w:left w:val="single" w:sz="4" w:space="0" w:color="auto"/>
              <w:bottom w:val="single" w:sz="4" w:space="0" w:color="auto"/>
              <w:right w:val="single" w:sz="4" w:space="0" w:color="auto"/>
            </w:tcBorders>
          </w:tcPr>
          <w:p w14:paraId="0010008B" w14:textId="001000D0">
            <w:pPr>
              <w:pStyle w:val="Normal"/>
              <w:jc w:val="left"/>
            </w:pPr>
            <w:r>
              <w:t xml:space="preserve">812</w:t>
            </w:r>
          </w:p>
        </w:tc>
        <w:tc>
          <w:tcPr>
            <w:vAlign w:val="center"/>
            <w:tcBorders>
              <w:top w:val="single" w:sz="4" w:space="0" w:color="auto"/>
              <w:left w:val="single" w:sz="4" w:space="0" w:color="auto"/>
              <w:bottom w:val="single" w:sz="4" w:space="0" w:color="auto"/>
              <w:right w:val="single" w:sz="4" w:space="0" w:color="auto"/>
            </w:tcBorders>
          </w:tcPr>
          <w:p w14:paraId="0010008D" w14:textId="001000D1">
            <w:pPr>
              <w:pStyle w:val="Normal"/>
              <w:jc w:val="left"/>
            </w:pPr>
            <w:r>
              <w:t xml:space="preserve">724</w:t>
            </w:r>
          </w:p>
        </w:tc>
        <w:tc>
          <w:tcPr>
            <w:vAlign w:val="center"/>
            <w:tcBorders>
              <w:top w:val="single" w:sz="4" w:space="0" w:color="auto"/>
              <w:left w:val="single" w:sz="4" w:space="0" w:color="auto"/>
              <w:bottom w:val="single" w:sz="4" w:space="0" w:color="auto"/>
              <w:right w:val="single" w:sz="4" w:space="0" w:color="auto"/>
            </w:tcBorders>
          </w:tcPr>
          <w:p w14:paraId="0010008F" w14:textId="001000D2">
            <w:pPr>
              <w:pStyle w:val="Normal"/>
              <w:jc w:val="left"/>
            </w:pPr>
            <w:r>
              <w:t xml:space="preserve">+12.2%</w:t>
            </w:r>
          </w:p>
        </w:tc>
        <w:tc>
          <w:tcPr>
            <w:vAlign w:val="center"/>
            <w:tcBorders>
              <w:top w:val="single" w:sz="4" w:space="0" w:color="auto"/>
              <w:left w:val="single" w:sz="4" w:space="0" w:color="auto"/>
              <w:bottom w:val="single" w:sz="4" w:space="0" w:color="auto"/>
              <w:right w:val="single" w:sz="4" w:space="0" w:color="auto"/>
            </w:tcBorders>
          </w:tcPr>
          <w:p w14:paraId="00100091" w14:textId="001000D3">
            <w:pPr>
              <w:pStyle w:val="Normal"/>
              <w:jc w:val="left"/>
            </w:pPr>
            <w:r>
              <w:t xml:space="preserve">Operational productivity and procurement actions improved earnings</w:t>
            </w:r>
          </w:p>
        </w:tc>
      </w:tr>
      <w:tr>
        <w:tc>
          <w:tcPr>
            <w:vAlign w:val="center"/>
            <w:tcBorders>
              <w:top w:val="single" w:sz="4" w:space="0" w:color="auto"/>
              <w:left w:val="single" w:sz="4" w:space="0" w:color="auto"/>
              <w:bottom w:val="single" w:sz="4" w:space="0" w:color="auto"/>
              <w:right w:val="single" w:sz="4" w:space="0" w:color="auto"/>
            </w:tcBorders>
          </w:tcPr>
          <w:p w14:paraId="00100093" w14:textId="001000D4">
            <w:pPr>
              <w:pStyle w:val="Normal"/>
              <w:jc w:val="left"/>
            </w:pPr>
            <w:r>
              <w:t xml:space="preserve">Adjusted EBIT margin</w:t>
            </w:r>
          </w:p>
        </w:tc>
        <w:tc>
          <w:tcPr>
            <w:vAlign w:val="center"/>
            <w:tcBorders>
              <w:top w:val="single" w:sz="4" w:space="0" w:color="auto"/>
              <w:left w:val="single" w:sz="4" w:space="0" w:color="auto"/>
              <w:bottom w:val="single" w:sz="4" w:space="0" w:color="auto"/>
              <w:right w:val="single" w:sz="4" w:space="0" w:color="auto"/>
            </w:tcBorders>
          </w:tcPr>
          <w:p w14:paraId="00100095" w14:textId="001000D5">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097" w14:textId="001000D6">
            <w:pPr>
              <w:pStyle w:val="Normal"/>
              <w:jc w:val="left"/>
            </w:pPr>
            <w:r>
              <w:t xml:space="preserve">9.1%</w:t>
            </w:r>
          </w:p>
        </w:tc>
        <w:tc>
          <w:tcPr>
            <w:vAlign w:val="center"/>
            <w:tcBorders>
              <w:top w:val="single" w:sz="4" w:space="0" w:color="auto"/>
              <w:left w:val="single" w:sz="4" w:space="0" w:color="auto"/>
              <w:bottom w:val="single" w:sz="4" w:space="0" w:color="auto"/>
              <w:right w:val="single" w:sz="4" w:space="0" w:color="auto"/>
            </w:tcBorders>
          </w:tcPr>
          <w:p w14:paraId="00100099" w14:textId="001000D7">
            <w:pPr>
              <w:pStyle w:val="Normal"/>
              <w:jc w:val="left"/>
            </w:pPr>
            <w:r>
              <w:t xml:space="preserve">+0.5 pts</w:t>
            </w:r>
          </w:p>
        </w:tc>
        <w:tc>
          <w:tcPr>
            <w:vAlign w:val="center"/>
            <w:tcBorders>
              <w:top w:val="single" w:sz="4" w:space="0" w:color="auto"/>
              <w:left w:val="single" w:sz="4" w:space="0" w:color="auto"/>
              <w:bottom w:val="single" w:sz="4" w:space="0" w:color="auto"/>
              <w:right w:val="single" w:sz="4" w:space="0" w:color="auto"/>
            </w:tcBorders>
          </w:tcPr>
          <w:p w14:paraId="0010009B" w14:textId="001000D8">
            <w:pPr>
              <w:pStyle w:val="Normal"/>
              <w:jc w:val="left"/>
            </w:pPr>
            <w:r>
              <w:t xml:space="preserve">Margin expansion despite labor and logistics inflation</w:t>
            </w:r>
          </w:p>
        </w:tc>
      </w:tr>
      <w:tr>
        <w:tc>
          <w:tcPr>
            <w:vAlign w:val="center"/>
            <w:tcBorders>
              <w:top w:val="single" w:sz="4" w:space="0" w:color="auto"/>
              <w:left w:val="single" w:sz="4" w:space="0" w:color="auto"/>
              <w:bottom w:val="single" w:sz="4" w:space="0" w:color="auto"/>
              <w:right w:val="single" w:sz="4" w:space="0" w:color="auto"/>
            </w:tcBorders>
          </w:tcPr>
          <w:p w14:paraId="0010009D" w14:textId="001000D9">
            <w:pPr>
              <w:pStyle w:val="Normal"/>
              <w:jc w:val="left"/>
            </w:pPr>
            <w:r>
              <w:t xml:space="preserve">Free cash flow ($m)</w:t>
            </w:r>
          </w:p>
        </w:tc>
        <w:tc>
          <w:tcPr>
            <w:vAlign w:val="center"/>
            <w:tcBorders>
              <w:top w:val="single" w:sz="4" w:space="0" w:color="auto"/>
              <w:left w:val="single" w:sz="4" w:space="0" w:color="auto"/>
              <w:bottom w:val="single" w:sz="4" w:space="0" w:color="auto"/>
              <w:right w:val="single" w:sz="4" w:space="0" w:color="auto"/>
            </w:tcBorders>
          </w:tcPr>
          <w:p w14:paraId="0010009F" w14:textId="001000DA">
            <w:pPr>
              <w:pStyle w:val="Normal"/>
              <w:jc w:val="left"/>
            </w:pPr>
            <w:r>
              <w:t xml:space="preserve">468</w:t>
            </w:r>
          </w:p>
        </w:tc>
        <w:tc>
          <w:tcPr>
            <w:vAlign w:val="center"/>
            <w:tcBorders>
              <w:top w:val="single" w:sz="4" w:space="0" w:color="auto"/>
              <w:left w:val="single" w:sz="4" w:space="0" w:color="auto"/>
              <w:bottom w:val="single" w:sz="4" w:space="0" w:color="auto"/>
              <w:right w:val="single" w:sz="4" w:space="0" w:color="auto"/>
            </w:tcBorders>
          </w:tcPr>
          <w:p w14:paraId="001000A1" w14:textId="001000DB">
            <w:pPr>
              <w:pStyle w:val="Normal"/>
              <w:jc w:val="left"/>
            </w:pPr>
            <w:r>
              <w:t xml:space="preserve">351</w:t>
            </w:r>
          </w:p>
        </w:tc>
        <w:tc>
          <w:tcPr>
            <w:vAlign w:val="center"/>
            <w:tcBorders>
              <w:top w:val="single" w:sz="4" w:space="0" w:color="auto"/>
              <w:left w:val="single" w:sz="4" w:space="0" w:color="auto"/>
              <w:bottom w:val="single" w:sz="4" w:space="0" w:color="auto"/>
              <w:right w:val="single" w:sz="4" w:space="0" w:color="auto"/>
            </w:tcBorders>
          </w:tcPr>
          <w:p w14:paraId="001000A3" w14:textId="001000DC">
            <w:pPr>
              <w:pStyle w:val="Normal"/>
              <w:jc w:val="left"/>
            </w:pPr>
            <w:r>
              <w:t xml:space="preserve">+33.3%</w:t>
            </w:r>
          </w:p>
        </w:tc>
        <w:tc>
          <w:tcPr>
            <w:vAlign w:val="center"/>
            <w:tcBorders>
              <w:top w:val="single" w:sz="4" w:space="0" w:color="auto"/>
              <w:left w:val="single" w:sz="4" w:space="0" w:color="auto"/>
              <w:bottom w:val="single" w:sz="4" w:space="0" w:color="auto"/>
              <w:right w:val="single" w:sz="4" w:space="0" w:color="auto"/>
            </w:tcBorders>
          </w:tcPr>
          <w:p w14:paraId="001000A5" w14:textId="001000DD">
            <w:pPr>
              <w:pStyle w:val="Normal"/>
              <w:jc w:val="left"/>
            </w:pPr>
            <w:r>
              <w:t xml:space="preserve">Improved collections and phased capital expenditure</w:t>
            </w:r>
          </w:p>
        </w:tc>
      </w:tr>
      <w:tr>
        <w:tc>
          <w:tcPr>
            <w:vAlign w:val="center"/>
            <w:tcBorders>
              <w:top w:val="single" w:sz="4" w:space="0" w:color="auto"/>
              <w:left w:val="single" w:sz="4" w:space="0" w:color="auto"/>
              <w:bottom w:val="single" w:sz="4" w:space="0" w:color="auto"/>
              <w:right w:val="single" w:sz="4" w:space="0" w:color="auto"/>
            </w:tcBorders>
          </w:tcPr>
          <w:p w14:paraId="001000A7" w14:textId="001000DE">
            <w:pPr>
              <w:pStyle w:val="Normal"/>
              <w:jc w:val="left"/>
            </w:pPr>
            <w:r>
              <w:t xml:space="preserve">Net debt / EBITDA</w:t>
            </w:r>
          </w:p>
        </w:tc>
        <w:tc>
          <w:tcPr>
            <w:vAlign w:val="center"/>
            <w:tcBorders>
              <w:top w:val="single" w:sz="4" w:space="0" w:color="auto"/>
              <w:left w:val="single" w:sz="4" w:space="0" w:color="auto"/>
              <w:bottom w:val="single" w:sz="4" w:space="0" w:color="auto"/>
              <w:right w:val="single" w:sz="4" w:space="0" w:color="auto"/>
            </w:tcBorders>
          </w:tcPr>
          <w:p w14:paraId="001000A9" w14:textId="001000DF">
            <w:pPr>
              <w:pStyle w:val="Normal"/>
              <w:jc w:val="left"/>
            </w:pPr>
            <w:r>
              <w:t xml:space="preserve">1.8x</w:t>
            </w:r>
          </w:p>
        </w:tc>
        <w:tc>
          <w:tcPr>
            <w:vAlign w:val="center"/>
            <w:tcBorders>
              <w:top w:val="single" w:sz="4" w:space="0" w:color="auto"/>
              <w:left w:val="single" w:sz="4" w:space="0" w:color="auto"/>
              <w:bottom w:val="single" w:sz="4" w:space="0" w:color="auto"/>
              <w:right w:val="single" w:sz="4" w:space="0" w:color="auto"/>
            </w:tcBorders>
          </w:tcPr>
          <w:p w14:paraId="001000AB" w14:textId="001000E0">
            <w:pPr>
              <w:pStyle w:val="Normal"/>
              <w:jc w:val="left"/>
            </w:pPr>
            <w:r>
              <w:t xml:space="preserve">2.2x</w:t>
            </w:r>
          </w:p>
        </w:tc>
        <w:tc>
          <w:tcPr>
            <w:vAlign w:val="center"/>
            <w:tcBorders>
              <w:top w:val="single" w:sz="4" w:space="0" w:color="auto"/>
              <w:left w:val="single" w:sz="4" w:space="0" w:color="auto"/>
              <w:bottom w:val="single" w:sz="4" w:space="0" w:color="auto"/>
              <w:right w:val="single" w:sz="4" w:space="0" w:color="auto"/>
            </w:tcBorders>
          </w:tcPr>
          <w:p w14:paraId="001000AD" w14:textId="001000E1">
            <w:pPr>
              <w:pStyle w:val="Normal"/>
              <w:jc w:val="left"/>
            </w:pPr>
            <w:r>
              <w:t xml:space="preserve">-0.4x</w:t>
            </w:r>
          </w:p>
        </w:tc>
        <w:tc>
          <w:tcPr>
            <w:vAlign w:val="center"/>
            <w:tcBorders>
              <w:top w:val="single" w:sz="4" w:space="0" w:color="auto"/>
              <w:left w:val="single" w:sz="4" w:space="0" w:color="auto"/>
              <w:bottom w:val="single" w:sz="4" w:space="0" w:color="auto"/>
              <w:right w:val="single" w:sz="4" w:space="0" w:color="auto"/>
            </w:tcBorders>
          </w:tcPr>
          <w:p w14:paraId="001000AF" w14:textId="001000E2">
            <w:pPr>
              <w:pStyle w:val="Normal"/>
              <w:jc w:val="left"/>
            </w:pPr>
            <w:r>
              <w:t xml:space="preserve">Lower leverage increased financial flexibility</w:t>
            </w:r>
          </w:p>
        </w:tc>
      </w:tr>
      <w:tr>
        <w:tc>
          <w:tcPr>
            <w:vAlign w:val="center"/>
            <w:tcBorders>
              <w:top w:val="single" w:sz="4" w:space="0" w:color="auto"/>
              <w:left w:val="single" w:sz="4" w:space="0" w:color="auto"/>
              <w:bottom w:val="single" w:sz="4" w:space="0" w:color="auto"/>
              <w:right w:val="single" w:sz="4" w:space="0" w:color="auto"/>
            </w:tcBorders>
          </w:tcPr>
          <w:p w14:paraId="001000B1" w14:textId="001000E3">
            <w:pPr>
              <w:pStyle w:val="Normal"/>
              <w:jc w:val="left"/>
            </w:pPr>
            <w:r>
              <w:t xml:space="preserve">ROCE</w:t>
            </w:r>
          </w:p>
        </w:tc>
        <w:tc>
          <w:tcPr>
            <w:vAlign w:val="center"/>
            <w:tcBorders>
              <w:top w:val="single" w:sz="4" w:space="0" w:color="auto"/>
              <w:left w:val="single" w:sz="4" w:space="0" w:color="auto"/>
              <w:bottom w:val="single" w:sz="4" w:space="0" w:color="auto"/>
              <w:right w:val="single" w:sz="4" w:space="0" w:color="auto"/>
            </w:tcBorders>
          </w:tcPr>
          <w:p w14:paraId="001000B3" w14:textId="001000E4">
            <w:pPr>
              <w:pStyle w:val="Normal"/>
              <w:jc w:val="left"/>
            </w:pPr>
            <w:r>
              <w:t xml:space="preserve">14.1%</w:t>
            </w:r>
          </w:p>
        </w:tc>
        <w:tc>
          <w:tcPr>
            <w:vAlign w:val="center"/>
            <w:tcBorders>
              <w:top w:val="single" w:sz="4" w:space="0" w:color="auto"/>
              <w:left w:val="single" w:sz="4" w:space="0" w:color="auto"/>
              <w:bottom w:val="single" w:sz="4" w:space="0" w:color="auto"/>
              <w:right w:val="single" w:sz="4" w:space="0" w:color="auto"/>
            </w:tcBorders>
          </w:tcPr>
          <w:p w14:paraId="001000B5" w14:textId="001000E5">
            <w:pPr>
              <w:pStyle w:val="Normal"/>
              <w:jc w:val="left"/>
            </w:pPr>
            <w:r>
              <w:t xml:space="preserve">12.9%</w:t>
            </w:r>
          </w:p>
        </w:tc>
        <w:tc>
          <w:tcPr>
            <w:vAlign w:val="center"/>
            <w:tcBorders>
              <w:top w:val="single" w:sz="4" w:space="0" w:color="auto"/>
              <w:left w:val="single" w:sz="4" w:space="0" w:color="auto"/>
              <w:bottom w:val="single" w:sz="4" w:space="0" w:color="auto"/>
              <w:right w:val="single" w:sz="4" w:space="0" w:color="auto"/>
            </w:tcBorders>
          </w:tcPr>
          <w:p w14:paraId="001000B7" w14:textId="001000E6">
            <w:pPr>
              <w:pStyle w:val="Normal"/>
              <w:jc w:val="left"/>
            </w:pPr>
            <w:r>
              <w:t xml:space="preserve">+1.2 pts</w:t>
            </w:r>
          </w:p>
        </w:tc>
        <w:tc>
          <w:tcPr>
            <w:vAlign w:val="center"/>
            <w:tcBorders>
              <w:top w:val="single" w:sz="4" w:space="0" w:color="auto"/>
              <w:left w:val="single" w:sz="4" w:space="0" w:color="auto"/>
              <w:bottom w:val="single" w:sz="4" w:space="0" w:color="auto"/>
              <w:right w:val="single" w:sz="4" w:space="0" w:color="auto"/>
            </w:tcBorders>
          </w:tcPr>
          <w:p w14:paraId="001000B9" w14:textId="001000E7">
            <w:pPr>
              <w:pStyle w:val="Normal"/>
              <w:jc w:val="left"/>
            </w:pPr>
            <w:r>
              <w:t xml:space="preserve">Higher earnings and tighter capital discipline</w:t>
            </w:r>
          </w:p>
        </w:tc>
      </w:tr>
      <w:tr>
        <w:tc>
          <w:tcPr>
            <w:vAlign w:val="center"/>
            <w:tcBorders>
              <w:top w:val="single" w:sz="4" w:space="0" w:color="auto"/>
              <w:left w:val="single" w:sz="4" w:space="0" w:color="auto"/>
              <w:bottom w:val="single" w:sz="4" w:space="0" w:color="auto"/>
              <w:right w:val="single" w:sz="4" w:space="0" w:color="auto"/>
            </w:tcBorders>
          </w:tcPr>
          <w:p w14:paraId="001000BB" w14:textId="001000E8">
            <w:pPr>
              <w:pStyle w:val="Normal"/>
              <w:jc w:val="left"/>
            </w:pPr>
            <w:r>
              <w:t xml:space="preserve">Employees (year-end)</w:t>
            </w:r>
          </w:p>
        </w:tc>
        <w:tc>
          <w:tcPr>
            <w:vAlign w:val="center"/>
            <w:tcBorders>
              <w:top w:val="single" w:sz="4" w:space="0" w:color="auto"/>
              <w:left w:val="single" w:sz="4" w:space="0" w:color="auto"/>
              <w:bottom w:val="single" w:sz="4" w:space="0" w:color="auto"/>
              <w:right w:val="single" w:sz="4" w:space="0" w:color="auto"/>
            </w:tcBorders>
          </w:tcPr>
          <w:p w14:paraId="001000BD" w14:textId="001000E9">
            <w:pPr>
              <w:pStyle w:val="Normal"/>
              <w:jc w:val="left"/>
            </w:pPr>
            <w:r>
              <w:t xml:space="preserve">24,300</w:t>
            </w:r>
          </w:p>
        </w:tc>
        <w:tc>
          <w:tcPr>
            <w:vAlign w:val="center"/>
            <w:tcBorders>
              <w:top w:val="single" w:sz="4" w:space="0" w:color="auto"/>
              <w:left w:val="single" w:sz="4" w:space="0" w:color="auto"/>
              <w:bottom w:val="single" w:sz="4" w:space="0" w:color="auto"/>
              <w:right w:val="single" w:sz="4" w:space="0" w:color="auto"/>
            </w:tcBorders>
          </w:tcPr>
          <w:p w14:paraId="001000BF" w14:textId="001000EA">
            <w:pPr>
              <w:pStyle w:val="Normal"/>
              <w:jc w:val="left"/>
            </w:pPr>
            <w:r>
              <w:t xml:space="preserve">23,900</w:t>
            </w:r>
          </w:p>
        </w:tc>
        <w:tc>
          <w:tcPr>
            <w:vAlign w:val="center"/>
            <w:tcBorders>
              <w:top w:val="single" w:sz="4" w:space="0" w:color="auto"/>
              <w:left w:val="single" w:sz="4" w:space="0" w:color="auto"/>
              <w:bottom w:val="single" w:sz="4" w:space="0" w:color="auto"/>
              <w:right w:val="single" w:sz="4" w:space="0" w:color="auto"/>
            </w:tcBorders>
          </w:tcPr>
          <w:p w14:paraId="001000C1" w14:textId="001000EB">
            <w:pPr>
              <w:pStyle w:val="Normal"/>
              <w:jc w:val="left"/>
            </w:pPr>
            <w:r>
              <w:t xml:space="preserve">+1.7%</w:t>
            </w:r>
          </w:p>
        </w:tc>
        <w:tc>
          <w:tcPr>
            <w:vAlign w:val="center"/>
            <w:tcBorders>
              <w:top w:val="single" w:sz="4" w:space="0" w:color="auto"/>
              <w:left w:val="single" w:sz="4" w:space="0" w:color="auto"/>
              <w:bottom w:val="single" w:sz="4" w:space="0" w:color="auto"/>
              <w:right w:val="single" w:sz="4" w:space="0" w:color="auto"/>
            </w:tcBorders>
          </w:tcPr>
          <w:p w14:paraId="001000C3" w14:textId="001000EC">
            <w:pPr>
              <w:pStyle w:val="Normal"/>
              <w:jc w:val="left"/>
            </w:pPr>
            <w:r>
              <w:t xml:space="preserve">Selective hiring in Digital Services and field operations</w:t>
            </w:r>
          </w:p>
        </w:tc>
      </w:tr>
    </w:tbl>
    <w:p w14:paraId="001000ED" w14:textId="001000EE">
      <w:pPr>
        <w:pStyle w:val="Normal"/>
        <w:jc w:val="left"/>
      </w:pPr>
      <w:r>
        <w:t xml:space="preserve">Figure 1 Revenue, adjusted EBIT margin, and free cash flow trend for 2022–2024</w:t>
      </w:r>
    </w:p>
    <w:p w14:paraId="001000EF" w14:textId="001000F0">
      <w:pPr>
        <w:pStyle w:val="Normal"/>
        <w:jc w:val="left"/>
      </w:pPr>
      <w:r>
        <w:drawing>
          <wp:inline distT="0" distB="0" distL="0" distR="0">
            <wp:extent cx="3960000" cy="2520000"/>
            <wp:effectExtent l="0" t="0" r="0" b="0"/>
            <wp:docPr id="3" name="Fig-I04-1.png" descr=""/>
            <wp:cNvGraphicFramePr>
              <a:graphicFrameLocks noChangeAspect="1"/>
            </wp:cNvGraphicFramePr>
            <a:graphic>
              <a:graphicData uri="http://schemas.openxmlformats.org/drawingml/2006/picture">
                <pic:pic>
                  <pic:nvPicPr>
                    <pic:cNvPr id="3" name="Fig-I04-1.png"/>
                    <pic:cNvPicPr/>
                  </pic:nvPicPr>
                  <pic:blipFill>
                    <a:blip r:embed="R78c945f70cfc4004" cstate="print"/>
                    <a:stretch>
                      <a:fillRect/>
                    </a:stretch>
                  </pic:blipFill>
                  <pic:spPr>
                    <a:xfrm>
                      <a:off x="0" y="0"/>
                      <a:ext cx="4320000" cy="2880000"/>
                    </a:xfrm>
                    <a:prstGeom prst="rect">
                      <a:avLst/>
                    </a:prstGeom>
                  </pic:spPr>
                </pic:pic>
              </a:graphicData>
            </a:graphic>
          </wp:inline>
        </w:drawing>
      </w:r>
    </w:p>
    <w:p w14:paraId="001000F1" w14:textId="001000F5">
      <w:pPr>
        <w:pStyle w:val="Normal"/>
        <w:jc w:val="left"/>
      </w:pPr>
      <w:r>
        <w:t xml:space="preserve">Source:</w:t>
      </w:r>
      <w:r>
        <w:t xml:space="preserve"> Rivermark Group management reporting and consolidated year-end records. Figures are presented for continuing operations unless stated otherwise. </w:t>
      </w:r>
      <w:r>
        <w:t xml:space="preserve">¹</w:t>
      </w:r>
      <w:r>
        <w:t xml:space="preserve"> Certain comparative measures are shown on a consistent management basis for year-on-year analysis.</w:t>
      </w:r>
    </w:p>
    <w:p w14:paraId="0010166D" w14:textId="0010166E">
      <w:pPr>
        <w:pStyle w:val="Normal"/>
        <w:jc w:val="left"/>
        <w:sectPr>
          <w:type w:val="nextPage"/>
          <w:pgSz w:w="11906" w:h="16838"/>
          <w:pgMar w:top="1440" w:right="1440" w:bottom="1440" w:left="1440" w:header="1440" w:footer="1440" w:gutter="0"/>
          <w:cols w:space="720" w:num="1"/>
        </w:sectPr>
      </w:pPr>
    </w:p>
    <w:p w14:paraId="001000FA" w14:textId="001000FB">
      <w:pPr>
        <w:pStyle w:val="Heading1a"/>
        <w:jc w:val="left"/>
      </w:pPr>
      <w:r>
        <w:t xml:space="preserve">Group Overview</w:t>
      </w:r>
    </w:p>
    <w:p w14:paraId="001000FC" w14:textId="001000FD">
      <w:pPr>
        <w:pStyle w:val="Normal"/>
        <w:jc w:val="left"/>
      </w:pPr>
      <w:r>
        <w:t xml:space="preserve">This chapter introduces Rivermark Group as an integrated, multi-segment enterprise operating across infrastructure, industrial, consumer, and digital services markets. It sets out the basic corporate facts behind the year’s performance, including the Group’s legal structure, operating footprint, strategic direction, and the business model through which value is created and sustained. Read together with the Operating Review, the chapter explains not only where Rivermark Group operates, but also how its scale, assets, people, and capabilities support earnings resilience and long-term development.</w:t>
      </w:r>
    </w:p>
    <w:p w14:paraId="001000FE" w14:textId="001000FF">
      <w:pPr>
        <w:pStyle w:val="Normal"/>
        <w:jc w:val="left"/>
      </w:pPr>
      <w:r>
        <w:t xml:space="preserve">During the reporting year, Rivermark Group continued to manage a diversified portfolio designed to balance cyclical exposure with recurring revenue streams. Physical operations in production, logistics, and field delivery remained closely linked to the expanding contribution from software-enabled services and data-led customer solutions. This mix gives the Group a broader earnings base, a wider customer reach, and multiple routes for capital deployment. The sections that follow describe the entities included in the reporting perimeter, the geographic and operational footprint of the business, the priorities shaping management decisions, and the principal processes that connect investment, execution, and customer delivery.</w:t>
      </w:r>
    </w:p>
    <w:p w14:paraId="00100100" w14:textId="00100101">
      <w:pPr>
        <w:pStyle w:val="Normal"/>
        <w:jc w:val="left"/>
      </w:pPr>
      <w:r>
        <w:t xml:space="preserve">The structure of this chapter follows the logic of Rivermark Group’s operating model. It begins with the Corporate Profile, which outlines the Group’s identity, ownership context, reporting boundary, and core operating scale. It then moves to Strategy and Priorities, where management’s growth, efficiency, and capital allocation agenda is summarized in a practical framework. The final section, Business Model, explains how key inputs such as people, assets, supplier relationships, data, and funding are converted into products, services, cash generation, and longer-term stakeholder outcomes.</w:t>
      </w:r>
    </w:p>
    <w:p w14:paraId="00100102" w14:textId="00100103">
      <w:pPr>
        <w:pStyle w:val="Normal"/>
        <w:jc w:val="left"/>
      </w:pPr>
      <w:r>
        <w:t xml:space="preserve">This chapter should be read as a navigation map for the remainder of the annual report. The profile sections establish the perimeter of the Group and the assets under management; the strategy sections explain the direction of travel and the milestones used to assess progress; and the business model sections connect operational activities to financial and non-financial performance. Together, these elements provide the context needed to interpret segment results, governance disclosures, risk reporting, sustainability metrics, and the financial statements. In that sense, the chapter serves as both an introduction and a reference point for the detailed discussion that follows in later chapters.</w:t>
      </w:r>
    </w:p>
    <w:p w14:paraId="00100104" w14:textId="00100105">
      <w:pPr>
        <w:pStyle w:val="Heading2a"/>
        <w:jc w:val="left"/>
      </w:pPr>
      <w:r>
        <w:t xml:space="preserve">Corporate Profile</w:t>
      </w:r>
    </w:p>
    <w:p w14:paraId="00100106" w14:textId="00100107">
      <w:pPr>
        <w:pStyle w:val="Normal"/>
        <w:jc w:val="left"/>
      </w:pPr>
      <w:r>
        <w:t xml:space="preserve">Rivermark Group is a diversified operating group with activities spanning asset-intensive services, engineered products, consumer-facing channels, and digital solutions. The Group’s portfolio is organized to combine scale businesses with recurring service and platform revenues, creating a more balanced earnings profile across market cycles. At year end, Rivermark Group maintained a network of operating companies, regional offices, production and service sites, logistics nodes, and customer support teams serving a broad mix of public-sector, commercial, industrial, and retail customers. This breadth gives the Group both local market access and the ability to share capabilities across segments.</w:t>
      </w:r>
    </w:p>
    <w:p w14:paraId="00100108" w14:textId="00100109">
      <w:pPr>
        <w:pStyle w:val="Normal"/>
        <w:jc w:val="left"/>
      </w:pPr>
      <w:r>
        <w:t xml:space="preserve">From a scale perspective, the Group’s profile is defined by four features. First, it operates through distinct yet complementary segments, each with its own customers, economics, and investment needs. Second, it retains a meaningful physical footprint, including facilities, fleet resources, and service infrastructure, which supports execution reliability and customer responsiveness. Third, it has increased the contribution of digital systems and data-enabled offerings, improving visibility over demand, service quality, and asset utilization. Fourth, it applies a centralized capital and governance framework, allowing segment management teams to pursue market opportunities within common standards for control, return, and risk management.</w:t>
      </w:r>
    </w:p>
    <w:p w14:paraId="0010010A" w14:textId="0010010B">
      <w:pPr>
        <w:pStyle w:val="Normal"/>
        <w:jc w:val="left"/>
      </w:pPr>
      <w:r>
        <w:t xml:space="preserve">The core facts table accompanying this section summarizes the Group’s legal and market identity, operating reach, workforce and site base, and principal business lines. Those indicators are intended to provide a concise view of the size and composition of the enterprise before the report turns to geographic footprint, strategy, and value creation mechanics in greater detail.</w:t>
      </w:r>
    </w:p>
    <w:p w14:paraId="0010010C" w14:textId="0010010D">
      <w:pPr>
        <w:pStyle w:val="Normal"/>
        <w:jc w:val="left"/>
      </w:pPr>
      <w:r>
        <w:t xml:space="preserve">Table 1 Scale, footprint and core facts of Rivermark Group</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10E" w14:textId="00100146">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110" w14:textId="00100147">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112" w14:textId="00100148">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114" w14:textId="00100149">
            <w:pPr>
              <w:pStyle w:val="Normal"/>
              <w:jc w:val="left"/>
            </w:pPr>
            <w:r>
              <w:t xml:space="preserve">2024</w:t>
            </w:r>
          </w:p>
        </w:tc>
      </w:tr>
      <w:tr>
        <w:tc>
          <w:tcPr>
            <w:vAlign w:val="center"/>
            <w:tcBorders>
              <w:top w:val="single" w:sz="4" w:space="0" w:color="auto"/>
              <w:left w:val="single" w:sz="4" w:space="0" w:color="auto"/>
              <w:bottom w:val="single" w:sz="4" w:space="0" w:color="auto"/>
              <w:right w:val="single" w:sz="4" w:space="0" w:color="auto"/>
            </w:tcBorders>
          </w:tcPr>
          <w:p w14:paraId="00100116" w14:textId="0010014A">
            <w:pPr>
              <w:pStyle w:val="Normal"/>
              <w:jc w:val="left"/>
            </w:pPr>
            <w:r>
              <w:t xml:space="preserve">Employees at year end</w:t>
            </w:r>
          </w:p>
        </w:tc>
        <w:tc>
          <w:tcPr>
            <w:vAlign w:val="center"/>
            <w:tcBorders>
              <w:top w:val="single" w:sz="4" w:space="0" w:color="auto"/>
              <w:left w:val="single" w:sz="4" w:space="0" w:color="auto"/>
              <w:bottom w:val="single" w:sz="4" w:space="0" w:color="auto"/>
              <w:right w:val="single" w:sz="4" w:space="0" w:color="auto"/>
            </w:tcBorders>
          </w:tcPr>
          <w:p w14:paraId="00100118" w14:textId="0010014B">
            <w:pPr>
              <w:pStyle w:val="Normal"/>
              <w:jc w:val="left"/>
            </w:pPr>
            <w:r>
              <w:t xml:space="preserve">16,480</w:t>
            </w:r>
          </w:p>
        </w:tc>
        <w:tc>
          <w:tcPr>
            <w:vAlign w:val="center"/>
            <w:tcBorders>
              <w:top w:val="single" w:sz="4" w:space="0" w:color="auto"/>
              <w:left w:val="single" w:sz="4" w:space="0" w:color="auto"/>
              <w:bottom w:val="single" w:sz="4" w:space="0" w:color="auto"/>
              <w:right w:val="single" w:sz="4" w:space="0" w:color="auto"/>
            </w:tcBorders>
          </w:tcPr>
          <w:p w14:paraId="0010011A" w14:textId="0010014C">
            <w:pPr>
              <w:pStyle w:val="Normal"/>
              <w:jc w:val="left"/>
            </w:pPr>
            <w:r>
              <w:t xml:space="preserve">17,120</w:t>
            </w:r>
          </w:p>
        </w:tc>
        <w:tc>
          <w:tcPr>
            <w:vAlign w:val="center"/>
            <w:tcBorders>
              <w:top w:val="single" w:sz="4" w:space="0" w:color="auto"/>
              <w:left w:val="single" w:sz="4" w:space="0" w:color="auto"/>
              <w:bottom w:val="single" w:sz="4" w:space="0" w:color="auto"/>
              <w:right w:val="single" w:sz="4" w:space="0" w:color="auto"/>
            </w:tcBorders>
          </w:tcPr>
          <w:p w14:paraId="0010011C" w14:textId="0010014D">
            <w:pPr>
              <w:pStyle w:val="Normal"/>
              <w:jc w:val="left"/>
            </w:pPr>
            <w:r>
              <w:t xml:space="preserve">17,860</w:t>
            </w:r>
          </w:p>
        </w:tc>
      </w:tr>
      <w:tr>
        <w:tc>
          <w:tcPr>
            <w:vAlign w:val="center"/>
            <w:tcBorders>
              <w:top w:val="single" w:sz="4" w:space="0" w:color="auto"/>
              <w:left w:val="single" w:sz="4" w:space="0" w:color="auto"/>
              <w:bottom w:val="single" w:sz="4" w:space="0" w:color="auto"/>
              <w:right w:val="single" w:sz="4" w:space="0" w:color="auto"/>
            </w:tcBorders>
          </w:tcPr>
          <w:p w14:paraId="0010011E" w14:textId="0010014E">
            <w:pPr>
              <w:pStyle w:val="Normal"/>
              <w:jc w:val="left"/>
            </w:pPr>
            <w:r>
              <w:t xml:space="preserve">Operating sites</w:t>
            </w:r>
          </w:p>
        </w:tc>
        <w:tc>
          <w:tcPr>
            <w:vAlign w:val="center"/>
            <w:tcBorders>
              <w:top w:val="single" w:sz="4" w:space="0" w:color="auto"/>
              <w:left w:val="single" w:sz="4" w:space="0" w:color="auto"/>
              <w:bottom w:val="single" w:sz="4" w:space="0" w:color="auto"/>
              <w:right w:val="single" w:sz="4" w:space="0" w:color="auto"/>
            </w:tcBorders>
          </w:tcPr>
          <w:p w14:paraId="00100120" w14:textId="0010014F">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122" w14:textId="00100150">
            <w:pPr>
              <w:pStyle w:val="Normal"/>
              <w:jc w:val="left"/>
            </w:pPr>
            <w:r>
              <w:t xml:space="preserve">77</w:t>
            </w:r>
          </w:p>
        </w:tc>
        <w:tc>
          <w:tcPr>
            <w:vAlign w:val="center"/>
            <w:tcBorders>
              <w:top w:val="single" w:sz="4" w:space="0" w:color="auto"/>
              <w:left w:val="single" w:sz="4" w:space="0" w:color="auto"/>
              <w:bottom w:val="single" w:sz="4" w:space="0" w:color="auto"/>
              <w:right w:val="single" w:sz="4" w:space="0" w:color="auto"/>
            </w:tcBorders>
          </w:tcPr>
          <w:p w14:paraId="00100124" w14:textId="00100151">
            <w:pPr>
              <w:pStyle w:val="Normal"/>
              <w:jc w:val="left"/>
            </w:pPr>
            <w:r>
              <w:t xml:space="preserve">81</w:t>
            </w:r>
          </w:p>
        </w:tc>
      </w:tr>
      <w:tr>
        <w:tc>
          <w:tcPr>
            <w:vAlign w:val="center"/>
            <w:tcBorders>
              <w:top w:val="single" w:sz="4" w:space="0" w:color="auto"/>
              <w:left w:val="single" w:sz="4" w:space="0" w:color="auto"/>
              <w:bottom w:val="single" w:sz="4" w:space="0" w:color="auto"/>
              <w:right w:val="single" w:sz="4" w:space="0" w:color="auto"/>
            </w:tcBorders>
          </w:tcPr>
          <w:p w14:paraId="00100126" w14:textId="00100152">
            <w:pPr>
              <w:pStyle w:val="Normal"/>
              <w:jc w:val="left"/>
            </w:pPr>
            <w:r>
              <w:t xml:space="preserve">Countries with commercial presence</w:t>
            </w:r>
          </w:p>
        </w:tc>
        <w:tc>
          <w:tcPr>
            <w:vAlign w:val="center"/>
            <w:tcBorders>
              <w:top w:val="single" w:sz="4" w:space="0" w:color="auto"/>
              <w:left w:val="single" w:sz="4" w:space="0" w:color="auto"/>
              <w:bottom w:val="single" w:sz="4" w:space="0" w:color="auto"/>
              <w:right w:val="single" w:sz="4" w:space="0" w:color="auto"/>
            </w:tcBorders>
          </w:tcPr>
          <w:p w14:paraId="00100128" w14:textId="00100153">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012A" w14:textId="00100154">
            <w:pPr>
              <w:pStyle w:val="Normal"/>
              <w:jc w:val="left"/>
            </w:pPr>
            <w:r>
              <w:t xml:space="preserve">23</w:t>
            </w:r>
          </w:p>
        </w:tc>
        <w:tc>
          <w:tcPr>
            <w:vAlign w:val="center"/>
            <w:tcBorders>
              <w:top w:val="single" w:sz="4" w:space="0" w:color="auto"/>
              <w:left w:val="single" w:sz="4" w:space="0" w:color="auto"/>
              <w:bottom w:val="single" w:sz="4" w:space="0" w:color="auto"/>
              <w:right w:val="single" w:sz="4" w:space="0" w:color="auto"/>
            </w:tcBorders>
          </w:tcPr>
          <w:p w14:paraId="0010012C" w14:textId="00100155">
            <w:pPr>
              <w:pStyle w:val="Normal"/>
              <w:jc w:val="left"/>
            </w:pPr>
            <w:r>
              <w:t xml:space="preserve">24</w:t>
            </w:r>
          </w:p>
        </w:tc>
      </w:tr>
      <w:tr>
        <w:tc>
          <w:tcPr>
            <w:vAlign w:val="center"/>
            <w:tcBorders>
              <w:top w:val="single" w:sz="4" w:space="0" w:color="auto"/>
              <w:left w:val="single" w:sz="4" w:space="0" w:color="auto"/>
              <w:bottom w:val="single" w:sz="4" w:space="0" w:color="auto"/>
              <w:right w:val="single" w:sz="4" w:space="0" w:color="auto"/>
            </w:tcBorders>
          </w:tcPr>
          <w:p w14:paraId="0010012E" w14:textId="00100156">
            <w:pPr>
              <w:pStyle w:val="Normal"/>
              <w:jc w:val="left"/>
            </w:pPr>
            <w:r>
              <w:t xml:space="preserve">Revenue, USD million</w:t>
            </w:r>
          </w:p>
        </w:tc>
        <w:tc>
          <w:tcPr>
            <w:vAlign w:val="center"/>
            <w:tcBorders>
              <w:top w:val="single" w:sz="4" w:space="0" w:color="auto"/>
              <w:left w:val="single" w:sz="4" w:space="0" w:color="auto"/>
              <w:bottom w:val="single" w:sz="4" w:space="0" w:color="auto"/>
              <w:right w:val="single" w:sz="4" w:space="0" w:color="auto"/>
            </w:tcBorders>
          </w:tcPr>
          <w:p w14:paraId="00100130" w14:textId="00100157">
            <w:pPr>
              <w:pStyle w:val="Normal"/>
              <w:jc w:val="left"/>
            </w:pPr>
            <w:r>
              <w:t xml:space="preserve">4,680</w:t>
            </w:r>
          </w:p>
        </w:tc>
        <w:tc>
          <w:tcPr>
            <w:vAlign w:val="center"/>
            <w:tcBorders>
              <w:top w:val="single" w:sz="4" w:space="0" w:color="auto"/>
              <w:left w:val="single" w:sz="4" w:space="0" w:color="auto"/>
              <w:bottom w:val="single" w:sz="4" w:space="0" w:color="auto"/>
              <w:right w:val="single" w:sz="4" w:space="0" w:color="auto"/>
            </w:tcBorders>
          </w:tcPr>
          <w:p w14:paraId="00100132" w14:textId="00100158">
            <w:pPr>
              <w:pStyle w:val="Normal"/>
              <w:jc w:val="left"/>
            </w:pPr>
            <w:r>
              <w:t xml:space="preserve">5,040</w:t>
            </w:r>
          </w:p>
        </w:tc>
        <w:tc>
          <w:tcPr>
            <w:vAlign w:val="center"/>
            <w:tcBorders>
              <w:top w:val="single" w:sz="4" w:space="0" w:color="auto"/>
              <w:left w:val="single" w:sz="4" w:space="0" w:color="auto"/>
              <w:bottom w:val="single" w:sz="4" w:space="0" w:color="auto"/>
              <w:right w:val="single" w:sz="4" w:space="0" w:color="auto"/>
            </w:tcBorders>
          </w:tcPr>
          <w:p w14:paraId="00100134" w14:textId="00100159">
            <w:pPr>
              <w:pStyle w:val="Normal"/>
              <w:jc w:val="left"/>
            </w:pPr>
            <w:r>
              <w:t xml:space="preserve">5,390</w:t>
            </w:r>
          </w:p>
        </w:tc>
      </w:tr>
      <w:tr>
        <w:tc>
          <w:tcPr>
            <w:vAlign w:val="center"/>
            <w:tcBorders>
              <w:top w:val="single" w:sz="4" w:space="0" w:color="auto"/>
              <w:left w:val="single" w:sz="4" w:space="0" w:color="auto"/>
              <w:bottom w:val="single" w:sz="4" w:space="0" w:color="auto"/>
              <w:right w:val="single" w:sz="4" w:space="0" w:color="auto"/>
            </w:tcBorders>
          </w:tcPr>
          <w:p w14:paraId="00100136" w14:textId="0010015A">
            <w:pPr>
              <w:pStyle w:val="Normal"/>
              <w:jc w:val="left"/>
            </w:pPr>
            <w:r>
              <w:t xml:space="preserve">Capital expenditure, USD million</w:t>
            </w:r>
          </w:p>
        </w:tc>
        <w:tc>
          <w:tcPr>
            <w:vAlign w:val="center"/>
            <w:tcBorders>
              <w:top w:val="single" w:sz="4" w:space="0" w:color="auto"/>
              <w:left w:val="single" w:sz="4" w:space="0" w:color="auto"/>
              <w:bottom w:val="single" w:sz="4" w:space="0" w:color="auto"/>
              <w:right w:val="single" w:sz="4" w:space="0" w:color="auto"/>
            </w:tcBorders>
          </w:tcPr>
          <w:p w14:paraId="00100138" w14:textId="0010015B">
            <w:pPr>
              <w:pStyle w:val="Normal"/>
              <w:jc w:val="left"/>
            </w:pPr>
            <w:r>
              <w:t xml:space="preserve">242</w:t>
            </w:r>
          </w:p>
        </w:tc>
        <w:tc>
          <w:tcPr>
            <w:vAlign w:val="center"/>
            <w:tcBorders>
              <w:top w:val="single" w:sz="4" w:space="0" w:color="auto"/>
              <w:left w:val="single" w:sz="4" w:space="0" w:color="auto"/>
              <w:bottom w:val="single" w:sz="4" w:space="0" w:color="auto"/>
              <w:right w:val="single" w:sz="4" w:space="0" w:color="auto"/>
            </w:tcBorders>
          </w:tcPr>
          <w:p w14:paraId="0010013A" w14:textId="0010015C">
            <w:pPr>
              <w:pStyle w:val="Normal"/>
              <w:jc w:val="left"/>
            </w:pPr>
            <w:r>
              <w:t xml:space="preserve">286</w:t>
            </w:r>
          </w:p>
        </w:tc>
        <w:tc>
          <w:tcPr>
            <w:vAlign w:val="center"/>
            <w:tcBorders>
              <w:top w:val="single" w:sz="4" w:space="0" w:color="auto"/>
              <w:left w:val="single" w:sz="4" w:space="0" w:color="auto"/>
              <w:bottom w:val="single" w:sz="4" w:space="0" w:color="auto"/>
              <w:right w:val="single" w:sz="4" w:space="0" w:color="auto"/>
            </w:tcBorders>
          </w:tcPr>
          <w:p w14:paraId="0010013C" w14:textId="0010015D">
            <w:pPr>
              <w:pStyle w:val="Normal"/>
              <w:jc w:val="left"/>
            </w:pPr>
            <w:r>
              <w:t xml:space="preserve">318</w:t>
            </w:r>
          </w:p>
        </w:tc>
      </w:tr>
      <w:tr>
        <w:tc>
          <w:tcPr>
            <w:vAlign w:val="center"/>
            <w:tcBorders>
              <w:top w:val="single" w:sz="4" w:space="0" w:color="auto"/>
              <w:left w:val="single" w:sz="4" w:space="0" w:color="auto"/>
              <w:bottom w:val="single" w:sz="4" w:space="0" w:color="auto"/>
              <w:right w:val="single" w:sz="4" w:space="0" w:color="auto"/>
            </w:tcBorders>
          </w:tcPr>
          <w:p w14:paraId="0010013E" w14:textId="0010015E">
            <w:pPr>
              <w:pStyle w:val="Normal"/>
              <w:jc w:val="left"/>
            </w:pPr>
            <w:r>
              <w:t xml:space="preserve">Active customer accounts</w:t>
            </w:r>
          </w:p>
        </w:tc>
        <w:tc>
          <w:tcPr>
            <w:vAlign w:val="center"/>
            <w:tcBorders>
              <w:top w:val="single" w:sz="4" w:space="0" w:color="auto"/>
              <w:left w:val="single" w:sz="4" w:space="0" w:color="auto"/>
              <w:bottom w:val="single" w:sz="4" w:space="0" w:color="auto"/>
              <w:right w:val="single" w:sz="4" w:space="0" w:color="auto"/>
            </w:tcBorders>
          </w:tcPr>
          <w:p w14:paraId="00100140" w14:textId="0010015F">
            <w:pPr>
              <w:pStyle w:val="Normal"/>
              <w:jc w:val="left"/>
            </w:pPr>
            <w:r>
              <w:t xml:space="preserve">6,900</w:t>
            </w:r>
          </w:p>
        </w:tc>
        <w:tc>
          <w:tcPr>
            <w:vAlign w:val="center"/>
            <w:tcBorders>
              <w:top w:val="single" w:sz="4" w:space="0" w:color="auto"/>
              <w:left w:val="single" w:sz="4" w:space="0" w:color="auto"/>
              <w:bottom w:val="single" w:sz="4" w:space="0" w:color="auto"/>
              <w:right w:val="single" w:sz="4" w:space="0" w:color="auto"/>
            </w:tcBorders>
          </w:tcPr>
          <w:p w14:paraId="00100142" w14:textId="00100160">
            <w:pPr>
              <w:pStyle w:val="Normal"/>
              <w:jc w:val="left"/>
            </w:pPr>
            <w:r>
              <w:t xml:space="preserve">7,450</w:t>
            </w:r>
          </w:p>
        </w:tc>
        <w:tc>
          <w:tcPr>
            <w:vAlign w:val="center"/>
            <w:tcBorders>
              <w:top w:val="single" w:sz="4" w:space="0" w:color="auto"/>
              <w:left w:val="single" w:sz="4" w:space="0" w:color="auto"/>
              <w:bottom w:val="single" w:sz="4" w:space="0" w:color="auto"/>
              <w:right w:val="single" w:sz="4" w:space="0" w:color="auto"/>
            </w:tcBorders>
          </w:tcPr>
          <w:p w14:paraId="00100144" w14:textId="00100161">
            <w:pPr>
              <w:pStyle w:val="Normal"/>
              <w:jc w:val="left"/>
            </w:pPr>
            <w:r>
              <w:t xml:space="preserve">7,980</w:t>
            </w:r>
          </w:p>
        </w:tc>
      </w:tr>
    </w:tbl>
    <w:p w14:paraId="00100162" w14:textId="00100163">
      <w:pPr>
        <w:pStyle w:val="Normal"/>
        <w:jc w:val="left"/>
      </w:pPr>
      <w:r>
        <w:t xml:space="preserve">Table 3 Scale facts by metric period.</w:t>
      </w:r>
    </w:p>
    <w:p w14:paraId="00100164" w14:textId="00100165">
      <w:pPr>
        <w:pStyle w:val="Heading3a"/>
        <w:jc w:val="left"/>
      </w:pPr>
      <w:r>
        <w:t xml:space="preserve">Identity and Scope</w:t>
      </w:r>
    </w:p>
    <w:p w14:paraId="00100166" w14:textId="00100167">
      <w:pPr>
        <w:pStyle w:val="Normal"/>
        <w:jc w:val="left"/>
      </w:pPr>
      <w:r>
        <w:t xml:space="preserve">Rivermark Group is a diversified operating group bringing together Infrastructure, Industrial, Consumer, and Digital Services activities under a single corporate and governance framework. The Group’s identity rests on a portfolio approach: each segment serves distinct end markets and customer needs, while benefiting from shared capital discipline, risk oversight, treasury management, talent systems, and data standards. This combination allows Rivermark Group to preserve market-facing specialization at the business level while presenting a coherent enterprise profile to shareholders, lenders, employees, and regulators.</w:t>
      </w:r>
    </w:p>
    <w:p w14:paraId="00100168" w14:textId="00100169">
      <w:pPr>
        <w:pStyle w:val="Normal"/>
        <w:jc w:val="left"/>
      </w:pPr>
      <w:r>
        <w:t xml:space="preserve">The scope of this report follows that same principle. It describes the parent company, its consolidated subsidiaries, and the principal brands and operating entities managed within the four reporting segments during the financial year ended 31 December 2024. Unless otherwise indicated, references to the Group include controlled entities that are fully consolidated in the annual results, together with corporate functions that support segment operations. Associates, joint arrangements, and minority investments are discussed only where they are material to understanding performance, capital allocation, or risk exposure. This definition of identity and scope is important because the Group’s legal structure, reporting boundary, and operating footprint are broader than any single market brand, yet narrower than the full ecosystem of commercial partnerships through which products and services reach customers.</w:t>
      </w:r>
    </w:p>
    <w:p w14:paraId="0010016A" w14:textId="0010016B">
      <w:pPr>
        <w:pStyle w:val="Heading4a"/>
        <w:jc w:val="left"/>
      </w:pPr>
      <w:r>
        <w:t xml:space="preserve">Legal Form</w:t>
      </w:r>
    </w:p>
    <w:p w14:paraId="0010016C" w14:textId="0010016D">
      <w:pPr>
        <w:pStyle w:val="Normal"/>
        <w:jc w:val="left"/>
      </w:pPr>
      <w:r>
        <w:t xml:space="preserve">Rivermark Group Limited is the listed holding company at the center of the Group’s legal structure. The parent establishes overall strategy, approves major capital decisions, manages external financing relationships, and sets governance expectations for all controlled entities. Beneath the parent, operating subsidiaries hold licenses, employ personnel, own production or service assets, contract with customers and suppliers, and conduct market-specific activities. This structure enables the Group to combine centralized oversight with local execution, a model that is particularly relevant where regulation, customer contracting, or tax administration differs by jurisdiction.</w:t>
      </w:r>
    </w:p>
    <w:p w14:paraId="0010016E" w14:textId="0010016F">
      <w:pPr>
        <w:pStyle w:val="Normal"/>
        <w:jc w:val="left"/>
      </w:pPr>
      <w:r>
        <w:t xml:space="preserve">From a capital markets perspective, the listed parent serves as the principal reporting issuer and the primary vehicle through which investors obtain exposure to the Group’s diversified earnings base. The listing creates obligations for periodic disclosure, governance accountability, and disciplined financial reporting, while also broadening access to funding beyond bank facilities alone. Management considers the current legal form appropriate for the Group’s scale and portfolio composition because it supports transparent ownership, ring-fenced operating accountability, and efficient movement of capital to businesses with the strongest return prospects. At the same time, the structure is reviewed regularly to ensure that dormant entities are removed, statutory obligations are met, and ownership chains remain aligned with operational control and reporting needs.</w:t>
      </w:r>
    </w:p>
    <w:p w14:paraId="00100170" w14:textId="00100171">
      <w:pPr>
        <w:pStyle w:val="Heading5"/>
        <w:jc w:val="left"/>
      </w:pPr>
      <w:r>
        <w:t xml:space="preserve">Registered Details</w:t>
      </w:r>
    </w:p>
    <w:p w14:paraId="00100172" w14:textId="00100173">
      <w:pPr>
        <w:pStyle w:val="Normal"/>
        <w:jc w:val="left"/>
      </w:pPr>
      <w:r>
        <w:t xml:space="preserve">Rivermark Group Limited is incorporated as a public limited company and maintains its registered office at Rivermark House, 18 Meridian Quay, Harborside District, Norvale. The registered office functions as the Group’s formal legal address for statutory filings, shareholder communications, and board administration, while day-to-day executive management is conducted through the corporate headquarters and segment leadership teams. The company’s principal corporate records, including constitutional documents and core governance registers, are maintained in accordance with applicable company law and stock exchange disclosure requirements.</w:t>
      </w:r>
    </w:p>
    <w:p w14:paraId="00100174" w14:textId="00100175">
      <w:pPr>
        <w:pStyle w:val="Normal"/>
        <w:jc w:val="left"/>
      </w:pPr>
      <w:r>
        <w:t xml:space="preserve">The parent company’s shares are admitted to trading on the Norvale Exchange Main Market under the ticker RMG. Through this listing, Rivermark Group accesses a broad institutional and private investor base and is subject to market rules governing price-sensitive disclosures, periodic financial reporting, and shareholder rights. The legal identity of the listed parent is distinct from the trading brands used across the Group’s operating businesses; however, those brands are controlled within the same consolidated corporate structure and are therefore represented in the Group’s financial and operating review.</w:t>
      </w:r>
    </w:p>
    <w:p w14:paraId="00100176" w14:textId="00100177">
      <w:pPr>
        <w:pStyle w:val="Normal"/>
        <w:jc w:val="left"/>
      </w:pPr>
      <w:r>
        <w:t xml:space="preserve">During the reporting year, Rivermark Group continued to operate with a single class of ordinary shares carrying equal voting rights and equal rights to declared dividends. The company remained in good standing with the relevant corporate registry and satisfied its continuing obligations as a public issuer, including the publication of interim and annual financial information, maintenance of insider controls, and timely disclosure of material developments. No change occurred in the company’s place of incorporation, registered name, or primary listing venue during 2024.</w:t>
      </w:r>
    </w:p>
    <w:p w14:paraId="00100178" w14:textId="00100179">
      <w:pPr>
        <w:pStyle w:val="Normal"/>
        <w:jc w:val="left"/>
      </w:pPr>
      <w:r>
        <w:t xml:space="preserve">Trading in the company’s shares reflected the broader conditions affecting diversified industrial and service groups: investors weighed steady revenue growth, moderated margin expansion, and disciplined capital expenditure against a mixed demand backdrop in some end markets. Management’s investor communications during the year emphasized cash generation, portfolio resilience, and the role of Digital Services in improving earnings quality. These registration and trading facts are relevant not only as corporate identifiers, but also because they define the framework through which capital is raised, ownership rights are exercised, and external stakeholders evaluate the Group’s performance over time.</w:t>
      </w:r>
    </w:p>
    <w:p w14:paraId="0010017A" w14:textId="0010017B">
      <w:pPr>
        <w:pStyle w:val="Heading5"/>
        <w:jc w:val="left"/>
      </w:pPr>
      <w:r>
        <w:t xml:space="preserve">Ownership Context</w:t>
      </w:r>
    </w:p>
    <w:p w14:paraId="0010017C" w14:textId="0010017D">
      <w:pPr>
        <w:pStyle w:val="Normal"/>
        <w:jc w:val="left"/>
      </w:pPr>
      <w:r>
        <w:t xml:space="preserve">Rivermark Group’s ownership context is characterized by a broad free-float base combined with several long-term institutional investors that provide continuity in shareholder oversight. The Board views this structure as supportive of balanced governance because it avoids excessive dependence on a single controlling owner while still enabling meaningful engagement with investors on strategy, returns, risk appetite, and sustainability priorities. In practical terms, control of the Group is exercised through the rights attached to ordinary shares, the election of directors, and the approval of reserved matters presented at general meetings.</w:t>
      </w:r>
    </w:p>
    <w:p w14:paraId="0010017E" w14:textId="0010017F">
      <w:pPr>
        <w:pStyle w:val="Normal"/>
        <w:jc w:val="left"/>
      </w:pPr>
      <w:r>
        <w:t xml:space="preserve">The absence of a dominant industrial sponsor means that management must sustain credibility through consistent operating delivery and transparent communication rather than through concentrated shareholder backing alone. This has shaped the Group’s governance culture: capital allocation thresholds are explicit, segment performance is reviewed against comparable metrics, and material transactions are assessed with particular attention to value creation and execution risk. The ownership structure also reinforces the importance of independent non-executive oversight, since the Board must mediate the interests of a diverse investor base ranging from income-oriented holders to institutions focused on medium-term growth and balance-sheet resilience.</w:t>
      </w:r>
    </w:p>
    <w:p w14:paraId="00100180" w14:textId="00100181">
      <w:pPr>
        <w:pStyle w:val="Normal"/>
        <w:jc w:val="left"/>
      </w:pPr>
      <w:r>
        <w:t xml:space="preserve">At year end, the share register was led by a mix of pension funds, asset managers, and insurance-linked investment accounts, none of which individually held a majority interest. Several of these investors have maintained positions across multiple reporting periods, providing an element of stability in shareholder dialogue even as daily market liquidity remains active. The Board, through the Chair and the relevant committee leads, maintains regular engagement with major holders to discuss governance standards, executive remuneration alignment, succession planning, and the Group’s strategic priorities.</w:t>
      </w:r>
    </w:p>
    <w:p w14:paraId="00100182" w14:textId="00100183">
      <w:pPr>
        <w:pStyle w:val="Normal"/>
        <w:jc w:val="left"/>
      </w:pPr>
      <w:r>
        <w:t xml:space="preserve">These governance links are important because ownership does not operate in isolation from oversight. Shareholders influence the Group primarily through voting, consultation, and market feedback, while the Board translates that external perspective into challenge and support for management. In Rivermark Group’s case, the relationship is designed to preserve managerial accountability without compromising operational agility in the segments. Directors and senior executives also hold a modest personal equity interest in the company, which helps align decision-making with long-term shareholder outcomes while remaining clearly secondary to the wider institutional ownership base.</w:t>
      </w:r>
    </w:p>
    <w:p w14:paraId="00100184" w14:textId="00100185">
      <w:pPr>
        <w:pStyle w:val="Heading4a"/>
        <w:jc w:val="left"/>
      </w:pPr>
      <w:r>
        <w:t xml:space="preserve">Reporting Boundary</w:t>
      </w:r>
    </w:p>
    <w:p w14:paraId="00100186" w14:textId="00100187">
      <w:pPr>
        <w:pStyle w:val="Normal"/>
        <w:jc w:val="left"/>
      </w:pPr>
      <w:r>
        <w:t xml:space="preserve">This annual report covers Rivermark Group for the financial year ended 31 December 2025 and presents a consolidated view of the businesses over which the Group exercised control during that period. Unless otherwise stated, operational commentary, strategic discussion, and non-financial indicators are reported on the same boundary as the consolidated financial statements so that performance trends can be read consistently across the document. Comparative information is generally shown for the year ended 31 December 2024, with selected multi-year indicators included where they help explain changes in scale, utilization, or market position.</w:t>
      </w:r>
    </w:p>
    <w:p w14:paraId="00100188" w14:textId="00100189">
      <w:pPr>
        <w:pStyle w:val="Normal"/>
        <w:jc w:val="left"/>
      </w:pPr>
      <w:r>
        <w:t xml:space="preserve">The reporting boundary is designed to reflect how management oversees the portfolio in practice. Rivermark Group reports through four operating segments—Infrastructure, Industrial, Consumer, and Digital Services—and includes the parent company, its principal subsidiaries, and controlled operating vehicles that contribute to revenue, assets, employees, or strategic capability. In preparing this report, management has also sought to align regional, segment, and sustainability disclosures as closely as possible to the same perimeter, while acknowledging that a limited number of indicators, particularly some people and environmental metrics, may be subject to operational data availability at site level. Overall, the basis used provides a fair and decision-useful picture of the Group’s economic activity, footprint, and year-on-year development.</w:t>
      </w:r>
    </w:p>
    <w:p w14:paraId="0010018A" w14:textId="0010018B">
      <w:pPr>
        <w:pStyle w:val="Heading5"/>
        <w:jc w:val="left"/>
      </w:pPr>
      <w:r>
        <w:t xml:space="preserve">Entities Included</w:t>
      </w:r>
    </w:p>
    <w:p w14:paraId="0010018C" w14:textId="0010018D">
      <w:pPr>
        <w:pStyle w:val="Normal"/>
        <w:jc w:val="left"/>
      </w:pPr>
      <w:r>
        <w:t xml:space="preserve">The scope of consolidation includes Rivermark Group Holdings plc and its directly and indirectly controlled subsidiaries operating under the Group’s principal brands and legal entities. These entities span the full operating portfolio, including infrastructure services businesses, industrial production and distribution companies, consumer-facing brand and channel operations, and the software, platform, and managed-service entities that comprise Digital Services. Shared-service companies responsible for procurement support, finance operations, logistics coordination, and technology administration are also included where they are controlled by the Group and form part of the underlying cost and operating structure.</w:t>
      </w:r>
    </w:p>
    <w:p w14:paraId="0010018E" w14:textId="0010018F">
      <w:pPr>
        <w:pStyle w:val="Normal"/>
        <w:jc w:val="left"/>
      </w:pPr>
      <w:r>
        <w:t xml:space="preserve">Segment disclosures in this report are built from the same included entity base and follow the internal management view used by the Executive Team. Where a legal entity supports more than one segment, its activity is allocated according to the primary business line or management reporting split applied during the year. Dormant entities, holding vehicles without material operating activity, and companies in the process of liquidation are included in legal ownership disclosures where relevant, but they do not materially affect the presentation of segment performance. This approach enables the report to represent both the legal structure of Rivermark Group and the commercial architecture through which the Group generates earnings.</w:t>
      </w:r>
    </w:p>
    <w:p w14:paraId="00100190" w14:textId="00100191">
      <w:pPr>
        <w:pStyle w:val="Normal"/>
        <w:jc w:val="left"/>
      </w:pPr>
      <w:r>
        <w:t xml:space="preserve">Coverage by business activity is intended to capture the complete operating chain from market engagement to delivery and post-sale support. In Infrastructure, the reporting boundary includes project execution, maintenance services, field operations, and related contract management activities. In Industrial, it includes manufacturing sites, engineered product lines, aftermarket support, and associated logistics operations. In Consumer, the scope covers owned brands, retail and distributor channels, category management, and customer service functions. In Digital Services, the boundary encompasses subscription platforms, implementation activity, recurring support services, and data-enabled client solutions.</w:t>
      </w:r>
    </w:p>
    <w:p w14:paraId="00100192" w14:textId="00100193">
      <w:pPr>
        <w:pStyle w:val="Normal"/>
        <w:jc w:val="left"/>
      </w:pPr>
      <w:r>
        <w:t xml:space="preserve">The report also incorporates central functions that influence the Group’s performance but do not sit within a single segment, including treasury, governance, enterprise technology, human resources, and group-level strategy. These activities are reflected either within segment cost allocations or as central items, depending on the measure being discussed. By defining scope in this way, Rivermark Group provides a view not only of where revenue is booked, but also of where operational capability resides and how supporting functions contribute to resilience, control, and long-term value creation. The result is a reporting perimeter that mirrors the substance of the business rather than a narrow legal-only presentation.</w:t>
      </w:r>
    </w:p>
    <w:p w14:paraId="00100194" w14:textId="00100195">
      <w:pPr>
        <w:pStyle w:val="Heading5"/>
        <w:jc w:val="left"/>
      </w:pPr>
      <w:r>
        <w:t xml:space="preserve">Basis of Scope</w:t>
      </w:r>
    </w:p>
    <w:p w14:paraId="00100196" w14:textId="00100197">
      <w:pPr>
        <w:pStyle w:val="Normal"/>
        <w:jc w:val="left"/>
      </w:pPr>
      <w:r>
        <w:t xml:space="preserve">The basis of scope is reviewed each year to ensure that the report remains aligned with the Group’s legal control, management structure, and operational reality. During 2025, Rivermark Group made a limited number of portfolio adjustments, including the integration of a small digital workflow acquisition into the Digital Services segment and the disposal of a non-core distribution entity formerly reported within Industrial. These changes were not of a scale that altered the overall shape of the Group, but they did affect certain comparatives in segment revenue, headcount, and selected operational indicators. Where the impact is material to understanding year-on-year movement, the narrative identifies the effect of portfolio change separately from underlying organic performance.</w:t>
      </w:r>
    </w:p>
    <w:p w14:paraId="00100198" w14:textId="00100199">
      <w:pPr>
        <w:pStyle w:val="Normal"/>
        <w:jc w:val="left"/>
      </w:pPr>
      <w:r>
        <w:t xml:space="preserve">Comparative information has been presented on a consistent basis to the extent practicable. In cases where prior-year data has been reclassified to match the current-year segment view or management reporting structure, the report explains the nature of the change in the relevant section. Where restatement would not be practical or would not materially improve understanding, prior-year figures are left on their original basis and the limitation is described in context. This treatment allows readers to distinguish between true operating progress and changes arising from acquisition, disposal, reorganization, or internal reporting refinement.</w:t>
      </w:r>
    </w:p>
    <w:p w14:paraId="0010019A" w14:textId="0010019B">
      <w:pPr>
        <w:pStyle w:val="Normal"/>
        <w:jc w:val="left"/>
      </w:pPr>
      <w:r>
        <w:t xml:space="preserve">The primary reporting period for narrative, financial, and most operational disclosures is the twelve months from 1 January 2025 to 31 December 2025. Certain charts and footprint indicators refer to year-end positions, average in-year levels, or opening-to-closing movements, depending on which measure best reflects the underlying business activity. When this occurs, the basis of measurement is indicated in the surrounding commentary or figure caption so that trends can be interpreted accurately.</w:t>
      </w:r>
    </w:p>
    <w:p w14:paraId="0010019C" w14:textId="0010019D">
      <w:pPr>
        <w:pStyle w:val="Normal"/>
        <w:jc w:val="left"/>
      </w:pPr>
      <w:r>
        <w:t xml:space="preserve">A small number of exclusions apply in order to preserve data quality and comparability. Joint ventures and associates are not fully included within operating metrics unless the disclosure specifically states otherwise; instead, their contribution is reflected in accordance with the relevant accounting treatment. Very recent acquisitions may be excluded from selected non-financial trend series where systems integration is incomplete at the reporting date, while immaterial dormant entities are excluded from site, workforce, and sustainability counts. These exclusions do not change the Group’s overall financial presentation in any significant way, but they help avoid overstating coverage in areas where underlying operational records are still being aligned. Taken together, the period basis and targeted exclusions support a reporting boundary that is disciplined, transparent, and fit for year-on-year analysis.</w:t>
      </w:r>
    </w:p>
    <w:p w14:paraId="0010019E" w14:textId="0010019F">
      <w:pPr>
        <w:pStyle w:val="Heading3a"/>
        <w:jc w:val="left"/>
      </w:pPr>
      <w:r>
        <w:t xml:space="preserve">Operating Footprint</w:t>
      </w:r>
    </w:p>
    <w:p w14:paraId="001001A0" w14:textId="001001A1">
      <w:pPr>
        <w:pStyle w:val="Normal"/>
        <w:jc w:val="left"/>
      </w:pPr>
      <w:r>
        <w:t xml:space="preserve">Rivermark Group’s operating footprint combines a broad regional presence with a deliberately varied site mix designed to support customer proximity, supply continuity, and segment-specific execution needs. The Group serves customers across North America, Europe, the Middle East, and selected Asia-Pacific markets through a network of production facilities, service branches, sales offices, distribution hubs, and digital delivery centers. This footprint reflects the different economics of each business line: Infrastructure requires local field presence and contract support capability; Industrial depends on production capacity and logistics coordination; Consumer relies on channel reach and market-facing brand teams; and Digital Services scales through technology platforms supported by specialist delivery and client service centers.</w:t>
      </w:r>
    </w:p>
    <w:p w14:paraId="001001A2" w14:textId="001001A3">
      <w:pPr>
        <w:pStyle w:val="Normal"/>
        <w:jc w:val="left"/>
      </w:pPr>
      <w:r>
        <w:t xml:space="preserve">Over time, the Group has refined the footprint to balance resilience with efficiency. Larger multi-purpose sites anchor manufacturing, warehousing, and technical support in core markets, while smaller commercial and service locations extend access to customers and improve response times. Management continues to review the network through the lenses of utilization, growth potential, and service reliability, consolidating where overlap exists and expanding where demand justifies additional capacity. As a result, the current footprint is not simply a legacy estate of inherited businesses; it is an actively managed operating network intended to support profitable growth, disciplined capital deployment, and a more integrated customer experience across the portfolio.</w:t>
      </w:r>
    </w:p>
    <w:p w14:paraId="001001A4" w14:textId="001001A5">
      <w:pPr>
        <w:pStyle w:val="Normal"/>
        <w:jc w:val="left"/>
      </w:pPr>
      <w:r>
        <w:t xml:space="preserve">Figure 4 Operating footprint by region and site type, at 31 December 2025</w:t>
      </w:r>
    </w:p>
    <w:p w14:paraId="001001A6" w14:textId="001001A7">
      <w:pPr>
        <w:pStyle w:val="Normal"/>
        <w:jc w:val="left"/>
      </w:pPr>
      <w:r>
        <w:drawing>
          <wp:inline distT="0" distB="0" distL="0" distR="0">
            <wp:extent cx="4680000" cy="2520000"/>
            <wp:effectExtent l="0" t="0" r="0" b="0"/>
            <wp:docPr id="4" name="F01.png" descr=""/>
            <wp:cNvGraphicFramePr>
              <a:graphicFrameLocks noChangeAspect="1"/>
            </wp:cNvGraphicFramePr>
            <a:graphic>
              <a:graphicData uri="http://schemas.openxmlformats.org/drawingml/2006/picture">
                <pic:pic>
                  <pic:nvPicPr>
                    <pic:cNvPr id="4" name="F01.png"/>
                    <pic:cNvPicPr/>
                  </pic:nvPicPr>
                  <pic:blipFill>
                    <a:blip r:embed="R721601850e5445d8" cstate="print"/>
                    <a:stretch>
                      <a:fillRect/>
                    </a:stretch>
                  </pic:blipFill>
                  <pic:spPr>
                    <a:xfrm>
                      <a:off x="0" y="0"/>
                      <a:ext cx="5040000" cy="2880000"/>
                    </a:xfrm>
                    <a:prstGeom prst="rect">
                      <a:avLst/>
                    </a:prstGeom>
                  </pic:spPr>
                </pic:pic>
              </a:graphicData>
            </a:graphic>
          </wp:inline>
        </w:drawing>
      </w:r>
    </w:p>
    <w:p w14:paraId="001001A8" w14:textId="001001A9">
      <w:pPr>
        <w:pStyle w:val="Heading4a"/>
        <w:jc w:val="left"/>
      </w:pPr>
      <w:r>
        <w:t xml:space="preserve">Geographic Reach</w:t>
      </w:r>
    </w:p>
    <w:p w14:paraId="001001AA" w14:textId="001001AB">
      <w:pPr>
        <w:pStyle w:val="Normal"/>
        <w:jc w:val="left"/>
      </w:pPr>
      <w:r>
        <w:t xml:space="preserve">Rivermark Group operates through a deliberately distributed footprint that balances market access, manufacturing proximity and service responsiveness. During the year, the Group served customers in 23 countries and maintained a physical operating presence in 11 of them, combining production assets, commercial offices, fulfillment points and digital delivery hubs. This footprint supports the different requirements of the Infrastructure, Industrial, Consumer and Digital Services segments: some businesses depend on local installation and service capability, while others benefit from centralized production and multi-country distribution.</w:t>
      </w:r>
    </w:p>
    <w:p w14:paraId="001001AC" w14:textId="001001AD">
      <w:pPr>
        <w:pStyle w:val="Normal"/>
        <w:jc w:val="left"/>
      </w:pPr>
      <w:r>
        <w:t xml:space="preserve">The network has expanded in a measured way rather than through broad geographic dispersion for its own sake. Rivermark Group continues to prioritize markets where it can sustain share, achieve acceptable returns and build integrated positions across sales, operations and after-sales support. Western and Central markets remain the largest contributors to revenue, but the Group has also increased coverage in selected growth corridors through channel partners, regional sales teams and shared logistics arrangements. This has improved access to mid-sized accounts and reduced delivery times for repeat orders.</w:t>
      </w:r>
    </w:p>
    <w:p w14:paraId="001001AE" w14:textId="001001AF">
      <w:pPr>
        <w:pStyle w:val="Normal"/>
        <w:jc w:val="left"/>
      </w:pPr>
      <w:r>
        <w:t xml:space="preserve">The current footprint gives the Group both resilience and focus. It limits unnecessary duplication of assets while preserving enough local presence to respond to customer requirements, regulatory expectations and supply continuity needs. Management reviews site density, regional profitability and service lead times regularly to ensure that the network remains aligned with demand patterns and strategic priorities.</w:t>
      </w:r>
    </w:p>
    <w:p w14:paraId="001001B0" w14:textId="001001B1">
      <w:pPr>
        <w:pStyle w:val="Heading5"/>
        <w:jc w:val="left"/>
      </w:pPr>
      <w:r>
        <w:t xml:space="preserve">Regional Presence</w:t>
      </w:r>
    </w:p>
    <w:p w14:paraId="001001B2" w14:textId="001001B3">
      <w:pPr>
        <w:pStyle w:val="Normal"/>
        <w:jc w:val="left"/>
      </w:pPr>
      <w:r>
        <w:t xml:space="preserve">Rivermark Group’s commercial reach extends across North Coast, Central Corridor, Southern Basin and selected overseas export markets. Its strongest positions are in domestic and adjacent regional markets, where the Group has established customer relationships, recognized brands and service capabilities that support recurring business. In these areas, the Company serves public-sector infrastructure clients, industrial manufacturers, retail chains, distributors and enterprise software users through a mix of direct and indirect channels.</w:t>
      </w:r>
    </w:p>
    <w:p w14:paraId="001001B4" w14:textId="001001B5">
      <w:pPr>
        <w:pStyle w:val="Normal"/>
        <w:jc w:val="left"/>
      </w:pPr>
      <w:r>
        <w:t xml:space="preserve">Country coverage is not uniform across all segments. Infrastructure activities are concentrated in markets where local project execution, regulatory compliance and field service capability are critical. Industrial operations serve a broader cross-border customer base from a smaller number of manufacturing locations. Consumer products reach the widest end-market audience through distributor and retail networks, while Digital Services can be delivered across jurisdictions with a lighter physical footprint. This differentiated model allows the Group to tailor market entry and support costs to the economics of each business.</w:t>
      </w:r>
    </w:p>
    <w:p w14:paraId="001001B6" w14:textId="001001B7">
      <w:pPr>
        <w:pStyle w:val="Normal"/>
        <w:jc w:val="left"/>
      </w:pPr>
      <w:r>
        <w:t xml:space="preserve">Management tracks coverage not only by the number of countries served, but also by depth of customer access, repeat order patterns and service responsiveness within each market. As a result, regional presence is defined by the quality of participation, not simply by map coverage.</w:t>
      </w:r>
    </w:p>
    <w:p w14:paraId="001001B8" w14:textId="001001B9">
      <w:pPr>
        <w:pStyle w:val="Normal"/>
        <w:jc w:val="left"/>
      </w:pPr>
      <w:r>
        <w:t xml:space="preserve">Although Rivermark Group serves a broad set of markets, revenue remains concentrated in regions where scale, customer density and operational integration are strongest. The top five markets accounted for the clear majority of Group revenue in the year, reflecting both the maturity of those businesses and the proximity of production, technical support and logistics infrastructure. This concentration supports efficiency, because asset utilization, procurement leverage and route density improve when volumes are anchored in established corridors.</w:t>
      </w:r>
    </w:p>
    <w:p w14:paraId="001001BA" w14:textId="001001BB">
      <w:pPr>
        <w:pStyle w:val="Normal"/>
        <w:jc w:val="left"/>
      </w:pPr>
      <w:r>
        <w:t xml:space="preserve">At the same time, the Group’s reach extends beyond these core markets through export programs, channel partnerships and digital delivery models. That broader reach provides optionality and a source of incremental growth without requiring full standalone infrastructure in every geography. In practice, Rivermark Group uses hub-and-spoke arrangements: major sites support surrounding territories, while representative offices and partner channels provide customer coverage in smaller markets.</w:t>
      </w:r>
    </w:p>
    <w:p w14:paraId="001001BC" w14:textId="001001BD">
      <w:pPr>
        <w:pStyle w:val="Normal"/>
        <w:jc w:val="left"/>
      </w:pPr>
      <w:r>
        <w:t xml:space="preserve">The resulting profile is intentionally balanced. It avoids overexposure to any single locality while preserving the economic benefits of regional clusters. Management considers this concentration-with-reach model appropriate for the current stage of development, as it enables disciplined expansion while retaining control over service quality, compliance and working capital.</w:t>
      </w:r>
    </w:p>
    <w:p w14:paraId="001001BE" w14:textId="001001BF">
      <w:pPr>
        <w:pStyle w:val="Heading5"/>
        <w:jc w:val="left"/>
      </w:pPr>
      <w:r>
        <w:t xml:space="preserve">Site Types</w:t>
      </w:r>
    </w:p>
    <w:p w14:paraId="001001C0" w14:textId="001001C1">
      <w:pPr>
        <w:pStyle w:val="Normal"/>
        <w:jc w:val="left"/>
      </w:pPr>
      <w:r>
        <w:t xml:space="preserve">The Group’s physical network includes manufacturing plants, assembly and finishing centers, commercial offices, technical service locations, warehouses and logistics nodes. Each site category performs a distinct role in the operating model. Manufacturing plants provide primary production capacity for industrial and consumer lines, while assembly locations support customization, final configuration and shorter lead times for regional customers. Commercial offices anchor customer engagement, key account management and tender activity in major markets.</w:t>
      </w:r>
    </w:p>
    <w:p w14:paraId="001001C2" w14:textId="001001C3">
      <w:pPr>
        <w:pStyle w:val="Normal"/>
        <w:jc w:val="left"/>
      </w:pPr>
      <w:r>
        <w:t xml:space="preserve">Warehouses and logistics nodes support inventory positioning, order consolidation and outbound distribution. Their role has become more important as Rivermark Group has sought to improve on-time delivery and reduce transport inefficiencies across segments. In parallel, technical service sites support installation, maintenance and project execution in the Infrastructure and Industrial businesses, where local response capability remains a competitive differentiator. Digital Services relies less on heavy physical assets, but still operates from office and support locations that house product teams, implementation specialists and customer success functions.</w:t>
      </w:r>
    </w:p>
    <w:p w14:paraId="001001C4" w14:textId="001001C5">
      <w:pPr>
        <w:pStyle w:val="Normal"/>
        <w:jc w:val="left"/>
      </w:pPr>
      <w:r>
        <w:t xml:space="preserve">This mix of site types allows the Group to connect production, sales and service in a coordinated network. Rather than treating every facility as a standalone unit, management designs the footprint as an integrated system in which each site contributes to capacity, responsiveness and customer support.</w:t>
      </w:r>
    </w:p>
    <w:p w14:paraId="001001C6" w14:textId="001001C7">
      <w:pPr>
        <w:pStyle w:val="Normal"/>
        <w:jc w:val="left"/>
      </w:pPr>
      <w:r>
        <w:t xml:space="preserve">Site roles are defined by operating purpose, not simply by property category. A large plant may function as a regional manufacturing hub supplying multiple segments, whereas a smaller facility may be optimized for late-stage customization or aftermarket support. Offices vary as well: some are corporate and shared-service centers, while others are front-line market units focused on sales execution, contract administration and customer care. This functional distinction is important because the Group allocates capital, headcount and performance targets according to site role.</w:t>
      </w:r>
    </w:p>
    <w:p w14:paraId="001001C8" w14:textId="001001C9">
      <w:pPr>
        <w:pStyle w:val="Normal"/>
        <w:jc w:val="left"/>
      </w:pPr>
      <w:r>
        <w:t xml:space="preserve">In practical terms, Rivermark Group classifies sites into production, customer-facing, distribution and enabling locations. Production sites are measured primarily on throughput, yield, quality and utilization. Customer-facing sites are judged more on pipeline conversion, service response and client retention. Distribution nodes emphasize inventory turns, order accuracy and transport reliability. Enabling locations, including finance, procurement and technology support centers, are expected to deliver standardization and efficiency across the Group rather than direct external revenue.</w:t>
      </w:r>
    </w:p>
    <w:p w14:paraId="001001CA" w14:textId="001001CB">
      <w:pPr>
        <w:pStyle w:val="Normal"/>
        <w:jc w:val="left"/>
      </w:pPr>
      <w:r>
        <w:t xml:space="preserve">This role-based approach improves network discipline. It helps management identify overlapping activities, clarify accountability and determine whether a facility should be expanded, reconfigured or supported through a partner model. As the portfolio evolves, the Group expects this classification to remain central to footprint planning and operational governance.</w:t>
      </w:r>
    </w:p>
    <w:p w14:paraId="001001CC" w14:textId="001001CD">
      <w:pPr>
        <w:pStyle w:val="Heading4a"/>
        <w:jc w:val="left"/>
      </w:pPr>
      <w:r>
        <w:t xml:space="preserve">Capacity Snapshot</w:t>
      </w:r>
    </w:p>
    <w:p w14:paraId="001001CE" w14:textId="001001CF">
      <w:pPr>
        <w:pStyle w:val="Normal"/>
        <w:jc w:val="left"/>
      </w:pPr>
      <w:r>
        <w:t xml:space="preserve">Rivermark Group monitors capacity through a combination of physical, operational and service indicators rather than a single aggregate measure. Across the portfolio, management reviews installed production capacity, warehouse throughput, fleet availability, engineering deployment and digital platform scalability to understand whether the asset base is sufficient for current demand and adaptable for future growth. This multi-dimensional view is necessary because the Group’s four segments consume capacity in different ways: some are constrained by plant utilization, others by skilled labor availability, delivery infrastructure or software platform performance.</w:t>
      </w:r>
    </w:p>
    <w:p w14:paraId="001001D0" w14:textId="001001D1">
      <w:pPr>
        <w:pStyle w:val="Normal"/>
        <w:jc w:val="left"/>
      </w:pPr>
      <w:r>
        <w:t xml:space="preserve">During the year, available capacity improved through selective debottlenecking, layout changes and tighter planning discipline rather than large greenfield expansion. Several sites increased output by extending shift flexibility, reducing changeover time and improving preventive maintenance routines. In logistics, route consolidation and inventory rebalancing supported higher throughput without proportional growth in fixed assets. Digital Services increased user-handling and implementation capacity through cloud optimization and process automation in support functions.</w:t>
      </w:r>
    </w:p>
    <w:p w14:paraId="001001D2" w14:textId="001001D3">
      <w:pPr>
        <w:pStyle w:val="Normal"/>
        <w:jc w:val="left"/>
      </w:pPr>
      <w:r>
        <w:t xml:space="preserve">Trend analysis indicates that the Group remains within manageable utilization ranges overall, though pressure was evident in certain product families and project-based service lines during peak periods. Management therefore continues to monitor bottlenecks at a granular level and prioritize incremental investments where demand visibility, margin potential and service risk justify additional capacity. The objective is to sustain growth without allowing underused assets to dilute returns.</w:t>
      </w:r>
    </w:p>
    <w:p w14:paraId="001001D4" w14:textId="001001D5">
      <w:pPr>
        <w:pStyle w:val="Heading5"/>
        <w:jc w:val="left"/>
      </w:pPr>
      <w:r>
        <w:t xml:space="preserve">Asset Base</w:t>
      </w:r>
    </w:p>
    <w:p w14:paraId="001001D6" w14:textId="001001D7">
      <w:pPr>
        <w:pStyle w:val="Normal"/>
        <w:jc w:val="left"/>
      </w:pPr>
      <w:r>
        <w:t xml:space="preserve">The Group’s asset base comprises production facilities, leased and owned offices, warehouse infrastructure, vehicle fleets, field equipment, information systems and digital platforms. In combination, these assets support both product-based and service-led activities across the portfolio. The most capital-intensive components are concentrated in the Infrastructure and Industrial segments, where manufacturing equipment, specialized tools and project delivery resources are essential to execution. Consumer operations rely on a balanced mix of production and distribution assets, while Digital Services is more dependent on software environments, cloud arrangements and development infrastructure.</w:t>
      </w:r>
    </w:p>
    <w:p w14:paraId="001001D8" w14:textId="001001D9">
      <w:pPr>
        <w:pStyle w:val="Normal"/>
        <w:jc w:val="left"/>
      </w:pPr>
      <w:r>
        <w:t xml:space="preserve">Scale is achieved not only through the number of assets, but through the way they are connected. Rivermark Group’s manufacturing footprint is linked to regional warehouses and customer-facing teams, enabling the Group to move goods efficiently from production to end market. Vehicle and field equipment fleets support installation, service and maintenance work in markets where local response times influence customer satisfaction and contract renewal. At the same time, shared technology systems provide planning, procurement, finance and customer data capabilities across locations.</w:t>
      </w:r>
    </w:p>
    <w:p w14:paraId="001001DA" w14:textId="001001DB">
      <w:pPr>
        <w:pStyle w:val="Normal"/>
        <w:jc w:val="left"/>
      </w:pPr>
      <w:r>
        <w:t xml:space="preserve">Management’s focus is to maintain an asset base that is fit for purpose, flexible enough for changing demand and disciplined in capital intensity. Asset reviews therefore consider utilization, maintenance burden, replacement cycle and strategic relevance, ensuring that the network remains capable without becoming unnecessarily complex.</w:t>
      </w:r>
    </w:p>
    <w:p w14:paraId="001001DC" w14:textId="001001DD">
      <w:pPr>
        <w:pStyle w:val="Normal"/>
        <w:jc w:val="left"/>
      </w:pPr>
      <w:r>
        <w:t xml:space="preserve">Asset depth varies across the portfolio according to business model, service commitment and market maturity. Core production sites have the greatest depth, with multiple process lines, quality infrastructure, maintenance capability and supporting utilities that enable sustained output and product consistency. Distribution assets, by contrast, are designed for flow efficiency and geographic reach rather than heavy fixed investment. In Digital Services, asset depth is defined less by physical plant and more by platform architecture, data resilience, cybersecurity controls and implementation capability.</w:t>
      </w:r>
    </w:p>
    <w:p w14:paraId="001001DE" w14:textId="001001DF">
      <w:pPr>
        <w:pStyle w:val="Normal"/>
        <w:jc w:val="left"/>
      </w:pPr>
      <w:r>
        <w:t xml:space="preserve">This capacity mix gives Rivermark Group useful flexibility. Heavier assets are concentrated where scale, know-how and customer proximity justify long-term investment, while lighter operating models are used in markets or activities where demand is more variable. The Company also combines owned and leased assets to balance strategic control with financial flexibility. Owned facilities are generally retained where process criticality, location advantage or long operating life support investment economics; leased sites are more common where agility and market testing are priorities.</w:t>
      </w:r>
    </w:p>
    <w:p w14:paraId="001001E0" w14:textId="001001E1">
      <w:pPr>
        <w:pStyle w:val="Normal"/>
        <w:jc w:val="left"/>
      </w:pPr>
      <w:r>
        <w:t xml:space="preserve">From a management perspective, the key question is whether asset depth matches commercial opportunity. Excess depth can depress returns, while insufficient depth can constrain growth and service quality. Rivermark Group therefore evaluates capacity mix alongside order trends, margin outlook and segment strategy, aiming to keep the portfolio scalable, resilient and economically efficient.</w:t>
      </w:r>
    </w:p>
    <w:p w14:paraId="001001E2" w14:textId="001001E3">
      <w:pPr>
        <w:pStyle w:val="Heading5"/>
        <w:jc w:val="left"/>
      </w:pPr>
      <w:r>
        <w:t xml:space="preserve">Operational Metrics</w:t>
      </w:r>
    </w:p>
    <w:p w14:paraId="001001E4" w14:textId="001001E5">
      <w:pPr>
        <w:pStyle w:val="Normal"/>
        <w:jc w:val="left"/>
      </w:pPr>
      <w:r>
        <w:t xml:space="preserve">Group operating indicators continued to improve during the year, reflecting both higher throughput and more disciplined use of installed capacity. Across the manufacturing, logistics, and service network, aggregate throughput increased as order flow normalized in Infrastructure and Industrial activities, while Digital Services supported planning accuracy and asset visibility. Average utilization moved upward from prior-year levels, with the clearest gains recorded in multi-purpose production sites and regional distribution hubs where scheduling tools reduced idle time and shortened changeover intervals.</w:t>
      </w:r>
    </w:p>
    <w:p w14:paraId="001001E6" w14:textId="001001E7">
      <w:pPr>
        <w:pStyle w:val="Normal"/>
        <w:jc w:val="left"/>
      </w:pPr>
      <w:r>
        <w:t xml:space="preserve">The improvement was not uniform in every market. Consumer-facing operations experienced more volatile weekly volumes, and some facilities deliberately carried reserve capacity to protect service levels during promotional periods and seasonal peaks. Even so, the Group’s overall operating rhythm strengthened as plant loading, warehouse turns, and transport routing were managed against common service and margin objectives. Management monitored throughput per site, utilization by asset class, and on-time completion rates as linked indicators rather than isolated measures.</w:t>
      </w:r>
    </w:p>
    <w:p w14:paraId="001001E8" w14:textId="001001E9">
      <w:pPr>
        <w:pStyle w:val="Normal"/>
        <w:jc w:val="left"/>
      </w:pPr>
      <w:r>
        <w:t xml:space="preserve">Taken together, these trends indicate that Rivermark Group is extracting more output from its existing footprint without relying solely on expansion capital. The year’s data suggest a healthier balance between demand capture and operational resilience, providing a firmer base for margin improvement and selective growth investment in the next planning cycle.</w:t>
      </w:r>
    </w:p>
    <w:p w14:paraId="001001EA" w14:textId="001001EB">
      <w:pPr>
        <w:pStyle w:val="Normal"/>
        <w:jc w:val="left"/>
      </w:pPr>
      <w:r>
        <w:t xml:space="preserve">At the current level of activity, Rivermark Group operates at a scale that supports both segment specialization and shared infrastructure benefits. The network now combines production facilities, logistics nodes, client service centers, and digital delivery capability in a way that allows management to shift resources toward the strongest demand pockets while maintaining group-wide standards. This scale matters not only for revenue capacity, but also for procurement leverage, systems harmonization, and the ability to spread fixed support costs over a broader operating base.</w:t>
      </w:r>
    </w:p>
    <w:p w14:paraId="001001EC" w14:textId="001001ED">
      <w:pPr>
        <w:pStyle w:val="Normal"/>
        <w:jc w:val="left"/>
      </w:pPr>
      <w:r>
        <w:t xml:space="preserve">Momentum through the year was supported by steadier utilization, improved scheduling discipline, and a more selective commercial approach. Higher throughput in core corridors translated into better absorption of overhead, while targeted automation and workflow redesign helped sustain output quality. Importantly, management did not pursue volume at any cost; lower-return activity was trimmed in several areas to preserve service reliability and protect margin quality.</w:t>
      </w:r>
    </w:p>
    <w:p w14:paraId="001001EE" w14:textId="001001EF">
      <w:pPr>
        <w:pStyle w:val="Normal"/>
        <w:jc w:val="left"/>
      </w:pPr>
      <w:r>
        <w:t xml:space="preserve">The resulting picture is one of controlled acceleration rather than expansion for its own sake. Rivermark enters the next period with sufficient operating headroom in some locations, tighter constraints in selected high-demand lines, and a clearer view of where incremental capital can generate the strongest returns.</w:t>
      </w:r>
    </w:p>
    <w:p w14:paraId="001001F0" w14:textId="001001F1">
      <w:pPr>
        <w:pStyle w:val="Heading2a"/>
        <w:jc w:val="left"/>
      </w:pPr>
      <w:r>
        <w:t xml:space="preserve">Strategy and Priorities</w:t>
      </w:r>
    </w:p>
    <w:p w14:paraId="001001F2" w14:textId="001001F5">
      <w:pPr>
        <w:pStyle w:val="Normal"/>
        <w:jc w:val="left"/>
      </w:pPr>
      <w:r>
        <w:t xml:space="preserve">Rivermark Group’s strategic framework is designed to convert its diversified portfolio into a more integrated, higher-return enterprise. The plan is anchored in a limited number of group-wide pillars that guide capital allocation, operating discipline, and market development across all segments. </w:t>
      </w:r>
      <w:r>
        <w:t xml:space="preserve">Strategic focus:</w:t>
      </w:r>
      <w:r>
        <w:t xml:space="preserve"> management has concentrated on scalable growth lanes, productivity improvement, stronger cash generation, and a more resilient operating platform. These priorities are intended to raise quality of earnings rather than simply expand revenue volume.</w:t>
        <w:br/>
        <w:t xml:space="preserve">Targets are set with a balance between ambition and execution realism. Financial aims center on sustained revenue growth above underlying market demand, progressive operating margin expansion, and improved cash conversion through tighter working-capital control. Nonfinancial targets support those outcomes by emphasizing customer retention, service reliability, digital enablement, safety performance, and disciplined portfolio management. The same framework is used to evaluate segment plans, ensuring that business-unit initiatives remain consistent with group economics.</w:t>
        <w:br/>
        <w:t xml:space="preserve">The strategy also recognizes that the next phase of development requires choice. Rivermark is prioritizing markets and product-service combinations where it can establish durable advantage, while reducing attention on lower-differentiation activities. In this way, the strategic pillars are not abstract themes but a decision model for where the Group will invest, streamline, partner, and compete.</w:t>
      </w:r>
    </w:p>
    <w:p w14:paraId="001001F6" w14:textId="001001F7">
      <w:pPr>
        <w:pStyle w:val="Heading3a"/>
        <w:jc w:val="left"/>
      </w:pPr>
      <w:r>
        <w:t xml:space="preserve">Strategic Direction</w:t>
      </w:r>
    </w:p>
    <w:p w14:paraId="001001F8" w14:textId="001001F9">
      <w:pPr>
        <w:pStyle w:val="Normal"/>
        <w:jc w:val="left"/>
      </w:pPr>
      <w:r>
        <w:t xml:space="preserve">Rivermark Group’s strategic direction is framed by a clear vision: to build a connected portfolio of businesses that deliver dependable solutions, stronger recurring returns, and disciplined long-term value creation. The Group’s choice is not to pursue maximum breadth in every market, but to compete where customer need, operating capability, and capital returns align. That orientation has shaped management decisions on expansion, digital investment, product refinement, and the use of shared platforms across segments.</w:t>
      </w:r>
    </w:p>
    <w:p w14:paraId="001001FA" w14:textId="001001FB">
      <w:pPr>
        <w:pStyle w:val="Normal"/>
        <w:jc w:val="left"/>
      </w:pPr>
      <w:r>
        <w:t xml:space="preserve">The direction of travel rests on several practical choices. First, Rivermark is increasing exposure to markets with repeat demand, infrastructure-linked spending, and service components that deepen customer relationships. Second, it is simplifying parts of the portfolio where complexity has outgrown economic benefit, especially where bespoke offerings create cost without sufficient pricing power. Third, the Group is standardizing key systems and planning processes so that commercial, operational, and financial decisions can be made on comparable data across businesses.</w:t>
      </w:r>
    </w:p>
    <w:p w14:paraId="001001FC" w14:textId="001001FD">
      <w:pPr>
        <w:pStyle w:val="Normal"/>
        <w:jc w:val="left"/>
      </w:pPr>
      <w:r>
        <w:t xml:space="preserve">This combination of growth selectivity and internal discipline is central to the Group’s positioning. It allows Rivermark to retain the benefits of diversification while improving coherence between segments. The result is a strategy aimed less at short-term expansion in isolation and more at building a portfolio that is easier to scale, manage, and defend through changing market conditions.</w:t>
      </w:r>
    </w:p>
    <w:p w14:paraId="001001FE" w14:textId="001001FF">
      <w:pPr>
        <w:pStyle w:val="Heading4a"/>
        <w:jc w:val="left"/>
      </w:pPr>
      <w:r>
        <w:t xml:space="preserve">Strategic Pillars</w:t>
      </w:r>
    </w:p>
    <w:p w14:paraId="00100200" w14:textId="00100201">
      <w:pPr>
        <w:pStyle w:val="Normal"/>
        <w:jc w:val="left"/>
      </w:pPr>
      <w:r>
        <w:t xml:space="preserve">The Group’s strategy is organized around a defined set of pillars that translate broad ambition into measurable management action. These pillars connect market growth, operating efficiency, capital discipline, and organizational capability, providing a common language for planning across Infrastructure, Industrial, Consumer, and Digital Services. Each pillar has associated targets so that progress can be assessed through operating and financial evidence rather than narrative alone.</w:t>
      </w:r>
    </w:p>
    <w:p w14:paraId="00100202" w14:textId="00100203">
      <w:pPr>
        <w:pStyle w:val="Normal"/>
        <w:jc w:val="left"/>
      </w:pPr>
      <w:r>
        <w:t xml:space="preserve">The first pillar centers on focused growth: expanding in attractive markets, strengthening customer relevance, and increasing the share of revenue from differentiated offerings and recurring service relationships. The second pillar addresses efficiency and execution, with emphasis on procurement, asset utilization, process simplification, and digital tools that raise productivity. A third pillar concerns portfolio and capital quality, ensuring that investment is directed toward opportunities with defendable margins, strategic fit, and acceptable payback. The fourth pillar supports the system as a whole by developing people, leadership capability, and controls that allow the Group to scale without losing discipline.</w:t>
      </w:r>
    </w:p>
    <w:p w14:paraId="00100204" w14:textId="00100205">
      <w:pPr>
        <w:pStyle w:val="Normal"/>
        <w:jc w:val="left"/>
      </w:pPr>
      <w:r>
        <w:t xml:space="preserve">Target logic follows the same structure. Growth targets are judged not only by sales expansion but by mix quality and retention. Efficiency targets focus on margin, conversion, and service consistency. Capital targets measure return and cash discipline. Capability targets reinforce sustainability of results. In combination, the pillars create a framework that is broad enough to guide the whole Group yet specific enough to shape day-to-day decisions.</w:t>
      </w:r>
    </w:p>
    <w:p w14:paraId="00100206" w14:textId="00100207">
      <w:pPr>
        <w:pStyle w:val="Heading5"/>
        <w:jc w:val="left"/>
      </w:pPr>
      <w:r>
        <w:t xml:space="preserve">Growth Agenda</w:t>
      </w:r>
    </w:p>
    <w:p w14:paraId="00100208" w14:textId="00100209">
      <w:pPr>
        <w:pStyle w:val="Normal"/>
        <w:jc w:val="left"/>
      </w:pPr>
      <w:r>
        <w:t xml:space="preserve">Rivermark Group’s growth agenda is concentrated on markets and product areas where demand visibility, customer need, and operating advantage can be combined. In Infrastructure, the Group is targeting projects and service contracts tied to maintenance, modernization, and essential network spending, where replacement cycles tend to be more durable than purely discretionary demand. In Industrial, the emphasis is on specialized applications and higher-value configurations that reward technical capability and service reliability. Consumer growth remains focused on channels and brands with stronger repeat purchase behavior, while Digital Services is expanding subscription-based and embedded solutions that complement the physical businesses.</w:t>
      </w:r>
    </w:p>
    <w:p w14:paraId="0010020A" w14:textId="0010020B">
      <w:pPr>
        <w:pStyle w:val="Normal"/>
        <w:jc w:val="left"/>
      </w:pPr>
      <w:r>
        <w:t xml:space="preserve">Product expansion is being managed with similar selectivity. Rather than extending every line broadly, management is prioritizing adjacent offers that improve wallet share, deepen account relationships, or increase recurring service content. This includes bundled solutions, aftermarket support, analytics-enabled service layers, and standardized premium variants that can scale across regions. Geographic expansion is likewise disciplined, with preference given to markets where the Group already has operational infrastructure, channel access, or transferable customer propositions.</w:t>
      </w:r>
    </w:p>
    <w:p w14:paraId="0010020C" w14:textId="0010020D">
      <w:pPr>
        <w:pStyle w:val="Normal"/>
        <w:jc w:val="left"/>
      </w:pPr>
      <w:r>
        <w:t xml:space="preserve">The practical aim is to build growth that carries acceptable margins and manageable execution risk. By concentrating on markets, products, and expansion routes where Rivermark can leverage existing strengths, the Group seeks to improve both the pace and the quality of revenue development over time.</w:t>
      </w:r>
    </w:p>
    <w:p w14:paraId="0010020E" w14:textId="0010020F">
      <w:pPr>
        <w:pStyle w:val="Normal"/>
        <w:jc w:val="left"/>
      </w:pPr>
      <w:r>
        <w:t xml:space="preserve">Priority growth lanes have been defined to prevent dilution of capital and management attention. One lane is account deepening within existing customer bases, where cross-selling, service attachment, and broader contract scope can produce incremental revenue at lower acquisition cost. A second lane is category expansion in areas where Rivermark already holds technical credibility and can introduce related products or services with limited additional infrastructure. A third lane is digital-enabled growth, including data services, workflow tools, and subscription models that increase customer retention while improving visibility over future earnings.</w:t>
      </w:r>
    </w:p>
    <w:p w14:paraId="00100210" w14:textId="00100211">
      <w:pPr>
        <w:pStyle w:val="Normal"/>
        <w:jc w:val="left"/>
      </w:pPr>
      <w:r>
        <w:t xml:space="preserve">Another priority lane is regional densification. In selected territories, Rivermark sees greater value in increasing penetration and service coverage than in entering entirely new jurisdictions. Densification improves route economics, strengthens brand presence, and allows fixed costs to be absorbed more effectively. The Group is also using partnerships and selective bolt-on opportunities to accelerate capability in niches that would be slower or more costly to build organically.</w:t>
      </w:r>
    </w:p>
    <w:p w14:paraId="00100212" w14:textId="00100213">
      <w:pPr>
        <w:pStyle w:val="Normal"/>
        <w:jc w:val="left"/>
      </w:pPr>
      <w:r>
        <w:t xml:space="preserve">These lanes provide a practical screen for expansion proposals. Initiatives that strengthen recurring revenue, leverage existing assets, or improve segment connectivity are favored over those requiring broad new infrastructure or uncertain customer adoption. This disciplined approach should help Rivermark sustain growth while preserving returns, execution quality, and balance-sheet flexibility.</w:t>
      </w:r>
    </w:p>
    <w:p w14:paraId="00100214" w14:textId="00100215">
      <w:pPr>
        <w:pStyle w:val="Heading5"/>
        <w:jc w:val="left"/>
      </w:pPr>
      <w:r>
        <w:t xml:space="preserve">Efficiency Agenda</w:t>
      </w:r>
    </w:p>
    <w:p w14:paraId="00100216" w14:textId="00100217">
      <w:pPr>
        <w:pStyle w:val="Normal"/>
        <w:jc w:val="left"/>
      </w:pPr>
      <w:r>
        <w:t xml:space="preserve">Rivermark Group’s efficiency agenda is designed to convert scale into stronger and more resilient earnings rather than simply reduce cost in isolation. Management has set a multi-year objective of lowering the structural cost base as a share of revenue while protecting service quality, safety standards, and growth capacity. The principal financial aims are to expand operating margin, improve cash conversion, and increase the proportion of resources directed to customer-facing and technology-enabled activities. In practical terms, this means reducing duplication across support functions, improving asset utilization in plants and logistics nodes, and tightening control over indirect spending.</w:t>
      </w:r>
    </w:p>
    <w:p w14:paraId="00100218" w14:textId="00100219">
      <w:pPr>
        <w:pStyle w:val="Normal"/>
        <w:jc w:val="left"/>
      </w:pPr>
      <w:r>
        <w:t xml:space="preserve">The Group tracks productivity through a combination of unit cost, labor efficiency, procurement savings, throughput per site, and fixed-cost absorption. Margin goals are therefore linked to operational measures that can be managed at segment level rather than only observed at year end. In the current phase, Rivermark Group is targeting gains from sourcing discipline, network optimization, automation in repetitive workflows, and better planning accuracy. The expected outcome is a business that can absorb inflation, respond more quickly to shifts in demand, and sustain profitability through different market conditions.</w:t>
      </w:r>
    </w:p>
    <w:p w14:paraId="0010021A" w14:textId="0010021B">
      <w:pPr>
        <w:pStyle w:val="Normal"/>
        <w:jc w:val="left"/>
      </w:pPr>
      <w:r>
        <w:t xml:space="preserve">Efficiency actions during the year were concentrated on measures with visible payback and repeatable benefits. Procurement teams expanded category management across energy, transport, packaging, and selected direct materials, allowing contracts to be renegotiated on a broader Group basis. In operations, site leaders introduced tighter scheduling, reduced changeover loss, and used common dashboards to monitor scrap, rework, overtime, and service exceptions. Shared service processes in finance, people administration, and procurement support were further standardized to remove manual work and shorten cycle times.</w:t>
      </w:r>
    </w:p>
    <w:p w14:paraId="0010021C" w14:textId="0010021D">
      <w:pPr>
        <w:pStyle w:val="Normal"/>
        <w:jc w:val="left"/>
      </w:pPr>
      <w:r>
        <w:t xml:space="preserve">A second stream of action focused on decision quality. Rivermark Group increased the use of demand signals, weekly inventory reviews, and route-level profitability analysis so that production, pricing, and dispatch decisions could be adjusted sooner. In parallel, digital workflow tools were introduced in high-volume administrative areas to improve approval control and reduce process delay. These actions are measured not only by annualized savings but also by durability, with management distinguishing between one-off benefits and structural improvement. The overall effect has been steadier cost control, better visibility on underperforming activities, and a clearer path to margin improvement without weakening the Group’s operating platform.</w:t>
      </w:r>
    </w:p>
    <w:p w14:paraId="0010021E" w14:textId="0010021F">
      <w:pPr>
        <w:pStyle w:val="Heading4a"/>
        <w:jc w:val="left"/>
      </w:pPr>
      <w:r>
        <w:t xml:space="preserve">Capital Priorities</w:t>
      </w:r>
    </w:p>
    <w:p w14:paraId="00100220" w14:textId="00100221">
      <w:pPr>
        <w:pStyle w:val="Normal"/>
        <w:jc w:val="left"/>
      </w:pPr>
      <w:r>
        <w:t xml:space="preserve">Rivermark Group allocates capital to opportunities that strengthen long-term competitiveness while preserving financial flexibility. The investment framework begins with maintenance and compliance spending needed to keep assets safe, reliable, and aligned with regulatory expectations. Beyond that baseline, discretionary capital is directed toward projects that expand capacity in attractive markets, improve the productivity of existing operations, deepen digital capability, or selectively add new capabilities through acquisitions and partnerships. Management evaluates these choices against segment strategy, cash generation, execution risk, and the potential to enhance returns over a full business cycle.</w:t>
      </w:r>
    </w:p>
    <w:p w14:paraId="00100222" w14:textId="00100223">
      <w:pPr>
        <w:pStyle w:val="Normal"/>
        <w:jc w:val="left"/>
      </w:pPr>
      <w:r>
        <w:t xml:space="preserve">The Group’s return philosophy is intentionally disciplined. Growth investment is expected to generate measurable commercial or cost advantages rather than symbolic scale, and each proposal must show how it supports the wider portfolio. Projects that reduce bottlenecks, improve service reliability, or increase the proportion of recurring and higher-quality earnings receive particular attention because they can strengthen both resilience and valuation quality. Capital priorities therefore connect strategic intent with operating accountability: assets must not only fit the plan, but also earn their place through cash flow, margin improvement, and realistic implementation milestones.</w:t>
      </w:r>
    </w:p>
    <w:p w14:paraId="00100224" w14:textId="00100225">
      <w:pPr>
        <w:pStyle w:val="Heading5"/>
        <w:jc w:val="left"/>
      </w:pPr>
      <w:r>
        <w:t xml:space="preserve">Investment Themes</w:t>
      </w:r>
    </w:p>
    <w:p w14:paraId="00100226" w14:textId="00100227">
      <w:pPr>
        <w:pStyle w:val="Normal"/>
        <w:jc w:val="left"/>
      </w:pPr>
      <w:r>
        <w:t xml:space="preserve">Current investment themes are organized around three principal areas: capacity, digital capability, and selective portfolio development. Capacity investment is focused on removing operational constraints in segments where demand visibility, service requirements, and margin potential justify expansion. This includes targeted upgrades to production lines, logistics handling points, and specialized equipment that can improve throughput, reduce downtime, or support product mix improvement. Rather than pursuing broad expansion everywhere, Rivermark Group prioritizes assets that can be integrated into existing networks and deliver utilization quickly.</w:t>
      </w:r>
    </w:p>
    <w:p w14:paraId="00100228" w14:textId="00100229">
      <w:pPr>
        <w:pStyle w:val="Normal"/>
        <w:jc w:val="left"/>
      </w:pPr>
      <w:r>
        <w:t xml:space="preserve">Digital investment is aimed at improving planning, customer interaction, and process control. Priority initiatives include data platforms for demand and inventory visibility, workflow tools for service execution, automation in repetitive back-office tasks, and analytics that support pricing, maintenance, and asset scheduling. These programs are assessed not simply as technology projects but as operating improvements with defined ownership and measurable business outcomes.</w:t>
      </w:r>
    </w:p>
    <w:p w14:paraId="0010022A" w14:textId="0010022B">
      <w:pPr>
        <w:pStyle w:val="Normal"/>
        <w:jc w:val="left"/>
      </w:pPr>
      <w:r>
        <w:t xml:space="preserve">Mergers and acquisitions remain a selective lever rather than a primary growth engine. The Group looks for bolt-on opportunities that add capabilities, geographic density, or customer access within existing strategic lanes. Acquisition screening emphasizes cultural fit, integration simplicity, and the ability to lift returns through operational synergy rather than financial engineering alone.</w:t>
      </w:r>
    </w:p>
    <w:p w14:paraId="0010022C" w14:textId="0010022D">
      <w:pPr>
        <w:pStyle w:val="Normal"/>
        <w:jc w:val="left"/>
      </w:pPr>
      <w:r>
        <w:t xml:space="preserve">Within this framework, funding is prioritized in a clear sequence. First, Rivermark Group protects the integrity of the existing asset base through maintenance, safety, and regulatory investment. Second, it supports high-confidence projects that improve efficiency, reliability, or customer service in current operations, because these typically offer the best balance of risk and payback. Third, capital is directed to growth initiatives in segments with favorable demand structure, defensible market positions, and a realistic path to scale. Only after these uses are considered does management allocate larger discretionary funding to portfolio moves such as acquisitions or entry into adjacent capabilities.</w:t>
      </w:r>
    </w:p>
    <w:p w14:paraId="0010022E" w14:textId="0010022F">
      <w:pPr>
        <w:pStyle w:val="Normal"/>
        <w:jc w:val="left"/>
      </w:pPr>
      <w:r>
        <w:t xml:space="preserve">This ordering reflects a preference for compounding operational quality before pursuing more complex expansion. Internal funding capacity is strengthened by cash generation, disciplined working capital management, and the pacing of nonessential expenditure. Where external funding is used, it is expected to support assets or transactions that are consistent with leverage tolerance and covenant headroom. The practical effect is that capital deployment remains linked to strategic hierarchy: protect the base, improve the core, then extend the portfolio where returns and integration conditions are compelling.</w:t>
      </w:r>
    </w:p>
    <w:p w14:paraId="00100230" w14:textId="00100231">
      <w:pPr>
        <w:pStyle w:val="Heading5"/>
        <w:jc w:val="left"/>
      </w:pPr>
      <w:r>
        <w:t xml:space="preserve">Return Discipline</w:t>
      </w:r>
    </w:p>
    <w:p w14:paraId="00100232" w14:textId="00100233">
      <w:pPr>
        <w:pStyle w:val="Normal"/>
        <w:jc w:val="left"/>
      </w:pPr>
      <w:r>
        <w:t xml:space="preserve">Rivermark Group applies formal return criteria to significant capital proposals in order to maintain consistency across segments and investment types. Each project is assessed using forecast cash generation, expected margin contribution, implementation cost, and sensitivity to downside scenarios. Depending on the nature of the investment, management reviews internal rate of return, payback period, post-tax cash yield, and effects on leverage and working capital intensity. Thresholds are calibrated to reflect project risk, with lower-risk maintenance and compliance items justified primarily by reliability, safety, or legal necessity, while discretionary growth projects are required to demonstrate more demanding financial outcomes.</w:t>
      </w:r>
    </w:p>
    <w:p w14:paraId="00100234" w14:textId="00100235">
      <w:pPr>
        <w:pStyle w:val="Normal"/>
        <w:jc w:val="left"/>
      </w:pPr>
      <w:r>
        <w:t xml:space="preserve">Payback discipline is especially important in fast-moving operating areas where conditions can shift before long-dated benefits are realized. For that reason, business cases are expected to identify milestone triggers, ramp-up assumptions, and contingency plans if volumes or pricing develop more slowly than expected. Capital tests also examine whether an investment creates optionality, removes a structural bottleneck, or reduces future operating cost in a durable way. Projects that depend on optimistic market assumptions, vague synergy claims, or poorly defined execution ownership are typically deferred or redesigned. This approach supports a more predictable conversion of capital into earnings and cash.</w:t>
      </w:r>
    </w:p>
    <w:p w14:paraId="00100236" w14:textId="00100237">
      <w:pPr>
        <w:pStyle w:val="Normal"/>
        <w:jc w:val="left"/>
      </w:pPr>
      <w:r>
        <w:t xml:space="preserve">The Group’s allocation logic starts from the principle that capital should flow to the uses with the best risk-adjusted contribution to long-term value, not simply to the largest segment or the most visible proposal. In practice, this means comparing opportunities across the portfolio on a common basis: strategic fit, expected return, cash timing, execution complexity, and resilience under different demand conditions. Mature businesses may receive capital when they can unlock attractive productivity gains, while faster-growing activities must still prove that expansion will generate disciplined returns rather than consume capital without sufficient follow-through.</w:t>
      </w:r>
    </w:p>
    <w:p w14:paraId="00100238" w14:textId="00100239">
      <w:pPr>
        <w:pStyle w:val="Normal"/>
        <w:jc w:val="left"/>
      </w:pPr>
      <w:r>
        <w:t xml:space="preserve">Management also considers the balance between short-cycle and long-cycle uses of funds. Quick-payback efficiency projects can support near-term margin and cash performance, whereas capacity additions, technology platforms, and selected acquisitions may create broader strategic advantage over a longer horizon. A balanced capital program therefore includes both immediate operational improvements and investments that build future earning power. Post-investment review is an essential part of the discipline: approved projects are tracked against original assumptions so that lessons on utilization, pricing, integration, and execution can influence future decisions. Over time, this creates a stronger feedback loop between strategy, investment selection, and portfolio performance.</w:t>
      </w:r>
    </w:p>
    <w:p w14:paraId="0010023A" w14:textId="0010023B">
      <w:pPr>
        <w:pStyle w:val="Heading3a"/>
        <w:jc w:val="left"/>
      </w:pPr>
      <w:r>
        <w:t xml:space="preserve">Progress in Year</w:t>
      </w:r>
    </w:p>
    <w:p w14:paraId="0010023C" w14:textId="0010023D">
      <w:pPr>
        <w:pStyle w:val="Normal"/>
        <w:jc w:val="left"/>
      </w:pPr>
      <w:r>
        <w:t xml:space="preserve">Progress during the year was measured against a defined set of financial, commercial, operational, and capability indicators aligned to Rivermark Group’s strategic plan. Overall, the scorecard shows solid execution against the near-term agenda, with strongest advances in customer retention, service reliability, pricing discipline, and digital deployment. Revenue-related indicators moved forward in most operating lines, supported by better order quality and improved conversion of existing pipeline opportunities. At the same time, management maintained close attention to margin quality rather than pursuing volume at any cost, which helped protect earnings in categories facing uneven demand.</w:t>
      </w:r>
    </w:p>
    <w:p w14:paraId="0010023E" w14:textId="0010023F">
      <w:pPr>
        <w:pStyle w:val="Normal"/>
        <w:jc w:val="left"/>
      </w:pPr>
      <w:r>
        <w:t xml:space="preserve">The year’s KPI profile was not uniform across all targets. Capacity utilization improved from the prior year, but progress remained more moderate in businesses where project phasing and customer approval cycles shifted deliveries into the following period. Working capital indicators improved only gradually as inventory normalization took longer in selected industrial product families. Even so, the broader trend remained positive: on-time delivery strengthened, recurring revenue share increased, and productivity programs generated measurable savings. Taken together, the milestones achieved this year indicate that Rivermark Group has moved from strategy definition into repeatable execution, with clearer evidence that commercial actions and operating discipline are translating into sustainable performance gains.</w:t>
      </w:r>
    </w:p>
    <w:p w14:paraId="00100240" w14:textId="00100241">
      <w:pPr>
        <w:pStyle w:val="Heading4a"/>
        <w:jc w:val="left"/>
      </w:pPr>
      <w:r>
        <w:t xml:space="preserve">Key Deliveries</w:t>
      </w:r>
    </w:p>
    <w:p w14:paraId="00100242" w14:textId="00100243">
      <w:pPr>
        <w:pStyle w:val="Normal"/>
        <w:jc w:val="left"/>
      </w:pPr>
      <w:r>
        <w:t xml:space="preserve">Management completed a series of actions intended to turn strategic priorities into visible operating outcomes. Across the portfolio, Rivermark Group advanced commercial account planning, commissioned targeted capacity upgrades, and expanded common digital tools for forecasting, pricing approval, and service management. These actions were not isolated projects; they were designed to reinforce one another by improving demand visibility, shortening decision cycles, and raising execution consistency across business units. In practice, this meant that commercial teams were better able to identify profitable opportunities while operations teams worked with more reliable scheduling inputs and clearer performance thresholds.</w:t>
      </w:r>
    </w:p>
    <w:p w14:paraId="00100244" w14:textId="00100245">
      <w:pPr>
        <w:pStyle w:val="Normal"/>
        <w:jc w:val="left"/>
      </w:pPr>
      <w:r>
        <w:t xml:space="preserve">A further achievement was the stronger cadence of cross-functional delivery. Procurement, manufacturing, logistics, and customer-facing teams operated to shared milestone plans in more markets than in the prior year, reducing handoff losses and improving accountability. Several portfolio simplification initiatives were also completed, including selective SKU rationalization, exit from lower-return activities, and consolidation of support processes into shared service structures. While some benefits will continue to flow into the next reporting period, the year closed with a stronger platform than it began with: a more focused portfolio, better process discipline, and tangible evidence that strategic initiatives can be implemented at scale without disrupting day-to-day service.</w:t>
      </w:r>
    </w:p>
    <w:p w14:paraId="00100246" w14:textId="00100247">
      <w:pPr>
        <w:pStyle w:val="Normal"/>
        <w:jc w:val="left"/>
      </w:pPr>
      <w:r>
        <w:t xml:space="preserve">Expanded key account programs in Infrastructure and Consumer, improving renewal rates and enlarging multi-year contract coverage.</w:t>
      </w:r>
    </w:p>
    <w:p w14:paraId="00100248" w14:textId="00100249">
      <w:pPr>
        <w:pStyle w:val="Normal"/>
        <w:jc w:val="left"/>
      </w:pPr>
      <w:r>
        <w:t xml:space="preserve">Completed targeted pricing actions across input-sensitive categories, supporting revenue quality and partial recovery of cost inflation.</w:t>
      </w:r>
    </w:p>
    <w:p w14:paraId="0010024A" w14:textId="0010024B">
      <w:pPr>
        <w:pStyle w:val="Normal"/>
        <w:jc w:val="left"/>
      </w:pPr>
      <w:r>
        <w:t xml:space="preserve">Commissioned incremental capacity in selected Industrial lines to relieve bottlenecks and improve lead-time performance.</w:t>
      </w:r>
    </w:p>
    <w:p w14:paraId="0010024C" w14:textId="0010024D">
      <w:pPr>
        <w:pStyle w:val="Normal"/>
        <w:jc w:val="left"/>
      </w:pPr>
      <w:r>
        <w:t xml:space="preserve">Rolled out common forecasting and workflow tools in Digital Services and shared support functions, strengthening demand visibility and execution control.</w:t>
      </w:r>
    </w:p>
    <w:p w14:paraId="0010024E" w14:textId="0010024F">
      <w:pPr>
        <w:pStyle w:val="Normal"/>
        <w:jc w:val="left"/>
      </w:pPr>
      <w:r>
        <w:t xml:space="preserve">Advanced procurement savings initiatives through supplier consolidation, specification harmonization, and tighter purchase governance.</w:t>
      </w:r>
    </w:p>
    <w:p w14:paraId="00100250" w14:textId="00100251">
      <w:pPr>
        <w:pStyle w:val="Normal"/>
        <w:jc w:val="left"/>
      </w:pPr>
      <w:r>
        <w:t xml:space="preserve">Streamlined portfolio complexity by reducing low-velocity SKUs and discontinuing selected subscale offerings.</w:t>
      </w:r>
    </w:p>
    <w:p w14:paraId="00100252" w14:textId="00100253">
      <w:pPr>
        <w:pStyle w:val="Normal"/>
        <w:jc w:val="left"/>
      </w:pPr>
      <w:r>
        <w:t xml:space="preserve">Improved operating rhythm through monthly performance reviews linking commercial pipeline, plant loading, service levels, and cash conversion.</w:t>
      </w:r>
    </w:p>
    <w:p w14:paraId="00100254" w14:textId="00100255">
      <w:pPr>
        <w:pStyle w:val="Heading5"/>
        <w:jc w:val="left"/>
      </w:pPr>
      <w:r>
        <w:t xml:space="preserve">Commercial Wins</w:t>
      </w:r>
    </w:p>
    <w:p w14:paraId="00100256" w14:textId="00100257">
      <w:pPr>
        <w:pStyle w:val="Normal"/>
        <w:jc w:val="left"/>
      </w:pPr>
      <w:r>
        <w:t xml:space="preserve">Commercial execution improved during the year through a combination of stronger account management, disciplined bidding, and better alignment between pricing decisions and service commitments. Rivermark Group secured several contract renewals with long-standing infrastructure and industrial customers on terms that reflected both service performance and updated cost realities. In the Consumer segment, distribution partnerships were broadened in priority channels, helping improve shelf presence and promotional efficiency without materially weakening gross margin. Digital Services also added new enterprise clients and expanded the scope of work with existing customers, increasing recurring revenue visibility.</w:t>
      </w:r>
    </w:p>
    <w:p w14:paraId="00100258" w14:textId="00100259">
      <w:pPr>
        <w:pStyle w:val="Normal"/>
        <w:jc w:val="left"/>
      </w:pPr>
      <w:r>
        <w:t xml:space="preserve">Revenue milestones were especially notable where cross-segment capabilities could be bundled. Customers increasingly responded to offers that combined physical products, maintenance support, data reporting, and digital service layers into a single account relationship. This supported higher wallet share in key accounts and reduced dependence on purely transactional wins. New business conversion was strongest in sectors requiring reliability, compliance support, and multi-site service delivery, areas where Rivermark Group’s operating breadth created a competitive advantage. While demand conditions remained mixed in some end markets, the year demonstrated that focused commercial discipline can still generate quality growth when the offer is clearly differentiated and backed by reliable execution.</w:t>
      </w:r>
    </w:p>
    <w:p w14:paraId="0010025A" w14:textId="0010025B">
      <w:pPr>
        <w:pStyle w:val="Normal"/>
        <w:jc w:val="left"/>
      </w:pPr>
      <w:r>
        <w:t xml:space="preserve">Commercial traction was visible in both leading and realized indicators. Order intake improved in the second half, backlog quality strengthened, and customer retention rates remained high in service-led activities. Management also tracked proposal conversion, average selling price realization, renewal timing, and the share of revenue derived from strategic accounts. These indicators showed better consistency than in the prior year, suggesting that improvements were not limited to a few large contracts but were spreading through the wider commercial base.</w:t>
      </w:r>
    </w:p>
    <w:p w14:paraId="0010025C" w14:textId="0010025D">
      <w:pPr>
        <w:pStyle w:val="Normal"/>
        <w:jc w:val="left"/>
      </w:pPr>
      <w:r>
        <w:t xml:space="preserve">Another positive signal was the increase in recurring and repeat business. Subscription-related income in Digital Services, maintenance-related revenues in Infrastructure, and repeat purchasing patterns in selected Consumer brands all contributed to a more stable revenue profile. Sales teams were also more selective in opportunity qualification, which led to fewer low-margin pursuits and better use of commercial resources. Although market demand remained uneven by region and category, the trend in commercial traction indicators suggests that Rivermark Group entered the next year with a healthier pipeline, stronger customer stickiness, and a more disciplined route to profitable growth.</w:t>
      </w:r>
    </w:p>
    <w:p w14:paraId="0010025E" w14:textId="0010025F">
      <w:pPr>
        <w:pStyle w:val="Heading5"/>
        <w:jc w:val="left"/>
      </w:pPr>
      <w:r>
        <w:t xml:space="preserve">Operational Wins</w:t>
      </w:r>
    </w:p>
    <w:p w14:paraId="00100260" w14:textId="00100261">
      <w:pPr>
        <w:pStyle w:val="Normal"/>
        <w:jc w:val="left"/>
      </w:pPr>
      <w:r>
        <w:t xml:space="preserve">Operational performance improved as the Group translated process changes into better service and cost outcomes. On-time delivery increased across most businesses, supported by tighter production scheduling, improved supplier coordination, and more active management of bottleneck resources. In facilities where demand patterns had previously caused unstable loading, revised planning routines reduced changeovers and improved line utilization. Logistics performance also strengthened through route consolidation, improved dispatch visibility, and closer alignment between warehouse activity and customer order profiles.</w:t>
      </w:r>
    </w:p>
    <w:p w14:paraId="00100262" w14:textId="00100263">
      <w:pPr>
        <w:pStyle w:val="Normal"/>
        <w:jc w:val="left"/>
      </w:pPr>
      <w:r>
        <w:t xml:space="preserve">Productivity gains were achieved through a combination of labor efficiency, procurement savings, and lower waste. Standard work practices were expanded in selected sites, allowing teams to reduce rework and improve throughput consistency. Energy and maintenance interventions also contributed to better uptime in several critical operations. Importantly, these gains were not pursued at the expense of service quality; customer complaint rates and internal defect indicators were stable to improved in most reporting units. The result was a more resilient operating base, with measurable progress in both efficiency and reliability, giving Rivermark Group a stronger platform for margin improvement in the coming period.</w:t>
      </w:r>
    </w:p>
    <w:p w14:paraId="00100264" w14:textId="00100265">
      <w:pPr>
        <w:pStyle w:val="Normal"/>
        <w:jc w:val="left"/>
      </w:pPr>
      <w:r>
        <w:t xml:space="preserve">Several execution milestones were delivered that should continue to support performance beyond the reporting year. Capacity debottlenecking projects were completed in selected production and service locations, enabling better throughput during peak periods. Shared dashboards for inventory, service levels, and labor productivity were introduced more broadly, giving local management faster visibility on variances and corrective actions. In parallel, procurement teams completed supplier reviews and renegotiation rounds in categories with concentrated spend, improving supply continuity as well as cost position.</w:t>
      </w:r>
    </w:p>
    <w:p w14:paraId="00100266" w14:textId="00100267">
      <w:pPr>
        <w:pStyle w:val="Normal"/>
        <w:jc w:val="left"/>
      </w:pPr>
      <w:r>
        <w:t xml:space="preserve">The Group also made progress in embedding a more repeatable operating model. Training on planning discipline, root-cause analysis, and frontline problem solving was extended to a larger portion of the workforce. Support functions simplified approval flows and clarified ownership for key operating decisions, reducing delays in implementation. These may appear procedural, but they matter because sustainable performance depends on whether improvements can be maintained under normal operating pressure. By year end, Rivermark Group had not only delivered isolated improvements but also strengthened the routines, tools, and governance mechanisms needed to keep those improvements in place.</w:t>
      </w:r>
    </w:p>
    <w:p w14:paraId="00100268" w14:textId="00100269">
      <w:pPr>
        <w:pStyle w:val="Heading4a"/>
        <w:jc w:val="left"/>
      </w:pPr>
      <w:r>
        <w:t xml:space="preserve">Target Tracking</w:t>
      </w:r>
    </w:p>
    <w:p w14:paraId="0010026A" w14:textId="0010026B">
      <w:pPr>
        <w:pStyle w:val="Normal"/>
        <w:jc w:val="left"/>
      </w:pPr>
      <w:r>
        <w:t xml:space="preserve">The year’s target tracking shows that Rivermark Group remained broadly on course against its stated goals, though progress varied by metric and by business line. Financial targets relating to revenue growth, operating margin recovery, and cash discipline improved sequentially through the year, reflecting a better mix of pricing actions, productivity gains, and tighter control of discretionary spending. Strategic targets outside the income statement also moved in a positive direction. Digital adoption widened across planning and customer-facing processes, recurring revenue mix increased, and service reliability indicators improved in areas identified as critical to customer retention.</w:t>
      </w:r>
    </w:p>
    <w:p w14:paraId="0010026C" w14:textId="0010026D">
      <w:pPr>
        <w:pStyle w:val="Normal"/>
        <w:jc w:val="left"/>
      </w:pPr>
      <w:r>
        <w:t xml:space="preserve">Not every target was fully achieved within the original timeframe. Certain capacity and working capital objectives were affected by slower inventory normalization, project timing shifts, and a cautious demand environment in selected markets. However, the direction of travel remained consistent with management’s plan, and the trend chart accompanying this section should be read as evidence of momentum rather than as a simple pass-fail scorecard. In that context, Rivermark Group’s performance suggests credible execution: the Group closed the year with stronger underlying indicators, clearer operational control, and a narrower gap between strategic ambition and measured delivery.</w:t>
      </w:r>
    </w:p>
    <w:p w14:paraId="0010026E" w14:textId="0010026F">
      <w:pPr>
        <w:pStyle w:val="Normal"/>
        <w:jc w:val="left"/>
      </w:pPr>
      <w:r>
        <w:t xml:space="preserve">Figure 9 KPI trend against strategic and financial targets, three-year view.</w:t>
      </w:r>
    </w:p>
    <w:p w14:paraId="00100270" w14:textId="00100271">
      <w:pPr>
        <w:pStyle w:val="Normal"/>
        <w:jc w:val="left"/>
      </w:pPr>
      <w:r>
        <w:drawing>
          <wp:inline distT="0" distB="0" distL="0" distR="0">
            <wp:extent cx="4680000" cy="2520000"/>
            <wp:effectExtent l="0" t="0" r="0" b="0"/>
            <wp:docPr id="5" name="F02.png" descr=""/>
            <wp:cNvGraphicFramePr>
              <a:graphicFrameLocks noChangeAspect="1"/>
            </wp:cNvGraphicFramePr>
            <a:graphic>
              <a:graphicData uri="http://schemas.openxmlformats.org/drawingml/2006/picture">
                <pic:pic>
                  <pic:nvPicPr>
                    <pic:cNvPr id="5" name="F02.png"/>
                    <pic:cNvPicPr/>
                  </pic:nvPicPr>
                  <pic:blipFill>
                    <a:blip r:embed="Rf38db2604c6742c2" cstate="print"/>
                    <a:stretch>
                      <a:fillRect/>
                    </a:stretch>
                  </pic:blipFill>
                  <pic:spPr>
                    <a:xfrm>
                      <a:off x="0" y="0"/>
                      <a:ext cx="4320000" cy="2880000"/>
                    </a:xfrm>
                    <a:prstGeom prst="rect">
                      <a:avLst/>
                    </a:prstGeom>
                  </pic:spPr>
                </pic:pic>
              </a:graphicData>
            </a:graphic>
          </wp:inline>
        </w:drawing>
      </w:r>
    </w:p>
    <w:p w14:paraId="00100272" w14:textId="00100273">
      <w:pPr>
        <w:pStyle w:val="Heading5"/>
        <w:jc w:val="left"/>
      </w:pPr>
      <w:r>
        <w:t xml:space="preserve">Financial Targets</w:t>
      </w:r>
    </w:p>
    <w:p w14:paraId="00100274" w14:textId="00100275">
      <w:pPr>
        <w:pStyle w:val="Normal"/>
        <w:jc w:val="left"/>
      </w:pPr>
      <w:r>
        <w:t xml:space="preserve">Rivermark Group entered the year with clear financial objectives centered on disciplined growth, margin improvement, and stronger cash generation. Revenue increased at a pace that remained consistent with management’s medium-term ambition, supported by resilient demand in Infrastructure and Digital Services, selective price realization in Industrial, and improved channel execution in Consumer. Operating margin also moved upward, reflecting a more favorable business mix, tighter procurement control, and productivity gains from prior-year efficiency programs. Cash performance improved in absolute terms, with operating cash flow benefiting from earnings growth and more structured working-capital management, particularly in receivables collection and inventory normalization.</w:t>
      </w:r>
    </w:p>
    <w:p w14:paraId="00100276" w14:textId="00100277">
      <w:pPr>
        <w:pStyle w:val="Normal"/>
        <w:jc w:val="left"/>
      </w:pPr>
      <w:r>
        <w:t xml:space="preserve">The overall financial picture showed that progress was broad-based rather than concentrated in a single business line. Revenue quality improved as recurring service, software, and aftermarket income accounted for a larger share of total sales, while lower-return contracts were managed more selectively. Margin gains were partly offset by continuing wage inflation and targeted investments in digital capability, but the Group preserved a clear upward trend in profitability. Free cash flow conversion strengthened as capital expenditure remained aligned with approved return thresholds and major expansion projects moved through planned phases without material overruns.</w:t>
      </w:r>
    </w:p>
    <w:p w14:paraId="00100278" w14:textId="00100279">
      <w:pPr>
        <w:pStyle w:val="Normal"/>
        <w:jc w:val="left"/>
      </w:pPr>
      <w:r>
        <w:t xml:space="preserve">Performance against stated goals was positive, though not uniform across every metric. Revenue growth tracked close to the Group’s target corridor, with a modest shortfall in some discretionary end markets offset by stronger execution in infrastructure-linked programs and subscription-based services. Margin performance was slightly ahead of internal expectations because pricing discipline held firmer than anticipated and site-level productivity programs delivered earlier savings in the second half. Cash conversion improved meaningfully, but remained below the most ambitious internal stretch scenario because year-end working capital included deliberate inventory positioning for contracted deliveries early in the next period.</w:t>
      </w:r>
    </w:p>
    <w:p w14:paraId="0010027A" w14:textId="0010027B">
      <w:pPr>
        <w:pStyle w:val="Normal"/>
        <w:jc w:val="left"/>
      </w:pPr>
      <w:r>
        <w:t xml:space="preserve">The variance analysis therefore points to a business that is moving in the intended direction while still carrying normal operational friction. Areas ahead of plan included procurement savings, service attachment rates, and overhead discipline in shared functions. Areas below plan included volume recovery in selected consumer categories and the timing of certain customer acceptances that shifted revenue recognition into the following year. Management considers these deviations manageable rather than structural. In aggregate, the year’s outcome supports the credibility of the financial framework and indicates that the Group’s targets remain achievable with continued execution discipline.</w:t>
      </w:r>
    </w:p>
    <w:p w14:paraId="0010027C" w14:textId="0010027D">
      <w:pPr>
        <w:pStyle w:val="Heading5"/>
        <w:jc w:val="left"/>
      </w:pPr>
      <w:r>
        <w:t xml:space="preserve">Strategic Targets</w:t>
      </w:r>
    </w:p>
    <w:p w14:paraId="0010027E" w14:textId="0010027F">
      <w:pPr>
        <w:pStyle w:val="Normal"/>
        <w:jc w:val="left"/>
      </w:pPr>
      <w:r>
        <w:t xml:space="preserve">Progress on strategic targets was assessed through a nonfinancial scorecard covering customer retention, safety, digital adoption, innovation output, people development, and sustainability execution. Across this scorecard, Rivermark Group recorded tangible advancement in the measures most closely tied to long-term competitiveness. Customer retention improved in key account portfolios, supported by higher service reliability and expanded solution bundling. Digital adoption rose as more operating sites used common planning and analytics tools, while client-facing platforms in Digital Services increased active-user penetration and recurring engagement. Innovation indicators also moved forward, with a larger share of recent revenue linked to products and services launched within the past three years.</w:t>
      </w:r>
    </w:p>
    <w:p w14:paraId="00100280" w14:textId="00100281">
      <w:pPr>
        <w:pStyle w:val="Normal"/>
        <w:jc w:val="left"/>
      </w:pPr>
      <w:r>
        <w:t xml:space="preserve">People and sustainability measures showed a similarly mixed but constructive profile. Training hours per employee increased, leadership succession coverage widened, and internal mobility improved in priority technical roles. Safety indicators continued to trend favorably, although performance remained uneven across sites with different operational intensity. On environmental execution, the Group expanded energy-efficiency projects and procurement of lower-carbon electricity, but the pace of emissions reduction varied by segment according to asset age, production profile, and local energy availability. Taken together, the scorecard suggests that strategic progress was real and measurable, even where results have not yet reached end-state targets.</w:t>
      </w:r>
    </w:p>
    <w:p w14:paraId="00100282" w14:textId="00100283">
      <w:pPr>
        <w:pStyle w:val="Normal"/>
        <w:jc w:val="left"/>
      </w:pPr>
      <w:r>
        <w:t xml:space="preserve">Measured against the Group’s strategic pillars, the year produced credible progress in growth, efficiency, resilience, and capability building. Under the growth pillar, Rivermark expanded recurring revenue streams, deepened selected customer relationships, and broadened participation in higher-value markets where technical differentiation and service intensity create stronger margins. Under the efficiency pillar, simplification of the operating footprint, procurement discipline, and digital workflow adoption improved cycle times and reduced avoidable cost. Resilience measures included tighter risk review of contracts, greater visibility over supplier dependencies, and a more balanced funding profile. Capability measures focused on data systems, leadership bench strength, and cross-segment operating standards.</w:t>
      </w:r>
    </w:p>
    <w:p w14:paraId="00100284" w14:textId="00100285">
      <w:pPr>
        <w:pStyle w:val="Normal"/>
        <w:jc w:val="left"/>
      </w:pPr>
      <w:r>
        <w:t xml:space="preserve">Not every pillar advanced at the same speed. Capability deployment moved faster than physical footprint optimization because software-enabled changes required less capital and faced fewer local execution constraints. Growth initiatives in some markets also outperformed internal expectations, while resilience metrics in selected supply categories remained under pressure due to concentration among specialist vendors. Even so, the direction of travel remained aligned with the strategic plan. Management’s reading of the year is that pillar measures are increasingly reinforcing one another: digital tools support efficiency, efficiency supports margin and cash, and stronger cash generation expands room for targeted investment. That linkage is important because it indicates the strategy is functioning as an integrated operating system rather than a set of disconnected initiatives.</w:t>
      </w:r>
    </w:p>
    <w:p w14:paraId="00100286" w14:textId="00100287">
      <w:pPr>
        <w:pStyle w:val="Heading2a"/>
        <w:jc w:val="left"/>
      </w:pPr>
      <w:r>
        <w:t xml:space="preserve">Business Model</w:t>
      </w:r>
    </w:p>
    <w:p w14:paraId="00100288" w14:textId="00100289">
      <w:pPr>
        <w:pStyle w:val="Normal"/>
        <w:jc w:val="left"/>
      </w:pPr>
      <w:r>
        <w:t xml:space="preserve">Rivermark Group’s business model is designed to convert a diversified asset, capability, and customer base into recurring value across multiple end markets. The model begins with disciplined capital allocation and a shared operating framework, then links specialized segment capabilities to customer demand through manufacturing, project execution, distribution, service, and digital delivery channels. Although the Group operates through four segments with different commercial rhythms, the underlying model is consistent: deploy capital to attractive niches, win business through reliability and technical relevance, execute with cost and quality control, and retain customers through service, data, and product performance.</w:t>
      </w:r>
    </w:p>
    <w:p w14:paraId="0010028A" w14:textId="0010028B">
      <w:pPr>
        <w:pStyle w:val="Normal"/>
        <w:jc w:val="left"/>
      </w:pPr>
      <w:r>
        <w:t xml:space="preserve">Value creation is strengthened by the way the segments interact. Infrastructure provides long-cycle visibility and installed-base opportunities, Industrial contributes engineering depth and process discipline, Consumer extends brand and channel reach, and Digital Services increases recurring income and customer integration. Corporate functions support the model through treasury, data architecture, procurement standards, governance, and talent development. This combination allows Rivermark to balance cyclical exposure with defensive revenue streams while improving returns through scale benefits and shared capabilities. The result is a business model that emphasizes durable customer relationships, prudent use of capital, and continuous improvement rather than short-term volume expansion at any cost.</w:t>
      </w:r>
    </w:p>
    <w:p w14:paraId="0010028C" w14:textId="0010028D">
      <w:pPr>
        <w:pStyle w:val="Heading3a"/>
        <w:jc w:val="left"/>
      </w:pPr>
      <w:r>
        <w:t xml:space="preserve">How Value Is Created</w:t>
      </w:r>
    </w:p>
    <w:p w14:paraId="0010028E" w14:textId="0010028F">
      <w:pPr>
        <w:pStyle w:val="Normal"/>
        <w:jc w:val="left"/>
      </w:pPr>
      <w:r>
        <w:t xml:space="preserve">Value creation at Rivermark Group can be understood as a sequence that begins with inputs, passes through disciplined operating activities, and results in financial and strategic outcomes. Key inputs include people with technical, commercial, and digital skills; manufacturing and logistics assets; software platforms and data; supplier networks; customer relationships; and access to capital. These resources are directed through planning, sourcing, production, integration, delivery, service, and continuous-improvement routines. In practice, the Group creates value by identifying market needs where reliability, specification fit, and lifecycle support matter, then organizing its assets and expertise to deliver those needs more effectively than less integrated competitors.</w:t>
      </w:r>
    </w:p>
    <w:p w14:paraId="00100290" w14:textId="00100291">
      <w:pPr>
        <w:pStyle w:val="Normal"/>
        <w:jc w:val="left"/>
      </w:pPr>
      <w:r>
        <w:t xml:space="preserve">The immediate outputs of this process are products delivered, projects completed, services rendered, subscriptions renewed, and customer problems solved. The more important outcomes, however, are cumulative: recurring revenue, stronger retention, improved margin quality, better asset utilization, and a broader base for innovation. The model also depends on feedback loops. Operational data informs demand planning and maintenance scheduling; customer usage patterns shape product design and pricing; and post-project or post-sale service activity creates opportunities for follow-on work. Because of these loops, Rivermark’s business model is not linear in a narrow accounting sense. It is a managed cycle in which customer insight, operational execution, and capital discipline reinforce one another over time, supporting both current earnings and longer-term strategic positioning.</w:t>
      </w:r>
    </w:p>
    <w:p w14:paraId="00100292" w14:textId="00100293">
      <w:pPr>
        <w:pStyle w:val="Normal"/>
        <w:jc w:val="left"/>
      </w:pPr>
      <w:r>
        <w:t xml:space="preserve">Figure 10 Rivermark Group value creation process from inputs to outputs and outcomes.</w:t>
      </w:r>
    </w:p>
    <w:p w14:paraId="00100294" w14:textId="00100295">
      <w:pPr>
        <w:pStyle w:val="Normal"/>
        <w:jc w:val="left"/>
      </w:pPr>
      <w:r>
        <w:drawing>
          <wp:inline distT="0" distB="0" distL="0" distR="0">
            <wp:extent cx="4680000" cy="2160000"/>
            <wp:effectExtent l="0" t="0" r="0" b="0"/>
            <wp:docPr id="6" name="F03.png" descr=""/>
            <wp:cNvGraphicFramePr>
              <a:graphicFrameLocks noChangeAspect="1"/>
            </wp:cNvGraphicFramePr>
            <a:graphic>
              <a:graphicData uri="http://schemas.openxmlformats.org/drawingml/2006/picture">
                <pic:pic>
                  <pic:nvPicPr>
                    <pic:cNvPr id="6" name="F03.png"/>
                    <pic:cNvPicPr/>
                  </pic:nvPicPr>
                  <pic:blipFill>
                    <a:blip r:embed="R78e28362ebbc4bfc" cstate="print"/>
                    <a:stretch>
                      <a:fillRect/>
                    </a:stretch>
                  </pic:blipFill>
                  <pic:spPr>
                    <a:xfrm>
                      <a:off x="0" y="0"/>
                      <a:ext cx="5040000" cy="2520000"/>
                    </a:xfrm>
                    <a:prstGeom prst="rect">
                      <a:avLst/>
                    </a:prstGeom>
                  </pic:spPr>
                </pic:pic>
              </a:graphicData>
            </a:graphic>
          </wp:inline>
        </w:drawing>
      </w:r>
    </w:p>
    <w:p w14:paraId="00100296" w14:textId="00100297">
      <w:pPr>
        <w:pStyle w:val="Heading4a"/>
        <w:jc w:val="left"/>
      </w:pPr>
      <w:r>
        <w:t xml:space="preserve">Input Base</w:t>
      </w:r>
    </w:p>
    <w:p w14:paraId="00100298" w14:textId="00100299">
      <w:pPr>
        <w:pStyle w:val="Normal"/>
        <w:jc w:val="left"/>
      </w:pPr>
      <w:r>
        <w:t xml:space="preserve">Rivermark Group creates value from a broad input base that combines people, physical assets, data, and capital. The people dimension begins with a multi-disciplinary workforce spanning engineering, operations, field service, product development, digital delivery, procurement, sales, and support functions. This mix allows the Group to serve infrastructure, industrial, consumer, and digital services markets through a common operating platform while still retaining segment-specific expertise. Training, safety routines, performance management, and leadership development are treated not as stand-alone human resources activities, but as operating enablers that support service quality, asset utilization, and customer retention.</w:t>
      </w:r>
    </w:p>
    <w:p w14:paraId="0010029A" w14:textId="0010029B">
      <w:pPr>
        <w:pStyle w:val="Normal"/>
        <w:jc w:val="left"/>
      </w:pPr>
      <w:r>
        <w:t xml:space="preserve">The asset base includes manufacturing sites, service depots, logistics nodes, office locations, leased facilities, fleet resources, and digital platforms. These assets give the Group the ability to source, produce, distribute, monitor, and support offerings at scale across multiple regions. Data has become a distinct production input in its own right, informing demand planning, pricing, maintenance scheduling, inventory deployment, customer analytics, and management reporting. Alongside these operational inputs, Rivermark Group relies on disciplined access to capital to fund working capital, maintenance expenditure, targeted expansion, and selective transformation projects.</w:t>
      </w:r>
    </w:p>
    <w:p w14:paraId="0010029C" w14:textId="0010029D">
      <w:pPr>
        <w:pStyle w:val="Normal"/>
        <w:jc w:val="left"/>
      </w:pPr>
      <w:r>
        <w:t xml:space="preserve">Taken together, these inputs form an integrated foundation rather than a set of isolated resources. The strength of the model lies in how skilled people use assets and data efficiently, supported by capital allocation that favors resilience, returns, and selective growth.</w:t>
      </w:r>
    </w:p>
    <w:p w14:paraId="0010029E" w14:textId="0010029F">
      <w:pPr>
        <w:pStyle w:val="Heading5"/>
        <w:jc w:val="left"/>
      </w:pPr>
      <w:r>
        <w:t xml:space="preserve">Resource Mix</w:t>
      </w:r>
    </w:p>
    <w:p w14:paraId="001002A0" w14:textId="001002A1">
      <w:pPr>
        <w:pStyle w:val="Normal"/>
        <w:jc w:val="left"/>
      </w:pPr>
      <w:r>
        <w:t xml:space="preserve">The Group’s resources can be viewed across four main categories. Human resources remain central, including frontline operators, technicians, engineers, software specialists, commercial teams, and corporate support personnel. Their expertise supports both daily execution and continuous improvement, particularly in safety, customer service, product reliability, and digital capability. Physical resources comprise production equipment, warehouses, service fleets, IT hardware, office infrastructure, and leased operating sites. These assets underpin the conversion of demand into delivered products and services, and their condition directly influences throughput, service reliability, and cost performance.</w:t>
      </w:r>
    </w:p>
    <w:p w14:paraId="001002A2" w14:textId="001002A3">
      <w:pPr>
        <w:pStyle w:val="Normal"/>
        <w:jc w:val="left"/>
      </w:pPr>
      <w:r>
        <w:t xml:space="preserve">Information resources include customer and contract data, operational metrics, maintenance records, product specifications, demand forecasts, and financial reporting systems. These data sets are increasingly connected through common platforms, allowing Rivermark Group to coordinate planning decisions across segments and improve visibility over inventory, service levels, and performance deviations. Financial resources include retained earnings, committed banking facilities, cash balances, and access to external debt markets within approved limits. Together, these provide the liquidity needed to support seasonal working capital, targeted capital expenditure, and portfolio development.</w:t>
      </w:r>
    </w:p>
    <w:p w14:paraId="001002A4" w14:textId="001002A5">
      <w:pPr>
        <w:pStyle w:val="Normal"/>
        <w:jc w:val="left"/>
      </w:pPr>
      <w:r>
        <w:t xml:space="preserve">This category-based view helps management assess whether the Group is investing enough in the capabilities required for future growth, rather than only maintaining current operations.</w:t>
      </w:r>
    </w:p>
    <w:p w14:paraId="001002A6" w14:textId="001002A7">
      <w:pPr>
        <w:pStyle w:val="Normal"/>
        <w:jc w:val="left"/>
      </w:pPr>
      <w:r>
        <w:t xml:space="preserve">A balanced resource profile is important because the Group’s business model depends on interaction between categories rather than the scale of any single input. A strong physical network without sufficient technical talent would constrain execution, while a capable workforce without reliable data systems would reduce planning accuracy and responsiveness. Similarly, access to capital alone does not create value unless it is directed toward productive assets, digital tools, and capability building that improve long-term returns. Management therefore reviews resource allocation with an emphasis on fit, flexibility, and replacement cycles.</w:t>
      </w:r>
    </w:p>
    <w:p w14:paraId="001002A8" w14:textId="001002A9">
      <w:pPr>
        <w:pStyle w:val="Normal"/>
        <w:jc w:val="left"/>
      </w:pPr>
      <w:r>
        <w:t xml:space="preserve">Resilience is strengthened by avoiding excessive concentration in one geography, one facility type, or one capability pool. Rivermark Group supports this through cross-training, maintenance programs, phased technology refresh, cyber controls, and capital planning that distinguishes between essential upkeep and discretionary expansion. The Group also monitors whether critical know-how is embedded in systems and teams rather than resting with a small number of individuals. This reduces disruption risk and improves continuity during periods of growth, restructuring, or market volatility.</w:t>
      </w:r>
    </w:p>
    <w:p w14:paraId="001002AA" w14:textId="001002AB">
      <w:pPr>
        <w:pStyle w:val="Normal"/>
        <w:jc w:val="left"/>
      </w:pPr>
      <w:r>
        <w:t xml:space="preserve">The resulting objective is not maximum asset intensity, but an operating base that is scalable, reliable, and adaptable. In practice, resilience comes from maintaining enough depth in skills, systems, and funding to absorb shocks while continuing to serve customers effectively.</w:t>
      </w:r>
    </w:p>
    <w:p w14:paraId="001002AC" w14:textId="001002AD">
      <w:pPr>
        <w:pStyle w:val="Heading5"/>
        <w:jc w:val="left"/>
      </w:pPr>
      <w:r>
        <w:t xml:space="preserve">Dependencies</w:t>
      </w:r>
    </w:p>
    <w:p w14:paraId="001002AE" w14:textId="001002AF">
      <w:pPr>
        <w:pStyle w:val="Normal"/>
        <w:jc w:val="left"/>
      </w:pPr>
      <w:r>
        <w:t xml:space="preserve">The Group’s principal dependencies extend beyond internally controlled resources. Key external dependencies include strategic suppliers of raw materials, specialized components, packaging, fuel, logistics services, software applications, cloud hosting, telecommunications, and professional services. In several businesses, continuity of supply from a limited number of approved vendors is necessary because specifications, certifications, or integration requirements restrict rapid substitution. The operating model also depends on transport providers, utilities, and site service partners to keep production, distribution, and customer support running on schedule.</w:t>
      </w:r>
    </w:p>
    <w:p w14:paraId="001002B0" w14:textId="001002B1">
      <w:pPr>
        <w:pStyle w:val="Normal"/>
        <w:jc w:val="left"/>
      </w:pPr>
      <w:r>
        <w:t xml:space="preserve">System dependencies are equally important. Core enterprise resource planning platforms, warehouse and transport management tools, customer relationship systems, cybersecurity controls, and financial consolidation applications support planning, execution, billing, and reporting. In the Digital Services Segment, platform availability and data integrity are directly linked to customer experience and recurring revenue performance. In the Infrastructure and Industrial segments, engineering and scheduling systems influence job execution, procurement timing, and service response.</w:t>
      </w:r>
    </w:p>
    <w:p w14:paraId="001002B2" w14:textId="001002B3">
      <w:pPr>
        <w:pStyle w:val="Normal"/>
        <w:jc w:val="left"/>
      </w:pPr>
      <w:r>
        <w:t xml:space="preserve">These dependencies do not weaken the business model by themselves, but they do shape how the Group manages contracts, dual sourcing, business continuity plans, and technology governance. A clear understanding of which supplier and system relationships are mission-critical helps Rivermark Group prioritize oversight and contingency planning.</w:t>
      </w:r>
    </w:p>
    <w:p w14:paraId="001002B4" w14:textId="001002B5">
      <w:pPr>
        <w:pStyle w:val="Normal"/>
        <w:jc w:val="left"/>
      </w:pPr>
      <w:r>
        <w:t xml:space="preserve">Dependency risk arises when concentration, disruption, or underperformance in an external relationship affects service continuity, cost, quality, or compliance. Rivermark Group addresses supplier dependency by qualifying vendors through technical, financial, safety, and ethical assessments, and by seeking alternative sources where market structure permits. For critical inputs, procurement teams maintain stock policies, framework agreements, and escalation procedures designed to reduce exposure to short-notice shortages or sharp cost movements. Category management also supports better visibility over where different segments rely on the same vendors, enabling more coordinated action when markets tighten.</w:t>
      </w:r>
    </w:p>
    <w:p w14:paraId="001002B6" w14:textId="001002B7">
      <w:pPr>
        <w:pStyle w:val="Normal"/>
        <w:jc w:val="left"/>
      </w:pPr>
      <w:r>
        <w:t xml:space="preserve">Technology dependency is managed through layered controls. These include access governance, patching and upgrade cycles, incident response protocols, backup and recovery arrangements, and contractual service-level commitments with major providers. Management places particular emphasis on systems that support order capture, production scheduling, invoicing, and customer-facing digital services, because outages in these environments can have immediate operational and financial effects. Change management disciplines are used to limit disruption when platforms are upgraded or integrated across businesses.</w:t>
      </w:r>
    </w:p>
    <w:p w14:paraId="001002B8" w14:textId="001002B9">
      <w:pPr>
        <w:pStyle w:val="Normal"/>
        <w:jc w:val="left"/>
      </w:pPr>
      <w:r>
        <w:t xml:space="preserve">At a broader level, the Group treats dependencies as controllable exposures rather than unavoidable constraints. The aim is to preserve efficiency from specialization and shared platforms without allowing single points of failure to accumulate unnoticed. This approach supports continuity, protects customer confidence, and reinforces the reliability of the overall business model.</w:t>
      </w:r>
    </w:p>
    <w:p w14:paraId="001002BA" w14:textId="001002BB">
      <w:pPr>
        <w:pStyle w:val="Heading4a"/>
        <w:jc w:val="left"/>
      </w:pPr>
      <w:r>
        <w:t xml:space="preserve">Output Streams</w:t>
      </w:r>
    </w:p>
    <w:p w14:paraId="001002BC" w14:textId="001002BD">
      <w:pPr>
        <w:pStyle w:val="Normal"/>
        <w:jc w:val="left"/>
      </w:pPr>
      <w:r>
        <w:t xml:space="preserve">Rivermark Group converts its input base into a diversified set of output streams that include products, services, software-enabled solutions, and recurring support activities. Physical output remains important across the Industrial and Consumer segments, where the Group manufactures, assembles, brands, and distributes goods through direct and indirect channels. In the Infrastructure segment, outputs are often service-led, including maintenance, project execution, asset support, and operational solutions delivered under contracts with public and private customers. The Digital Services segment adds platform subscriptions, transaction-based services, analytics, and implementation support, broadening the Group’s earnings profile beyond purely asset-based activities.</w:t>
      </w:r>
    </w:p>
    <w:p w14:paraId="001002BE" w14:textId="001002BF">
      <w:pPr>
        <w:pStyle w:val="Normal"/>
        <w:jc w:val="left"/>
      </w:pPr>
      <w:r>
        <w:t xml:space="preserve">These outputs reach customers through multiple channels. Large contract relationships are typically served through direct sales, key account management, and project teams, while broader market coverage is supported through distributors, retail partners, service networks, and digital interfaces. The Group’s channel mix reflects the different buying patterns of its customers: some require bespoke technical engagement, others prioritize availability, speed, and repeat purchasing. This multi-channel approach helps Rivermark Group serve varied end markets while balancing reach, margin, and service intensity.</w:t>
      </w:r>
    </w:p>
    <w:p w14:paraId="001002C0" w14:textId="001002C1">
      <w:pPr>
        <w:pStyle w:val="Normal"/>
        <w:jc w:val="left"/>
      </w:pPr>
      <w:r>
        <w:t xml:space="preserve">The output structure is strategically important because it combines transactional revenue with repeat and recurring income. That mix improves visibility, supports customer retention, and allows the Group to capture value at more than one point in the customer relationship.</w:t>
      </w:r>
    </w:p>
    <w:p w14:paraId="001002C2" w14:textId="001002C3">
      <w:pPr>
        <w:pStyle w:val="Heading5"/>
        <w:jc w:val="left"/>
      </w:pPr>
      <w:r>
        <w:t xml:space="preserve">Revenue Streams</w:t>
      </w:r>
    </w:p>
    <w:p w14:paraId="001002C4" w14:textId="001002C5">
      <w:pPr>
        <w:pStyle w:val="Normal"/>
        <w:jc w:val="left"/>
      </w:pPr>
      <w:r>
        <w:t xml:space="preserve">The Group’s earnings are generated from several main revenue streams, each with distinct economics and risk characteristics. Product sales remain a significant source of revenue, particularly in the Industrial and Consumer segments, where earnings are driven by volume, product mix, channel effectiveness, and pricing discipline. Service revenue forms another major stream, especially in Infrastructure, where maintenance contracts, field execution, technical support, and project delivery create both one-off and repeat income. In Digital Services, recurring subscription fees, usage-based billing, implementation services, and support agreements contribute a growing share of revenue with comparatively stronger forward visibility.</w:t>
      </w:r>
    </w:p>
    <w:p w14:paraId="001002C6" w14:textId="001002C7">
      <w:pPr>
        <w:pStyle w:val="Normal"/>
        <w:jc w:val="left"/>
      </w:pPr>
      <w:r>
        <w:t xml:space="preserve">Within these broad types, revenue also varies by contract duration and fulfillment pattern. Some sales are recognized at a point in time, such as standard product shipments, while others are earned over time through service contracts, software access, or long-cycle project delivery. This affects the timing of cash conversion, capacity planning, and margin realization. Management therefore monitors not only total revenue, but also the composition of revenue by product, service, recurring, project, and channel categories.</w:t>
      </w:r>
    </w:p>
    <w:p w14:paraId="001002C8" w14:textId="001002C9">
      <w:pPr>
        <w:pStyle w:val="Normal"/>
        <w:jc w:val="left"/>
      </w:pPr>
      <w:r>
        <w:t xml:space="preserve">A diversified earnings structure gives Rivermark Group greater flexibility than reliance on a single revenue source. It enables the business to offset cyclical softness in one stream with steadier demand in another, while also supporting cross-selling between products, services, and digital capabilities.</w:t>
      </w:r>
    </w:p>
    <w:p w14:paraId="001002CA" w14:textId="001002CB">
      <w:pPr>
        <w:pStyle w:val="Normal"/>
        <w:jc w:val="left"/>
      </w:pPr>
      <w:r>
        <w:t xml:space="preserve">Rivermark Group’s revenue mix reflects the breadth of its portfolio and the different ways customers choose to buy, consume, and renew value. Infrastructure contracts are commonly secured through direct tendering, framework agreements, and long-duration service arrangements. Industrial sales combine key-account management with distributor coverage for standardized products and aftermarket parts. Consumer activity relies on a layered channel structure that includes modern retail, specialty partners, e-commerce marketplaces, and selected direct-to-consumer programs. Digital Services adds recurring subscription income, implementation fees, usage-based billing, and support packages, giving the Group a wider spread of transactional and recurring earnings.</w:t>
      </w:r>
    </w:p>
    <w:p w14:paraId="001002CC" w14:textId="001002CD">
      <w:pPr>
        <w:pStyle w:val="Normal"/>
        <w:jc w:val="left"/>
      </w:pPr>
      <w:r>
        <w:t xml:space="preserve">This mix matters strategically because it reduces dependence on any single route to market or demand cycle. Contracted and subscription-based income improves visibility, while project, wholesale, and consumer channels provide access to faster growth opportunities. The offer structure is similarly balanced between products, integrated solutions, maintenance, data-enabled services, and platform features. As a result, Rivermark Group is able to shift commercial emphasis by sector and region, defend customer relationships through bundled propositions, and support margin quality by increasing the share of service-rich and repeatable revenue streams.</w:t>
      </w:r>
    </w:p>
    <w:p w14:paraId="001002CE" w14:textId="001002CF">
      <w:pPr>
        <w:pStyle w:val="Heading5"/>
        <w:jc w:val="left"/>
      </w:pPr>
      <w:r>
        <w:t xml:space="preserve">Customer Delivery</w:t>
      </w:r>
    </w:p>
    <w:p w14:paraId="001002D0" w14:textId="001002D1">
      <w:pPr>
        <w:pStyle w:val="Normal"/>
        <w:jc w:val="left"/>
      </w:pPr>
      <w:r>
        <w:t xml:space="preserve">Rivermark Group serves customers through a multi-channel delivery architecture designed around account complexity, product criticality, and required service intensity. Large infrastructure and industrial customers are typically handled through direct sales teams supported by bid management, solution engineering, and contract administration. Mid-sized accounts are reached through regional commercial teams and authorized partners, while consumer products are distributed through retail networks, online channels, and fulfillment partners. In Digital Services, delivery begins with direct or partner-led acquisition and continues through onboarding, implementation, user enablement, and recurring account support.</w:t>
      </w:r>
    </w:p>
    <w:p w14:paraId="001002D2" w14:textId="001002D3">
      <w:pPr>
        <w:pStyle w:val="Normal"/>
        <w:jc w:val="left"/>
      </w:pPr>
      <w:r>
        <w:t xml:space="preserve">The route to market is linked closely to service expectations. Standardized items move through forecast-based replenishment and distribution networks, whereas engineered or project-based offerings follow configured order flows with milestone tracking and site coordination. For recurring services, customer delivery extends beyond the initial transaction to include service-level monitoring, issue resolution, renewals, and upsell pathways. This structure allows the Group to tailor response times, inventory positioning, and technical support to different customer segments while maintaining common governance over pricing, service quality, and customer experience.</w:t>
      </w:r>
    </w:p>
    <w:p w14:paraId="001002D4" w14:textId="001002D5">
      <w:pPr>
        <w:pStyle w:val="Normal"/>
        <w:jc w:val="left"/>
      </w:pPr>
      <w:r>
        <w:t xml:space="preserve">The service model is built to move customers smoothly from inquiry to fulfillment and then into retention. Demand enters through account managers, distributors, digital storefronts, service desks, or platform sign-up channels. Orders are validated against pricing rules, credit parameters, product availability, implementation capacity, and customer-specific service commitments. From there, workflows are routed to manufacturing sites, warehouses, field teams, or digital delivery environments depending on the nature of the offer.</w:t>
      </w:r>
    </w:p>
    <w:p w14:paraId="001002D6" w14:textId="001002D7">
      <w:pPr>
        <w:pStyle w:val="Normal"/>
        <w:jc w:val="left"/>
      </w:pPr>
      <w:r>
        <w:t xml:space="preserve">Channel flow is managed to preserve both speed and control. Direct channels provide better visibility over customer needs and support higher-value solution selling, while partner channels extend geographic reach and improve access to fragmented markets. Consumer and digital routes generate high-volume data that supports promotional planning, inventory alignment, and service personalization. Across all channels, Rivermark Group applies common standards for order accuracy, on-time delivery, installation readiness, and post-sale support. This integrated approach helps the Group convert commercial activity into repeat business, improve service consistency across segments, and capture operational learning that feeds back into planning and product development.</w:t>
      </w:r>
    </w:p>
    <w:p w14:paraId="001002D8" w14:textId="001002D9">
      <w:pPr>
        <w:pStyle w:val="Heading3a"/>
        <w:jc w:val="left"/>
      </w:pPr>
      <w:r>
        <w:t xml:space="preserve">Operating Model</w:t>
      </w:r>
    </w:p>
    <w:p w14:paraId="001002DA" w14:textId="001002DB">
      <w:pPr>
        <w:pStyle w:val="Normal"/>
        <w:jc w:val="left"/>
      </w:pPr>
      <w:r>
        <w:t xml:space="preserve">Rivermark Group’s operating model translates strategy into repeatable execution by linking commercial demand, resource allocation, production or service delivery, and performance management in a common framework. While each segment has distinct market dynamics, the Group applies shared disciplines in planning cadence, procurement governance, network management, quality control, and KPI review. This creates comparability across businesses without removing the flexibility needed for local market response.</w:t>
      </w:r>
    </w:p>
    <w:p w14:paraId="001002DC" w14:textId="001002DD">
      <w:pPr>
        <w:pStyle w:val="Normal"/>
        <w:jc w:val="left"/>
      </w:pPr>
      <w:r>
        <w:t xml:space="preserve">The model is designed for efficiency in two ways. First, it standardizes core processes that benefit from scale, including category sourcing, data governance, working-capital control, and shared digital tools. Second, it preserves segment-level accountability for customer decisions, product mix, and service configuration, where speed and market knowledge matter most. Information flows through monthly operating reviews, rolling forecasts, and targeted exception reporting, allowing management to identify capacity constraints, service issues, and margin pressures early.</w:t>
      </w:r>
    </w:p>
    <w:p w14:paraId="001002DE" w14:textId="001002DF">
      <w:pPr>
        <w:pStyle w:val="Normal"/>
        <w:jc w:val="left"/>
      </w:pPr>
      <w:r>
        <w:t xml:space="preserve">In practical terms, the operating model supports better asset utilization, more disciplined conversion of demand into revenue, and clearer ownership of corrective actions. It is also the basis on which Rivermark Group pursues productivity, strengthens resilience, and embeds continuous improvement across the portfolio.</w:t>
      </w:r>
    </w:p>
    <w:p w14:paraId="001002E0" w14:textId="001002E1">
      <w:pPr>
        <w:pStyle w:val="Normal"/>
        <w:jc w:val="left"/>
      </w:pPr>
      <w:r>
        <w:t xml:space="preserve">Figure 10 Operating model process flow across planning, sourcing, production, delivery, and performance review.</w:t>
      </w:r>
    </w:p>
    <w:p w14:paraId="001002E2" w14:textId="001002E3">
      <w:pPr>
        <w:pStyle w:val="Normal"/>
        <w:jc w:val="left"/>
      </w:pPr>
      <w:r>
        <w:drawing>
          <wp:inline distT="0" distB="0" distL="0" distR="0">
            <wp:extent cx="4680000" cy="2160000"/>
            <wp:effectExtent l="0" t="0" r="0" b="0"/>
            <wp:docPr id="7" name="F04.png" descr=""/>
            <wp:cNvGraphicFramePr>
              <a:graphicFrameLocks noChangeAspect="1"/>
            </wp:cNvGraphicFramePr>
            <a:graphic>
              <a:graphicData uri="http://schemas.openxmlformats.org/drawingml/2006/picture">
                <pic:pic>
                  <pic:nvPicPr>
                    <pic:cNvPr id="7" name="F04.png"/>
                    <pic:cNvPicPr/>
                  </pic:nvPicPr>
                  <pic:blipFill>
                    <a:blip r:embed="R4fe006e8a6f648f1" cstate="print"/>
                    <a:stretch>
                      <a:fillRect/>
                    </a:stretch>
                  </pic:blipFill>
                  <pic:spPr>
                    <a:xfrm>
                      <a:off x="0" y="0"/>
                      <a:ext cx="5040000" cy="2520000"/>
                    </a:xfrm>
                    <a:prstGeom prst="rect">
                      <a:avLst/>
                    </a:prstGeom>
                  </pic:spPr>
                </pic:pic>
              </a:graphicData>
            </a:graphic>
          </wp:inline>
        </w:drawing>
      </w:r>
    </w:p>
    <w:p w14:paraId="001002E4" w14:textId="001002E5">
      <w:pPr>
        <w:pStyle w:val="Heading4a"/>
        <w:jc w:val="left"/>
      </w:pPr>
      <w:r>
        <w:t xml:space="preserve">Core Processes</w:t>
      </w:r>
    </w:p>
    <w:p w14:paraId="001002E6" w14:textId="001002E7">
      <w:pPr>
        <w:pStyle w:val="Normal"/>
        <w:jc w:val="left"/>
      </w:pPr>
      <w:r>
        <w:t xml:space="preserve">The Group’s core processes form an end-to-end chain that begins with planning and extends through sourcing, making, delivery, and after-sales support. Planning aligns demand expectations with available capacity, inventory strategy, labor requirements, and capital constraints. Sourcing converts those plans into secure supply by managing supplier selection, input specifications, contract terms, and risk controls. Making covers manufacturing, assembly, service execution, software deployment, and quality assurance depending on the segment. Delivery includes warehousing, transport, installation, digital activation, invoicing, and customer support.</w:t>
      </w:r>
    </w:p>
    <w:p w14:paraId="001002E8" w14:textId="001002E9">
      <w:pPr>
        <w:pStyle w:val="Normal"/>
        <w:jc w:val="left"/>
      </w:pPr>
      <w:r>
        <w:t xml:space="preserve">These processes are managed as an integrated system rather than as stand-alone functions. Forecast accuracy influences procurement timing; supplier performance affects production reliability; production sequencing shapes delivery outcomes; and customer service data informs future planning assumptions. Rivermark Group therefore emphasizes cross-functional coordination, common operating metrics, and disciplined handoffs between teams. The result is a process architecture intended to reduce waste, improve responsiveness, and support both growth and margin resilience across the portfolio.</w:t>
      </w:r>
    </w:p>
    <w:p w14:paraId="001002EA" w14:textId="001002EB">
      <w:pPr>
        <w:pStyle w:val="Heading5"/>
        <w:jc w:val="left"/>
      </w:pPr>
      <w:r>
        <w:t xml:space="preserve">Front End</w:t>
      </w:r>
    </w:p>
    <w:p w14:paraId="001002EC" w14:textId="001002ED">
      <w:pPr>
        <w:pStyle w:val="Normal"/>
        <w:jc w:val="left"/>
      </w:pPr>
      <w:r>
        <w:t xml:space="preserve">The front end of Rivermark Group’s operating model covers the activities that translate market opportunity into executable demand. It includes market sensing, account planning, pipeline development, pricing governance, tender submission, order capture, and short- to medium-term demand forecasting. Commercial teams work with segment leaders and operations planners to assess customer requirements, expected timing, service needs, and profitability before commitments are finalized. This is especially important in project-led businesses, where the quality of intake decisions has a direct effect on delivery performance and margin realization.</w:t>
      </w:r>
    </w:p>
    <w:p w14:paraId="001002EE" w14:textId="001002EF">
      <w:pPr>
        <w:pStyle w:val="Normal"/>
        <w:jc w:val="left"/>
      </w:pPr>
      <w:r>
        <w:t xml:space="preserve">Demand planning combines historical patterns with current order signals, promotional plans, contract schedules, and market intelligence. In businesses with recurring demand, forecast routines help align stock levels and replenishment. In more customized operations, planning focuses on opportunity conversion, backlog quality, and capacity reservation. Across both models, the Group uses structured review cycles to challenge assumptions and update forecasts when customer behavior, pricing conditions, or supply availability changes. A disciplined front end helps Rivermark Group improve service reliability, reduce last-minute disruption, and allocate resources to the most attractive opportunities.</w:t>
      </w:r>
    </w:p>
    <w:p w14:paraId="001002F0" w14:textId="001002F1">
      <w:pPr>
        <w:pStyle w:val="Normal"/>
        <w:jc w:val="left"/>
      </w:pPr>
      <w:r>
        <w:t xml:space="preserve">Customer intake is governed through defined acceptance criteria so that new orders enter the system with clear scope, validated pricing, feasible delivery dates, and appropriate credit approval. This reduces rework later in the process and gives operations teams a cleaner starting point for scheduling and fulfillment. Intake data is also classified by customer, product family, geography, channel, and service requirement, creating a stronger basis for forecasting and performance analysis.</w:t>
      </w:r>
    </w:p>
    <w:p w14:paraId="001002F2" w14:textId="001002F3">
      <w:pPr>
        <w:pStyle w:val="Normal"/>
        <w:jc w:val="left"/>
      </w:pPr>
      <w:r>
        <w:t xml:space="preserve">Forecasting itself is managed as a rolling process rather than a once-a-year exercise. Rivermark Group combines statistical baselines with sales insight, tender probability assessments, backlog aging, digital traffic indicators, and distributor replenishment patterns. Forecasts are reviewed at different levels of detail, from group-level demand signals to SKU, site, or account-level exceptions where action is required. The aim is not only to predict volume, but also to understand mix, timing, and operational implications. Better customer intake and forecasting improve production planning, workforce deployment, inventory positioning, and ultimately the Group’s ability to deliver consistent service while protecting working capital and margins.</w:t>
      </w:r>
    </w:p>
    <w:p w14:paraId="001002F4" w14:textId="001002F5">
      <w:pPr>
        <w:pStyle w:val="Heading5"/>
        <w:jc w:val="left"/>
      </w:pPr>
      <w:r>
        <w:t xml:space="preserve">Back End</w:t>
      </w:r>
    </w:p>
    <w:p w14:paraId="001002F6" w14:textId="001002F7">
      <w:pPr>
        <w:pStyle w:val="Normal"/>
        <w:jc w:val="left"/>
      </w:pPr>
      <w:r>
        <w:t xml:space="preserve">The back end of Rivermark Group’s operating model converts demand commitments into reliable physical and service delivery. It begins with production scheduling based on confirmed orders, forecast revisions, inventory positions, and plant capability. Manufacturing teams then sequence work across sites to balance throughput, changeover efficiency, labor availability, and maintenance windows. In the Infrastructure and Industrial businesses, this means aligning fabrication, assembly, testing, and dispatch to project deadlines and customer specifications. In Consumer and Digital Services, the same principle applies through packaging, fulfillment, platform provisioning, and post-sale activation.</w:t>
      </w:r>
    </w:p>
    <w:p w14:paraId="001002F8" w14:textId="001002F9">
      <w:pPr>
        <w:pStyle w:val="Normal"/>
        <w:jc w:val="left"/>
      </w:pPr>
      <w:r>
        <w:t xml:space="preserve">Logistics is managed as an integrated network rather than a separate downstream task. Plants, warehouses, cross-dock facilities, and transport partners are coordinated through common service standards covering lead time, shipment accuracy, and on-time-in-full performance. Support functions underpin this flow by maintaining equipment uptime, assuring quality compliance, managing master data, processing documentation, and resolving exceptions. The result is a back-end model designed not only to move product efficiently, but also to absorb volatility, protect customer commitments, and support margin discipline through better asset use and lower avoidable waste.</w:t>
      </w:r>
    </w:p>
    <w:p w14:paraId="001002FA" w14:textId="001002FB">
      <w:pPr>
        <w:pStyle w:val="Normal"/>
        <w:jc w:val="left"/>
      </w:pPr>
      <w:r>
        <w:t xml:space="preserve">Fulfillment at Rivermark Group is organized as a controlled flow from completed output to customer receipt and after-sales support. Once goods or services are ready for release, orders are checked against commercial terms, quality sign-off, transport plans, and destination requirements. This reduces rework, shipment errors, and revenue leakage. Distribution planning then allocates capacity across internal fleets, third-party carriers, and regional logistics nodes to match urgency, route economics, and service commitments. The process is particularly important in periods of uneven demand, when selective prioritization protects strategic accounts and contractual delivery windows.</w:t>
      </w:r>
    </w:p>
    <w:p w14:paraId="001002FC" w14:textId="001002FD">
      <w:pPr>
        <w:pStyle w:val="Normal"/>
        <w:jc w:val="left"/>
      </w:pPr>
      <w:r>
        <w:t xml:space="preserve">Support flow continues after dispatch. Customer service teams monitor delivery status, manage documentation queries, coordinate claims handling, and feed recurring issues back into planning and operations. Technical support, spare parts availability, and digital case management help shorten response times and improve first-time resolution. This closed-loop approach turns fulfillment into a source of operational learning: recurring bottlenecks in packaging, data accuracy, inventory placement, or transport reliability are tracked and corrected through monthly reviews. By linking delivery execution with service feedback, the Group improves working capital efficiency, strengthens customer retention, and creates a more resilient operating rhythm across segments.</w:t>
      </w:r>
    </w:p>
    <w:p w14:paraId="001002FE" w14:textId="001002FF">
      <w:pPr>
        <w:pStyle w:val="Heading4a"/>
        <w:jc w:val="left"/>
      </w:pPr>
      <w:r>
        <w:t xml:space="preserve">Performance Levers</w:t>
      </w:r>
    </w:p>
    <w:p w14:paraId="00100300" w14:textId="00100301">
      <w:pPr>
        <w:pStyle w:val="Normal"/>
        <w:jc w:val="left"/>
      </w:pPr>
      <w:r>
        <w:t xml:space="preserve">Rivermark Group manages performance through a practical set of KPIs, operating controls, and improvement levers that connect strategy with daily execution. Financial indicators such as revenue growth, gross margin, operating profit, cash conversion, and return on invested capital are reviewed alongside operational measures including throughput, capacity utilization, on-time delivery, inventory turns, scrap, service resolution time, and safety performance. This combination allows management to judge whether reported results are being delivered through healthy underlying operations or by short-term measures that may not be sustainable.</w:t>
      </w:r>
    </w:p>
    <w:p w14:paraId="00100302" w14:textId="00100303">
      <w:pPr>
        <w:pStyle w:val="Normal"/>
        <w:jc w:val="left"/>
      </w:pPr>
      <w:r>
        <w:t xml:space="preserve">Controls are built into the operating cadence. Weekly dashboards track demand, production adherence, logistics performance, labor productivity, and customer service indicators at segment and site level. Monthly business reviews examine variance against plan, root causes, corrective actions, and capital allocation needs. Management uses these reviews to distinguish structural issues from temporary dislocations and to decide whether intervention should focus on price, sourcing, footprint, staffing, process discipline, or portfolio mix.</w:t>
      </w:r>
    </w:p>
    <w:p w14:paraId="00100304" w14:textId="00100305">
      <w:pPr>
        <w:pStyle w:val="Normal"/>
        <w:jc w:val="left"/>
      </w:pPr>
      <w:r>
        <w:t xml:space="preserve">The Group’s performance levers are therefore not limited to cost cutting. They include targeted commercial actions, process redesign, digital planning tools, maintenance discipline, network optimization, and quality improvement. By applying these levers consistently across businesses while preserving segment-specific flexibility, Rivermark Group seeks to improve earnings quality, operational resilience, and customer outcomes at the same time.</w:t>
      </w:r>
    </w:p>
    <w:p w14:paraId="00100306" w14:textId="00100307">
      <w:pPr>
        <w:pStyle w:val="Heading5"/>
        <w:jc w:val="left"/>
      </w:pPr>
      <w:r>
        <w:t xml:space="preserve">Cost Levers</w:t>
      </w:r>
    </w:p>
    <w:p w14:paraId="00100308" w14:textId="00100309">
      <w:pPr>
        <w:pStyle w:val="Normal"/>
        <w:jc w:val="left"/>
      </w:pPr>
      <w:r>
        <w:t xml:space="preserve">Rivermark Group’s cost levers are concentrated in the areas that most directly shape competitiveness: procurement, labor, and overhead. Procurement savings are pursued through category management, supplier consolidation, should-cost analysis, and more disciplined purchasing compliance. The Group emphasizes total cost rather than headline unit price, taking into account freight, quality performance, payment terms, and supplier reliability. This is especially relevant where volatile input markets can create sudden pressure on margins if sourcing teams do not react quickly enough.</w:t>
      </w:r>
    </w:p>
    <w:p w14:paraId="0010030A" w14:textId="0010030B">
      <w:pPr>
        <w:pStyle w:val="Normal"/>
        <w:jc w:val="left"/>
      </w:pPr>
      <w:r>
        <w:t xml:space="preserve">Labor efficiency is managed through workforce planning, line balancing, training, automation support, and better alignment between staffing levels and demand patterns. Management does not treat labor productivity as a simple headcount exercise; the objective is to improve output per hour while preserving safety, quality, and retention of critical skills. Overhead control focuses on facility costs, support-function efficiency, discretionary spending, and technology utilization. Shared-service disciplines, travel controls, vendor rationalization, and clearer approval thresholds have all been used to reduce non-core expense. Together, these cost levers help the Group offset inflation, protect profitability during demand swings, and create headroom for selective growth investment.</w:t>
      </w:r>
    </w:p>
    <w:p w14:paraId="0010030C" w14:textId="0010030D">
      <w:pPr>
        <w:pStyle w:val="Normal"/>
        <w:jc w:val="left"/>
      </w:pPr>
      <w:r>
        <w:t xml:space="preserve">Cost control is embedded in the Group’s management system through budgets, rolling forecasts, variance analysis, and site-level accountability. Each segment translates annual targets into operational cost actions, with ownership assigned to procurement leaders, plant managers, logistics heads, and functional teams. Monthly reviews compare actual performance with standard cost assumptions, identify adverse trends in material usage or labor absorption, and trigger remediation plans where deviations persist. This creates discipline around execution rather than relying solely on year-end financial corrections.</w:t>
      </w:r>
    </w:p>
    <w:p w14:paraId="0010030E" w14:textId="0010030F">
      <w:pPr>
        <w:pStyle w:val="Normal"/>
        <w:jc w:val="left"/>
      </w:pPr>
      <w:r>
        <w:t xml:space="preserve">Improvement programs are designed to deliver recurring benefits. In procurement, this includes rebidding key categories, redesigning specifications, and improving order visibility to reduce rush premiums. In operations, lean initiatives target changeover loss, scrap, energy consumption, and maintenance-related downtime. In indirect functions, automation of routine processes and tighter service-level management are used to lower administrative cost without weakening control quality. Management also tests actions against service and risk implications, recognizing that aggressive savings can create hidden costs in customer performance or supply continuity.</w:t>
      </w:r>
    </w:p>
    <w:p w14:paraId="00100310" w14:textId="00100311">
      <w:pPr>
        <w:pStyle w:val="Normal"/>
        <w:jc w:val="left"/>
      </w:pPr>
      <w:r>
        <w:t xml:space="preserve">The Group’s approach is therefore to combine immediate controls with structural efficiency measures. Short-cycle actions protect near-term earnings, while process and network improvements support more durable margin expansion.</w:t>
      </w:r>
    </w:p>
    <w:p w14:paraId="00100312" w14:textId="00100313">
      <w:pPr>
        <w:pStyle w:val="Heading5"/>
        <w:jc w:val="left"/>
      </w:pPr>
      <w:r>
        <w:t xml:space="preserve">Service Levers</w:t>
      </w:r>
    </w:p>
    <w:p w14:paraId="00100314" w14:textId="00100315">
      <w:pPr>
        <w:pStyle w:val="Normal"/>
        <w:jc w:val="left"/>
      </w:pPr>
      <w:r>
        <w:t xml:space="preserve">Service levers at Rivermark Group are centered on quality, speed, and reliability because these factors strongly influence retention, pricing power, and brand credibility. Quality begins with clear specifications, disciplined process control, supplier qualification, and early detection of defects before products or services reach the customer. Across project, product, and platform activities, the Group tracks complaint rates, first-pass yield, warranty trends, rework levels, and incident resolution outcomes to identify where service failure is occurring and why.</w:t>
      </w:r>
    </w:p>
    <w:p w14:paraId="00100316" w14:textId="00100317">
      <w:pPr>
        <w:pStyle w:val="Normal"/>
        <w:jc w:val="left"/>
      </w:pPr>
      <w:r>
        <w:t xml:space="preserve">Speed is managed not as pure acceleration, but as the reduction of avoidable delay. Planning accuracy, order cycle time, manufacturing responsiveness, transport coordination, and digital workflow automation all shape the Group’s ability to respond quickly without increasing error rates. Reliability brings these elements together by measuring consistency over time. On-time delivery, system uptime, order accuracy, and response adherence are monitored as indicators of whether customers can depend on Rivermark Group during normal periods and under stress. These service levers are important across all segments, but they are especially critical where long-term contracts, repeat purchasing, or subscription relationships make trust a primary driver of value.</w:t>
      </w:r>
    </w:p>
    <w:p w14:paraId="00100318" w14:textId="00100319">
      <w:pPr>
        <w:pStyle w:val="Normal"/>
        <w:jc w:val="left"/>
      </w:pPr>
      <w:r>
        <w:t xml:space="preserve">Service performance improvement is pursued through a combination of measurement, root-cause correction, and process redesign. Customer-facing teams gather data from claims, late deliveries, service tickets, installation feedback, and account reviews, while operational teams map these issues back to planning quality, production stability, inventory placement, transport execution, or system design. This prevents the organization from treating symptoms in isolation. For example, repeated delivery misses may reflect not only carrier performance but also inaccurate lead-time settings, weak master data, or unrealistic order promising.</w:t>
      </w:r>
    </w:p>
    <w:p w14:paraId="0010031A" w14:textId="0010031B">
      <w:pPr>
        <w:pStyle w:val="Normal"/>
        <w:jc w:val="left"/>
      </w:pPr>
      <w:r>
        <w:t xml:space="preserve">Improvement actions are then prioritized according to customer impact and recurrence. High-frequency issues are addressed through standard work, clearer handoffs, digital alerts, and revised escalation protocols. More structural weaknesses may require network changes, service-center redesign, training upgrades, or investment in visibility tools that allow managers to intervene earlier. The Group also uses customer segmentation to tailor service models so that strategic accounts, project-critical orders, and high-volume channels receive the most appropriate support standards.</w:t>
      </w:r>
    </w:p>
    <w:p w14:paraId="0010031C" w14:textId="0010031D">
      <w:pPr>
        <w:pStyle w:val="Normal"/>
        <w:jc w:val="left"/>
      </w:pPr>
      <w:r>
        <w:t xml:space="preserve">Over time, stronger service performance supports more than customer satisfaction. It reduces expediting cost, lowers returns and rework, improves cash collection by minimizing disputes, and reinforces the Group’s reputation as a dependable operating partner.</w:t>
      </w:r>
    </w:p>
    <w:p w14:paraId="0010166F" w14:textId="00101670">
      <w:pPr>
        <w:pStyle w:val="Normal"/>
        <w:jc w:val="left"/>
        <w:sectPr>
          <w:type w:val="nextPage"/>
          <w:pgSz w:w="11906" w:h="16838"/>
          <w:pgMar w:top="1440" w:right="1440" w:bottom="1440" w:left="1440" w:header="1440" w:footer="1440" w:gutter="0"/>
          <w:cols w:space="720" w:num="1"/>
        </w:sectPr>
      </w:pPr>
    </w:p>
    <w:p w14:paraId="00100322" w14:textId="00100323">
      <w:pPr>
        <w:pStyle w:val="Heading1a"/>
        <w:jc w:val="left"/>
      </w:pPr>
      <w:r>
        <w:t xml:space="preserve">Operating Review</w:t>
      </w:r>
    </w:p>
    <w:p w14:paraId="00100324" w14:textId="00100326">
      <w:pPr>
        <w:pStyle w:val="Normal"/>
        <w:jc w:val="left"/>
      </w:pPr>
      <w:r>
        <w:t xml:space="preserve">Overall performance:</w:t>
      </w:r>
      <w:r>
        <w:t xml:space="preserve"> Rivermark Group delivered a resilient set of results in the year, combining moderate top-line growth with improved operating discipline and stronger cash conversion. Revenue advanced across three of the four operating segments, with Infrastructure and Digital Services providing the clearest momentum, while Industrial remained mixed across end markets and Consumer stabilized in the second half. The result was a broader earnings base than in the prior year, with margin support from pricing, operating efficiency measures, and a more favorable contribution from service-led activities.</w:t>
        <w:br/>
        <w:t xml:space="preserve">Revenue growth reflected a blend of organic volume recovery in selected markets, carryover pricing actions taken to offset input inflation, and a steadier delivery profile on larger customer programs. Foreign exchange movements were limited at group level and portfolio effects were not a major contributor, allowing the year-on-year bridge to be explained mainly by underlying trading. On profitability, gross margin benefited from procurement savings, improved plant utilization in core sites, and tighter management of product and contract mix. These gains partly offset wage inflation, energy cost variability, and targeted investment in digital capabilities and commercial coverage.</w:t>
        <w:br/>
        <w:t xml:space="preserve">Cash performance strengthened as working capital discipline improved, particularly through tighter receivables collection and better inventory planning. The group ended the year with adequate liquidity, comfortable covenant headroom, and a funding profile aligned with its investment agenda. Taken together, the year showed that Rivermark Group can grow selectively while preserving margin quality and balance sheet flexibility.</w:t>
      </w:r>
    </w:p>
    <w:p w14:paraId="00100327" w14:textId="00100328">
      <w:pPr>
        <w:pStyle w:val="Heading2a"/>
        <w:jc w:val="left"/>
      </w:pPr>
      <w:r>
        <w:t xml:space="preserve">Financial Overview</w:t>
      </w:r>
    </w:p>
    <w:p w14:paraId="00100329" w14:textId="0010032A">
      <w:pPr>
        <w:pStyle w:val="Normal"/>
        <w:jc w:val="left"/>
      </w:pPr>
      <w:r>
        <w:t xml:space="preserve">The financial overview that follows summarizes the principal movements in revenue, operating profit, cash generation, and funding position during the year. Management assessed performance through a combination of absolute growth, margin quality, and cash discipline rather than topline expansion alone. This approach was particularly important in a year marked by uneven regional demand, a still-elevated cost base, and differing recovery speeds across the group’s portfolio.</w:t>
      </w:r>
    </w:p>
    <w:p w14:paraId="0010032B" w14:textId="0010032C">
      <w:pPr>
        <w:pStyle w:val="Normal"/>
        <w:jc w:val="left"/>
      </w:pPr>
      <w:r>
        <w:t xml:space="preserve">At group level, revenue quality improved as a greater share of sales came from recurring service arrangements, framework contracts, and higher-value solution offerings. This mix shift supported a firmer gross profit outcome even where volume growth remained moderate. Operating profit also benefited from actions taken earlier in the cycle, including procurement redesign, network rationalization, and selective automation in both front-end and back-end processes. These actions did not remove cost pressure entirely, but they improved the group’s ability to absorb inflation while maintaining service standards.</w:t>
      </w:r>
    </w:p>
    <w:p w14:paraId="0010032D" w14:textId="0010032E">
      <w:pPr>
        <w:pStyle w:val="Normal"/>
        <w:jc w:val="left"/>
      </w:pPr>
      <w:r>
        <w:t xml:space="preserve">Cash remained a central management priority. Capital expenditure was directed toward capacity, digital systems, and maintenance of critical assets, while discretionary spending continued to be screened against payback and strategic fit. The balance sheet remained sound, with leverage at a manageable level and liquidity resources sufficient to support ongoing operations and planned investments. The tables and commentary in this chapter therefore focus not only on what the group earned, but on how durable those earnings proved when tested against cash conversion and capital efficiency.</w:t>
      </w:r>
    </w:p>
    <w:p w14:paraId="0010032F" w14:textId="00100330">
      <w:pPr>
        <w:pStyle w:val="Normal"/>
        <w:jc w:val="left"/>
      </w:pPr>
      <w:r>
        <w:t xml:space="preserve">Table 1 Financial Overview KPI Table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331" w14:textId="00100371">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333" w14:textId="00100372">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335" w14:textId="00100373">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337" w14:textId="00100374">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339" w14:textId="00100375">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33B" w14:textId="00100376">
            <w:pPr>
              <w:pStyle w:val="Normal"/>
              <w:jc w:val="left"/>
            </w:pPr>
            <w:r>
              <w:t xml:space="preserve">6,482</w:t>
            </w:r>
          </w:p>
        </w:tc>
        <w:tc>
          <w:tcPr>
            <w:vAlign w:val="center"/>
            <w:tcBorders>
              <w:top w:val="single" w:sz="4" w:space="0" w:color="auto"/>
              <w:left w:val="single" w:sz="4" w:space="0" w:color="auto"/>
              <w:bottom w:val="single" w:sz="4" w:space="0" w:color="auto"/>
              <w:right w:val="single" w:sz="4" w:space="0" w:color="auto"/>
            </w:tcBorders>
          </w:tcPr>
          <w:p w14:paraId="0010033D" w14:textId="00100377">
            <w:pPr>
              <w:pStyle w:val="Normal"/>
              <w:jc w:val="left"/>
            </w:pPr>
            <w:r>
              <w:t xml:space="preserve">6,115</w:t>
            </w:r>
          </w:p>
        </w:tc>
        <w:tc>
          <w:tcPr>
            <w:vAlign w:val="center"/>
            <w:tcBorders>
              <w:top w:val="single" w:sz="4" w:space="0" w:color="auto"/>
              <w:left w:val="single" w:sz="4" w:space="0" w:color="auto"/>
              <w:bottom w:val="single" w:sz="4" w:space="0" w:color="auto"/>
              <w:right w:val="single" w:sz="4" w:space="0" w:color="auto"/>
            </w:tcBorders>
          </w:tcPr>
          <w:p w14:paraId="0010033F" w14:textId="00100378">
            <w:pPr>
              <w:pStyle w:val="Normal"/>
              <w:jc w:val="left"/>
            </w:pPr>
            <w:r>
              <w:t xml:space="preserve">+6.0%</w:t>
            </w:r>
          </w:p>
        </w:tc>
      </w:tr>
      <w:tr>
        <w:tc>
          <w:tcPr>
            <w:vAlign w:val="center"/>
            <w:tcBorders>
              <w:top w:val="single" w:sz="4" w:space="0" w:color="auto"/>
              <w:left w:val="single" w:sz="4" w:space="0" w:color="auto"/>
              <w:bottom w:val="single" w:sz="4" w:space="0" w:color="auto"/>
              <w:right w:val="single" w:sz="4" w:space="0" w:color="auto"/>
            </w:tcBorders>
          </w:tcPr>
          <w:p w14:paraId="00100341" w14:textId="00100379">
            <w:pPr>
              <w:pStyle w:val="Normal"/>
              <w:jc w:val="left"/>
            </w:pPr>
            <w:r>
              <w:t xml:space="preserve">Adjusted operating profit</w:t>
            </w:r>
          </w:p>
        </w:tc>
        <w:tc>
          <w:tcPr>
            <w:vAlign w:val="center"/>
            <w:tcBorders>
              <w:top w:val="single" w:sz="4" w:space="0" w:color="auto"/>
              <w:left w:val="single" w:sz="4" w:space="0" w:color="auto"/>
              <w:bottom w:val="single" w:sz="4" w:space="0" w:color="auto"/>
              <w:right w:val="single" w:sz="4" w:space="0" w:color="auto"/>
            </w:tcBorders>
          </w:tcPr>
          <w:p w14:paraId="00100343" w14:textId="0010037A">
            <w:pPr>
              <w:pStyle w:val="Normal"/>
              <w:jc w:val="left"/>
            </w:pPr>
            <w:r>
              <w:t xml:space="preserve">748</w:t>
            </w:r>
          </w:p>
        </w:tc>
        <w:tc>
          <w:tcPr>
            <w:vAlign w:val="center"/>
            <w:tcBorders>
              <w:top w:val="single" w:sz="4" w:space="0" w:color="auto"/>
              <w:left w:val="single" w:sz="4" w:space="0" w:color="auto"/>
              <w:bottom w:val="single" w:sz="4" w:space="0" w:color="auto"/>
              <w:right w:val="single" w:sz="4" w:space="0" w:color="auto"/>
            </w:tcBorders>
          </w:tcPr>
          <w:p w14:paraId="00100345" w14:textId="0010037B">
            <w:pPr>
              <w:pStyle w:val="Normal"/>
              <w:jc w:val="left"/>
            </w:pPr>
            <w:r>
              <w:t xml:space="preserve">691</w:t>
            </w:r>
          </w:p>
        </w:tc>
        <w:tc>
          <w:tcPr>
            <w:vAlign w:val="center"/>
            <w:tcBorders>
              <w:top w:val="single" w:sz="4" w:space="0" w:color="auto"/>
              <w:left w:val="single" w:sz="4" w:space="0" w:color="auto"/>
              <w:bottom w:val="single" w:sz="4" w:space="0" w:color="auto"/>
              <w:right w:val="single" w:sz="4" w:space="0" w:color="auto"/>
            </w:tcBorders>
          </w:tcPr>
          <w:p w14:paraId="00100347" w14:textId="0010037C">
            <w:pPr>
              <w:pStyle w:val="Normal"/>
              <w:jc w:val="left"/>
            </w:pPr>
            <w:r>
              <w:t xml:space="preserve">+8.2%</w:t>
            </w:r>
          </w:p>
        </w:tc>
      </w:tr>
      <w:tr>
        <w:tc>
          <w:tcPr>
            <w:vAlign w:val="center"/>
            <w:tcBorders>
              <w:top w:val="single" w:sz="4" w:space="0" w:color="auto"/>
              <w:left w:val="single" w:sz="4" w:space="0" w:color="auto"/>
              <w:bottom w:val="single" w:sz="4" w:space="0" w:color="auto"/>
              <w:right w:val="single" w:sz="4" w:space="0" w:color="auto"/>
            </w:tcBorders>
          </w:tcPr>
          <w:p w14:paraId="00100349" w14:textId="0010037D">
            <w:pPr>
              <w:pStyle w:val="Normal"/>
              <w:jc w:val="left"/>
            </w:pPr>
            <w:r>
              <w:t xml:space="preserve">Adjusted operating margin</w:t>
            </w:r>
          </w:p>
        </w:tc>
        <w:tc>
          <w:tcPr>
            <w:vAlign w:val="center"/>
            <w:tcBorders>
              <w:top w:val="single" w:sz="4" w:space="0" w:color="auto"/>
              <w:left w:val="single" w:sz="4" w:space="0" w:color="auto"/>
              <w:bottom w:val="single" w:sz="4" w:space="0" w:color="auto"/>
              <w:right w:val="single" w:sz="4" w:space="0" w:color="auto"/>
            </w:tcBorders>
          </w:tcPr>
          <w:p w14:paraId="0010034B" w14:textId="0010037E">
            <w:pPr>
              <w:pStyle w:val="Normal"/>
              <w:jc w:val="left"/>
            </w:pPr>
            <w:r>
              <w:t xml:space="preserve">11.5%</w:t>
            </w:r>
          </w:p>
        </w:tc>
        <w:tc>
          <w:tcPr>
            <w:vAlign w:val="center"/>
            <w:tcBorders>
              <w:top w:val="single" w:sz="4" w:space="0" w:color="auto"/>
              <w:left w:val="single" w:sz="4" w:space="0" w:color="auto"/>
              <w:bottom w:val="single" w:sz="4" w:space="0" w:color="auto"/>
              <w:right w:val="single" w:sz="4" w:space="0" w:color="auto"/>
            </w:tcBorders>
          </w:tcPr>
          <w:p w14:paraId="0010034D" w14:textId="0010037F">
            <w:pPr>
              <w:pStyle w:val="Normal"/>
              <w:jc w:val="left"/>
            </w:pPr>
            <w:r>
              <w:t xml:space="preserve">11.3%</w:t>
            </w:r>
          </w:p>
        </w:tc>
        <w:tc>
          <w:tcPr>
            <w:vAlign w:val="center"/>
            <w:tcBorders>
              <w:top w:val="single" w:sz="4" w:space="0" w:color="auto"/>
              <w:left w:val="single" w:sz="4" w:space="0" w:color="auto"/>
              <w:bottom w:val="single" w:sz="4" w:space="0" w:color="auto"/>
              <w:right w:val="single" w:sz="4" w:space="0" w:color="auto"/>
            </w:tcBorders>
          </w:tcPr>
          <w:p w14:paraId="0010034F" w14:textId="00100380">
            <w:pPr>
              <w:pStyle w:val="Normal"/>
              <w:jc w:val="left"/>
            </w:pPr>
            <w:r>
              <w:t xml:space="preserve">+0.2 ppt</w:t>
            </w:r>
          </w:p>
        </w:tc>
      </w:tr>
      <w:tr>
        <w:tc>
          <w:tcPr>
            <w:vAlign w:val="center"/>
            <w:tcBorders>
              <w:top w:val="single" w:sz="4" w:space="0" w:color="auto"/>
              <w:left w:val="single" w:sz="4" w:space="0" w:color="auto"/>
              <w:bottom w:val="single" w:sz="4" w:space="0" w:color="auto"/>
              <w:right w:val="single" w:sz="4" w:space="0" w:color="auto"/>
            </w:tcBorders>
          </w:tcPr>
          <w:p w14:paraId="00100351" w14:textId="00100381">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353" w14:textId="00100382">
            <w:pPr>
              <w:pStyle w:val="Normal"/>
              <w:jc w:val="left"/>
            </w:pPr>
            <w:r>
              <w:t xml:space="preserve">812</w:t>
            </w:r>
          </w:p>
        </w:tc>
        <w:tc>
          <w:tcPr>
            <w:vAlign w:val="center"/>
            <w:tcBorders>
              <w:top w:val="single" w:sz="4" w:space="0" w:color="auto"/>
              <w:left w:val="single" w:sz="4" w:space="0" w:color="auto"/>
              <w:bottom w:val="single" w:sz="4" w:space="0" w:color="auto"/>
              <w:right w:val="single" w:sz="4" w:space="0" w:color="auto"/>
            </w:tcBorders>
          </w:tcPr>
          <w:p w14:paraId="00100355" w14:textId="00100383">
            <w:pPr>
              <w:pStyle w:val="Normal"/>
              <w:jc w:val="left"/>
            </w:pPr>
            <w:r>
              <w:t xml:space="preserve">754</w:t>
            </w:r>
          </w:p>
        </w:tc>
        <w:tc>
          <w:tcPr>
            <w:vAlign w:val="center"/>
            <w:tcBorders>
              <w:top w:val="single" w:sz="4" w:space="0" w:color="auto"/>
              <w:left w:val="single" w:sz="4" w:space="0" w:color="auto"/>
              <w:bottom w:val="single" w:sz="4" w:space="0" w:color="auto"/>
              <w:right w:val="single" w:sz="4" w:space="0" w:color="auto"/>
            </w:tcBorders>
          </w:tcPr>
          <w:p w14:paraId="00100357" w14:textId="00100384">
            <w:pPr>
              <w:pStyle w:val="Normal"/>
              <w:jc w:val="left"/>
            </w:pPr>
            <w:r>
              <w:t xml:space="preserve">+7.7%</w:t>
            </w:r>
          </w:p>
        </w:tc>
      </w:tr>
      <w:tr>
        <w:tc>
          <w:tcPr>
            <w:vAlign w:val="center"/>
            <w:tcBorders>
              <w:top w:val="single" w:sz="4" w:space="0" w:color="auto"/>
              <w:left w:val="single" w:sz="4" w:space="0" w:color="auto"/>
              <w:bottom w:val="single" w:sz="4" w:space="0" w:color="auto"/>
              <w:right w:val="single" w:sz="4" w:space="0" w:color="auto"/>
            </w:tcBorders>
          </w:tcPr>
          <w:p w14:paraId="00100359" w14:textId="00100385">
            <w:pPr>
              <w:pStyle w:val="Normal"/>
              <w:jc w:val="left"/>
            </w:pPr>
            <w:r>
              <w:t xml:space="preserve">Free cash flow</w:t>
            </w:r>
          </w:p>
        </w:tc>
        <w:tc>
          <w:tcPr>
            <w:vAlign w:val="center"/>
            <w:tcBorders>
              <w:top w:val="single" w:sz="4" w:space="0" w:color="auto"/>
              <w:left w:val="single" w:sz="4" w:space="0" w:color="auto"/>
              <w:bottom w:val="single" w:sz="4" w:space="0" w:color="auto"/>
              <w:right w:val="single" w:sz="4" w:space="0" w:color="auto"/>
            </w:tcBorders>
          </w:tcPr>
          <w:p w14:paraId="0010035B" w14:textId="00100386">
            <w:pPr>
              <w:pStyle w:val="Normal"/>
              <w:jc w:val="left"/>
            </w:pPr>
            <w:r>
              <w:t xml:space="preserve">436</w:t>
            </w:r>
          </w:p>
        </w:tc>
        <w:tc>
          <w:tcPr>
            <w:vAlign w:val="center"/>
            <w:tcBorders>
              <w:top w:val="single" w:sz="4" w:space="0" w:color="auto"/>
              <w:left w:val="single" w:sz="4" w:space="0" w:color="auto"/>
              <w:bottom w:val="single" w:sz="4" w:space="0" w:color="auto"/>
              <w:right w:val="single" w:sz="4" w:space="0" w:color="auto"/>
            </w:tcBorders>
          </w:tcPr>
          <w:p w14:paraId="0010035D" w14:textId="00100387">
            <w:pPr>
              <w:pStyle w:val="Normal"/>
              <w:jc w:val="left"/>
            </w:pPr>
            <w:r>
              <w:t xml:space="preserve">398</w:t>
            </w:r>
          </w:p>
        </w:tc>
        <w:tc>
          <w:tcPr>
            <w:vAlign w:val="center"/>
            <w:tcBorders>
              <w:top w:val="single" w:sz="4" w:space="0" w:color="auto"/>
              <w:left w:val="single" w:sz="4" w:space="0" w:color="auto"/>
              <w:bottom w:val="single" w:sz="4" w:space="0" w:color="auto"/>
              <w:right w:val="single" w:sz="4" w:space="0" w:color="auto"/>
            </w:tcBorders>
          </w:tcPr>
          <w:p w14:paraId="0010035F" w14:textId="00100388">
            <w:pPr>
              <w:pStyle w:val="Normal"/>
              <w:jc w:val="left"/>
            </w:pPr>
            <w:r>
              <w:t xml:space="preserve">+9.5%</w:t>
            </w:r>
          </w:p>
        </w:tc>
      </w:tr>
      <w:tr>
        <w:tc>
          <w:tcPr>
            <w:vAlign w:val="center"/>
            <w:tcBorders>
              <w:top w:val="single" w:sz="4" w:space="0" w:color="auto"/>
              <w:left w:val="single" w:sz="4" w:space="0" w:color="auto"/>
              <w:bottom w:val="single" w:sz="4" w:space="0" w:color="auto"/>
              <w:right w:val="single" w:sz="4" w:space="0" w:color="auto"/>
            </w:tcBorders>
          </w:tcPr>
          <w:p w14:paraId="00100361" w14:textId="00100389">
            <w:pPr>
              <w:pStyle w:val="Normal"/>
              <w:jc w:val="left"/>
            </w:pPr>
            <w:r>
              <w:t xml:space="preserve">Cash conversion</w:t>
            </w:r>
          </w:p>
        </w:tc>
        <w:tc>
          <w:tcPr>
            <w:vAlign w:val="center"/>
            <w:tcBorders>
              <w:top w:val="single" w:sz="4" w:space="0" w:color="auto"/>
              <w:left w:val="single" w:sz="4" w:space="0" w:color="auto"/>
              <w:bottom w:val="single" w:sz="4" w:space="0" w:color="auto"/>
              <w:right w:val="single" w:sz="4" w:space="0" w:color="auto"/>
            </w:tcBorders>
          </w:tcPr>
          <w:p w14:paraId="00100363" w14:textId="0010038A">
            <w:pPr>
              <w:pStyle w:val="Normal"/>
              <w:jc w:val="left"/>
            </w:pPr>
            <w:r>
              <w:t xml:space="preserve">58%</w:t>
            </w:r>
          </w:p>
        </w:tc>
        <w:tc>
          <w:tcPr>
            <w:vAlign w:val="center"/>
            <w:tcBorders>
              <w:top w:val="single" w:sz="4" w:space="0" w:color="auto"/>
              <w:left w:val="single" w:sz="4" w:space="0" w:color="auto"/>
              <w:bottom w:val="single" w:sz="4" w:space="0" w:color="auto"/>
              <w:right w:val="single" w:sz="4" w:space="0" w:color="auto"/>
            </w:tcBorders>
          </w:tcPr>
          <w:p w14:paraId="00100365" w14:textId="0010038B">
            <w:pPr>
              <w:pStyle w:val="Normal"/>
              <w:jc w:val="left"/>
            </w:pPr>
            <w:r>
              <w:t xml:space="preserve">58%</w:t>
            </w:r>
          </w:p>
        </w:tc>
        <w:tc>
          <w:tcPr>
            <w:vAlign w:val="center"/>
            <w:tcBorders>
              <w:top w:val="single" w:sz="4" w:space="0" w:color="auto"/>
              <w:left w:val="single" w:sz="4" w:space="0" w:color="auto"/>
              <w:bottom w:val="single" w:sz="4" w:space="0" w:color="auto"/>
              <w:right w:val="single" w:sz="4" w:space="0" w:color="auto"/>
            </w:tcBorders>
          </w:tcPr>
          <w:p w14:paraId="00100367" w14:textId="0010038C">
            <w:pPr>
              <w:pStyle w:val="Normal"/>
              <w:jc w:val="left"/>
            </w:pPr>
            <w:r>
              <w:t xml:space="preserve">flat</w:t>
            </w:r>
          </w:p>
        </w:tc>
      </w:tr>
      <w:tr>
        <w:tc>
          <w:tcPr>
            <w:vAlign w:val="center"/>
            <w:tcBorders>
              <w:top w:val="single" w:sz="4" w:space="0" w:color="auto"/>
              <w:left w:val="single" w:sz="4" w:space="0" w:color="auto"/>
              <w:bottom w:val="single" w:sz="4" w:space="0" w:color="auto"/>
              <w:right w:val="single" w:sz="4" w:space="0" w:color="auto"/>
            </w:tcBorders>
          </w:tcPr>
          <w:p w14:paraId="00100369" w14:textId="0010038D">
            <w:pPr>
              <w:pStyle w:val="Normal"/>
              <w:jc w:val="left"/>
            </w:pPr>
            <w:r>
              <w:t xml:space="preserve">Net debt / EBITDA</w:t>
            </w:r>
          </w:p>
        </w:tc>
        <w:tc>
          <w:tcPr>
            <w:vAlign w:val="center"/>
            <w:tcBorders>
              <w:top w:val="single" w:sz="4" w:space="0" w:color="auto"/>
              <w:left w:val="single" w:sz="4" w:space="0" w:color="auto"/>
              <w:bottom w:val="single" w:sz="4" w:space="0" w:color="auto"/>
              <w:right w:val="single" w:sz="4" w:space="0" w:color="auto"/>
            </w:tcBorders>
          </w:tcPr>
          <w:p w14:paraId="0010036B" w14:textId="0010038E">
            <w:pPr>
              <w:pStyle w:val="Normal"/>
              <w:jc w:val="left"/>
            </w:pPr>
            <w:r>
              <w:t xml:space="preserve">1.7x</w:t>
            </w:r>
          </w:p>
        </w:tc>
        <w:tc>
          <w:tcPr>
            <w:vAlign w:val="center"/>
            <w:tcBorders>
              <w:top w:val="single" w:sz="4" w:space="0" w:color="auto"/>
              <w:left w:val="single" w:sz="4" w:space="0" w:color="auto"/>
              <w:bottom w:val="single" w:sz="4" w:space="0" w:color="auto"/>
              <w:right w:val="single" w:sz="4" w:space="0" w:color="auto"/>
            </w:tcBorders>
          </w:tcPr>
          <w:p w14:paraId="0010036D" w14:textId="0010038F">
            <w:pPr>
              <w:pStyle w:val="Normal"/>
              <w:jc w:val="left"/>
            </w:pPr>
            <w:r>
              <w:t xml:space="preserve">1.9x</w:t>
            </w:r>
          </w:p>
        </w:tc>
        <w:tc>
          <w:tcPr>
            <w:vAlign w:val="center"/>
            <w:tcBorders>
              <w:top w:val="single" w:sz="4" w:space="0" w:color="auto"/>
              <w:left w:val="single" w:sz="4" w:space="0" w:color="auto"/>
              <w:bottom w:val="single" w:sz="4" w:space="0" w:color="auto"/>
              <w:right w:val="single" w:sz="4" w:space="0" w:color="auto"/>
            </w:tcBorders>
          </w:tcPr>
          <w:p w14:paraId="0010036F" w14:textId="00100390">
            <w:pPr>
              <w:pStyle w:val="Normal"/>
              <w:jc w:val="left"/>
            </w:pPr>
            <w:r>
              <w:t xml:space="preserve">-0.2x</w:t>
            </w:r>
          </w:p>
        </w:tc>
      </w:tr>
    </w:tbl>
    <w:p w14:paraId="00100391" w14:textId="00100392">
      <w:pPr>
        <w:pStyle w:val="Heading3a"/>
        <w:jc w:val="left"/>
      </w:pPr>
      <w:r>
        <w:t xml:space="preserve">Revenue and Margin</w:t>
      </w:r>
    </w:p>
    <w:p w14:paraId="00100393" w14:textId="00100394">
      <w:pPr>
        <w:pStyle w:val="Normal"/>
        <w:jc w:val="left"/>
      </w:pPr>
      <w:r>
        <w:t xml:space="preserve">Group revenue increased to 6,482, supported by a balanced contribution from volume recovery in selected end markets, disciplined pricing, and continued growth in recurring digital and service revenues. The strongest topline progression came from Infrastructure and Digital Services, where project execution improved and subscription-based activity expanded. Industrial revenue was more mixed across regions, while Consumer demand remained stable overall but softened in discretionary categories during the second half. Despite these differences by segment, the Group preserved broad market coverage and limited dependence on any single customer channel.</w:t>
      </w:r>
    </w:p>
    <w:p w14:paraId="00100395" w14:textId="00100396">
      <w:pPr>
        <w:pStyle w:val="Normal"/>
        <w:jc w:val="left"/>
      </w:pPr>
      <w:r>
        <w:t xml:space="preserve">Adjusted operating profit rose faster than revenue, lifting adjusted operating margin to 11.5%. Margin progression reflected a better sales mix, operational productivity gains, and the carry-through benefit of prior-year pricing actions, partly offset by labor inflation and selective investments in commercial capability, systems, and capacity readiness. The year also benefited from tighter overhead control and a more consistent conversion of higher-value work into earnings, particularly in businesses with service, software, and aftermarket exposure. Overall, the revenue and margin bridge shows that Rivermark Group expanded with improved quality of earnings: topline growth was not purely acquisitive or price-led, and profitability improved while the business continued to fund strategic investment.</w:t>
      </w:r>
    </w:p>
    <w:p w14:paraId="00100397" w14:textId="00100398">
      <w:pPr>
        <w:pStyle w:val="Normal"/>
        <w:jc w:val="left"/>
      </w:pPr>
      <w:r>
        <w:t xml:space="preserve">Figure 6 Revenue growth and adjusted operating margin trend, 2023–2024.</w:t>
      </w:r>
    </w:p>
    <w:p w14:paraId="00100399" w14:textId="0010039A">
      <w:pPr>
        <w:pStyle w:val="Normal"/>
        <w:jc w:val="left"/>
      </w:pPr>
      <w:r>
        <w:drawing>
          <wp:inline distT="0" distB="0" distL="0" distR="0">
            <wp:extent cx="3960000" cy="2520000"/>
            <wp:effectExtent l="0" t="0" r="0" b="0"/>
            <wp:docPr id="8" name="Fig-I06-01.png" descr=""/>
            <wp:cNvGraphicFramePr>
              <a:graphicFrameLocks noChangeAspect="1"/>
            </wp:cNvGraphicFramePr>
            <a:graphic>
              <a:graphicData uri="http://schemas.openxmlformats.org/drawingml/2006/picture">
                <pic:pic>
                  <pic:nvPicPr>
                    <pic:cNvPr id="8" name="Fig-I06-01.png"/>
                    <pic:cNvPicPr/>
                  </pic:nvPicPr>
                  <pic:blipFill>
                    <a:blip r:embed="R01f6cba5a0a44762" cstate="print"/>
                    <a:stretch>
                      <a:fillRect/>
                    </a:stretch>
                  </pic:blipFill>
                  <pic:spPr>
                    <a:xfrm>
                      <a:off x="0" y="0"/>
                      <a:ext cx="4320000" cy="2880000"/>
                    </a:xfrm>
                    <a:prstGeom prst="rect">
                      <a:avLst/>
                    </a:prstGeom>
                  </pic:spPr>
                </pic:pic>
              </a:graphicData>
            </a:graphic>
          </wp:inline>
        </w:drawing>
      </w:r>
    </w:p>
    <w:p w14:paraId="0010039B" w14:textId="0010039C">
      <w:pPr>
        <w:pStyle w:val="Heading4a"/>
        <w:jc w:val="left"/>
      </w:pPr>
      <w:r>
        <w:t xml:space="preserve">Revenue Drivers</w:t>
      </w:r>
    </w:p>
    <w:p w14:paraId="0010039D" w14:textId="0010039E">
      <w:pPr>
        <w:pStyle w:val="Normal"/>
        <w:jc w:val="left"/>
      </w:pPr>
      <w:r>
        <w:t xml:space="preserve">Revenue growth during the year was shaped by four principal factors: underlying customer demand, pricing execution, foreign exchange translation, and portfolio effects from prior-year business changes. Organic drivers remained the largest contributor, with volume improving in infrastructure-linked activity, selected industrial programs, and digital subscriptions. Pricing also remained supportive, although the rate of carryover moderated compared with the prior year as inflation pressures normalized in several procurement categories.</w:t>
      </w:r>
    </w:p>
    <w:p w14:paraId="0010039F" w14:textId="001003A0">
      <w:pPr>
        <w:pStyle w:val="Normal"/>
        <w:jc w:val="left"/>
      </w:pPr>
      <w:r>
        <w:t xml:space="preserve">External factors had a smaller but still visible impact on reported revenue. Currency translation created modest headwinds in markets where local earnings translated into a stronger reporting currency, particularly in parts of continental Europe and Latin America. Portfolio movements, including the full-year effect of smaller bolt-on acquisitions and the absence of divested low-margin activities, provided a net positive contribution to reported growth. Taken together, these elements indicate that the Group's sales progression was broad-based and operationally grounded, rather than dependent on a single temporary factor.</w:t>
      </w:r>
    </w:p>
    <w:p w14:paraId="001003A1" w14:textId="001003A2">
      <w:pPr>
        <w:pStyle w:val="Heading5"/>
        <w:jc w:val="left"/>
      </w:pPr>
      <w:r>
        <w:t xml:space="preserve">Organic Movement</w:t>
      </w:r>
    </w:p>
    <w:p w14:paraId="001003A3" w14:textId="001003A4">
      <w:pPr>
        <w:pStyle w:val="Normal"/>
        <w:jc w:val="left"/>
      </w:pPr>
      <w:r>
        <w:t xml:space="preserve">Volume was the largest component of organic growth. Order conversion improved in Infrastructure as customer approvals accelerated and project schedules normalized after the uneven phasing seen in the prior year. In Industrial, shipment volumes recovered in core automation and components lines, though demand remained variable in export-oriented accounts. Consumer volumes were broadly stable, with growth in everyday-use categories offset by softer replenishment patterns in more discretionary channels. Digital Services continued to add users and higher activity levels from existing clients, supporting steady recurring revenue expansion.</w:t>
      </w:r>
    </w:p>
    <w:p w14:paraId="001003A5" w14:textId="001003A6">
      <w:pPr>
        <w:pStyle w:val="Normal"/>
        <w:jc w:val="left"/>
      </w:pPr>
      <w:r>
        <w:t xml:space="preserve">The volume outcome also reflected operational improvements. Better service levels, more predictable inventory positions, and stronger coordination between commercial teams and fulfillment sites reduced lost sales and improved on-time delivery. While not all markets experienced equal momentum, the Group was able to capture available demand more effectively than in the prior year. This matters because volume-led growth generally carries better earnings quality over time than short-term price-only expansion, particularly when supported by stable customer retention and repeat business.</w:t>
      </w:r>
    </w:p>
    <w:p w14:paraId="001003A7" w14:textId="001003A8">
      <w:pPr>
        <w:pStyle w:val="Normal"/>
        <w:jc w:val="left"/>
      </w:pPr>
      <w:r>
        <w:t xml:space="preserve">Pricing remained positive across the portfolio, though its contribution was more measured than the exceptional levels recorded during the peak inflation cycle. Rivermark Group maintained a disciplined approach to recovering input and labor cost inflation, using contract pass-through clauses where available, annual list price resets in selected businesses, and targeted repricing in segments where service intensity and product specification justified it. Infrastructure and Industrial both benefited from prior-year negotiated increases flowing through into this year's revenue base, while Consumer relied more on mix management and selective premiumization than broad price hikes.</w:t>
      </w:r>
    </w:p>
    <w:p w14:paraId="001003A9" w14:textId="001003AA">
      <w:pPr>
        <w:pStyle w:val="Normal"/>
        <w:jc w:val="left"/>
      </w:pPr>
      <w:r>
        <w:t xml:space="preserve">Importantly, pricing quality was preserved by attention to customer retention and competitive positioning. Management avoided chasing nominal revenue at the expense of volumes in sensitive categories, instead differentiating between markets where pricing power was sustainable and those where affordability or competitive intensity required a more cautious stance. As a result, price realization supported margin protection without materially disrupting demand. The moderation in pricing contribution is therefore viewed positively: it suggests a healthier revenue mix in which price is reinforcing, rather than artificially inflating, the Group's growth profile.</w:t>
      </w:r>
    </w:p>
    <w:p w14:paraId="001003AB" w14:textId="001003AC">
      <w:pPr>
        <w:pStyle w:val="Heading5"/>
        <w:jc w:val="left"/>
      </w:pPr>
      <w:r>
        <w:t xml:space="preserve">External Movement</w:t>
      </w:r>
    </w:p>
    <w:p w14:paraId="001003AD" w14:textId="001003AE">
      <w:pPr>
        <w:pStyle w:val="Normal"/>
        <w:jc w:val="left"/>
      </w:pPr>
      <w:r>
        <w:t xml:space="preserve">Foreign exchange had a modest negative effect on reported revenue for the year. The principal translation headwinds arose from the weakening of several operating currencies against the Group's reporting currency, most notably in parts of Europe and certain emerging markets. These movements reduced the translated value of local-currency sales despite underlying activity remaining stable or improving in those businesses. Transactional exposure was more limited, as many operating units procure and sell within the same currency zone, though some imported input categories did create localized margin pressure before pricing recovery caught up.</w:t>
      </w:r>
    </w:p>
    <w:p w14:paraId="001003AF" w14:textId="001003B0">
      <w:pPr>
        <w:pStyle w:val="Normal"/>
        <w:jc w:val="left"/>
      </w:pPr>
      <w:r>
        <w:t xml:space="preserve">From a management perspective, currency effects did not alter the Group's strategic assessment of market performance. Internal planning and incentive measures continue to emphasize constant-currency trends in order intake, revenue, and profit, allowing operating teams to focus on controllable execution. Treasury policies also provide a degree of protection for major committed exposures, but the business does not seek to eliminate normal translation volatility entirely. Accordingly, the reported foreign exchange drag should be understood as an accounting effect on consolidation rather than evidence of deterioration in the Group's competitive position.</w:t>
      </w:r>
    </w:p>
    <w:p w14:paraId="001003B1" w14:textId="001003B2">
      <w:pPr>
        <w:pStyle w:val="Normal"/>
        <w:jc w:val="left"/>
      </w:pPr>
      <w:r>
        <w:t xml:space="preserve">Portfolio effects were net positive, reflecting the annualization of targeted acquisitions and the prior reshaping of lower-return activities. Bolt-on additions in Digital Services and selected Infrastructure niches contributed incremental revenue, broadened customer access, and added more recurring or service-based earnings streams. These businesses were integrated into existing commercial and delivery platforms without significant disruption, which helped preserve momentum after acquisition. By contrast, the disposal or wind-down of smaller non-core activities reduced revenue in absolute terms but improved the overall quality and margin profile of the Group's sales base.</w:t>
      </w:r>
    </w:p>
    <w:p w14:paraId="001003B3" w14:textId="001003B4">
      <w:pPr>
        <w:pStyle w:val="Normal"/>
        <w:jc w:val="left"/>
      </w:pPr>
      <w:r>
        <w:t xml:space="preserve">The portfolio contribution should therefore be read in two dimensions. First, it added scale in areas aligned with strategic priorities such as digital capability, specialized service offerings, and solutions with stronger customer retention. Second, it sharpened the composition of the Group by reducing exposure to lower-growth, more volatile, or less differentiated revenue streams. While portfolio effects were smaller than organic drivers in the current year, they remain an important supporting lever in capital allocation. They demonstrate how Rivermark Group uses selective acquisition and disposal activity to strengthen long-term growth and improve the resilience of reported revenue.</w:t>
      </w:r>
    </w:p>
    <w:p w14:paraId="001003B5" w14:textId="001003B6">
      <w:pPr>
        <w:pStyle w:val="Heading4a"/>
        <w:jc w:val="left"/>
      </w:pPr>
      <w:r>
        <w:t xml:space="preserve">Margin Outcome</w:t>
      </w:r>
    </w:p>
    <w:p w14:paraId="001003B7" w14:textId="001003B8">
      <w:pPr>
        <w:pStyle w:val="Normal"/>
        <w:jc w:val="left"/>
      </w:pPr>
      <w:r>
        <w:t xml:space="preserve">Group profitability improved during the year, but the margin bridge remained uneven across the reporting periods. Gross margin benefited from carryover pricing actions, a more disciplined commercial approach, and better absorption of fixed manufacturing and service-delivery overheads in the second half. These gains were partly offset by elevated material input costs early in the year, wage inflation across several operating markets, and the temporary drag from ramp-up costs in new capacity and digital service platforms. As a result, gross margin expanded moderately, while operating margin showed a more measured increase after absorbing selling, administrative, and technology investment.</w:t>
      </w:r>
    </w:p>
    <w:p w14:paraId="001003B9" w14:textId="001003BA">
      <w:pPr>
        <w:pStyle w:val="Normal"/>
        <w:jc w:val="left"/>
      </w:pPr>
      <w:r>
        <w:t xml:space="preserve">The progression by quarter is important to understanding the outcome. The first half reflected a lag between cost inflation and the full realization of pricing and efficiency measures. In the second half, procurement savings, improved scheduling, and a more favorable contract profile supported a clearer recovery. Infrastructure and Digital Services contributed the strongest incremental margin improvement, while Consumer remained more exposed to promotional intensity and channel mix pressure. Industrial showed steady recovery as plant utilization improved and service attachment rates increased.</w:t>
      </w:r>
    </w:p>
    <w:p w14:paraId="001003BB" w14:textId="001003BC">
      <w:pPr>
        <w:pStyle w:val="Normal"/>
        <w:jc w:val="left"/>
      </w:pPr>
      <w:r>
        <w:t xml:space="preserve">Overall, the margin outcome indicates that Rivermark Group entered the new year with a stronger operating base, but not yet at full potential. Management views the current margin level as evidence that pricing, productivity, and portfolio actions are working, while also recognizing that labor availability, energy costs, and demand volatility still require close control.</w:t>
      </w:r>
    </w:p>
    <w:p w14:paraId="001003BD" w14:textId="001003BE">
      <w:pPr>
        <w:pStyle w:val="Heading5"/>
        <w:jc w:val="left"/>
      </w:pPr>
      <w:r>
        <w:t xml:space="preserve">Cost Effects</w:t>
      </w:r>
    </w:p>
    <w:p w14:paraId="001003BF" w14:textId="001003C0">
      <w:pPr>
        <w:pStyle w:val="Normal"/>
        <w:jc w:val="left"/>
      </w:pPr>
      <w:r>
        <w:t xml:space="preserve">Input cost effects were the largest external factor influencing the margin bridge. The year began with continued pressure in energy, metals, packaging substrates, transport, and outsourced technical services, particularly in the Industrial and Consumer segments. Rivermark Group responded through a combination of indexed customer contracts, selective repricing, sourcing renegotiation, and specification changes intended to reduce waste and lower unit consumption. Those actions narrowed the gap between inflation incurred and inflation recovered, but the benefit was phased rather than immediate.</w:t>
      </w:r>
    </w:p>
    <w:p w14:paraId="001003C1" w14:textId="001003C2">
      <w:pPr>
        <w:pStyle w:val="Normal"/>
        <w:jc w:val="left"/>
      </w:pPr>
      <w:r>
        <w:t xml:space="preserve">By the second half, the inflation curve moderated in several categories, allowing procurement initiatives to show through more clearly. Strategic sourcing programs consolidated selected supplier panels, increased contract visibility, and expanded dual-source arrangements for critical inputs. Operations teams also reduced scrap, improved yield, and shortened changeover times, which lessened the impact of still-elevated unit costs. Even so, not every business line benefited equally. Contracts with fixed-price commitments and shorter production runs remained more exposed to cost volatility than recurring service and software-led revenue streams.</w:t>
      </w:r>
    </w:p>
    <w:p w14:paraId="001003C3" w14:textId="001003C4">
      <w:pPr>
        <w:pStyle w:val="Normal"/>
        <w:jc w:val="left"/>
      </w:pPr>
      <w:r>
        <w:t xml:space="preserve">Taken together, input cost effects moved from a clear headwind early in the year to a more neutral position by year-end. The result confirms that margin resilience depended not only on price recovery, but also on process discipline and active supply management across the Group.</w:t>
      </w:r>
    </w:p>
    <w:p w14:paraId="001003C5" w14:textId="001003C6">
      <w:pPr>
        <w:pStyle w:val="Normal"/>
        <w:jc w:val="left"/>
      </w:pPr>
      <w:r>
        <w:t xml:space="preserve">Labor cost effects remained significant throughout the year, reflecting wage inflation, overtime in constrained locations, and investment in specialist capabilities. The pressure was most visible in field service operations, digital engineering teams, and selected manufacturing sites where skilled labor remained tight. In addition to statutory pay increases in several jurisdictions, Rivermark Group incurred higher training, retention, and contractor costs to maintain service continuity and meet delivery commitments during periods of strong demand and uneven staffing availability.</w:t>
      </w:r>
    </w:p>
    <w:p w14:paraId="001003C7" w14:textId="001003C8">
      <w:pPr>
        <w:pStyle w:val="Normal"/>
        <w:jc w:val="left"/>
      </w:pPr>
      <w:r>
        <w:t xml:space="preserve">Management addressed these pressures through workforce planning, automation of repetitive tasks, and tighter deployment controls. In Infrastructure, route planning and crew scheduling improved utilization and reduced non-billable hours. In Industrial, line balancing and maintenance planning lowered unplanned stoppages and overtime reliance. In Digital Services, a greater share of implementation work was standardized, allowing teams to scale delivery without a proportional increase in headcount. These measures did not eliminate inflation, but they improved labor productivity enough to offset part of the wage burden.</w:t>
      </w:r>
    </w:p>
    <w:p w14:paraId="001003C9" w14:textId="001003CA">
      <w:pPr>
        <w:pStyle w:val="Normal"/>
        <w:jc w:val="left"/>
      </w:pPr>
      <w:r>
        <w:t xml:space="preserve">The net labor effect on operating margin therefore remained negative, though less severe in the second half. Importantly, management chose not to protect short-term margin at the expense of capability, continuing to hire in customer-facing technical roles and data platforms where future growth and service quality depend on sustained talent investment.</w:t>
      </w:r>
    </w:p>
    <w:p w14:paraId="001003CB" w14:textId="001003CC">
      <w:pPr>
        <w:pStyle w:val="Heading5"/>
        <w:jc w:val="left"/>
      </w:pPr>
      <w:r>
        <w:t xml:space="preserve">Mix Effects</w:t>
      </w:r>
    </w:p>
    <w:p w14:paraId="001003CD" w14:textId="001003CE">
      <w:pPr>
        <w:pStyle w:val="Normal"/>
        <w:jc w:val="left"/>
      </w:pPr>
      <w:r>
        <w:t xml:space="preserve">Segment mix had a visible effect on the Group’s final margin profile. Revenue growth was weighted more heavily toward Infrastructure and Digital Services, both of which delivered stronger incremental profitability than the Group average. Infrastructure benefited from a higher share of maintenance-led and framework-contract activity, which typically carries better execution visibility and lower bidding volatility. Digital Services expanded recurring subscription and managed-service revenue, supporting a structurally higher margin contribution as platform utilization improved.</w:t>
      </w:r>
    </w:p>
    <w:p w14:paraId="001003CF" w14:textId="001003D0">
      <w:pPr>
        <w:pStyle w:val="Normal"/>
        <w:jc w:val="left"/>
      </w:pPr>
      <w:r>
        <w:t xml:space="preserve">By contrast, Consumer represented a slightly lower share of group revenue than in the prior year, reflecting softer discretionary demand in certain channels and more competitive promotional conditions. Because Consumer includes a larger proportion of lower-margin volume business, this shift was modestly favorable to overall group margin. Industrial remained broadly stable in mix terms, but its contribution improved as utilization and after-sales activity recovered. The combined effect was a portfolio tilt toward businesses with better pricing discipline, higher repeat revenue, and lower working-capital intensity.</w:t>
      </w:r>
    </w:p>
    <w:p w14:paraId="001003D1" w14:textId="001003D2">
      <w:pPr>
        <w:pStyle w:val="Normal"/>
        <w:jc w:val="left"/>
      </w:pPr>
      <w:r>
        <w:t xml:space="preserve">This segment mix benefit should be viewed as both cyclical and strategic. Part of the improvement came from current market conditions, but part also reflects management’s portfolio choices over recent years, including investment in recurring-service capabilities and disciplined exposure to lower-return revenue pools. As a result, the Group’s margin quality improved, not only its headline percentage.</w:t>
      </w:r>
    </w:p>
    <w:p w14:paraId="001003D3" w14:textId="001003D4">
      <w:pPr>
        <w:pStyle w:val="Normal"/>
        <w:jc w:val="left"/>
      </w:pPr>
      <w:r>
        <w:t xml:space="preserve">Product mix within segments also shaped the margin outcome. In Industrial, customers favored engineered assemblies, retrofit kits, and service-linked offerings over lower-value standalone components, lifting realized gross margin even where total volume growth was moderate. In Consumer, premium and specialty lines held up better than entry-range products in selected markets, although this benefit was partly offset by promotional activity in mass channels. Digital Services continued to see a favorable shift toward higher-value analytics, workflow integration, and compliance modules, which carry stronger margins than basic license sales alone.</w:t>
      </w:r>
    </w:p>
    <w:p w14:paraId="001003D5" w14:textId="001003D6">
      <w:pPr>
        <w:pStyle w:val="Normal"/>
        <w:jc w:val="left"/>
      </w:pPr>
      <w:r>
        <w:t xml:space="preserve">The quality of revenue mattered as much as the quantity. Across the Group, management placed greater emphasis on contracts and product lines with clearer pass-through mechanisms, repeat purchasing behavior, and manageable service obligations. Sales teams were encouraged to prioritize profitability by account and offer configuration rather than purely top-line volume. This approach reduced exposure to low-margin orders that consume disproportionate delivery effort or support costs. In several businesses, attach rates for service, maintenance, training, or software add-ons increased, further improving contribution margins.</w:t>
      </w:r>
    </w:p>
    <w:p w14:paraId="001003D7" w14:textId="001003D8">
      <w:pPr>
        <w:pStyle w:val="Normal"/>
        <w:jc w:val="left"/>
      </w:pPr>
      <w:r>
        <w:t xml:space="preserve">Product mix remains one of the more controllable drivers of profitability for Rivermark Group. While market demand sets the broad revenue environment, disciplined portfolio shaping, pricing governance, and cross-selling can continue to shift the earnings base toward offerings with better returns and more resilient cash generation.</w:t>
      </w:r>
    </w:p>
    <w:p w14:paraId="001003D9" w14:textId="001003DA">
      <w:pPr>
        <w:pStyle w:val="Heading3a"/>
        <w:jc w:val="left"/>
      </w:pPr>
      <w:r>
        <w:t xml:space="preserve">Cash and Balance Sheet</w:t>
      </w:r>
    </w:p>
    <w:p w14:paraId="001003DB" w14:textId="001003DC">
      <w:pPr>
        <w:pStyle w:val="Normal"/>
        <w:jc w:val="left"/>
      </w:pPr>
      <w:r>
        <w:t xml:space="preserve">Cash performance remained sound and the balance sheet stayed within the Group’s stated funding discipline despite continued investment in capacity, technology, and selected bolt-on opportunities. Operating cash flow benefited from higher earnings, firmer collections in the second half, and better inventory control in the Industrial and Consumer segments. These gains were partly offset by working-capital needs associated with growth in Infrastructure project activity and by timing differences on customer settlements near year-end. Even with those movements, cash conversion improved compared with the prior year.</w:t>
      </w:r>
    </w:p>
    <w:p w14:paraId="001003DD" w14:textId="001003DE">
      <w:pPr>
        <w:pStyle w:val="Normal"/>
        <w:jc w:val="left"/>
      </w:pPr>
      <w:r>
        <w:t xml:space="preserve">The balance sheet reflects a business that is still investing but doing so from a controlled leverage position. Net debt increased only modestly over the year, supported by improved operating inflows and active oversight of capital expenditure phasing. Rivermark Group maintained adequate liquidity headroom through cash on hand and committed facilities, with no near-term refinancing concentration that would materially constrain operating flexibility. Covenant headroom remained comfortable throughout the period, and management continued to apply hurdle rates and payback tests to major projects.</w:t>
      </w:r>
    </w:p>
    <w:p w14:paraId="001003DF" w14:textId="001003E0">
      <w:pPr>
        <w:pStyle w:val="Normal"/>
        <w:jc w:val="left"/>
      </w:pPr>
      <w:r>
        <w:t xml:space="preserve">Overall, the cash and leverage profile gives the Group room to fund organic priorities while preserving resilience. Management’s emphasis remains on balancing growth investment with disciplined working-capital management, maintaining access to diversified funding sources, and protecting the balance sheet against changes in demand, rates, and cost conditions.</w:t>
      </w:r>
    </w:p>
    <w:p w14:paraId="001003E1" w14:textId="001003E2">
      <w:pPr>
        <w:pStyle w:val="Heading4a"/>
        <w:jc w:val="left"/>
      </w:pPr>
      <w:r>
        <w:t xml:space="preserve">Cash Generation</w:t>
      </w:r>
    </w:p>
    <w:p w14:paraId="001003E3" w14:textId="001003E4">
      <w:pPr>
        <w:pStyle w:val="Normal"/>
        <w:jc w:val="left"/>
      </w:pPr>
      <w:r>
        <w:t xml:space="preserve">Cash generation improved over the year as earnings quality strengthened and operational controls became more consistent across segments. Operating cash flow was supported by better profitability, lower inventory intensity in several product lines, and stronger collections from large accounts in the final quarter. Management also tightened review of aged receivables, milestone billing, and stock parameters, which reduced the amount of cash tied up in day-to-day operations. These improvements were especially relevant in businesses with project activity and broad product assortments, where small process changes can materially influence cash release.</w:t>
      </w:r>
    </w:p>
    <w:p w14:paraId="001003E5" w14:textId="001003E6">
      <w:pPr>
        <w:pStyle w:val="Normal"/>
        <w:jc w:val="left"/>
      </w:pPr>
      <w:r>
        <w:t xml:space="preserve">Free cash flow remained positive after funding maintenance and growth capital expenditure. Capital spending was directed toward productivity upgrades, selective capacity additions, fleet renewal, and digital platforms intended to enhance service delivery and reporting visibility. While these investments absorbed cash in the period, they were sequenced against expected returns and did not weaken overall liquidity discipline. Tax payments and interest costs rose moderately, reflecting the earnings base and rate environment, but were manageable within the Group’s operating cash profile.</w:t>
      </w:r>
    </w:p>
    <w:p w14:paraId="001003E7" w14:textId="001003E8">
      <w:pPr>
        <w:pStyle w:val="Normal"/>
        <w:jc w:val="left"/>
      </w:pPr>
      <w:r>
        <w:t xml:space="preserve">The year therefore demonstrated that Rivermark Group can generate cash while continuing to invest in strategic priorities. Management’s focus going forward is to sustain cash conversion through tighter forecasting, further working-capital standardization, and careful gating of discretionary expenditure, so that growth is translated into dependable liquidity as well as accounting profit.</w:t>
      </w:r>
    </w:p>
    <w:p w14:paraId="001003E9" w14:textId="001003EA">
      <w:pPr>
        <w:pStyle w:val="Heading5"/>
        <w:jc w:val="left"/>
      </w:pPr>
      <w:r>
        <w:t xml:space="preserve">Working Capital</w:t>
      </w:r>
    </w:p>
    <w:p w14:paraId="001003EB" w14:textId="001003EC">
      <w:pPr>
        <w:pStyle w:val="Normal"/>
        <w:jc w:val="left"/>
      </w:pPr>
      <w:r>
        <w:t xml:space="preserve">Trade receivables increased at a slower rate than revenue during the year, reflecting tighter collection discipline and a more balanced customer mix across Rivermark Group’s segments. Days sales outstanding finished modestly below the prior year level as the Infrastructure and Digital Services segments improved billing cadence and dispute resolution, offsetting a more extended settlement profile in selected Industrial export accounts. The Group continued to apply risk-based credit controls, including customer onboarding reviews, revised payment terms for lower-rated counterparties, and monthly escalation of overdue balances at segment level.</w:t>
      </w:r>
    </w:p>
    <w:p w14:paraId="001003ED" w14:textId="001003EE">
      <w:pPr>
        <w:pStyle w:val="Normal"/>
        <w:jc w:val="left"/>
      </w:pPr>
      <w:r>
        <w:t xml:space="preserve">The year-on-year trend was also shaped by revenue phasing. A stronger fourth-quarter shipment profile, particularly in Industrial and Consumer seasonal programs, lifted period-end receivables, but the quality of the book remained stable. Overdue balances beyond 90 days represented a limited share of the total ledger and were concentrated in a small number of long-standing commercial accounts rather than broad-based deterioration. Provision coverage was maintained in line with expected credit loss assessments, and write-offs remained contained.</w:t>
      </w:r>
    </w:p>
    <w:p w14:paraId="001003EF" w14:textId="001003F0">
      <w:pPr>
        <w:pStyle w:val="Normal"/>
        <w:jc w:val="left"/>
      </w:pPr>
      <w:r>
        <w:t xml:space="preserve">Overall, receivables management supported cash generation despite uneven market conditions. Management’s focus remains on invoice accuracy, digital collection workflows, and closer alignment between commercial teams and finance operations to preserve discipline as volumes grow.</w:t>
      </w:r>
    </w:p>
    <w:p w14:paraId="001003F1" w14:textId="001003F2">
      <w:pPr>
        <w:pStyle w:val="Normal"/>
        <w:jc w:val="left"/>
      </w:pPr>
      <w:r>
        <w:t xml:space="preserve">Inventory rose in absolute terms, though at a lower pace than the increase recorded in the first half, as Rivermark Group worked through prior safety-stock builds and improved planning accuracy. The most visible normalization occurred in Consumer finished goods and selected Industrial component categories, where procurement schedules were adjusted to match demand signals more closely. By contrast, Infrastructure inventory remained comparatively elevated because of project staging requirements and longer lead-time materials held to protect delivery schedules. Inventory days therefore ended slightly above the historical average, but the mix improved as slow-moving stock reduced and strategic availability buffers were refined.</w:t>
      </w:r>
    </w:p>
    <w:p w14:paraId="001003F3" w14:textId="001003F4">
      <w:pPr>
        <w:pStyle w:val="Normal"/>
        <w:jc w:val="left"/>
      </w:pPr>
      <w:r>
        <w:t xml:space="preserve">Trade payables also increased year on year, broadly reflecting higher purchasing activity and disciplined use of supplier terms rather than stress in settlement practices. The Group maintained constructive relationships with key vendors and avoided material extension beyond agreed terms. In several categories, especially logistics, packaging, and indirect spend, payment scheduling was aligned more closely with receipt and approval cycles, which helped offset part of the cash absorbed by inventories.</w:t>
      </w:r>
    </w:p>
    <w:p w14:paraId="001003F5" w14:textId="001003F6">
      <w:pPr>
        <w:pStyle w:val="Normal"/>
        <w:jc w:val="left"/>
      </w:pPr>
      <w:r>
        <w:t xml:space="preserve">Taken together, inventory and payables trends indicate partial normalization rather than structural pressure. Working capital remained a use of cash for the year, but the second-half trajectory was more favorable, providing a better base for conversion improvement in the coming period.</w:t>
      </w:r>
    </w:p>
    <w:p w14:paraId="001003F7" w14:textId="001003F8">
      <w:pPr>
        <w:pStyle w:val="Heading5"/>
        <w:jc w:val="left"/>
      </w:pPr>
      <w:r>
        <w:t xml:space="preserve">Free Cash Flow</w:t>
      </w:r>
    </w:p>
    <w:p w14:paraId="001003F9" w14:textId="001003FA">
      <w:pPr>
        <w:pStyle w:val="Normal"/>
        <w:jc w:val="left"/>
      </w:pPr>
      <w:r>
        <w:t xml:space="preserve">Free cash flow was shaped primarily by elevated capital expenditure and a higher cash tax outflow, both consistent with the Group’s operational and strategic priorities. Capital expenditure remained above depreciation as Rivermark Group continued to invest in capacity upgrades, automation, digital platforms, and maintenance projects designed to improve resilience and efficiency. A significant share of spending was directed toward Infrastructure service capability, Industrial line modernization, and data architecture supporting Digital Services. While these investments constrained near-term free cash flow, management considers them necessary to support growth quality, improve productivity, and reduce execution risk over time.</w:t>
      </w:r>
    </w:p>
    <w:p w14:paraId="001003FB" w14:textId="001003FC">
      <w:pPr>
        <w:pStyle w:val="Normal"/>
        <w:jc w:val="left"/>
      </w:pPr>
      <w:r>
        <w:t xml:space="preserve">Cash tax payments were also higher than the prior year because of improved profitability in certain jurisdictions, utilization of fewer historical tax shields, and timing effects from installment regimes. The tax cash burden did not rise evenly across the portfolio; stronger results in Consumer and Digital Services drove a greater portion of the increase, while some capital-intensive operations continued to benefit from allowances and accelerated deductions.</w:t>
      </w:r>
    </w:p>
    <w:p w14:paraId="001003FD" w14:textId="001003FE">
      <w:pPr>
        <w:pStyle w:val="Normal"/>
        <w:jc w:val="left"/>
      </w:pPr>
      <w:r>
        <w:t xml:space="preserve">Despite these outflows, the Group preserved positive free cash flow through disciplined operating management. The balance between growth investment and cash retention remains a central consideration in capital allocation, and future spending is expected to stay selective, with priority given to projects that offer clear operational benefit, strategic fit, and acceptable payback.</w:t>
      </w:r>
    </w:p>
    <w:p w14:paraId="001003FF" w14:textId="00100400">
      <w:pPr>
        <w:pStyle w:val="Normal"/>
        <w:jc w:val="left"/>
      </w:pPr>
      <w:r>
        <w:t xml:space="preserve">Cash conversion remained sound but below the prior year’s stronger level, reflecting the combined effect of working capital absorption, stepped-up investment, and the timing of tax settlements. Conversion from operating profit to operating cash flow was supported by stable profitability and careful control of non-core cash outlays, but the benefit was partly offset by period-end receivables and inventory positions. In practical terms, the Group converted earnings into cash at a level consistent with a business still investing for growth rather than maximizing short-term extraction.</w:t>
      </w:r>
    </w:p>
    <w:p w14:paraId="00100401" w14:textId="00100402">
      <w:pPr>
        <w:pStyle w:val="Normal"/>
        <w:jc w:val="left"/>
      </w:pPr>
      <w:r>
        <w:t xml:space="preserve">Performance varied across segments. Digital Services delivered the highest conversion because of its asset-light model, recurring billing base, and relatively limited inventory exposure. Infrastructure conversion improved in the second half as milestone collections accelerated, although project timing continued to create quarter-end volatility. Industrial and Consumer were more sensitive to stock positioning, procurement schedules, and promotional cycles, which moderated conversion despite acceptable earnings performance.</w:t>
      </w:r>
    </w:p>
    <w:p w14:paraId="00100403" w14:textId="00100404">
      <w:pPr>
        <w:pStyle w:val="Normal"/>
        <w:jc w:val="left"/>
      </w:pPr>
      <w:r>
        <w:t xml:space="preserve">Management reviews cash conversion as a core operating discipline rather than a year-end accounting outcome. Actions in place include tighter sales and operations planning, stricter inventory parameters, milestone billing controls, and post-investment reviews on major capex projects. These measures should support a more even cash profile and help translate future earnings growth into stronger free cash flow.</w:t>
      </w:r>
    </w:p>
    <w:p w14:paraId="00100405" w14:textId="00100406">
      <w:pPr>
        <w:pStyle w:val="Heading4a"/>
        <w:jc w:val="left"/>
      </w:pPr>
      <w:r>
        <w:t xml:space="preserve">Funding Position</w:t>
      </w:r>
    </w:p>
    <w:p w14:paraId="00100407" w14:textId="00100408">
      <w:pPr>
        <w:pStyle w:val="Normal"/>
        <w:jc w:val="left"/>
      </w:pPr>
      <w:r>
        <w:t xml:space="preserve">Rivermark Group ended the year with a solid funding position, supported by diversified borrowing sources, adequate liquidity headroom, and leverage maintained within internal tolerance levels. The Group’s financing framework is designed to balance resilience and flexibility: core term debt provides stability for long-lived assets and strategic programs, while revolving facilities and cash balances support seasonal movements in working capital and project-related cash timing. This structure allowed the business to fund investment needs and absorb market volatility without placing undue pressure on day-to-day operations.</w:t>
      </w:r>
    </w:p>
    <w:p w14:paraId="00100409" w14:textId="0010040A">
      <w:pPr>
        <w:pStyle w:val="Normal"/>
        <w:jc w:val="left"/>
      </w:pPr>
      <w:r>
        <w:t xml:space="preserve">Net debt increased moderately from the prior year, mainly because capital expenditure and working capital usage exceeded free cash flow generation in several periods. Even so, leverage remained manageable relative to earnings, and covenant capacity was preserved with prudent headroom. Financing costs rose compared with the previous year as benchmark rates remained higher, but the impact was partly moderated by the Group’s mix of fixed-rate instruments and timely refinancing actions.</w:t>
      </w:r>
    </w:p>
    <w:p w14:paraId="0010040B" w14:textId="0010040C">
      <w:pPr>
        <w:pStyle w:val="Normal"/>
        <w:jc w:val="left"/>
      </w:pPr>
      <w:r>
        <w:t xml:space="preserve">Management continues to prioritize balance sheet discipline. Funding decisions are assessed against cash generation outlook, investment plans, and downside scenarios at segment and Group level. In this context, the current position is considered appropriate for Rivermark Group’s scale, portfolio profile, and strategic agenda, while still leaving capacity for selective growth investments and ordinary refinancing activity.</w:t>
      </w:r>
    </w:p>
    <w:p w14:paraId="0010040D" w14:textId="0010040E">
      <w:pPr>
        <w:pStyle w:val="Heading5"/>
        <w:jc w:val="left"/>
      </w:pPr>
      <w:r>
        <w:t xml:space="preserve">Borrowings</w:t>
      </w:r>
    </w:p>
    <w:p w14:paraId="0010040F" w14:textId="00100410">
      <w:pPr>
        <w:pStyle w:val="Normal"/>
        <w:jc w:val="left"/>
      </w:pPr>
      <w:r>
        <w:t xml:space="preserve">The Group’s borrowings consisted of a combination of committed bank facilities, bilateral loans, lease liabilities, and a limited amount of other local funding arrangements used to support operating entities. This mix provides both diversification and practical flexibility, with centrally managed debt forming the core of the capital structure and smaller local lines used mainly for transactional efficiency. At year end, the portfolio remained weighted toward medium-term committed funding rather than short-dated opportunistic borrowing, which reduces refinancing pressure and supports financial stability.</w:t>
      </w:r>
    </w:p>
    <w:p w14:paraId="00100411" w14:textId="00100412">
      <w:pPr>
        <w:pStyle w:val="Normal"/>
        <w:jc w:val="left"/>
      </w:pPr>
      <w:r>
        <w:t xml:space="preserve">Interest rate exposure was managed through an intentional balance of fixed and floating rate debt. Fixed-rate instruments and hedged positions provided protection against sustained rate volatility, while floating-rate borrowings retained some flexibility to benefit from future easing in benchmark rates. As a result, the average cost of debt increased year on year but remained within planning assumptions. Lease liabilities continued to represent a smaller but visible component of total borrowings, mainly linked to property, vehicles, and selected equipment across operating sites.</w:t>
      </w:r>
    </w:p>
    <w:p w14:paraId="00100413" w14:textId="00100414">
      <w:pPr>
        <w:pStyle w:val="Normal"/>
        <w:jc w:val="left"/>
      </w:pPr>
      <w:r>
        <w:t xml:space="preserve">Management regularly reviews the debt mix against expected cash flows, covenant metrics, and investment requirements. The current rate profile is considered acceptable, though the Group remains attentive to refinancing windows and the potential benefit of further optimization if market conditions become more favorable.</w:t>
      </w:r>
    </w:p>
    <w:p w14:paraId="00100415" w14:textId="00100416">
      <w:pPr>
        <w:pStyle w:val="Normal"/>
        <w:jc w:val="left"/>
      </w:pPr>
      <w:r>
        <w:t xml:space="preserve">The maturity profile of borrowings remained well spread, with no single near-term concentration considered material to the Group’s funding resilience. Short-term maturities primarily reflected lease payments, working capital lines, and scheduled amortization rather than large bullet repayments. The majority of drawn debt falls into medium-term maturities, giving Rivermark Group time to manage refinancing through ordinary treasury activity rather than under compressed conditions. This profile is particularly important given the Group’s exposure to cyclical demand patterns in Industrial and project timing in Infrastructure.</w:t>
      </w:r>
    </w:p>
    <w:p w14:paraId="00100417" w14:textId="00100418">
      <w:pPr>
        <w:pStyle w:val="Normal"/>
        <w:jc w:val="left"/>
      </w:pPr>
      <w:r>
        <w:t xml:space="preserve">During the year, treasury activity focused on preserving tenor and avoiding an excessive shift toward short-dated funding despite a higher interest rate environment. Where facilities approached renewal windows, the Group acted early to extend or replace commitments on terms aligned with internal risk parameters. This proactive approach supported continued covenant headroom and reduced dependence on potentially volatile capital market conditions.</w:t>
      </w:r>
    </w:p>
    <w:p w14:paraId="00100419" w14:textId="0010041A">
      <w:pPr>
        <w:pStyle w:val="Normal"/>
        <w:jc w:val="left"/>
      </w:pPr>
      <w:r>
        <w:t xml:space="preserve">From a risk perspective, the maturity ladder compares favorably with expected operating cash generation and committed liquidity resources. Management believes that the current schedule allows sufficient flexibility to accommodate planned investment, dividend policy, and normal business fluctuations. The principal objective for the coming year is to maintain this balanced profile while selectively improving pricing and preserving optionality across funding sources.</w:t>
      </w:r>
    </w:p>
    <w:p w14:paraId="0010041B" w14:textId="0010041C">
      <w:pPr>
        <w:pStyle w:val="Heading5"/>
        <w:jc w:val="left"/>
      </w:pPr>
      <w:r>
        <w:t xml:space="preserve">Liquidity</w:t>
      </w:r>
    </w:p>
    <w:p w14:paraId="0010041D" w14:textId="0010041E">
      <w:pPr>
        <w:pStyle w:val="Normal"/>
        <w:jc w:val="left"/>
      </w:pPr>
      <w:r>
        <w:t xml:space="preserve">Rivermark Group maintained a diversified liquidity structure at year end through committed revolving credit facilities, bilateral working-capital lines and local overdraft arrangements aligned to segment operating cycles. The largest committed facilities were held at Group level to support refinancing flexibility and central cash management, while selected country lines were retained to cover seasonal inventory builds, performance bonds and short-dated receivables financing needs. During the year, average utilization remained moderate, reflecting stronger cash generation in the second half and tighter control over working capital. Management also continued to simplify the banking panel, concentrating volumes with core relationship banks and renewing lines ahead of maturity to reduce rollover concentration.</w:t>
      </w:r>
    </w:p>
    <w:p w14:paraId="0010041F" w14:textId="00100420">
      <w:pPr>
        <w:pStyle w:val="Normal"/>
        <w:jc w:val="left"/>
      </w:pPr>
      <w:r>
        <w:t xml:space="preserve">The profile of available cash lines was deliberately balanced between multi-year committed facilities and smaller demand-based lines used for day-to-day treasury operations. Covenant terms remained unchanged and comfortably met throughout the reporting period, with no indications of lender tightening or pricing step-ups linked to performance triggers. In practical terms, this structure gives the Group capacity to fund ordinary operations, absorb temporary market volatility and continue priority investment programs without relying on short-notice external funding. The review of cash lines therefore supports management's view that Rivermark entered the new financial year with a stable and appropriately layered funding base.</w:t>
      </w:r>
    </w:p>
    <w:p w14:paraId="00100421" w14:textId="00100422">
      <w:pPr>
        <w:pStyle w:val="Normal"/>
        <w:jc w:val="left"/>
      </w:pPr>
      <w:r>
        <w:t xml:space="preserve">Headroom remained solid across the year and improved toward period end as cash balances increased and net debt reduced relative to available facilities. Management monitors headroom on both an absolute and forward-looking basis, comparing committed liquidity against forecast needs under base, downside and stress scenarios. This analysis includes debt service, lease payments, seasonal working-capital swings, approved capital expenditure and a prudent allowance for execution delays in receivable collection. On these measures, the Group retained a meaningful buffer above internal minimum thresholds in every month of the year.</w:t>
      </w:r>
    </w:p>
    <w:p w14:paraId="00100423" w14:textId="00100424">
      <w:pPr>
        <w:pStyle w:val="Normal"/>
        <w:jc w:val="left"/>
      </w:pPr>
      <w:r>
        <w:t xml:space="preserve">The quality of headroom is as important as the amount. Rivermark's available capacity was weighted toward committed lines with remaining tenor beyond twelve months, limiting refinancing pressure in the near term. Treasury also reviewed concentration by lender, currency and legal entity to ensure that surplus capacity at Group level could be deployed where operating demand was expected to arise. Even under modeled stress assumptions, including softer revenue, slower inventory release and delayed customer receipts, liquidity coverage remained adequate. As a result, management considers the headroom profile resilient enough to support ongoing operations, targeted capital projects and disciplined response actions should market conditions weaken.</w:t>
      </w:r>
    </w:p>
    <w:p w14:paraId="00100425" w14:textId="00100426">
      <w:pPr>
        <w:pStyle w:val="Heading2a"/>
        <w:jc w:val="left"/>
      </w:pPr>
      <w:r>
        <w:t xml:space="preserve">Segment Comparison</w:t>
      </w:r>
    </w:p>
    <w:p w14:paraId="00100427" w14:textId="00100428">
      <w:pPr>
        <w:pStyle w:val="Normal"/>
        <w:jc w:val="left"/>
      </w:pPr>
      <w:r>
        <w:t xml:space="preserve">Segment comparison provides the clearest view of how Rivermark Group's portfolio translated market conditions into financial performance during the year. The Infrastructure, Industrial, Consumer and Digital Services segments operated under different demand patterns, pricing environments and cost structures, yet each contributed to the Group's overall revenue and earnings profile in a distinct way. Infrastructure benefited from contract visibility and a steadier project pipeline, Industrial experienced more pronounced order timing and input-cost sensitivity, Consumer balanced channel mix with brand investment, and Digital Services continued to scale recurring revenue. Looking across segments therefore helps explain not only the consolidated result, but also the resilience and variability embedded in the portfolio.</w:t>
      </w:r>
    </w:p>
    <w:p w14:paraId="00100429" w14:textId="0010042C">
      <w:pPr>
        <w:pStyle w:val="Normal"/>
        <w:jc w:val="left"/>
      </w:pPr>
      <w:r>
        <w:t xml:space="preserve">Management reviews segment performance using a consistent set of commercial, operational and financial indicators, with particular attention to growth quality, margin conversion and cash discipline. In this section, revenue scale and year-on-year movement are considered alongside profitability, highlighting where volume, price, utilization and service mix supported outcomes and where external pressures constrained returns. The use of *</w:t>
      </w:r>
      <w:r>
        <w:t xml:space="preserve">segment contribution</w:t>
      </w:r>
      <w:r>
        <w:t xml:space="preserve">* as a comparative lens is especially important because absolute size does not always align with earnings quality or cash generation. A balanced reading of the segment data shows that the Group's diversification remained valuable: softer conditions in one business were partially offset by stronger execution or demand in another, supporting a more stable overall operating result.</w:t>
      </w:r>
    </w:p>
    <w:p w14:paraId="0010042D" w14:textId="0010042E">
      <w:pPr>
        <w:pStyle w:val="Normal"/>
        <w:jc w:val="left"/>
      </w:pPr>
      <w:r>
        <w:t xml:space="preserve">Table 10 Comparative performance by segment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42F" w14:textId="00100477">
            <w:pPr>
              <w:pStyle w:val="Normal"/>
              <w:jc w:val="left"/>
            </w:pPr>
            <w:r>
              <w:t xml:space="preserve">Segment</w:t>
            </w:r>
          </w:p>
        </w:tc>
        <w:tc>
          <w:tcPr>
            <w:vAlign w:val="center"/>
            <w:tcBorders>
              <w:top w:val="single" w:sz="4" w:space="0" w:color="auto"/>
              <w:left w:val="single" w:sz="4" w:space="0" w:color="auto"/>
              <w:bottom w:val="single" w:sz="4" w:space="0" w:color="auto"/>
              <w:right w:val="single" w:sz="4" w:space="0" w:color="auto"/>
            </w:tcBorders>
          </w:tcPr>
          <w:p w14:paraId="00100431" w14:textId="00100478">
            <w:pPr>
              <w:pStyle w:val="Normal"/>
              <w:jc w:val="left"/>
            </w:pPr>
            <w:r>
              <w:t xml:space="preserve">Revenue (R$ m)</w:t>
            </w:r>
          </w:p>
        </w:tc>
        <w:tc>
          <w:tcPr>
            <w:vAlign w:val="center"/>
            <w:tcBorders>
              <w:top w:val="single" w:sz="4" w:space="0" w:color="auto"/>
              <w:left w:val="single" w:sz="4" w:space="0" w:color="auto"/>
              <w:bottom w:val="single" w:sz="4" w:space="0" w:color="auto"/>
              <w:right w:val="single" w:sz="4" w:space="0" w:color="auto"/>
            </w:tcBorders>
          </w:tcPr>
          <w:p w14:paraId="00100433" w14:textId="00100479">
            <w:pPr>
              <w:pStyle w:val="Normal"/>
              <w:jc w:val="left"/>
            </w:pPr>
            <w:r>
              <w:t xml:space="preserve">Year-on-year growth</w:t>
            </w:r>
          </w:p>
        </w:tc>
        <w:tc>
          <w:tcPr>
            <w:vAlign w:val="center"/>
            <w:tcBorders>
              <w:top w:val="single" w:sz="4" w:space="0" w:color="auto"/>
              <w:left w:val="single" w:sz="4" w:space="0" w:color="auto"/>
              <w:bottom w:val="single" w:sz="4" w:space="0" w:color="auto"/>
              <w:right w:val="single" w:sz="4" w:space="0" w:color="auto"/>
            </w:tcBorders>
          </w:tcPr>
          <w:p w14:paraId="00100435" w14:textId="0010047A">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437" w14:textId="0010047B">
            <w:pPr>
              <w:pStyle w:val="Normal"/>
              <w:jc w:val="left"/>
            </w:pPr>
            <w:r>
              <w:t xml:space="preserve">Cash conversion</w:t>
            </w:r>
          </w:p>
        </w:tc>
        <w:tc>
          <w:tcPr>
            <w:vAlign w:val="center"/>
            <w:tcBorders>
              <w:top w:val="single" w:sz="4" w:space="0" w:color="auto"/>
              <w:left w:val="single" w:sz="4" w:space="0" w:color="auto"/>
              <w:bottom w:val="single" w:sz="4" w:space="0" w:color="auto"/>
              <w:right w:val="single" w:sz="4" w:space="0" w:color="auto"/>
            </w:tcBorders>
          </w:tcPr>
          <w:p w14:paraId="00100439" w14:textId="0010047C">
            <w:pPr>
              <w:pStyle w:val="Normal"/>
              <w:jc w:val="left"/>
            </w:pPr>
            <w:r>
              <w:t xml:space="preserve">Revenue rank</w:t>
            </w:r>
          </w:p>
        </w:tc>
      </w:tr>
      <w:tr>
        <w:tc>
          <w:tcPr>
            <w:vAlign w:val="center"/>
            <w:tcBorders>
              <w:top w:val="single" w:sz="4" w:space="0" w:color="auto"/>
              <w:left w:val="single" w:sz="4" w:space="0" w:color="auto"/>
              <w:bottom w:val="single" w:sz="4" w:space="0" w:color="auto"/>
              <w:right w:val="single" w:sz="4" w:space="0" w:color="auto"/>
            </w:tcBorders>
          </w:tcPr>
          <w:p w14:paraId="0010043B" w14:textId="0010047D">
            <w:pPr>
              <w:pStyle w:val="Normal"/>
              <w:jc w:val="left"/>
            </w:pPr>
            <w:r>
              <w:t xml:space="preserve">Infrastructure</w:t>
            </w:r>
          </w:p>
        </w:tc>
        <w:tc>
          <w:tcPr>
            <w:vAlign w:val="center"/>
            <w:tcBorders>
              <w:top w:val="single" w:sz="4" w:space="0" w:color="auto"/>
              <w:left w:val="single" w:sz="4" w:space="0" w:color="auto"/>
              <w:bottom w:val="single" w:sz="4" w:space="0" w:color="auto"/>
              <w:right w:val="single" w:sz="4" w:space="0" w:color="auto"/>
            </w:tcBorders>
          </w:tcPr>
          <w:p w14:paraId="0010043D" w14:textId="0010047E">
            <w:pPr>
              <w:pStyle w:val="Normal"/>
              <w:jc w:val="left"/>
            </w:pPr>
            <w:r>
              <w:t xml:space="preserve">3,420</w:t>
            </w:r>
          </w:p>
        </w:tc>
        <w:tc>
          <w:tcPr>
            <w:vAlign w:val="center"/>
            <w:tcBorders>
              <w:top w:val="single" w:sz="4" w:space="0" w:color="auto"/>
              <w:left w:val="single" w:sz="4" w:space="0" w:color="auto"/>
              <w:bottom w:val="single" w:sz="4" w:space="0" w:color="auto"/>
              <w:right w:val="single" w:sz="4" w:space="0" w:color="auto"/>
            </w:tcBorders>
          </w:tcPr>
          <w:p w14:paraId="0010043F" w14:textId="0010047F">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441" w14:textId="00100480">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443" w14:textId="00100481">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0445" w14:textId="00100482">
            <w:pPr>
              <w:pStyle w:val="Normal"/>
              <w:jc w:val="left"/>
            </w:pPr>
            <w:r>
              <w:t xml:space="preserve">1</w:t>
            </w:r>
          </w:p>
        </w:tc>
      </w:tr>
      <w:tr>
        <w:tc>
          <w:tcPr>
            <w:vAlign w:val="center"/>
            <w:tcBorders>
              <w:top w:val="single" w:sz="4" w:space="0" w:color="auto"/>
              <w:left w:val="single" w:sz="4" w:space="0" w:color="auto"/>
              <w:bottom w:val="single" w:sz="4" w:space="0" w:color="auto"/>
              <w:right w:val="single" w:sz="4" w:space="0" w:color="auto"/>
            </w:tcBorders>
          </w:tcPr>
          <w:p w14:paraId="00100447" w14:textId="00100483">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0449" w14:textId="00100484">
            <w:pPr>
              <w:pStyle w:val="Normal"/>
              <w:jc w:val="left"/>
            </w:pPr>
            <w:r>
              <w:t xml:space="preserve">2,980</w:t>
            </w:r>
          </w:p>
        </w:tc>
        <w:tc>
          <w:tcPr>
            <w:vAlign w:val="center"/>
            <w:tcBorders>
              <w:top w:val="single" w:sz="4" w:space="0" w:color="auto"/>
              <w:left w:val="single" w:sz="4" w:space="0" w:color="auto"/>
              <w:bottom w:val="single" w:sz="4" w:space="0" w:color="auto"/>
              <w:right w:val="single" w:sz="4" w:space="0" w:color="auto"/>
            </w:tcBorders>
          </w:tcPr>
          <w:p w14:paraId="0010044B" w14:textId="00100485">
            <w:pPr>
              <w:pStyle w:val="Normal"/>
              <w:jc w:val="left"/>
            </w:pPr>
            <w:r>
              <w:t xml:space="preserve">5.1%</w:t>
            </w:r>
          </w:p>
        </w:tc>
        <w:tc>
          <w:tcPr>
            <w:vAlign w:val="center"/>
            <w:tcBorders>
              <w:top w:val="single" w:sz="4" w:space="0" w:color="auto"/>
              <w:left w:val="single" w:sz="4" w:space="0" w:color="auto"/>
              <w:bottom w:val="single" w:sz="4" w:space="0" w:color="auto"/>
              <w:right w:val="single" w:sz="4" w:space="0" w:color="auto"/>
            </w:tcBorders>
          </w:tcPr>
          <w:p w14:paraId="0010044D" w14:textId="00100486">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44F" w14:textId="00100487">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0451" w14:textId="00100488">
            <w:pPr>
              <w:pStyle w:val="Normal"/>
              <w:jc w:val="left"/>
            </w:pPr>
            <w:r>
              <w:t xml:space="preserve">2</w:t>
            </w:r>
          </w:p>
        </w:tc>
      </w:tr>
      <w:tr>
        <w:tc>
          <w:tcPr>
            <w:vAlign w:val="center"/>
            <w:tcBorders>
              <w:top w:val="single" w:sz="4" w:space="0" w:color="auto"/>
              <w:left w:val="single" w:sz="4" w:space="0" w:color="auto"/>
              <w:bottom w:val="single" w:sz="4" w:space="0" w:color="auto"/>
              <w:right w:val="single" w:sz="4" w:space="0" w:color="auto"/>
            </w:tcBorders>
          </w:tcPr>
          <w:p w14:paraId="00100453" w14:textId="00100489">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0455" w14:textId="0010048A">
            <w:pPr>
              <w:pStyle w:val="Normal"/>
              <w:jc w:val="left"/>
            </w:pPr>
            <w:r>
              <w:t xml:space="preserve">2,260</w:t>
            </w:r>
          </w:p>
        </w:tc>
        <w:tc>
          <w:tcPr>
            <w:vAlign w:val="center"/>
            <w:tcBorders>
              <w:top w:val="single" w:sz="4" w:space="0" w:color="auto"/>
              <w:left w:val="single" w:sz="4" w:space="0" w:color="auto"/>
              <w:bottom w:val="single" w:sz="4" w:space="0" w:color="auto"/>
              <w:right w:val="single" w:sz="4" w:space="0" w:color="auto"/>
            </w:tcBorders>
          </w:tcPr>
          <w:p w14:paraId="00100457" w14:textId="0010048B">
            <w:pPr>
              <w:pStyle w:val="Normal"/>
              <w:jc w:val="left"/>
            </w:pPr>
            <w:r>
              <w:t xml:space="preserve">3.4%</w:t>
            </w:r>
          </w:p>
        </w:tc>
        <w:tc>
          <w:tcPr>
            <w:vAlign w:val="center"/>
            <w:tcBorders>
              <w:top w:val="single" w:sz="4" w:space="0" w:color="auto"/>
              <w:left w:val="single" w:sz="4" w:space="0" w:color="auto"/>
              <w:bottom w:val="single" w:sz="4" w:space="0" w:color="auto"/>
              <w:right w:val="single" w:sz="4" w:space="0" w:color="auto"/>
            </w:tcBorders>
          </w:tcPr>
          <w:p w14:paraId="00100459" w14:textId="0010048C">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45B" w14:textId="0010048D">
            <w:pPr>
              <w:pStyle w:val="Normal"/>
              <w:jc w:val="left"/>
            </w:pPr>
            <w:r>
              <w:t xml:space="preserve">76%</w:t>
            </w:r>
          </w:p>
        </w:tc>
        <w:tc>
          <w:tcPr>
            <w:vAlign w:val="center"/>
            <w:tcBorders>
              <w:top w:val="single" w:sz="4" w:space="0" w:color="auto"/>
              <w:left w:val="single" w:sz="4" w:space="0" w:color="auto"/>
              <w:bottom w:val="single" w:sz="4" w:space="0" w:color="auto"/>
              <w:right w:val="single" w:sz="4" w:space="0" w:color="auto"/>
            </w:tcBorders>
          </w:tcPr>
          <w:p w14:paraId="0010045D" w14:textId="0010048E">
            <w:pPr>
              <w:pStyle w:val="Normal"/>
              <w:jc w:val="left"/>
            </w:pPr>
            <w:r>
              <w:t xml:space="preserve">3</w:t>
            </w:r>
          </w:p>
        </w:tc>
      </w:tr>
      <w:tr>
        <w:tc>
          <w:tcPr>
            <w:vAlign w:val="center"/>
            <w:tcBorders>
              <w:top w:val="single" w:sz="4" w:space="0" w:color="auto"/>
              <w:left w:val="single" w:sz="4" w:space="0" w:color="auto"/>
              <w:bottom w:val="single" w:sz="4" w:space="0" w:color="auto"/>
              <w:right w:val="single" w:sz="4" w:space="0" w:color="auto"/>
            </w:tcBorders>
          </w:tcPr>
          <w:p w14:paraId="0010045F" w14:textId="0010048F">
            <w:pPr>
              <w:pStyle w:val="Normal"/>
              <w:jc w:val="left"/>
            </w:pPr>
            <w:r>
              <w:t xml:space="preserve">Digital Services</w:t>
            </w:r>
          </w:p>
        </w:tc>
        <w:tc>
          <w:tcPr>
            <w:vAlign w:val="center"/>
            <w:tcBorders>
              <w:top w:val="single" w:sz="4" w:space="0" w:color="auto"/>
              <w:left w:val="single" w:sz="4" w:space="0" w:color="auto"/>
              <w:bottom w:val="single" w:sz="4" w:space="0" w:color="auto"/>
              <w:right w:val="single" w:sz="4" w:space="0" w:color="auto"/>
            </w:tcBorders>
          </w:tcPr>
          <w:p w14:paraId="00100461" w14:textId="00100490">
            <w:pPr>
              <w:pStyle w:val="Normal"/>
              <w:jc w:val="left"/>
            </w:pPr>
            <w:r>
              <w:t xml:space="preserve">1,540</w:t>
            </w:r>
          </w:p>
        </w:tc>
        <w:tc>
          <w:tcPr>
            <w:vAlign w:val="center"/>
            <w:tcBorders>
              <w:top w:val="single" w:sz="4" w:space="0" w:color="auto"/>
              <w:left w:val="single" w:sz="4" w:space="0" w:color="auto"/>
              <w:bottom w:val="single" w:sz="4" w:space="0" w:color="auto"/>
              <w:right w:val="single" w:sz="4" w:space="0" w:color="auto"/>
            </w:tcBorders>
          </w:tcPr>
          <w:p w14:paraId="00100463" w14:textId="00100491">
            <w:pPr>
              <w:pStyle w:val="Normal"/>
              <w:jc w:val="left"/>
            </w:pPr>
            <w:r>
              <w:t xml:space="preserve">14.7%</w:t>
            </w:r>
          </w:p>
        </w:tc>
        <w:tc>
          <w:tcPr>
            <w:vAlign w:val="center"/>
            <w:tcBorders>
              <w:top w:val="single" w:sz="4" w:space="0" w:color="auto"/>
              <w:left w:val="single" w:sz="4" w:space="0" w:color="auto"/>
              <w:bottom w:val="single" w:sz="4" w:space="0" w:color="auto"/>
              <w:right w:val="single" w:sz="4" w:space="0" w:color="auto"/>
            </w:tcBorders>
          </w:tcPr>
          <w:p w14:paraId="00100465" w14:textId="00100492">
            <w:pPr>
              <w:pStyle w:val="Normal"/>
              <w:jc w:val="left"/>
            </w:pPr>
            <w:r>
              <w:t xml:space="preserve">18.5%</w:t>
            </w:r>
          </w:p>
        </w:tc>
        <w:tc>
          <w:tcPr>
            <w:vAlign w:val="center"/>
            <w:tcBorders>
              <w:top w:val="single" w:sz="4" w:space="0" w:color="auto"/>
              <w:left w:val="single" w:sz="4" w:space="0" w:color="auto"/>
              <w:bottom w:val="single" w:sz="4" w:space="0" w:color="auto"/>
              <w:right w:val="single" w:sz="4" w:space="0" w:color="auto"/>
            </w:tcBorders>
          </w:tcPr>
          <w:p w14:paraId="00100467" w14:textId="00100493">
            <w:pPr>
              <w:pStyle w:val="Normal"/>
              <w:jc w:val="left"/>
            </w:pPr>
            <w:r>
              <w:t xml:space="preserve">94%</w:t>
            </w:r>
          </w:p>
        </w:tc>
        <w:tc>
          <w:tcPr>
            <w:vAlign w:val="center"/>
            <w:tcBorders>
              <w:top w:val="single" w:sz="4" w:space="0" w:color="auto"/>
              <w:left w:val="single" w:sz="4" w:space="0" w:color="auto"/>
              <w:bottom w:val="single" w:sz="4" w:space="0" w:color="auto"/>
              <w:right w:val="single" w:sz="4" w:space="0" w:color="auto"/>
            </w:tcBorders>
          </w:tcPr>
          <w:p w14:paraId="00100469" w14:textId="00100494">
            <w:pPr>
              <w:pStyle w:val="Normal"/>
              <w:jc w:val="left"/>
            </w:pPr>
            <w:r>
              <w:t xml:space="preserve">4</w:t>
            </w:r>
          </w:p>
        </w:tc>
      </w:tr>
      <w:tr>
        <w:tc>
          <w:tcPr>
            <w:vAlign w:val="center"/>
            <w:tcBorders>
              <w:top w:val="single" w:sz="4" w:space="0" w:color="auto"/>
              <w:left w:val="single" w:sz="4" w:space="0" w:color="auto"/>
              <w:bottom w:val="single" w:sz="4" w:space="0" w:color="auto"/>
              <w:right w:val="single" w:sz="4" w:space="0" w:color="auto"/>
            </w:tcBorders>
          </w:tcPr>
          <w:p w14:paraId="0010046B" w14:textId="00100495">
            <w:pPr>
              <w:pStyle w:val="Normal"/>
              <w:jc w:val="left"/>
            </w:pPr>
            <w:r>
              <w:t xml:space="preserve">Group total</w:t>
            </w:r>
          </w:p>
        </w:tc>
        <w:tc>
          <w:tcPr>
            <w:vAlign w:val="center"/>
            <w:tcBorders>
              <w:top w:val="single" w:sz="4" w:space="0" w:color="auto"/>
              <w:left w:val="single" w:sz="4" w:space="0" w:color="auto"/>
              <w:bottom w:val="single" w:sz="4" w:space="0" w:color="auto"/>
              <w:right w:val="single" w:sz="4" w:space="0" w:color="auto"/>
            </w:tcBorders>
          </w:tcPr>
          <w:p w14:paraId="0010046D" w14:textId="00100496">
            <w:pPr>
              <w:pStyle w:val="Normal"/>
              <w:jc w:val="left"/>
            </w:pPr>
            <w:r>
              <w:t xml:space="preserve">10,200</w:t>
            </w:r>
          </w:p>
        </w:tc>
        <w:tc>
          <w:tcPr>
            <w:vAlign w:val="center"/>
            <w:tcBorders>
              <w:top w:val="single" w:sz="4" w:space="0" w:color="auto"/>
              <w:left w:val="single" w:sz="4" w:space="0" w:color="auto"/>
              <w:bottom w:val="single" w:sz="4" w:space="0" w:color="auto"/>
              <w:right w:val="single" w:sz="4" w:space="0" w:color="auto"/>
            </w:tcBorders>
          </w:tcPr>
          <w:p w14:paraId="0010046F" w14:textId="00100497">
            <w:pPr>
              <w:pStyle w:val="Normal"/>
              <w:jc w:val="left"/>
            </w:pPr>
            <w:r>
              <w:t xml:space="preserve">7.2%</w:t>
            </w:r>
          </w:p>
        </w:tc>
        <w:tc>
          <w:tcPr>
            <w:vAlign w:val="center"/>
            <w:tcBorders>
              <w:top w:val="single" w:sz="4" w:space="0" w:color="auto"/>
              <w:left w:val="single" w:sz="4" w:space="0" w:color="auto"/>
              <w:bottom w:val="single" w:sz="4" w:space="0" w:color="auto"/>
              <w:right w:val="single" w:sz="4" w:space="0" w:color="auto"/>
            </w:tcBorders>
          </w:tcPr>
          <w:p w14:paraId="00100471" w14:textId="00100498">
            <w:pPr>
              <w:pStyle w:val="Normal"/>
              <w:jc w:val="left"/>
            </w:pPr>
            <w:r>
              <w:t xml:space="preserve">12.9%</w:t>
            </w:r>
          </w:p>
        </w:tc>
        <w:tc>
          <w:tcPr>
            <w:vAlign w:val="center"/>
            <w:tcBorders>
              <w:top w:val="single" w:sz="4" w:space="0" w:color="auto"/>
              <w:left w:val="single" w:sz="4" w:space="0" w:color="auto"/>
              <w:bottom w:val="single" w:sz="4" w:space="0" w:color="auto"/>
              <w:right w:val="single" w:sz="4" w:space="0" w:color="auto"/>
            </w:tcBorders>
          </w:tcPr>
          <w:p w14:paraId="00100473" w14:textId="00100499">
            <w:pPr>
              <w:pStyle w:val="Normal"/>
              <w:jc w:val="left"/>
            </w:pPr>
            <w:r>
              <w:t xml:space="preserve">85%</w:t>
            </w:r>
          </w:p>
        </w:tc>
        <w:tc>
          <w:tcPr>
            <w:vAlign w:val="center"/>
            <w:tcBorders>
              <w:top w:val="single" w:sz="4" w:space="0" w:color="auto"/>
              <w:left w:val="single" w:sz="4" w:space="0" w:color="auto"/>
              <w:bottom w:val="single" w:sz="4" w:space="0" w:color="auto"/>
              <w:right w:val="single" w:sz="4" w:space="0" w:color="auto"/>
            </w:tcBorders>
          </w:tcPr>
          <w:p w14:paraId="00100475" w14:textId="0010049A">
            <w:pPr>
              <w:pStyle w:val="Normal"/>
              <w:jc w:val="left"/>
            </w:pPr>
            <w:r>
              <w:t xml:space="preserve">—</w:t>
            </w:r>
          </w:p>
        </w:tc>
      </w:tr>
    </w:tbl>
    <w:p w14:paraId="0010049B" w14:textId="0010049C">
      <w:pPr>
        <w:pStyle w:val="Heading3a"/>
        <w:jc w:val="left"/>
      </w:pPr>
      <w:r>
        <w:t xml:space="preserve">Performance by Segment</w:t>
      </w:r>
    </w:p>
    <w:p w14:paraId="0010049D" w14:textId="0010049E">
      <w:pPr>
        <w:pStyle w:val="Normal"/>
        <w:jc w:val="left"/>
      </w:pPr>
      <w:r>
        <w:t xml:space="preserve">Rivermark Group’s segment comparison shows a portfolio with differentiated growth profiles, margin structures, and cash characteristics rather than a single uniform earnings engine. Infrastructure remained the largest business by revenue and continued to anchor group scale, supported by a broad project base, recurring maintenance activity, and resilient demand in transport, utilities, and public-service-linked work. Industrial retained its role as the second-largest contributor, with a more cyclical demand pattern but stable customer relationships and improved execution in selected higher-value product lines. Consumer delivered moderate topline progress in a more competitive retail and distributor environment, while Digital Services again produced the fastest growth and the strongest margin profile from its software, managed services, and usage-based offerings.</w:t>
      </w:r>
    </w:p>
    <w:p w14:paraId="0010049F" w14:textId="001004A0">
      <w:pPr>
        <w:pStyle w:val="Normal"/>
        <w:jc w:val="left"/>
      </w:pPr>
      <w:r>
        <w:t xml:space="preserve">From a contribution perspective, the segment mix helped balance market exposures across capital projects, production cycles, end-consumer demand, and subscription-style revenue. This diversity reduced dependence on any single end market and supported group earnings quality even where volumes varied across regions. The overall picture is one of a group that combines scale businesses with higher-growth platforms: Infrastructure and Industrial provide operating depth and asset-backed presence, Consumer supports channel reach and brand visibility, and Digital Services strengthens recurring revenue, data capability, and margin expansion potential. Taken together, segment performance confirms that the portfolio remains strategically complementary and financially diversified.</w:t>
      </w:r>
    </w:p>
    <w:p w14:paraId="001004A1" w14:textId="001004A2">
      <w:pPr>
        <w:pStyle w:val="Normal"/>
        <w:jc w:val="left"/>
      </w:pPr>
      <w:r>
        <w:t xml:space="preserve">Figure 17 Segment contribution to group revenue and operating profit for the year.</w:t>
      </w:r>
    </w:p>
    <w:p w14:paraId="001004A3" w14:textId="001004A4">
      <w:pPr>
        <w:pStyle w:val="Normal"/>
        <w:jc w:val="left"/>
      </w:pPr>
      <w:r>
        <w:drawing>
          <wp:inline distT="0" distB="0" distL="0" distR="0">
            <wp:extent cx="4680000" cy="2520000"/>
            <wp:effectExtent l="0" t="0" r="0" b="0"/>
            <wp:docPr id="9" name="Fig-I06-02.png" descr=""/>
            <wp:cNvGraphicFramePr>
              <a:graphicFrameLocks noChangeAspect="1"/>
            </wp:cNvGraphicFramePr>
            <a:graphic>
              <a:graphicData uri="http://schemas.openxmlformats.org/drawingml/2006/picture">
                <pic:pic>
                  <pic:nvPicPr>
                    <pic:cNvPr id="9" name="Fig-I06-02.png"/>
                    <pic:cNvPicPr/>
                  </pic:nvPicPr>
                  <pic:blipFill>
                    <a:blip r:embed="Rc566892a1ea64039" cstate="print"/>
                    <a:stretch>
                      <a:fillRect/>
                    </a:stretch>
                  </pic:blipFill>
                  <pic:spPr>
                    <a:xfrm>
                      <a:off x="0" y="0"/>
                      <a:ext cx="4320000" cy="2880000"/>
                    </a:xfrm>
                    <a:prstGeom prst="rect">
                      <a:avLst/>
                    </a:prstGeom>
                  </pic:spPr>
                </pic:pic>
              </a:graphicData>
            </a:graphic>
          </wp:inline>
        </w:drawing>
      </w:r>
    </w:p>
    <w:p w14:paraId="001004A5" w14:textId="001004A6">
      <w:pPr>
        <w:pStyle w:val="Heading4a"/>
        <w:jc w:val="left"/>
      </w:pPr>
      <w:r>
        <w:t xml:space="preserve">Topline Comparison</w:t>
      </w:r>
    </w:p>
    <w:p w14:paraId="001004A7" w14:textId="001004A8">
      <w:pPr>
        <w:pStyle w:val="Normal"/>
        <w:jc w:val="left"/>
      </w:pPr>
      <w:r>
        <w:t xml:space="preserve">A topline comparison across segments highlights both the current scale of the portfolio and the direction of underlying demand. Infrastructure generated the highest revenue base at R$3,420 million, reflecting the breadth of its contract portfolio and the carryover of work secured in prior periods. Industrial followed at R$2,980 million, supported by order execution in core manufacturing and engineered solutions, though with a more measured growth rate than the project-led businesses. Consumer recorded R$2,260 million, demonstrating steady sell-through across key channels but facing a less favorable promotional and pricing backdrop in the second half. Digital Services, while the smallest by absolute revenue at R$1,540 million, delivered the most pronounced expansion from a lower base.</w:t>
      </w:r>
    </w:p>
    <w:p w14:paraId="001004A9" w14:textId="001004AA">
      <w:pPr>
        <w:pStyle w:val="Normal"/>
        <w:jc w:val="left"/>
      </w:pPr>
      <w:r>
        <w:t xml:space="preserve">The bridge between scale and growth is important. Larger segments naturally contribute more to absolute revenue, but they do not always set the pace of change. In Rivermark Group’s case, the revenue distribution shows that mature businesses continue to provide foundation volume, while digitally enabled activities increasingly supply momentum. This creates a healthier portfolio dynamic than one based only on volume expansion in legacy operations. The comparison also suggests that management’s emphasis on recurring service revenue, selective pricing discipline, and cross-segment customer penetration is beginning to reshape the composition of group growth. Accordingly, topline performance should be read not only as a ranking of size, but also as an indicator of where commercial energy and future mix improvement are emerging.</w:t>
      </w:r>
    </w:p>
    <w:p w14:paraId="001004AB" w14:textId="001004AC">
      <w:pPr>
        <w:pStyle w:val="Heading5"/>
        <w:jc w:val="left"/>
      </w:pPr>
      <w:r>
        <w:t xml:space="preserve">Absolute Revenue</w:t>
      </w:r>
    </w:p>
    <w:p w14:paraId="001004AD" w14:textId="001004AE">
      <w:pPr>
        <w:pStyle w:val="Normal"/>
        <w:jc w:val="left"/>
      </w:pPr>
      <w:r>
        <w:t xml:space="preserve">On an absolute basis, Infrastructure remained the principal sales contributor, accounting for roughly one-third of group revenue. Its scale reflects long-duration contracts, a broad installed base, and the ability to serve both new-build and maintenance demand. This gives the segment a relatively strong revenue floor, even where project timing shifts between reporting periods. Industrial also contributed materially to group turnover, supported by diversified manufacturing exposure and repeat business from enterprise customers, although order phasing had a greater effect on quarterly patterning than in Infrastructure.</w:t>
      </w:r>
    </w:p>
    <w:p w14:paraId="001004AF" w14:textId="001004B0">
      <w:pPr>
        <w:pStyle w:val="Normal"/>
        <w:jc w:val="left"/>
      </w:pPr>
      <w:r>
        <w:t xml:space="preserve">Consumer’s revenue base remained meaningful, particularly because of its broad channel presence and established brand footprint, but the segment operated in a market where volume support increasingly required targeted promotion and channel management. Digital Services, despite ranking fourth in revenue, achieved a level of scale that is strategically significant because of the quality of those sales. A higher share of subscriptions, recurring support contracts, and platform-based services gives that segment more visibility and less dependence on one-off transactions. The absolute revenue review therefore confirms that the group still relies on its larger operating segments for breadth, while its digital activities are approaching a scale where they can influence overall mix and growth more materially.</w:t>
      </w:r>
    </w:p>
    <w:p w14:paraId="001004B1" w14:textId="001004B2">
      <w:pPr>
        <w:pStyle w:val="Normal"/>
        <w:jc w:val="left"/>
      </w:pPr>
      <w:r>
        <w:t xml:space="preserve">Relative size across the four segments also reveals how Rivermark Group balances maturity and expansion. Infrastructure and Industrial together represent the majority of revenue, which means the group still benefits from physical asset intensity, contract execution capability, and established business-to-business relationships. These segments provide operating mass, supplier leverage, and market credibility, but they also require disciplined capital allocation and tight operational control because small efficiency changes can have large earnings effects at their current size.</w:t>
      </w:r>
    </w:p>
    <w:p w14:paraId="001004B3" w14:textId="001004B4">
      <w:pPr>
        <w:pStyle w:val="Normal"/>
        <w:jc w:val="left"/>
      </w:pPr>
      <w:r>
        <w:t xml:space="preserve">By contrast, Consumer and Digital Services occupy smaller shares of the revenue base, yet they play different strategic roles. Consumer broadens customer reach, supports brand recognition, and offers a channel for faster product rotation and market testing. Digital Services contributes less volume today but disproportionately strengthens margin quality, recurring income, and data-led customer retention. In relative terms, this means revenue concentration is not simply a risk; it is also a structural feature that enables the group to fund newer growth engines from the cash generation of its larger businesses. The present distribution appears balanced: no single segment dominates excessively, and the smaller segments are large enough to matter strategically. That relative size profile supports resilience while preserving room for portfolio evolution.</w:t>
      </w:r>
    </w:p>
    <w:p w14:paraId="001004B5" w14:textId="001004B6">
      <w:pPr>
        <w:pStyle w:val="Heading5"/>
        <w:jc w:val="left"/>
      </w:pPr>
      <w:r>
        <w:t xml:space="preserve">Growth Rates</w:t>
      </w:r>
    </w:p>
    <w:p w14:paraId="001004B7" w14:textId="001004B8">
      <w:pPr>
        <w:pStyle w:val="Normal"/>
        <w:jc w:val="left"/>
      </w:pPr>
      <w:r>
        <w:t xml:space="preserve">The year-on-year growth ranking placed Digital Services first at 14.7%, followed by Infrastructure at 8.6%, Industrial at 5.1%, and Consumer at 3.4%. This ordering reflects a clear distinction between structurally faster-growing activities and segments more exposed to traditional demand cycles. Digital Services benefited from subscription expansion, wider client adoption, and increasing usage intensity across existing accounts. Infrastructure’s growth was supported by project execution and favorable carryover from prior order intake, giving it both scale and above-group momentum. Industrial advanced at a moderate pace as improved pricing and selective mix gains offset softer conditions in some end markets, while Consumer recorded the lowest growth in a market characterized by cautious spending and competitive channel dynamics.</w:t>
      </w:r>
    </w:p>
    <w:p w14:paraId="001004B9" w14:textId="001004BA">
      <w:pPr>
        <w:pStyle w:val="Normal"/>
        <w:jc w:val="left"/>
      </w:pPr>
      <w:r>
        <w:t xml:space="preserve">The ranking is notable because it does not point to weakness in the larger segments; rather, it shows that the portfolio is producing growth from multiple sources. Infrastructure combined volume with scale, Digital Services combined speed with profitability, and Industrial and Consumer still contributed positive movement despite more mixed market conditions. For management, this pattern reinforces the importance of protecting momentum where demand is strongest while continuing to improve commercial execution in slower-growth businesses. Overall, the spread of growth rates suggests that Rivermark Group is not dependent on a single breakout segment to advance the topline.</w:t>
      </w:r>
    </w:p>
    <w:p w14:paraId="001004BB" w14:textId="001004BC">
      <w:pPr>
        <w:pStyle w:val="Normal"/>
        <w:jc w:val="left"/>
      </w:pPr>
      <w:r>
        <w:t xml:space="preserve">The differences in growth rates across segments were driven by a mix of market conditions, revenue model design, and management actions during the year. Digital Services outperformed because a larger portion of its revenue is recurring or usage-linked, allowing it to capture customer expansion without the same degree of physical capacity constraint faced elsewhere in the group. Product enhancements, cross-selling into existing enterprise accounts, and steady renewal performance also supported its leading position. Infrastructure’s strong growth came from a combination of backlog conversion, service continuity, and disciplined bidding in projects where technical capability and execution credibility were valued over purely price-led competition.</w:t>
      </w:r>
    </w:p>
    <w:p w14:paraId="001004BD" w14:textId="001004BE">
      <w:pPr>
        <w:pStyle w:val="Normal"/>
        <w:jc w:val="left"/>
      </w:pPr>
      <w:r>
        <w:t xml:space="preserve">Industrial’s mid-range growth reflected a more balanced picture. Pricing remained supportive in several product categories, but order timing and customer inventory adjustments limited the pace of expansion. Consumer saw the narrowest gain because household and channel purchasing decisions were more promotion-sensitive, and mix effects reduced the translation of volume into value in certain categories. These contrasts underline that growth spread is not merely a measure of market demand; it is shaped by contract duration, pricing power, channel structure, and the repeatability of revenue streams. The group’s challenge is therefore twofold: preserve high-growth engines where structural advantages exist, and upgrade the commercial and operating model of slower-growth segments so that they can convert demand into more consistent topline progress.</w:t>
      </w:r>
    </w:p>
    <w:p w14:paraId="001004BF" w14:textId="001004C0">
      <w:pPr>
        <w:pStyle w:val="Heading4a"/>
        <w:jc w:val="left"/>
      </w:pPr>
      <w:r>
        <w:t xml:space="preserve">Profitability Comparison</w:t>
      </w:r>
    </w:p>
    <w:p w14:paraId="001004C1" w14:textId="001004C2">
      <w:pPr>
        <w:pStyle w:val="Normal"/>
        <w:jc w:val="left"/>
      </w:pPr>
      <w:r>
        <w:t xml:space="preserve">Profitability across the Group remained positive but was shaped by noticeably different market structures, operating models and cost absorption patterns in each segment. Infrastructure continued to deliver the largest share of earnings, supported by disciplined contract execution, favorable project mix and solid utilization of field resources. Industrial recorded a recovery in operating earnings as pricing actions, selective order intake and improved plant scheduling offset part of the prior-year cost pressure. Consumer remained profitable, although channel mix, promotional activity and input inflation limited the pace of margin expansion. Digital Services sustained a comparatively high margin profile, reflecting the scalability of subscription revenue and a more favorable incremental cost structure.</w:t>
      </w:r>
    </w:p>
    <w:p w14:paraId="001004C3" w14:textId="001004C4">
      <w:pPr>
        <w:pStyle w:val="Normal"/>
        <w:jc w:val="left"/>
      </w:pPr>
      <w:r>
        <w:t xml:space="preserve">At group level, the bridge from revenue to operating profit was influenced by three main factors. First, price realization and portfolio discipline supported gross profit in most businesses. Second, labor, logistics and technology spending remained elevated, particularly where service levels and implementation capacity had to be protected. Third, the benefit of overhead containment was uneven, with some segments absorbing growth investment while others focused on simplification and procurement savings. As a result, absolute EBIT improved year on year, but the composition of that improvement was more balanced than in the prior period, with fewer outsized one-off gains and a greater contribution from recurring operational measures.</w:t>
      </w:r>
    </w:p>
    <w:p w14:paraId="001004C5" w14:textId="001004C6">
      <w:pPr>
        <w:pStyle w:val="Heading5"/>
        <w:jc w:val="left"/>
      </w:pPr>
      <w:r>
        <w:t xml:space="preserve">Operating Profit</w:t>
      </w:r>
    </w:p>
    <w:p w14:paraId="001004C7" w14:textId="001004C8">
      <w:pPr>
        <w:pStyle w:val="Normal"/>
        <w:jc w:val="left"/>
      </w:pPr>
      <w:r>
        <w:t xml:space="preserve">Infrastructure was the largest contributor to segment operating profit, benefiting from strong execution on maintenance, network upgrade and public-service contracts. The segment combined steady volumes with improved project selectivity, allowing fixed costs to be absorbed efficiently while preserving service quality. Industrial ranked second in profit contribution and showed the most visible operational rebound. Better factory loading, a more disciplined commercial approach and lower disruption costs supported earnings even though demand remained uneven across end markets.</w:t>
      </w:r>
    </w:p>
    <w:p w14:paraId="001004C9" w14:textId="001004CA">
      <w:pPr>
        <w:pStyle w:val="Normal"/>
        <w:jc w:val="left"/>
      </w:pPr>
      <w:r>
        <w:t xml:space="preserve">Consumer contributed a meaningful but comparatively smaller share of profit. Brand investment and promotional support were kept at levels intended to defend market position, which moderated near-term earnings but helped sustain revenue quality and shelf presence. Digital Services, while smaller in revenue than the physical operating segments, remained important to group profitability because of its attractive incremental economics. Subscription renewals, implementation activity and service attach rates supported earnings with relatively limited capital intensity. Taken together, the segment mix shows that Rivermark Group is not dependent on a single earnings engine: mature cash-generating operations provide stability, while digital and operational recovery themes offer additional upside.</w:t>
      </w:r>
    </w:p>
    <w:p w14:paraId="001004CB" w14:textId="001004CC">
      <w:pPr>
        <w:pStyle w:val="Normal"/>
        <w:jc w:val="left"/>
      </w:pPr>
      <w:r>
        <w:t xml:space="preserve">From an EBIT comparison perspective, Digital Services continued to report the highest margin efficiency, but its absolute earnings base remained below that of Infrastructure and Industrial. This distinction is important in reading the group result: the most profitable segment on a percentage basis is not necessarily the largest driver of consolidated operating profit. Infrastructure combined both scale and dependable execution, making it the strongest overall earnings anchor during the year. Industrial narrowed the gap with a stronger conversion of revenue into operating income, indicating that prior restructuring and productivity measures are increasingly visible in reported performance.</w:t>
      </w:r>
    </w:p>
    <w:p w14:paraId="001004CD" w14:textId="001004CE">
      <w:pPr>
        <w:pStyle w:val="Normal"/>
        <w:jc w:val="left"/>
      </w:pPr>
      <w:r>
        <w:t xml:space="preserve">Consumer’s EBIT performance was more mixed. The segment preserved positive earnings despite higher promotional intensity and a less favorable channel mix, but its margin resilience depended on ongoing price discipline and supply-chain control. Across the portfolio, management’s emphasis on contract quality, product mix and overhead control helped reduce the spread between higher- and lower-performing businesses. The comparison therefore suggests a healthier earnings profile than simple headline ranking implies: segments with historically lower returns are improving, while higher-margin businesses continue to scale without a proportionate rise in central cost.</w:t>
      </w:r>
    </w:p>
    <w:p w14:paraId="001004CF" w14:textId="001004D0">
      <w:pPr>
        <w:pStyle w:val="Heading5"/>
        <w:jc w:val="left"/>
      </w:pPr>
      <w:r>
        <w:t xml:space="preserve">Margin Levels</w:t>
      </w:r>
    </w:p>
    <w:p w14:paraId="001004D1" w14:textId="001004D2">
      <w:pPr>
        <w:pStyle w:val="Normal"/>
        <w:jc w:val="left"/>
      </w:pPr>
      <w:r>
        <w:t xml:space="preserve">Margin levels varied materially across the Group, reflecting differences in business model, contract structure and operating leverage. Digital Services remained at the top of the margin range because recurring subscription revenue, platform reuse and relatively low fulfillment cost create strong incremental economics once the delivery base is established. Infrastructure reported a solid mid-to-upper range margin, supported by contract discipline, workforce deployment and selective bidding. Industrial improved into a healthier mid-range position as pricing and plant efficiency partially offset energy, labor and maintenance costs. Consumer stayed in the lower part of the range, consistent with heavier brand support, promotional spending and a channel structure with greater exposure to retail negotiation.</w:t>
      </w:r>
    </w:p>
    <w:p w14:paraId="001004D3" w14:textId="001004D4">
      <w:pPr>
        <w:pStyle w:val="Normal"/>
        <w:jc w:val="left"/>
      </w:pPr>
      <w:r>
        <w:t xml:space="preserve">The spread between segments is therefore structural rather than purely cyclical. Asset-heavy businesses require more direct labor, equipment maintenance and local delivery cost, while platform-led activities scale with lower incremental expense. Even so, the year showed that execution quality can narrow these gaps. Segments with lower baseline margins improved where procurement savings, better demand planning and more selective commercial decisions were sustained over multiple quarters. Margin spread should thus be read not as a fixed constraint, but as a signal of where management attention and operating discipline can most effectively lift returns.</w:t>
      </w:r>
    </w:p>
    <w:p w14:paraId="001004D5" w14:textId="001004D6">
      <w:pPr>
        <w:pStyle w:val="Normal"/>
        <w:jc w:val="left"/>
      </w:pPr>
      <w:r>
        <w:t xml:space="preserve">Margin trends over the year were generally favorable, though the pace of improvement differed by segment and by half year. Infrastructure margins strengthened gradually as legacy lower-return work rolled off and newer contracts entered delivery at more disciplined terms. Industrial showed the clearest sequential improvement, with better utilization and lower disruption costs supporting conversion in the second half. Consumer margins were comparatively stable rather than sharply higher, reflecting the continuing need to balance price realization with volume protection and brand investment. Digital Services maintained a high margin profile, although investment in product capability and client support moderated some of the upside that pure revenue growth might otherwise have produced.</w:t>
      </w:r>
    </w:p>
    <w:p w14:paraId="001004D7" w14:textId="001004D8">
      <w:pPr>
        <w:pStyle w:val="Normal"/>
        <w:jc w:val="left"/>
      </w:pPr>
      <w:r>
        <w:t xml:space="preserve">The group trend indicates that margin expansion was driven more by operational quality than by temporary external relief. Input-cost inflation eased in some categories, but labor availability, technology spending and service expectations remained demanding. Management therefore focused on actions within its control: procurement discipline, network planning, automation, contract review and tighter overhead governance. The result was a year in which margin improvement became broader-based and more repeatable. That gives the Group a firmer starting point for the next period, even if market demand remains uneven across regions and customer groups.</w:t>
      </w:r>
    </w:p>
    <w:p w14:paraId="001004D9" w14:textId="001004DA">
      <w:pPr>
        <w:pStyle w:val="Heading3a"/>
        <w:jc w:val="left"/>
      </w:pPr>
      <w:r>
        <w:t xml:space="preserve">Group Outlook Drivers</w:t>
      </w:r>
    </w:p>
    <w:p w14:paraId="001004DB" w14:textId="001004DC">
      <w:pPr>
        <w:pStyle w:val="Normal"/>
        <w:jc w:val="left"/>
      </w:pPr>
      <w:r>
        <w:t xml:space="preserve">The outlook for Rivermark Group is supported by a combination of demand resilience in essential markets, a more disciplined pricing environment and a broader internal pipeline of productivity actions. Management expects trading conditions to remain mixed rather than uniformly strong. Infrastructure demand is likely to stay comparatively stable due to maintenance, upgrade and compliance-led spending. Industrial should benefit from normalization in customer order patterns, although timing risk remains in capital goods and export-linked categories. Consumer outlook assumptions remain cautious, with household spending still sensitive to inflation and promotional intensity. Digital Services is positioned for continued growth, supported by recurring revenue, client retention and cross-sell opportunities into the installed base.</w:t>
      </w:r>
    </w:p>
    <w:p w14:paraId="001004DD" w14:textId="001004DE">
      <w:pPr>
        <w:pStyle w:val="Normal"/>
        <w:jc w:val="left"/>
      </w:pPr>
      <w:r>
        <w:t xml:space="preserve">Across the Group, the key variables for the coming year are order intake quality, margin preservation and cash conversion. Rivermark enters the period with a more balanced cost structure and clearer capital priorities, which should help absorb volatility if demand softens in selected markets. At the same time, execution risk remains important: delivery capacity, project timing, technology implementation and working-capital control will determine how much of the revenue opportunity converts into earnings and cash. The operating review therefore points to a measured but constructive outlook, with management prioritizing selective growth, disciplined investment and continued operational improvement over purely volume-led expansion.</w:t>
      </w:r>
    </w:p>
    <w:p w14:paraId="001004DF" w14:textId="001004E0">
      <w:pPr>
        <w:pStyle w:val="Heading4a"/>
        <w:jc w:val="left"/>
      </w:pPr>
      <w:r>
        <w:t xml:space="preserve">Market Conditions</w:t>
      </w:r>
    </w:p>
    <w:p w14:paraId="001004E1" w14:textId="001004E2">
      <w:pPr>
        <w:pStyle w:val="Normal"/>
        <w:jc w:val="left"/>
      </w:pPr>
      <w:r>
        <w:t xml:space="preserve">Market conditions across the Group remain uneven, shaped by regional demand differences, customer budget discipline and the lingering effects of inflation on purchasing behavior. In Infrastructure, underlying demand is supported by essential service requirements, public asset renewal and resilience-related investment, although project timing can still shift with procurement cycles and permitting. Industrial markets show early signs of stabilization after a more volatile period, but customers continue to manage inventory cautiously and release orders in shorter cycles. Consumer-facing markets are the most sensitive to real income pressure and promotional competition, keeping volume visibility lower despite some easing in headline inflation. Digital Services continues to benefit from structurally stronger demand for automation, data visibility and service integration, though clients are scrutinizing implementation timelines and return cases more closely.</w:t>
      </w:r>
    </w:p>
    <w:p w14:paraId="001004E3" w14:textId="001004E4">
      <w:pPr>
        <w:pStyle w:val="Normal"/>
        <w:jc w:val="left"/>
      </w:pPr>
      <w:r>
        <w:t xml:space="preserve">Pricing conditions are firmer than in the immediate post-inflation period, but not uniformly easy. Customers are more selective about accepting broad-based increases, which means value articulation, service differentiation and contract discipline remain critical. Supply availability has improved compared with the prior year, reducing some lead-time risk, yet labor tightness and specialist capability constraints still affect delivery in selected markets. Overall, the external environment supports cautious planning rather than aggressive assumptions. Segments with recurring demand, long-term customer relationships and differentiated service capability are better positioned, while businesses exposed to discretionary spend or shorter-cycle ordering must remain agile in both pricing and cost management.</w:t>
      </w:r>
    </w:p>
    <w:p w14:paraId="001004E5" w14:textId="001004E6">
      <w:pPr>
        <w:pStyle w:val="Heading5"/>
        <w:jc w:val="left"/>
      </w:pPr>
      <w:r>
        <w:t xml:space="preserve">Demand Signals</w:t>
      </w:r>
    </w:p>
    <w:p w14:paraId="001004E7" w14:textId="001004E8">
      <w:pPr>
        <w:pStyle w:val="Normal"/>
        <w:jc w:val="left"/>
      </w:pPr>
      <w:r>
        <w:t xml:space="preserve">Order intake remained positive across the Group in the second half, although the pace of growth moderated from the stronger rebound seen in the prior year. Infrastructure continued to benefit from public and utility-related project pipelines, with tender activity holding up in transport, water and grid-related programs. Industrial experienced a more uneven pattern, as short-cycle orders softened in selected equipment categories while longer-cycle contract awards remained resilient. Consumer channels showed more normal replenishment behavior after earlier inventory resets, and Digital Services sustained recurring bookings through renewals and cross-sell activity.</w:t>
      </w:r>
    </w:p>
    <w:p w14:paraId="001004E9" w14:textId="001004EA">
      <w:pPr>
        <w:pStyle w:val="Normal"/>
        <w:jc w:val="left"/>
      </w:pPr>
      <w:r>
        <w:t xml:space="preserve">As a result, year-end backlog remained at a healthy level and provided useful revenue visibility entering the new financial year. The quality of backlog also improved, with a higher share of contracts linked to framework agreements, service bundles and software subscriptions, which typically carry better forecasting reliability than purely transactional volumes. Management continues to monitor backlog conversion closely, particularly in businesses exposed to permit timing, customer capital approval cycles and shipment scheduling. Overall, order trends do not indicate a broad-based contraction, but they do support a planning stance that distinguishes clearly between structurally supported demand and demand that remains sensitive to short-term macroeconomic shifts.</w:t>
      </w:r>
    </w:p>
    <w:p w14:paraId="001004EB" w14:textId="001004EC">
      <w:pPr>
        <w:pStyle w:val="Normal"/>
        <w:jc w:val="left"/>
      </w:pPr>
      <w:r>
        <w:t xml:space="preserve">Customer behavior through the year reflected a more selective purchasing environment rather than a uniform weakening in end demand. In Infrastructure, customers prioritized reliability, compliance and delivery certainty, especially on projects tied to regulated assets and mission-critical maintenance. In Industrial, many customers continued to place orders, but with tighter release schedules, smaller batch sizes and greater focus on payback. Consumer markets remained competitive, with retail and distributor partners seeking balanced inventory levels and stronger promotional effectiveness before committing to larger forward volumes. In Digital Services, enterprise clients generally preserved spending on essential workflow, monitoring and analytics tools, while discretionary transformation projects moved through more rigorous approval gates.</w:t>
      </w:r>
    </w:p>
    <w:p w14:paraId="001004ED" w14:textId="001004EE">
      <w:pPr>
        <w:pStyle w:val="Normal"/>
        <w:jc w:val="left"/>
      </w:pPr>
      <w:r>
        <w:t xml:space="preserve">This pattern has implications for both sales execution and forecasting discipline. Customers are rewarding suppliers that can offer visible service levels, technical support and flexible fulfillment, while showing less tolerance for inconsistent lead times or unproven price increases. The Group therefore sees current demand as opportunity-rich but execution-sensitive: share can be gained where customer intimacy, account coverage and value demonstration are strong, yet volume can also shift quickly where procurement teams defer nonessential purchases. Management's assessment is that the customer base remains fundamentally engaged, but demand conversion increasingly depends on responsiveness, segment-specific propositions and disciplined qualification of the pipeline.</w:t>
      </w:r>
    </w:p>
    <w:p w14:paraId="001004EF" w14:textId="001004F0">
      <w:pPr>
        <w:pStyle w:val="Heading5"/>
        <w:jc w:val="left"/>
      </w:pPr>
      <w:r>
        <w:t xml:space="preserve">Price Environment</w:t>
      </w:r>
    </w:p>
    <w:p w14:paraId="001004F1" w14:textId="001004F2">
      <w:pPr>
        <w:pStyle w:val="Normal"/>
        <w:jc w:val="left"/>
      </w:pPr>
      <w:r>
        <w:t xml:space="preserve">Inflationary pressure eased compared with the peak levels experienced in the previous period, but input costs did not normalize uniformly across the portfolio. Certain raw materials and purchased components stabilized, and freight markets became less volatile, which reduced the intensity of emergency sourcing and expedited logistics costs. At the same time, labor inflation remained persistent in several operating regions, particularly for skilled production, digital engineering and field service roles. Energy prices improved from prior spikes but continued to move unevenly by market, leaving some facilities exposed to higher contracted rates for part of the year.</w:t>
      </w:r>
    </w:p>
    <w:p w14:paraId="001004F3" w14:textId="001004F4">
      <w:pPr>
        <w:pStyle w:val="Normal"/>
        <w:jc w:val="left"/>
      </w:pPr>
      <w:r>
        <w:t xml:space="preserve">The practical result was a cost environment that shifted from acute disruption to ongoing embedded pressure. This is an important distinction for management planning. Rather than absorbing abrupt monthly shocks, businesses increasingly faced structurally higher cost baselines in wages, outsourced services, compliance and technology support. For Rivermark Group, that meant inflation was no longer primarily a crisis-management issue; it became a margin-management issue requiring better procurement discipline, more consistent productivity action and selective pricing follow-through. The moderation in headline inflation was therefore helpful, but it did not remove the need for active cost recovery and careful review of contract economics, especially in businesses with fixed-price commitments or delayed repricing cycles.</w:t>
      </w:r>
    </w:p>
    <w:p w14:paraId="001004F5" w14:textId="001004F6">
      <w:pPr>
        <w:pStyle w:val="Normal"/>
        <w:jc w:val="left"/>
      </w:pPr>
      <w:r>
        <w:t xml:space="preserve">The Group maintained a disciplined approach to pricing throughout the year, aiming to protect margin without sacrificing strategic customer relationships or future share positions. Pricing decisions were increasingly based on account-level economics, product mix and service content rather than broad list adjustments alone. In contractual businesses, repricing mechanisms were pursued through indexed clauses, annual resets and scope-based change orders where cost-to-serve had materially shifted. In more transactional markets, teams focused on mix improvement, discount governance and targeted increases in categories where the value proposition remained differentiated.</w:t>
      </w:r>
    </w:p>
    <w:p w14:paraId="001004F7" w14:textId="001004F8">
      <w:pPr>
        <w:pStyle w:val="Normal"/>
        <w:jc w:val="left"/>
      </w:pPr>
      <w:r>
        <w:t xml:space="preserve">This approach produced a more balanced outcome than simple price chasing. In segments where customers were under budget pressure, Rivermark Group avoided undisciplined discounting and instead emphasized total-cost-of-ownership arguments, service reliability and bundled offerings. In areas with stronger differentiation, management supported firmer pricing where quality, compliance or software-enabled functionality created clear customer value. The discipline also extended to bid approval processes, where new business was screened more carefully for margin adequacy, escalation protection and cash profile. As a result, pricing remained a deliberate lever for quality of revenue rather than a short-term volume tool, helping the Group recover a meaningful portion of cost inflation while preserving commercial credibility across its core markets.</w:t>
      </w:r>
    </w:p>
    <w:p w14:paraId="001004F9" w14:textId="001004FA">
      <w:pPr>
        <w:pStyle w:val="Heading4a"/>
        <w:jc w:val="left"/>
      </w:pPr>
      <w:r>
        <w:t xml:space="preserve">Management Response</w:t>
      </w:r>
    </w:p>
    <w:p w14:paraId="001004FB" w14:textId="001004FC">
      <w:pPr>
        <w:pStyle w:val="Normal"/>
        <w:jc w:val="left"/>
      </w:pPr>
      <w:r>
        <w:t xml:space="preserve">Management's response to the year's market conditions combined immediate execution measures with programs intended to strengthen the Group's medium-term earnings quality. The response framework was built around three linked priorities: protecting demand through closer customer engagement, preserving margin through pricing and productivity, and directing capital toward areas with the best resilience and return profile. Rather than applying a single Group-wide playbook, Rivermark Group adjusted actions by segment, recognizing that contract-led infrastructure demand, industrial order timing, consumer channel dynamics and recurring digital revenues each require different operating responses.</w:t>
      </w:r>
    </w:p>
    <w:p w14:paraId="001004FD" w14:textId="001004FE">
      <w:pPr>
        <w:pStyle w:val="Normal"/>
        <w:jc w:val="left"/>
      </w:pPr>
      <w:r>
        <w:t xml:space="preserve">At Group level, the Executive Team increased the cadence of commercial and operational reviews, with tighter visibility on orders, backlog conversion, gross margin, working capital and discretionary spend. Account-level pipeline scrutiny was reinforced in businesses facing slower customer decisions, while sourcing and productivity actions were accelerated where inflation remained sticky. Capital commitments were also prioritized more selectively, favoring projects that supported capacity bottlenecks, digital enablement, service attachment and recurring revenue expansion. This response program was designed not only to manage short-term variability, but also to improve the Group's ability to react faster to changing conditions, allocate resources with greater discipline and carry stronger momentum into the next reporting period.</w:t>
      </w:r>
    </w:p>
    <w:p w14:paraId="001004FF" w14:textId="00100500">
      <w:pPr>
        <w:pStyle w:val="Heading5"/>
        <w:jc w:val="left"/>
      </w:pPr>
      <w:r>
        <w:t xml:space="preserve">Near-Term Actions</w:t>
      </w:r>
    </w:p>
    <w:p w14:paraId="00100501" w14:textId="00100502">
      <w:pPr>
        <w:pStyle w:val="Normal"/>
        <w:jc w:val="left"/>
      </w:pPr>
      <w:r>
        <w:t xml:space="preserve">In the near term, commercial actions centered on tighter market segmentation, stronger account coverage and more active conversion of qualified backlog into realized revenue. Sales teams were directed to focus on opportunities with clearer funding visibility, faster decision paths and stronger aftermarket or recurring service potential. In Infrastructure, this meant prioritizing framework agreements, maintenance-linked work and projects with established customer approvals. In Industrial, the emphasis was on defending core accounts, improving quote turnaround and increasing share of wallet in applications where Rivermark Group retains technical differentiation. Consumer teams concentrated on channel discipline, assortment effectiveness and promotional return, while Digital Services expanded renewal management and targeted cross-sell campaigns into the existing client base.</w:t>
      </w:r>
    </w:p>
    <w:p w14:paraId="00100503" w14:textId="00100504">
      <w:pPr>
        <w:pStyle w:val="Normal"/>
        <w:jc w:val="left"/>
      </w:pPr>
      <w:r>
        <w:t xml:space="preserve">Management also sharpened commercial governance. Bid and pricing approvals were tightened for lower-margin business, pipeline assumptions were reviewed more frequently and incentive plans were aligned more closely with profitable growth rather than volume alone. Customer-facing teams received clearer guidance on value selling, including lifecycle cost arguments, reliability metrics and bundled service propositions. These actions are intended to improve demand conversion quality, reduce revenue volatility from uncertain opportunities and support healthier mix development. In a market that still offers opportunity but rewards precision, the Group's near-term commercial agenda is to win selectively, execute faster and deepen revenue from established customer relationships.</w:t>
      </w:r>
    </w:p>
    <w:p w14:paraId="00100505" w14:textId="00100506">
      <w:pPr>
        <w:pStyle w:val="Normal"/>
        <w:jc w:val="left"/>
      </w:pPr>
      <w:r>
        <w:t xml:space="preserve">Cost actions in the near term focused on protecting earnings without impairing service levels, safety standards or strategic growth capability. Procurement teams intensified supplier negotiations, consolidated selected spend categories and increased use of dual sourcing where resilience and cost benefits could be achieved together. Operations concentrated on labor productivity, shift planning, plant scheduling and reduction of avoidable rework, scrap and expedited freight. Corporate and segment leadership also reviewed discretionary overhead line by line, moderating travel, external advisory spend and nonessential program costs where the payback was not immediate or well evidenced.</w:t>
      </w:r>
    </w:p>
    <w:p w14:paraId="00100507" w14:textId="00100508">
      <w:pPr>
        <w:pStyle w:val="Normal"/>
        <w:jc w:val="left"/>
      </w:pPr>
      <w:r>
        <w:t xml:space="preserve">Importantly, management distinguished between structural cost action and temporary containment. Temporary controls included slower hiring in noncritical support roles, stricter authorization thresholds and tighter timing of discretionary projects. Structural actions included network optimization studies, automation opportunities in repetitive processes, simplification of SKUs and better use of shared services in finance, procurement and selected digital support activities. The aim was not to drive indiscriminate cuts, but to improve the elasticity of the cost base as market conditions evolve. By pairing these measures with ongoing service and commercial priorities, Rivermark Group seeks to preserve margin resilience now while also creating a more efficient operating platform for future growth.</w:t>
      </w:r>
    </w:p>
    <w:p w14:paraId="00100509" w14:textId="0010050A">
      <w:pPr>
        <w:pStyle w:val="Heading5"/>
        <w:jc w:val="left"/>
      </w:pPr>
      <w:r>
        <w:t xml:space="preserve">Medium-Term Moves</w:t>
      </w:r>
    </w:p>
    <w:p w14:paraId="0010050B" w14:textId="0010050C">
      <w:pPr>
        <w:pStyle w:val="Normal"/>
        <w:jc w:val="left"/>
      </w:pPr>
      <w:r>
        <w:t xml:space="preserve">Capacity actions during the year were directed toward flexibility rather than indiscriminate expansion. Rivermark Group continued to add selective capacity in categories where order visibility, customer retention and service economics supported investment, while holding back in markets that remained volatile or structurally over-supplied. In Infrastructure, the Group debottlenecked two fabrication lines and expanded field-service scheduling capacity to reduce project lead times during seasonal peaks. In Industrial, management rebalanced production between legacy sites and newer automated cells, improving utilization and lowering reliance on overtime. In Consumer, the emphasis was on network simplification, with slower-moving stock-keeping units removed to free line time for higher-turn products. Digital Services required less physical capacity, but platform hosting architecture was upgraded to support higher transaction volumes without a proportional increase in support cost.</w:t>
      </w:r>
    </w:p>
    <w:p w14:paraId="0010050D" w14:textId="0010050E">
      <w:pPr>
        <w:pStyle w:val="Normal"/>
        <w:jc w:val="left"/>
      </w:pPr>
      <w:r>
        <w:t xml:space="preserve">These moves were accompanied by a tighter review of asset productivity. Site-level hurdle rates, utilization thresholds and payback expectations were applied more consistently, with underperforming assets either repurposed, consolidated or placed under turnaround plans. The practical outcome was a better match between available capacity and demand quality rather than simple demand quantity. That distinction matters in the current environment, where customers continue to prioritize reliability, responsiveness and delivery certainty. Looking ahead, Rivermark Group expects capacity spending to remain targeted, with priority given to bottleneck removal, automation and selective regional reinforcement in markets showing durable backlog support. Overall, the year demonstrated that disciplined capacity management can protect service levels and margin resilience at the same time.</w:t>
      </w:r>
    </w:p>
    <w:p w14:paraId="0010050F" w14:textId="00100510">
      <w:pPr>
        <w:pStyle w:val="Normal"/>
        <w:jc w:val="left"/>
      </w:pPr>
      <w:r>
        <w:t xml:space="preserve">Rivermark Group also advanced a series of digital and portfolio actions intended to improve quality of earnings and sharpen strategic focus. On the digital side, the Group expanded common data standards across reporting units, improved demand-planning tools in customer-facing businesses and increased the use of workflow automation in finance, procurement and service operations. These initiatives were not positioned as standalone technology projects; they were tied to specific operating outcomes such as faster quotation cycles, lower manual rework, improved inventory visibility and better pricing discipline. Early results were most visible in Digital Services and Industrial, where better dashboarding and process integration supported quicker management intervention and a more consistent monthly operating cadence.</w:t>
      </w:r>
    </w:p>
    <w:p w14:paraId="00100511" w14:textId="00100512">
      <w:pPr>
        <w:pStyle w:val="Normal"/>
        <w:jc w:val="left"/>
      </w:pPr>
      <w:r>
        <w:t xml:space="preserve">Portfolio actions were equally pragmatic. Management continued to assess each business against returns, strategic fit and scalability, resulting in a more active review of subscale activities and non-core product lines. Smaller exits and product rationalizations helped release management attention and working capital, while bolt-on opportunities remained focused on capabilities that strengthened service density, recurring revenue or access to attractive end markets. The Group did not pursue expansion for its own sake; transaction discipline remained anchored in integration feasibility and post-deal returns. Together, the digital program and portfolio reshaping support the same objective: a simpler, more data-driven and more resilient operating model. As Rivermark Group enters the next reporting year, these moves are expected to reinforce execution quality while creating additional room for profitable growth in the businesses with the strongest structural prospects.</w:t>
      </w:r>
    </w:p>
    <w:p w14:paraId="00101671" w14:textId="00101672">
      <w:pPr>
        <w:pStyle w:val="Normal"/>
        <w:jc w:val="left"/>
        <w:sectPr>
          <w:type w:val="nextPage"/>
          <w:pgSz w:w="11906" w:h="16838"/>
          <w:pgMar w:top="1440" w:right="1440" w:bottom="1440" w:left="1440" w:header="1440" w:footer="1440" w:gutter="0"/>
          <w:cols w:space="720" w:num="1"/>
        </w:sectPr>
      </w:pPr>
    </w:p>
    <w:p w14:paraId="00100517" w14:textId="00100518">
      <w:pPr>
        <w:pStyle w:val="Heading1a"/>
        <w:jc w:val="left"/>
      </w:pPr>
      <w:r>
        <w:t xml:space="preserve">Infrastructure Segment</w:t>
      </w:r>
    </w:p>
    <w:p w14:paraId="00100519" w14:textId="0010051B">
      <w:pPr>
        <w:pStyle w:val="Normal"/>
        <w:jc w:val="left"/>
      </w:pPr>
      <w:r>
        <w:t xml:space="preserve">Overall performance:</w:t>
      </w:r>
      <w:r>
        <w:t xml:space="preserve"> the Infrastructure Segment delivered a resilient year against a mixed market backdrop, supported by stable maintenance demand, disciplined contract selection, and improved execution on complex project work. The segment serves public utilities, transport operators, industrial site owners, and municipal customers through construction, upgrade, inspection, and asset-support services. Activity remained strongest in regulated and mission-critical infrastructure, where customers continued to prioritize reliability, network renewal, and lifecycle efficiency even as approval cycles for some discretionary capital projects lengthened.</w:t>
        <w:br/>
        <w:t xml:space="preserve">Commercially, the segment benefited from a broader order mix and stronger retention in recurring service programs, which helped offset timing variation in larger one-off contracts. Management maintained a selective bidding approach, emphasizing margin quality, technical fit, and cash terms rather than volume alone. Operationally, attention was directed to labor utilization, subcontractor control, site scheduling, and procurement discipline, with these measures contributing to steadier delivery performance through the second half.</w:t>
        <w:br/>
        <w:t xml:space="preserve">Looking across the year, the main themes were backlog quality, execution consistency, and conversion of investment-led demand into profitable revenue. Infrastructure remains a strategically important business for Rivermark Group because it combines visible medium-term demand with opportunities to deepen customer relationships through bundled field service, engineering support, and digital asset-monitoring solutions. While cost inflation and permit timing continued to affect project pacing in some markets, the segment ended the year with sound momentum, a balanced pipeline, and clear priorities for operational improvement and disciplined growth.</w:t>
      </w:r>
    </w:p>
    <w:p w14:paraId="0010051C" w14:textId="0010051D">
      <w:pPr>
        <w:pStyle w:val="Normal"/>
        <w:jc w:val="left"/>
      </w:pPr>
      <w:r>
        <w:drawing>
          <wp:inline distT="0" distB="0" distL="0" distR="0">
            <wp:extent cx="5040000" cy="3240000"/>
            <wp:effectExtent l="0" t="0" r="0" b="0"/>
            <wp:docPr id="10" name="Fig-I07-01.png" descr=""/>
            <wp:cNvGraphicFramePr>
              <a:graphicFrameLocks noChangeAspect="1"/>
            </wp:cNvGraphicFramePr>
            <a:graphic>
              <a:graphicData uri="http://schemas.openxmlformats.org/drawingml/2006/picture">
                <pic:pic>
                  <pic:nvPicPr>
                    <pic:cNvPr id="10" name="Fig-I07-01.png"/>
                    <pic:cNvPicPr/>
                  </pic:nvPicPr>
                  <pic:blipFill>
                    <a:blip r:embed="Rd6cf32b488144828" cstate="print"/>
                    <a:stretch>
                      <a:fillRect/>
                    </a:stretch>
                  </pic:blipFill>
                  <pic:spPr>
                    <a:xfrm>
                      <a:off x="0" y="0"/>
                      <a:ext cx="4680000" cy="2880000"/>
                    </a:xfrm>
                    <a:prstGeom prst="rect">
                      <a:avLst/>
                    </a:prstGeom>
                  </pic:spPr>
                </pic:pic>
              </a:graphicData>
            </a:graphic>
          </wp:inline>
        </w:drawing>
      </w:r>
    </w:p>
    <w:p w14:paraId="0010051E" w14:textId="0010051F">
      <w:pPr>
        <w:pStyle w:val="Normal"/>
        <w:jc w:val="left"/>
      </w:pPr>
      <w:r>
        <w:t xml:space="preserve">Figure 21 Infrastructure Segment project delivery operations at a regional utility upgrade site</w:t>
      </w:r>
    </w:p>
    <w:p w14:paraId="00100520" w14:textId="00100521">
      <w:pPr>
        <w:pStyle w:val="Heading2a"/>
        <w:jc w:val="left"/>
      </w:pPr>
      <w:r>
        <w:t xml:space="preserve">Segment Overview</w:t>
      </w:r>
    </w:p>
    <w:p w14:paraId="00100522" w14:textId="00100523">
      <w:pPr>
        <w:pStyle w:val="Normal"/>
        <w:jc w:val="left"/>
      </w:pPr>
      <w:r>
        <w:t xml:space="preserve">The Infrastructure Segment brings together Rivermark Group businesses focused on essential physical networks and long-life assets, including utility services, civil and field operations, technical maintenance, and related support solutions. Its customer base spans power and water operators, transportation authorities, telecommunications infrastructure owners, industrial campuses, and public-sector asset managers. The operating model combines recurring service contracts with project-based work, giving the segment both baseline revenue stability and exposure to network modernization and capacity expansion programs.</w:t>
      </w:r>
    </w:p>
    <w:p w14:paraId="00100524" w14:textId="00100525">
      <w:pPr>
        <w:pStyle w:val="Normal"/>
        <w:jc w:val="left"/>
      </w:pPr>
      <w:r>
        <w:t xml:space="preserve">The segment’s performance should be read through a set of core indicators: revenue growth, order intake, backlog coverage, operating margin, cash conversion, safety outcomes, and on-time project delivery. Revenue and backlog together show the underlying demand environment and the visibility of future work. Margin performance reflects bidding discipline, labor productivity, procurement control, and contract mix. Cash conversion remains particularly important in infrastructure activities because milestone timing, retention balances, and working-capital swings can materially affect reported results even when operating activity remains strong.</w:t>
      </w:r>
    </w:p>
    <w:p w14:paraId="00100526" w14:textId="00100527">
      <w:pPr>
        <w:pStyle w:val="Normal"/>
        <w:jc w:val="left"/>
      </w:pPr>
      <w:r>
        <w:t xml:space="preserve">During the year, management also tracked service-contract renewals, project completion quality, and utilization across engineering, field, and specialist technical teams. These measures provide a fuller picture than revenue alone, as they indicate whether growth is being achieved on terms consistent with Rivermark Group’s return thresholds. In that context, the segment entered the year with a solid installed customer base and ended it with improved operational visibility, positioning it to pursue selective expansion while protecting margin quality and execution standards.</w:t>
      </w:r>
    </w:p>
    <w:p w14:paraId="00100528" w14:textId="00100529">
      <w:pPr>
        <w:pStyle w:val="Normal"/>
        <w:jc w:val="left"/>
      </w:pPr>
      <w:r>
        <w:t xml:space="preserve">Table 12 Infrastructure Segment overview KPIs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52A" w14:textId="0010055A">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52C" w14:textId="0010055B">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52E" w14:textId="0010055C">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530" w14:textId="0010055D">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532" w14:textId="0010055E">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534" w14:textId="0010055F">
            <w:pPr>
              <w:pStyle w:val="Normal"/>
              <w:jc w:val="left"/>
            </w:pPr>
            <w:r>
              <w:t xml:space="preserve">1,284</w:t>
            </w:r>
          </w:p>
        </w:tc>
        <w:tc>
          <w:tcPr>
            <w:vAlign w:val="center"/>
            <w:tcBorders>
              <w:top w:val="single" w:sz="4" w:space="0" w:color="auto"/>
              <w:left w:val="single" w:sz="4" w:space="0" w:color="auto"/>
              <w:bottom w:val="single" w:sz="4" w:space="0" w:color="auto"/>
              <w:right w:val="single" w:sz="4" w:space="0" w:color="auto"/>
            </w:tcBorders>
          </w:tcPr>
          <w:p w14:paraId="00100536" w14:textId="00100560">
            <w:pPr>
              <w:pStyle w:val="Normal"/>
              <w:jc w:val="left"/>
            </w:pPr>
            <w:r>
              <w:t xml:space="preserve">1,196</w:t>
            </w:r>
          </w:p>
        </w:tc>
        <w:tc>
          <w:tcPr>
            <w:vAlign w:val="center"/>
            <w:tcBorders>
              <w:top w:val="single" w:sz="4" w:space="0" w:color="auto"/>
              <w:left w:val="single" w:sz="4" w:space="0" w:color="auto"/>
              <w:bottom w:val="single" w:sz="4" w:space="0" w:color="auto"/>
              <w:right w:val="single" w:sz="4" w:space="0" w:color="auto"/>
            </w:tcBorders>
          </w:tcPr>
          <w:p w14:paraId="00100538" w14:textId="00100561">
            <w:pPr>
              <w:pStyle w:val="Normal"/>
              <w:jc w:val="left"/>
            </w:pPr>
            <w:r>
              <w:t xml:space="preserve">+7.4%</w:t>
            </w:r>
          </w:p>
        </w:tc>
      </w:tr>
      <w:tr>
        <w:tc>
          <w:tcPr>
            <w:vAlign w:val="center"/>
            <w:tcBorders>
              <w:top w:val="single" w:sz="4" w:space="0" w:color="auto"/>
              <w:left w:val="single" w:sz="4" w:space="0" w:color="auto"/>
              <w:bottom w:val="single" w:sz="4" w:space="0" w:color="auto"/>
              <w:right w:val="single" w:sz="4" w:space="0" w:color="auto"/>
            </w:tcBorders>
          </w:tcPr>
          <w:p w14:paraId="0010053A" w14:textId="00100562">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53C" w14:textId="00100563">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53E" w14:textId="00100564">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540" w14:textId="00100565">
            <w:pPr>
              <w:pStyle w:val="Normal"/>
              <w:jc w:val="left"/>
            </w:pPr>
            <w:r>
              <w:t xml:space="preserve">+0.8 pts</w:t>
            </w:r>
          </w:p>
        </w:tc>
      </w:tr>
      <w:tr>
        <w:tc>
          <w:tcPr>
            <w:vAlign w:val="center"/>
            <w:tcBorders>
              <w:top w:val="single" w:sz="4" w:space="0" w:color="auto"/>
              <w:left w:val="single" w:sz="4" w:space="0" w:color="auto"/>
              <w:bottom w:val="single" w:sz="4" w:space="0" w:color="auto"/>
              <w:right w:val="single" w:sz="4" w:space="0" w:color="auto"/>
            </w:tcBorders>
          </w:tcPr>
          <w:p w14:paraId="00100542" w14:textId="00100566">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544" w14:textId="00100567">
            <w:pPr>
              <w:pStyle w:val="Normal"/>
              <w:jc w:val="left"/>
            </w:pPr>
            <w:r>
              <w:t xml:space="preserve">168</w:t>
            </w:r>
          </w:p>
        </w:tc>
        <w:tc>
          <w:tcPr>
            <w:vAlign w:val="center"/>
            <w:tcBorders>
              <w:top w:val="single" w:sz="4" w:space="0" w:color="auto"/>
              <w:left w:val="single" w:sz="4" w:space="0" w:color="auto"/>
              <w:bottom w:val="single" w:sz="4" w:space="0" w:color="auto"/>
              <w:right w:val="single" w:sz="4" w:space="0" w:color="auto"/>
            </w:tcBorders>
          </w:tcPr>
          <w:p w14:paraId="00100546" w14:textId="00100568">
            <w:pPr>
              <w:pStyle w:val="Normal"/>
              <w:jc w:val="left"/>
            </w:pPr>
            <w:r>
              <w:t xml:space="preserve">149</w:t>
            </w:r>
          </w:p>
        </w:tc>
        <w:tc>
          <w:tcPr>
            <w:vAlign w:val="center"/>
            <w:tcBorders>
              <w:top w:val="single" w:sz="4" w:space="0" w:color="auto"/>
              <w:left w:val="single" w:sz="4" w:space="0" w:color="auto"/>
              <w:bottom w:val="single" w:sz="4" w:space="0" w:color="auto"/>
              <w:right w:val="single" w:sz="4" w:space="0" w:color="auto"/>
            </w:tcBorders>
          </w:tcPr>
          <w:p w14:paraId="00100548" w14:textId="00100569">
            <w:pPr>
              <w:pStyle w:val="Normal"/>
              <w:jc w:val="left"/>
            </w:pPr>
            <w:r>
              <w:t xml:space="preserve">+12.8%</w:t>
            </w:r>
          </w:p>
        </w:tc>
      </w:tr>
      <w:tr>
        <w:tc>
          <w:tcPr>
            <w:vAlign w:val="center"/>
            <w:tcBorders>
              <w:top w:val="single" w:sz="4" w:space="0" w:color="auto"/>
              <w:left w:val="single" w:sz="4" w:space="0" w:color="auto"/>
              <w:bottom w:val="single" w:sz="4" w:space="0" w:color="auto"/>
              <w:right w:val="single" w:sz="4" w:space="0" w:color="auto"/>
            </w:tcBorders>
          </w:tcPr>
          <w:p w14:paraId="0010054A" w14:textId="0010056A">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54C" w14:textId="0010056B">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54E" w14:textId="0010056C">
            <w:pPr>
              <w:pStyle w:val="Normal"/>
              <w:jc w:val="left"/>
            </w:pPr>
            <w:r>
              <w:t xml:space="preserve">69</w:t>
            </w:r>
          </w:p>
        </w:tc>
        <w:tc>
          <w:tcPr>
            <w:vAlign w:val="center"/>
            <w:tcBorders>
              <w:top w:val="single" w:sz="4" w:space="0" w:color="auto"/>
              <w:left w:val="single" w:sz="4" w:space="0" w:color="auto"/>
              <w:bottom w:val="single" w:sz="4" w:space="0" w:color="auto"/>
              <w:right w:val="single" w:sz="4" w:space="0" w:color="auto"/>
            </w:tcBorders>
          </w:tcPr>
          <w:p w14:paraId="00100550" w14:textId="0010056D">
            <w:pPr>
              <w:pStyle w:val="Normal"/>
              <w:jc w:val="left"/>
            </w:pPr>
            <w:r>
              <w:t xml:space="preserve">+7.2%</w:t>
            </w:r>
          </w:p>
        </w:tc>
      </w:tr>
      <w:tr>
        <w:tc>
          <w:tcPr>
            <w:vAlign w:val="center"/>
            <w:tcBorders>
              <w:top w:val="single" w:sz="4" w:space="0" w:color="auto"/>
              <w:left w:val="single" w:sz="4" w:space="0" w:color="auto"/>
              <w:bottom w:val="single" w:sz="4" w:space="0" w:color="auto"/>
              <w:right w:val="single" w:sz="4" w:space="0" w:color="auto"/>
            </w:tcBorders>
          </w:tcPr>
          <w:p w14:paraId="00100552" w14:textId="0010056E">
            <w:pPr>
              <w:pStyle w:val="Normal"/>
              <w:jc w:val="left"/>
            </w:pPr>
            <w:r>
              <w:t xml:space="preserve">Order backlog</w:t>
            </w:r>
          </w:p>
        </w:tc>
        <w:tc>
          <w:tcPr>
            <w:vAlign w:val="center"/>
            <w:tcBorders>
              <w:top w:val="single" w:sz="4" w:space="0" w:color="auto"/>
              <w:left w:val="single" w:sz="4" w:space="0" w:color="auto"/>
              <w:bottom w:val="single" w:sz="4" w:space="0" w:color="auto"/>
              <w:right w:val="single" w:sz="4" w:space="0" w:color="auto"/>
            </w:tcBorders>
          </w:tcPr>
          <w:p w14:paraId="00100554" w14:textId="0010056F">
            <w:pPr>
              <w:pStyle w:val="Normal"/>
              <w:jc w:val="left"/>
            </w:pPr>
            <w:r>
              <w:t xml:space="preserve">1,012</w:t>
            </w:r>
          </w:p>
        </w:tc>
        <w:tc>
          <w:tcPr>
            <w:vAlign w:val="center"/>
            <w:tcBorders>
              <w:top w:val="single" w:sz="4" w:space="0" w:color="auto"/>
              <w:left w:val="single" w:sz="4" w:space="0" w:color="auto"/>
              <w:bottom w:val="single" w:sz="4" w:space="0" w:color="auto"/>
              <w:right w:val="single" w:sz="4" w:space="0" w:color="auto"/>
            </w:tcBorders>
          </w:tcPr>
          <w:p w14:paraId="00100556" w14:textId="00100570">
            <w:pPr>
              <w:pStyle w:val="Normal"/>
              <w:jc w:val="left"/>
            </w:pPr>
            <w:r>
              <w:t xml:space="preserve">934</w:t>
            </w:r>
          </w:p>
        </w:tc>
        <w:tc>
          <w:tcPr>
            <w:vAlign w:val="center"/>
            <w:tcBorders>
              <w:top w:val="single" w:sz="4" w:space="0" w:color="auto"/>
              <w:left w:val="single" w:sz="4" w:space="0" w:color="auto"/>
              <w:bottom w:val="single" w:sz="4" w:space="0" w:color="auto"/>
              <w:right w:val="single" w:sz="4" w:space="0" w:color="auto"/>
            </w:tcBorders>
          </w:tcPr>
          <w:p w14:paraId="00100558" w14:textId="00100571">
            <w:pPr>
              <w:pStyle w:val="Normal"/>
              <w:jc w:val="left"/>
            </w:pPr>
            <w:r>
              <w:t xml:space="preserve">+8.4%</w:t>
            </w:r>
          </w:p>
        </w:tc>
      </w:tr>
    </w:tbl>
    <w:p w14:paraId="00100572" w14:textId="00100573">
      <w:pPr>
        <w:pStyle w:val="Heading3a"/>
        <w:jc w:val="left"/>
      </w:pPr>
      <w:r>
        <w:t xml:space="preserve">Business Scope</w:t>
      </w:r>
    </w:p>
    <w:p w14:paraId="00100574" w14:textId="00100575">
      <w:pPr>
        <w:pStyle w:val="Normal"/>
        <w:jc w:val="left"/>
      </w:pPr>
      <w:r>
        <w:t xml:space="preserve">The Infrastructure Segment provides integrated solutions across civil maintenance, utilities support, transport corridor services, and selected project delivery activities. Its work is anchored in long-duration service contracts and recurring asset support programs for municipal authorities, transport operators, industrial site owners, and regulated utility customers. This mix gives the segment a balance between contracted baseline revenue and selectively bid growth opportunities, while limiting exposure to short-cycle discretionary demand.</w:t>
      </w:r>
    </w:p>
    <w:p w14:paraId="00100576" w14:textId="00100577">
      <w:pPr>
        <w:pStyle w:val="Normal"/>
        <w:jc w:val="left"/>
      </w:pPr>
      <w:r>
        <w:t xml:space="preserve">Operationally, the segment combines field execution, asset inspection, planned maintenance, emergency response, and project management capabilities. Rivermark Group positions this business around the full service chain, from network assessment and work-pack planning through mobilization, delivery, and after-service reporting. The operating model relies on route density, technician utilization, and disciplined contract governance to convert scale into stable returns. Management describes this as an asset-light but capability-intensive platform, with a strong emphasis on local responsiveness and repeatable execution standards.</w:t>
      </w:r>
    </w:p>
    <w:p w14:paraId="00100578" w14:textId="0010057B">
      <w:pPr>
        <w:pStyle w:val="Normal"/>
        <w:jc w:val="left"/>
      </w:pPr>
      <w:r>
        <w:t xml:space="preserve">The customer footprint remains broad across urban and regional markets, with service depots, mobile crews, and supervisory offices located near critical customer assets. This proximity supports response-time commitments and strengthens retention under framework agreements. The segment’s principal geographic concentration is in Rivermark Group’s home market, supplemented by adjacent cross-border contracts in neighboring territories. Its commercial profile therefore reflects a blend of defensive infrastructure exposure and targeted expansion in higher-value, technology-enabled maintenance services, including remote diagnostics and other elements of </w:t>
      </w:r>
      <w:r>
        <w:t xml:space="preserve">predictive maintenance</w:t>
      </w:r>
      <w:r>
        <w:t xml:space="preserve">.</w:t>
      </w:r>
    </w:p>
    <w:p w14:paraId="0010057C" w14:textId="0010057D">
      <w:pPr>
        <w:pStyle w:val="Normal"/>
        <w:jc w:val="left"/>
      </w:pPr>
      <w:r>
        <w:drawing>
          <wp:inline distT="0" distB="0" distL="0" distR="0">
            <wp:extent cx="4680000" cy="2520000"/>
            <wp:effectExtent l="0" t="0" r="0" b="0"/>
            <wp:docPr id="11" name="Fig-I07-02.png" descr=""/>
            <wp:cNvGraphicFramePr>
              <a:graphicFrameLocks noChangeAspect="1"/>
            </wp:cNvGraphicFramePr>
            <a:graphic>
              <a:graphicData uri="http://schemas.openxmlformats.org/drawingml/2006/picture">
                <pic:pic>
                  <pic:nvPicPr>
                    <pic:cNvPr id="11" name="Fig-I07-02.png"/>
                    <pic:cNvPicPr/>
                  </pic:nvPicPr>
                  <pic:blipFill>
                    <a:blip r:embed="R5b7d0044d8a04ef3" cstate="print"/>
                    <a:stretch>
                      <a:fillRect/>
                    </a:stretch>
                  </pic:blipFill>
                  <pic:spPr>
                    <a:xfrm>
                      <a:off x="0" y="0"/>
                      <a:ext cx="5040000" cy="2880000"/>
                    </a:xfrm>
                    <a:prstGeom prst="rect">
                      <a:avLst/>
                    </a:prstGeom>
                  </pic:spPr>
                </pic:pic>
              </a:graphicData>
            </a:graphic>
          </wp:inline>
        </w:drawing>
      </w:r>
    </w:p>
    <w:p w14:paraId="0010057E" w14:textId="0010057F">
      <w:pPr>
        <w:pStyle w:val="Normal"/>
        <w:jc w:val="left"/>
      </w:pPr>
      <w:r>
        <w:t xml:space="preserve">Figure 14 Infrastructure Segment service footprint by market and site type</w:t>
      </w:r>
    </w:p>
    <w:p w14:paraId="00100580" w14:textId="00100581">
      <w:pPr>
        <w:pStyle w:val="Heading3a"/>
        <w:jc w:val="left"/>
      </w:pPr>
      <w:r>
        <w:t xml:space="preserve">Year at a Glance</w:t>
      </w:r>
    </w:p>
    <w:p w14:paraId="00100582" w14:textId="00100583">
      <w:pPr>
        <w:pStyle w:val="Normal"/>
        <w:jc w:val="left"/>
      </w:pPr>
      <w:r>
        <w:t xml:space="preserve">The Infrastructure Segment delivered a solid year of growth and improved operating quality. Revenue increased to 1,284, supported by renewed framework agreements, better activity levels in transport and utility maintenance, and a fuller contribution from multi-year municipal programs mobilized late in the prior year. The revenue outcome was matched by margin progress, with operating margin rising to 12.6% as contract selectivity, crew scheduling, and procurement discipline offset wage pressure and localized start-up inefficiencies.</w:t>
      </w:r>
    </w:p>
    <w:p w14:paraId="00100584" w14:textId="00100585">
      <w:pPr>
        <w:pStyle w:val="Normal"/>
        <w:jc w:val="left"/>
      </w:pPr>
      <w:r>
        <w:t xml:space="preserve">Cash performance was also encouraging. Operating cash flow increased to 168, reflecting stronger earnings and firmer control of receivables collection on public-sector accounts. Working capital remained manageable despite higher activity, as inventory exposure is limited in this service model and milestone billing remained aligned with delivery progress. Capital expenditure rose modestly to 74, mainly for fleet renewal, specialized field equipment, and digital tools that support job planning and workforce dispatch.</w:t>
      </w:r>
    </w:p>
    <w:p w14:paraId="00100586" w14:textId="00100587">
      <w:pPr>
        <w:pStyle w:val="Normal"/>
        <w:jc w:val="left"/>
      </w:pPr>
      <w:r>
        <w:t xml:space="preserve">Order backlog ended the year above 1,000, giving the segment improved visibility into the next reporting period. This backlog is weighted toward maintenance and recurring support contracts rather than one-off project work, which management views positively because it provides a steadier base load for labor and asset planning. Overall, the headline metrics point to a business that expanded without compromising cash discipline.</w:t>
      </w:r>
    </w:p>
    <w:p w14:paraId="00100588" w14:textId="00100589">
      <w:pPr>
        <w:pStyle w:val="Normal"/>
        <w:jc w:val="left"/>
      </w:pPr>
      <w:r>
        <w:t xml:space="preserve">Performance trends through the year showed increasing stability after a mixed first quarter. Early-period weather disruption and the phased start-up of several new contracts placed pressure on utilization, but this moderated as crew deployment improved and contract volumes normalized. By mid-year, service productivity had strengthened, and second-half execution benefited from better route planning, lower subcontracting intensity, and improved absorption of fixed supervisory costs.</w:t>
      </w:r>
    </w:p>
    <w:p w14:paraId="0010058A" w14:textId="0010058B">
      <w:pPr>
        <w:pStyle w:val="Normal"/>
        <w:jc w:val="left"/>
      </w:pPr>
      <w:r>
        <w:t xml:space="preserve">A notable feature of the year was the quality of growth rather than growth alone. The segment expanded in activities where customer retention, compliance standards, and response capability create barriers to entry, supporting more resilient pricing. Contract reviews also became more disciplined, with management willing to reprice, renegotiate scope, or exit lower-return work where inflation recovery mechanisms were insufficient. This contributed to the margin improvement seen in the KPI profile.</w:t>
      </w:r>
    </w:p>
    <w:p w14:paraId="0010058C" w14:textId="0010058D">
      <w:pPr>
        <w:pStyle w:val="Normal"/>
        <w:jc w:val="left"/>
      </w:pPr>
      <w:r>
        <w:t xml:space="preserve">The main takeaway is that the segment is becoming operationally more predictable while preserving room for measured expansion. Backlog growth, stronger cash conversion, and continued investment in fleet and digital field tools indicate that management is preparing for further scale. At the same time, the business remains exposed to labor availability, public procurement timing, and execution risk on mobilizing larger contracts, making operational control a continuing priority.</w:t>
      </w:r>
    </w:p>
    <w:p w14:paraId="0010058E" w14:textId="0010058F">
      <w:pPr>
        <w:pStyle w:val="Heading2a"/>
        <w:jc w:val="left"/>
      </w:pPr>
      <w:r>
        <w:t xml:space="preserve">Performance Review</w:t>
      </w:r>
    </w:p>
    <w:p w14:paraId="00100590" w14:textId="00100591">
      <w:pPr>
        <w:pStyle w:val="Normal"/>
        <w:jc w:val="left"/>
      </w:pPr>
      <w:r>
        <w:t xml:space="preserve">The Infrastructure Segment’s earnings progression reflected both topline expansion and a better contract mix. Revenue growth came from higher maintenance volumes, additional work orders under existing frameworks, and selected wins in transport corridor support and utility network services. These gains were partly moderated by deliberate pruning of lower-margin activity, particularly contracts that offered limited inflation pass-through or depended excessively on third-party subcontracting. As a result, the segment achieved a healthier revenue base with improved profitability characteristics.</w:t>
      </w:r>
    </w:p>
    <w:p w14:paraId="00100592" w14:textId="00100593">
      <w:pPr>
        <w:pStyle w:val="Normal"/>
        <w:jc w:val="left"/>
      </w:pPr>
      <w:r>
        <w:t xml:space="preserve">Operating profit benefited from stronger field utilization, improved scheduling of mobile crews, and tighter control over purchased services. Management also reported fewer start-up losses on new contracts in the second half as mobilization practices were standardized and central support teams were more actively involved in early-stage delivery planning. Wage inflation and fleet operating costs remained headwinds, but these were largely offset by repricing actions, efficiency gains, and denser routing in core service areas.</w:t>
      </w:r>
    </w:p>
    <w:p w14:paraId="00100594" w14:textId="00100595">
      <w:pPr>
        <w:pStyle w:val="Normal"/>
        <w:jc w:val="left"/>
      </w:pPr>
      <w:r>
        <w:t xml:space="preserve">Cash generation remained a notable strength. The segment converted earnings into cash through active receivables management, disciplined billing milestones, and limited inventory intensity. Capital deployment was directed mainly toward replacement fleet, safety equipment, and dispatch technology rather than large fixed-site expansion, helping preserve flexibility. Taken together, the earnings and cash profile indicates a segment with improving quality of revenue, good visibility from contracted work, and sufficient financial capacity to support selective growth in adjacent infrastructure services.</w:t>
      </w:r>
    </w:p>
    <w:p w14:paraId="00100596" w14:textId="00100597">
      <w:pPr>
        <w:pStyle w:val="Normal"/>
        <w:jc w:val="left"/>
      </w:pPr>
      <w:r>
        <w:t xml:space="preserve">Table 12 Infrastructure Segment performance by period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598" w14:textId="001005D0">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59A" w14:textId="001005D1">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59C" w14:textId="001005D2">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59E" w14:textId="001005D3">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5A0" w14:textId="001005D4">
            <w:pPr>
              <w:pStyle w:val="Normal"/>
              <w:jc w:val="left"/>
            </w:pPr>
            <w:r>
              <w:t xml:space="preserve">Revenue ($m)</w:t>
            </w:r>
          </w:p>
        </w:tc>
        <w:tc>
          <w:tcPr>
            <w:vAlign w:val="center"/>
            <w:tcBorders>
              <w:top w:val="single" w:sz="4" w:space="0" w:color="auto"/>
              <w:left w:val="single" w:sz="4" w:space="0" w:color="auto"/>
              <w:bottom w:val="single" w:sz="4" w:space="0" w:color="auto"/>
              <w:right w:val="single" w:sz="4" w:space="0" w:color="auto"/>
            </w:tcBorders>
          </w:tcPr>
          <w:p w14:paraId="001005A2" w14:textId="001005D5">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5A4" w14:textId="001005D6">
            <w:pPr>
              <w:pStyle w:val="Normal"/>
              <w:jc w:val="left"/>
            </w:pPr>
            <w:r>
              <w:t xml:space="preserve">1,171</w:t>
            </w:r>
          </w:p>
        </w:tc>
        <w:tc>
          <w:tcPr>
            <w:vAlign w:val="center"/>
            <w:tcBorders>
              <w:top w:val="single" w:sz="4" w:space="0" w:color="auto"/>
              <w:left w:val="single" w:sz="4" w:space="0" w:color="auto"/>
              <w:bottom w:val="single" w:sz="4" w:space="0" w:color="auto"/>
              <w:right w:val="single" w:sz="4" w:space="0" w:color="auto"/>
            </w:tcBorders>
          </w:tcPr>
          <w:p w14:paraId="001005A6" w14:textId="001005D7">
            <w:pPr>
              <w:pStyle w:val="Normal"/>
              <w:jc w:val="left"/>
            </w:pPr>
            <w:r>
              <w:t xml:space="preserve">+6.6%</w:t>
            </w:r>
          </w:p>
        </w:tc>
      </w:tr>
      <w:tr>
        <w:tc>
          <w:tcPr>
            <w:vAlign w:val="center"/>
            <w:tcBorders>
              <w:top w:val="single" w:sz="4" w:space="0" w:color="auto"/>
              <w:left w:val="single" w:sz="4" w:space="0" w:color="auto"/>
              <w:bottom w:val="single" w:sz="4" w:space="0" w:color="auto"/>
              <w:right w:val="single" w:sz="4" w:space="0" w:color="auto"/>
            </w:tcBorders>
          </w:tcPr>
          <w:p w14:paraId="001005A8" w14:textId="001005D8">
            <w:pPr>
              <w:pStyle w:val="Normal"/>
              <w:jc w:val="left"/>
            </w:pPr>
            <w:r>
              <w:t xml:space="preserve">Operating profit ($m)</w:t>
            </w:r>
          </w:p>
        </w:tc>
        <w:tc>
          <w:tcPr>
            <w:vAlign w:val="center"/>
            <w:tcBorders>
              <w:top w:val="single" w:sz="4" w:space="0" w:color="auto"/>
              <w:left w:val="single" w:sz="4" w:space="0" w:color="auto"/>
              <w:bottom w:val="single" w:sz="4" w:space="0" w:color="auto"/>
              <w:right w:val="single" w:sz="4" w:space="0" w:color="auto"/>
            </w:tcBorders>
          </w:tcPr>
          <w:p w14:paraId="001005AA" w14:textId="001005D9">
            <w:pPr>
              <w:pStyle w:val="Normal"/>
              <w:jc w:val="left"/>
            </w:pPr>
            <w:r>
              <w:t xml:space="preserve">156</w:t>
            </w:r>
          </w:p>
        </w:tc>
        <w:tc>
          <w:tcPr>
            <w:vAlign w:val="center"/>
            <w:tcBorders>
              <w:top w:val="single" w:sz="4" w:space="0" w:color="auto"/>
              <w:left w:val="single" w:sz="4" w:space="0" w:color="auto"/>
              <w:bottom w:val="single" w:sz="4" w:space="0" w:color="auto"/>
              <w:right w:val="single" w:sz="4" w:space="0" w:color="auto"/>
            </w:tcBorders>
          </w:tcPr>
          <w:p w14:paraId="001005AC" w14:textId="001005DA">
            <w:pPr>
              <w:pStyle w:val="Normal"/>
              <w:jc w:val="left"/>
            </w:pPr>
            <w:r>
              <w:t xml:space="preserve">141</w:t>
            </w:r>
          </w:p>
        </w:tc>
        <w:tc>
          <w:tcPr>
            <w:vAlign w:val="center"/>
            <w:tcBorders>
              <w:top w:val="single" w:sz="4" w:space="0" w:color="auto"/>
              <w:left w:val="single" w:sz="4" w:space="0" w:color="auto"/>
              <w:bottom w:val="single" w:sz="4" w:space="0" w:color="auto"/>
              <w:right w:val="single" w:sz="4" w:space="0" w:color="auto"/>
            </w:tcBorders>
          </w:tcPr>
          <w:p w14:paraId="001005AE" w14:textId="001005DB">
            <w:pPr>
              <w:pStyle w:val="Normal"/>
              <w:jc w:val="left"/>
            </w:pPr>
            <w:r>
              <w:t xml:space="preserve">+10.6%</w:t>
            </w:r>
          </w:p>
        </w:tc>
      </w:tr>
      <w:tr>
        <w:tc>
          <w:tcPr>
            <w:vAlign w:val="center"/>
            <w:tcBorders>
              <w:top w:val="single" w:sz="4" w:space="0" w:color="auto"/>
              <w:left w:val="single" w:sz="4" w:space="0" w:color="auto"/>
              <w:bottom w:val="single" w:sz="4" w:space="0" w:color="auto"/>
              <w:right w:val="single" w:sz="4" w:space="0" w:color="auto"/>
            </w:tcBorders>
          </w:tcPr>
          <w:p w14:paraId="001005B0" w14:textId="001005DC">
            <w:pPr>
              <w:pStyle w:val="Normal"/>
              <w:jc w:val="left"/>
            </w:pPr>
            <w:r>
              <w:t xml:space="preserve">Operating margin (%)</w:t>
            </w:r>
          </w:p>
        </w:tc>
        <w:tc>
          <w:tcPr>
            <w:vAlign w:val="center"/>
            <w:tcBorders>
              <w:top w:val="single" w:sz="4" w:space="0" w:color="auto"/>
              <w:left w:val="single" w:sz="4" w:space="0" w:color="auto"/>
              <w:bottom w:val="single" w:sz="4" w:space="0" w:color="auto"/>
              <w:right w:val="single" w:sz="4" w:space="0" w:color="auto"/>
            </w:tcBorders>
          </w:tcPr>
          <w:p w14:paraId="001005B2" w14:textId="001005DD">
            <w:pPr>
              <w:pStyle w:val="Normal"/>
              <w:jc w:val="left"/>
            </w:pPr>
            <w:r>
              <w:t xml:space="preserve">12.5</w:t>
            </w:r>
          </w:p>
        </w:tc>
        <w:tc>
          <w:tcPr>
            <w:vAlign w:val="center"/>
            <w:tcBorders>
              <w:top w:val="single" w:sz="4" w:space="0" w:color="auto"/>
              <w:left w:val="single" w:sz="4" w:space="0" w:color="auto"/>
              <w:bottom w:val="single" w:sz="4" w:space="0" w:color="auto"/>
              <w:right w:val="single" w:sz="4" w:space="0" w:color="auto"/>
            </w:tcBorders>
          </w:tcPr>
          <w:p w14:paraId="001005B4" w14:textId="001005DE">
            <w:pPr>
              <w:pStyle w:val="Normal"/>
              <w:jc w:val="left"/>
            </w:pPr>
            <w:r>
              <w:t xml:space="preserve">12.0</w:t>
            </w:r>
          </w:p>
        </w:tc>
        <w:tc>
          <w:tcPr>
            <w:vAlign w:val="center"/>
            <w:tcBorders>
              <w:top w:val="single" w:sz="4" w:space="0" w:color="auto"/>
              <w:left w:val="single" w:sz="4" w:space="0" w:color="auto"/>
              <w:bottom w:val="single" w:sz="4" w:space="0" w:color="auto"/>
              <w:right w:val="single" w:sz="4" w:space="0" w:color="auto"/>
            </w:tcBorders>
          </w:tcPr>
          <w:p w14:paraId="001005B6" w14:textId="001005DF">
            <w:pPr>
              <w:pStyle w:val="Normal"/>
              <w:jc w:val="left"/>
            </w:pPr>
            <w:r>
              <w:t xml:space="preserve">+0.5 ppt</w:t>
            </w:r>
          </w:p>
        </w:tc>
      </w:tr>
      <w:tr>
        <w:tc>
          <w:tcPr>
            <w:vAlign w:val="center"/>
            <w:tcBorders>
              <w:top w:val="single" w:sz="4" w:space="0" w:color="auto"/>
              <w:left w:val="single" w:sz="4" w:space="0" w:color="auto"/>
              <w:bottom w:val="single" w:sz="4" w:space="0" w:color="auto"/>
              <w:right w:val="single" w:sz="4" w:space="0" w:color="auto"/>
            </w:tcBorders>
          </w:tcPr>
          <w:p w14:paraId="001005B8" w14:textId="001005E0">
            <w:pPr>
              <w:pStyle w:val="Normal"/>
              <w:jc w:val="left"/>
            </w:pPr>
            <w:r>
              <w:t xml:space="preserve">Operating cash flow ($m)</w:t>
            </w:r>
          </w:p>
        </w:tc>
        <w:tc>
          <w:tcPr>
            <w:vAlign w:val="center"/>
            <w:tcBorders>
              <w:top w:val="single" w:sz="4" w:space="0" w:color="auto"/>
              <w:left w:val="single" w:sz="4" w:space="0" w:color="auto"/>
              <w:bottom w:val="single" w:sz="4" w:space="0" w:color="auto"/>
              <w:right w:val="single" w:sz="4" w:space="0" w:color="auto"/>
            </w:tcBorders>
          </w:tcPr>
          <w:p w14:paraId="001005BA" w14:textId="001005E1">
            <w:pPr>
              <w:pStyle w:val="Normal"/>
              <w:jc w:val="left"/>
            </w:pPr>
            <w:r>
              <w:t xml:space="preserve">169</w:t>
            </w:r>
          </w:p>
        </w:tc>
        <w:tc>
          <w:tcPr>
            <w:vAlign w:val="center"/>
            <w:tcBorders>
              <w:top w:val="single" w:sz="4" w:space="0" w:color="auto"/>
              <w:left w:val="single" w:sz="4" w:space="0" w:color="auto"/>
              <w:bottom w:val="single" w:sz="4" w:space="0" w:color="auto"/>
              <w:right w:val="single" w:sz="4" w:space="0" w:color="auto"/>
            </w:tcBorders>
          </w:tcPr>
          <w:p w14:paraId="001005BC" w14:textId="001005E2">
            <w:pPr>
              <w:pStyle w:val="Normal"/>
              <w:jc w:val="left"/>
            </w:pPr>
            <w:r>
              <w:t xml:space="preserve">148</w:t>
            </w:r>
          </w:p>
        </w:tc>
        <w:tc>
          <w:tcPr>
            <w:vAlign w:val="center"/>
            <w:tcBorders>
              <w:top w:val="single" w:sz="4" w:space="0" w:color="auto"/>
              <w:left w:val="single" w:sz="4" w:space="0" w:color="auto"/>
              <w:bottom w:val="single" w:sz="4" w:space="0" w:color="auto"/>
              <w:right w:val="single" w:sz="4" w:space="0" w:color="auto"/>
            </w:tcBorders>
          </w:tcPr>
          <w:p w14:paraId="001005BE" w14:textId="001005E3">
            <w:pPr>
              <w:pStyle w:val="Normal"/>
              <w:jc w:val="left"/>
            </w:pPr>
            <w:r>
              <w:t xml:space="preserve">+14.2%</w:t>
            </w:r>
          </w:p>
        </w:tc>
      </w:tr>
      <w:tr>
        <w:tc>
          <w:tcPr>
            <w:vAlign w:val="center"/>
            <w:tcBorders>
              <w:top w:val="single" w:sz="4" w:space="0" w:color="auto"/>
              <w:left w:val="single" w:sz="4" w:space="0" w:color="auto"/>
              <w:bottom w:val="single" w:sz="4" w:space="0" w:color="auto"/>
              <w:right w:val="single" w:sz="4" w:space="0" w:color="auto"/>
            </w:tcBorders>
          </w:tcPr>
          <w:p w14:paraId="001005C0" w14:textId="001005E4">
            <w:pPr>
              <w:pStyle w:val="Normal"/>
              <w:jc w:val="left"/>
            </w:pPr>
            <w:r>
              <w:t xml:space="preserve">Cash conversion (%)</w:t>
            </w:r>
          </w:p>
        </w:tc>
        <w:tc>
          <w:tcPr>
            <w:vAlign w:val="center"/>
            <w:tcBorders>
              <w:top w:val="single" w:sz="4" w:space="0" w:color="auto"/>
              <w:left w:val="single" w:sz="4" w:space="0" w:color="auto"/>
              <w:bottom w:val="single" w:sz="4" w:space="0" w:color="auto"/>
              <w:right w:val="single" w:sz="4" w:space="0" w:color="auto"/>
            </w:tcBorders>
          </w:tcPr>
          <w:p w14:paraId="001005C2" w14:textId="001005E5">
            <w:pPr>
              <w:pStyle w:val="Normal"/>
              <w:jc w:val="left"/>
            </w:pPr>
            <w:r>
              <w:t xml:space="preserve">108</w:t>
            </w:r>
          </w:p>
        </w:tc>
        <w:tc>
          <w:tcPr>
            <w:vAlign w:val="center"/>
            <w:tcBorders>
              <w:top w:val="single" w:sz="4" w:space="0" w:color="auto"/>
              <w:left w:val="single" w:sz="4" w:space="0" w:color="auto"/>
              <w:bottom w:val="single" w:sz="4" w:space="0" w:color="auto"/>
              <w:right w:val="single" w:sz="4" w:space="0" w:color="auto"/>
            </w:tcBorders>
          </w:tcPr>
          <w:p w14:paraId="001005C4" w14:textId="001005E6">
            <w:pPr>
              <w:pStyle w:val="Normal"/>
              <w:jc w:val="left"/>
            </w:pPr>
            <w:r>
              <w:t xml:space="preserve">105</w:t>
            </w:r>
          </w:p>
        </w:tc>
        <w:tc>
          <w:tcPr>
            <w:vAlign w:val="center"/>
            <w:tcBorders>
              <w:top w:val="single" w:sz="4" w:space="0" w:color="auto"/>
              <w:left w:val="single" w:sz="4" w:space="0" w:color="auto"/>
              <w:bottom w:val="single" w:sz="4" w:space="0" w:color="auto"/>
              <w:right w:val="single" w:sz="4" w:space="0" w:color="auto"/>
            </w:tcBorders>
          </w:tcPr>
          <w:p w14:paraId="001005C6" w14:textId="001005E7">
            <w:pPr>
              <w:pStyle w:val="Normal"/>
              <w:jc w:val="left"/>
            </w:pPr>
            <w:r>
              <w:t xml:space="preserve">+3 ppt</w:t>
            </w:r>
          </w:p>
        </w:tc>
      </w:tr>
      <w:tr>
        <w:tc>
          <w:tcPr>
            <w:vAlign w:val="center"/>
            <w:tcBorders>
              <w:top w:val="single" w:sz="4" w:space="0" w:color="auto"/>
              <w:left w:val="single" w:sz="4" w:space="0" w:color="auto"/>
              <w:bottom w:val="single" w:sz="4" w:space="0" w:color="auto"/>
              <w:right w:val="single" w:sz="4" w:space="0" w:color="auto"/>
            </w:tcBorders>
          </w:tcPr>
          <w:p w14:paraId="001005C8" w14:textId="001005E8">
            <w:pPr>
              <w:pStyle w:val="Normal"/>
              <w:jc w:val="left"/>
            </w:pPr>
            <w:r>
              <w:t xml:space="preserve">Order backlog ($m)</w:t>
            </w:r>
          </w:p>
        </w:tc>
        <w:tc>
          <w:tcPr>
            <w:vAlign w:val="center"/>
            <w:tcBorders>
              <w:top w:val="single" w:sz="4" w:space="0" w:color="auto"/>
              <w:left w:val="single" w:sz="4" w:space="0" w:color="auto"/>
              <w:bottom w:val="single" w:sz="4" w:space="0" w:color="auto"/>
              <w:right w:val="single" w:sz="4" w:space="0" w:color="auto"/>
            </w:tcBorders>
          </w:tcPr>
          <w:p w14:paraId="001005CA" w14:textId="001005E9">
            <w:pPr>
              <w:pStyle w:val="Normal"/>
              <w:jc w:val="left"/>
            </w:pPr>
            <w:r>
              <w:t xml:space="preserve">1,392</w:t>
            </w:r>
          </w:p>
        </w:tc>
        <w:tc>
          <w:tcPr>
            <w:vAlign w:val="center"/>
            <w:tcBorders>
              <w:top w:val="single" w:sz="4" w:space="0" w:color="auto"/>
              <w:left w:val="single" w:sz="4" w:space="0" w:color="auto"/>
              <w:bottom w:val="single" w:sz="4" w:space="0" w:color="auto"/>
              <w:right w:val="single" w:sz="4" w:space="0" w:color="auto"/>
            </w:tcBorders>
          </w:tcPr>
          <w:p w14:paraId="001005CC" w14:textId="001005EA">
            <w:pPr>
              <w:pStyle w:val="Normal"/>
              <w:jc w:val="left"/>
            </w:pPr>
            <w:r>
              <w:t xml:space="preserve">1,286</w:t>
            </w:r>
          </w:p>
        </w:tc>
        <w:tc>
          <w:tcPr>
            <w:vAlign w:val="center"/>
            <w:tcBorders>
              <w:top w:val="single" w:sz="4" w:space="0" w:color="auto"/>
              <w:left w:val="single" w:sz="4" w:space="0" w:color="auto"/>
              <w:bottom w:val="single" w:sz="4" w:space="0" w:color="auto"/>
              <w:right w:val="single" w:sz="4" w:space="0" w:color="auto"/>
            </w:tcBorders>
          </w:tcPr>
          <w:p w14:paraId="001005CE" w14:textId="001005EB">
            <w:pPr>
              <w:pStyle w:val="Normal"/>
              <w:jc w:val="left"/>
            </w:pPr>
            <w:r>
              <w:t xml:space="preserve">+8.2%</w:t>
            </w:r>
          </w:p>
        </w:tc>
      </w:tr>
    </w:tbl>
    <w:p w14:paraId="001005EC" w14:textId="001005ED">
      <w:pPr>
        <w:pStyle w:val="Normal"/>
        <w:jc w:val="left"/>
      </w:pPr>
      <w:r>
        <w:drawing>
          <wp:inline distT="0" distB="0" distL="0" distR="0">
            <wp:extent cx="4680000" cy="3240000"/>
            <wp:effectExtent l="0" t="0" r="0" b="0"/>
            <wp:docPr id="12" name="Fig-I07-03.png" descr=""/>
            <wp:cNvGraphicFramePr>
              <a:graphicFrameLocks noChangeAspect="1"/>
            </wp:cNvGraphicFramePr>
            <a:graphic>
              <a:graphicData uri="http://schemas.openxmlformats.org/drawingml/2006/picture">
                <pic:pic>
                  <pic:nvPicPr>
                    <pic:cNvPr id="12" name="Fig-I07-03.png"/>
                    <pic:cNvPicPr/>
                  </pic:nvPicPr>
                  <pic:blipFill>
                    <a:blip r:embed="Rd1517c0986c94593" cstate="print"/>
                    <a:stretch>
                      <a:fillRect/>
                    </a:stretch>
                  </pic:blipFill>
                  <pic:spPr>
                    <a:xfrm>
                      <a:off x="0" y="0"/>
                      <a:ext cx="4320000" cy="2880000"/>
                    </a:xfrm>
                    <a:prstGeom prst="rect">
                      <a:avLst/>
                    </a:prstGeom>
                  </pic:spPr>
                </pic:pic>
              </a:graphicData>
            </a:graphic>
          </wp:inline>
        </w:drawing>
      </w:r>
    </w:p>
    <w:p w14:paraId="001005EE" w14:textId="001005EF">
      <w:pPr>
        <w:pStyle w:val="Normal"/>
        <w:jc w:val="left"/>
      </w:pPr>
      <w:r>
        <w:t xml:space="preserve">Figure 18 Revenue, operating margin and cash conversion trend in the Infrastructure Segment</w:t>
      </w:r>
    </w:p>
    <w:p w14:paraId="001005F0" w14:textId="001005F1">
      <w:pPr>
        <w:pStyle w:val="Heading3a"/>
        <w:jc w:val="left"/>
      </w:pPr>
      <w:r>
        <w:t xml:space="preserve">Revenue Drivers</w:t>
      </w:r>
    </w:p>
    <w:p w14:paraId="001005F2" w14:textId="001005F3">
      <w:pPr>
        <w:pStyle w:val="Normal"/>
        <w:jc w:val="left"/>
      </w:pPr>
      <w:r>
        <w:t xml:space="preserve">Infrastructure Segment revenue increased to $1,248 million, supported by resilient demand across maintenance, network renewal and small-to-mid scale capital programs. Activity remained strongest in regulated and quasi-regulated end markets, where customer spending was driven less by short-cycle discretionary budgets and more by service continuity, asset integrity and compliance requirements. Contract execution improved over the year as previously delayed projects moved into active delivery, particularly in civil maintenance corridors, utility support works and municipal rehabilitation packages. This created a firmer base load of utilization across field crews and specialist equipment.</w:t>
      </w:r>
    </w:p>
    <w:p w14:paraId="001005F4" w14:textId="001005F5">
      <w:pPr>
        <w:pStyle w:val="Normal"/>
        <w:jc w:val="left"/>
      </w:pPr>
      <w:r>
        <w:t xml:space="preserve">Pricing also contributed positively. The segment continued to apply disciplined repricing on new awards and contract renewals to recover labor inflation, fleet running costs and subcontractor rate pressure. In longer-duration frameworks, escalation clauses moderated the lag between cost movements and revenue recovery, while commercial teams were more selective in bidding on lower-quality volume. Revenue quality therefore improved alongside top-line growth. Although weather disruption and customer approval timing caused some uneven monthly phasing, the overall contract environment was constructive, with higher backlog and better conversion of awarded work into revenue than in the prior year.</w:t>
      </w:r>
    </w:p>
    <w:p w14:paraId="001005F6" w14:textId="001005F7">
      <w:pPr>
        <w:pStyle w:val="Normal"/>
        <w:jc w:val="left"/>
      </w:pPr>
      <w:r>
        <w:t xml:space="preserve">Service mix shifted modestly toward higher-value technical and recurring activities during the year. Preventive maintenance, inspection-led programs and integrated field services represented a larger share of segment sales, while lower-margin pass-through construction content declined as a proportion of total revenue. This mix effect supported both pricing realization and labor productivity because a greater portion of work was planned, repeatable and executed under established customer frameworks rather than one-off project mobilizations.</w:t>
      </w:r>
    </w:p>
    <w:p w14:paraId="001005F8" w14:textId="001005F9">
      <w:pPr>
        <w:pStyle w:val="Normal"/>
        <w:jc w:val="left"/>
      </w:pPr>
      <w:r>
        <w:t xml:space="preserve">The segment also benefited from stronger cross-selling between local operating units. Customers increasingly sought bundled offerings that combined asset assessment, repair execution, traffic management and post-project monitoring, allowing Rivermark Group to capture a broader share of contract value. Regional differences remained visible: urban utility work showed steady volume and faster invoice cycles, while transport-related projects in outer regions were more dependent on procurement timing and permitting. Even so, the overall mix was more favorable than the prior year, with a healthier balance between emergency response work, scheduled maintenance and specialist upgrade programs. Management considers this shift important because it not only lifts margin potential, but also improves earnings visibility through repeat service demand and multi-period customer relationships.</w:t>
      </w:r>
    </w:p>
    <w:p w14:paraId="001005FA" w14:textId="001005FB">
      <w:pPr>
        <w:pStyle w:val="Heading3a"/>
        <w:jc w:val="left"/>
      </w:pPr>
      <w:r>
        <w:t xml:space="preserve">Profit and Cash</w:t>
      </w:r>
    </w:p>
    <w:p w14:paraId="001005FC" w14:textId="001005FD">
      <w:pPr>
        <w:pStyle w:val="Normal"/>
        <w:jc w:val="left"/>
      </w:pPr>
      <w:r>
        <w:t xml:space="preserve">Operating profit rose to $156 million and operating margin improved to 12.5%, reflecting the combined benefit of volume growth, tighter project selection and better field execution. The margin bridge was driven first by pricing recovery and a more favorable service mix, then by utilization gains as crew scheduling improved and downtime declined. These positives were partly offset by continued wage inflation in specialist roles, higher maintenance expense on aging fleet assets and onboarding costs associated with expansion into selected growth corridors. Even with those headwinds, margin quality strengthened because commercial discipline reduced exposure to underpriced work and contract reviews were escalated earlier where scope drift or customer-driven delays threatened returns.</w:t>
      </w:r>
    </w:p>
    <w:p w14:paraId="001005FE" w14:textId="001005FF">
      <w:pPr>
        <w:pStyle w:val="Normal"/>
        <w:jc w:val="left"/>
      </w:pPr>
      <w:r>
        <w:t xml:space="preserve">Cash remained a management priority throughout the year. Operating cash flow increased to $169 million, supported by profit growth and closer control of billing milestones. Leadership placed particular emphasis on conversion rather than headline earnings alone, linking local management incentives to invoicing timeliness, claims resolution and inventory efficiency. Capital expenditure stayed targeted, with spending focused on safety-critical fleet replacement, selective equipment modernization and digital tools that improve dispatch, job tracking and documentation quality. As a result, the segment ended the year with a stronger balance between growth investment and cash discipline, providing a more durable platform for future expansion.</w:t>
      </w:r>
    </w:p>
    <w:p w14:paraId="00100600" w14:textId="00100603">
      <w:pPr>
        <w:pStyle w:val="Normal"/>
        <w:jc w:val="left"/>
      </w:pPr>
      <w:r>
        <w:t xml:space="preserve">Working capital performance improved, although quarter-end movements remained sensitive to project timing and certification cycles. Receivables days were lower than the prior year as contract administrators pushed earlier validation of completed milestones and strengthened follow-up on disputed invoices. Inventory exposure is structurally limited in this segment, but spare parts, consumables and project-specific materials were managed more tightly through demand planning and site-level controls. Payables discipline also improved without materially compressing supplier relationships, helped by better forecasting of work packages and more predictable purchasing patterns. Cash conversion reached </w:t>
      </w:r>
      <w:r>
        <w:t xml:space="preserve">1</w:t>
      </w:r>
      <w:r>
        <w:t xml:space="preserve">08%1, reflecting both earnings growth and more consistent working capital release across the second half.</w:t>
        <w:br/>
        <w:t xml:space="preserve">Management does not view this outcome as solely a period-end effect. Several process changes introduced during the year are expected to remain in place, including weekly cash reviews for larger contracts, centralized oversight of claims aging and stronger gatekeeping over mobilization costs before customer approval. Some pressure points remain, especially where customer acceptance procedures are lengthy or where severe weather delays physical sign-off. Nevertheless, the segment entered the new year with a healthier receivables profile and a clearer operating rhythm between project execution, billing and cash collection.</w:t>
      </w:r>
    </w:p>
    <w:p w14:paraId="00100604" w14:textId="00100605">
      <w:pPr>
        <w:pStyle w:val="Heading2a"/>
        <w:jc w:val="left"/>
      </w:pPr>
      <w:r>
        <w:t xml:space="preserve">Outlook and Actions</w:t>
      </w:r>
    </w:p>
    <w:p w14:paraId="00100606" w14:textId="00100607">
      <w:pPr>
        <w:pStyle w:val="Normal"/>
        <w:jc w:val="left"/>
      </w:pPr>
      <w:r>
        <w:t xml:space="preserve">The Infrastructure Segment enters the new year with a solid pipeline, but management continues to assess execution risk alongside market opportunity. Backlog remains healthy in utility support, road and corridor maintenance, and asset rehabilitation programs, providing a meaningful degree of revenue visibility. At the same time, tendering conditions are still competitive in some regional markets, and labor availability for specialized field roles remains tight. Input cost volatility has moderated from peak levels, yet subcontractor pricing, equipment lead times and weather-related disruption continue to create uncertainty around project phasing and margin timing.</w:t>
      </w:r>
    </w:p>
    <w:p w14:paraId="00100608" w14:textId="00100609">
      <w:pPr>
        <w:pStyle w:val="Normal"/>
        <w:jc w:val="left"/>
      </w:pPr>
      <w:r>
        <w:t xml:space="preserve">In response, the segment is prioritizing actions that protect both growth and returns. Commercial teams are focusing on framework contracts, repeat-customer programs and bids where scope definition is sufficiently mature to support disciplined pricing. Operations leaders are concentrating on workforce retention, selective training for scarce technical roles and more standardized deployment of crews and equipment across neighboring sites. Management is also expanding the use of digital job scheduling, field data capture and contract-level dashboards to improve productivity and shorten the path from work completion to invoice approval. These actions are intended to sustain cash conversion, support measured expansion in attractive niches and reduce volatility in delivery performance as the pipeline converts into active revenue.</w:t>
      </w:r>
    </w:p>
    <w:p w14:paraId="0010060A" w14:textId="0010060B">
      <w:pPr>
        <w:pStyle w:val="Heading3a"/>
        <w:jc w:val="left"/>
      </w:pPr>
      <w:r>
        <w:t xml:space="preserve">Market Outlook</w:t>
      </w:r>
    </w:p>
    <w:p w14:paraId="0010060C" w14:textId="0010060D">
      <w:pPr>
        <w:pStyle w:val="Normal"/>
        <w:jc w:val="left"/>
      </w:pPr>
      <w:r>
        <w:t xml:space="preserve">Demand visibility for the Infrastructure Segment entering the next year is mixed by end market, but overall conditions remain supportive. Public-sector civil and utility programs continue to provide the strongest line of sight, supported by multi-year funding commitments, aging asset replacement needs, and a procurement pipeline that is larger than the prior year. Orders tied to transport maintenance, water network rehabilitation, and grid resilience are progressing more steadily than large discretionary greenfield awards, giving the segment a reasonable base load of work for the first half. In contrast, private commercial construction remains selective, with customers delaying project starts until financing costs and occupancy assumptions become clearer. Industrial site services are improving, but demand is still concentrated in projects with short payback and clear compliance drivers.</w:t>
      </w:r>
    </w:p>
    <w:p w14:paraId="0010060E" w14:textId="0010060F">
      <w:pPr>
        <w:pStyle w:val="Normal"/>
        <w:jc w:val="left"/>
      </w:pPr>
      <w:r>
        <w:t xml:space="preserve">Regionally, core metropolitan corridors show firmer activity than secondary markets because municipal clients and regulated operators are moving ahead with approved budgets. Rural and remote work remains active where service continuity is critical, although mobilization costs and labor availability can affect timing. Bid activity across maintenance frameworks and smaller recurring contracts has stayed healthy, which supports utilization and backlog quality even when larger awards move between quarters. Taken together, management views current visibility as adequate rather than exceptional: near-term volumes are underpinned by contracted and framework work, while second-half growth will depend on conversion of a defined but still competitive project pipeline.</w:t>
      </w:r>
    </w:p>
    <w:p w14:paraId="00100610" w14:textId="00100611">
      <w:pPr>
        <w:pStyle w:val="Normal"/>
        <w:jc w:val="left"/>
      </w:pPr>
      <w:r>
        <w:t xml:space="preserve">The most attractive opportunity areas for the Infrastructure Segment are those where technical capability, installed presence, and compliance-led demand intersect. Grid modernization, water treatment upgrades, transport asset renewal, and resilient maintenance programs offer opportunities for repeat work, higher service intensity, and stronger customer retention. These categories also tend to reward delivery reliability and safety performance, both of which remain important competitive differentiators for the segment. In addition, adjacent digital field solutions, remote monitoring support, and bundled maintenance offerings create scope to deepen account relationships without relying solely on large one-off contracts. The segment is therefore prioritizing opportunities that improve backlog quality, margin resilience, and cross-selling potential rather than pursuing volume at any price.</w:t>
      </w:r>
    </w:p>
    <w:p w14:paraId="00100612" w14:textId="00100613">
      <w:pPr>
        <w:pStyle w:val="Normal"/>
        <w:jc w:val="left"/>
      </w:pPr>
      <w:r>
        <w:t xml:space="preserve">Key risks remain manageable but material. Project timing risk is elevated where approvals, land access, or customer funding gates can shift mobilization dates. Cost risk is concentrated in subcontractor pricing, specialist labor, and logistics, particularly on remote or weather-sensitive sites. Competitive pressure also remains present in commoditized tenders, where aggressive bidding can compress margins if contract protections are weak. A further risk is uneven client decision-making in private markets, which can produce stop-start order patterns and reduce planning efficiency. Management's view is that the opportunity set is favorable, but value capture will depend on disciplined tendering, careful resource allocation, and early action on supply chain and workforce constraints.</w:t>
      </w:r>
    </w:p>
    <w:p w14:paraId="00100614" w14:textId="00100615">
      <w:pPr>
        <w:pStyle w:val="Heading3a"/>
        <w:jc w:val="left"/>
      </w:pPr>
      <w:r>
        <w:t xml:space="preserve">Management Priorities</w:t>
      </w:r>
    </w:p>
    <w:p w14:paraId="00100616" w14:textId="00100617">
      <w:pPr>
        <w:pStyle w:val="Normal"/>
        <w:jc w:val="left"/>
      </w:pPr>
      <w:r>
        <w:t xml:space="preserve">For the coming year, management will focus on converting backlog into consistent execution while preserving margin discipline and cash generation. Commercially, the segment plans to concentrate bid resources on targeted frameworks, regulated infrastructure accounts, and projects where Rivermark Group can demonstrate differentiated delivery capability. Operationally, leadership will continue to tighten planning between sales, mobilization, procurement, and field delivery so that labor deployment, equipment utilization, and subcontractor coverage are aligned earlier in the project cycle. This is intended to reduce start-up inefficiencies, improve schedule reliability, and limit avoidable cost leakage.</w:t>
      </w:r>
    </w:p>
    <w:p w14:paraId="00100618" w14:textId="00100619">
      <w:pPr>
        <w:pStyle w:val="Normal"/>
        <w:jc w:val="left"/>
      </w:pPr>
      <w:r>
        <w:t xml:space="preserve">A second priority is to strengthen execution quality at site level. This includes standardizing project controls, expanding the use of productivity dashboards, and reinforcing review gates for contract risk, change-order capture, and working-capital discipline. Management also expects to step up capability building in frontline supervision, safety leadership, and selective digital tools that improve visibility over work progress and asset condition. While the segment remains positioned for growth, near-term actions will be paced against market conditions and return thresholds. The objective is not simply to grow revenue, but to improve the mix of work, lift delivery consistency, and exit the year with a stronger margin and cash profile than the one with which it entered.</w:t>
      </w:r>
    </w:p>
    <w:p w14:paraId="0010061A" w14:textId="0010061B">
      <w:pPr>
        <w:pStyle w:val="Normal"/>
        <w:jc w:val="left"/>
      </w:pPr>
      <w:r>
        <w:t xml:space="preserve">Target higher-quality revenue by prioritizing regulated utilities, transport maintenance, and recurring service frameworks with clearer margin protection.</w:t>
      </w:r>
    </w:p>
    <w:p w14:paraId="0010061C" w14:textId="0010061D">
      <w:pPr>
        <w:pStyle w:val="Normal"/>
        <w:jc w:val="left"/>
      </w:pPr>
      <w:r>
        <w:t xml:space="preserve">Increase bid selectivity through tighter tender review, including risk-adjusted pricing, subcontractor validation, and customer payment assessment.</w:t>
      </w:r>
    </w:p>
    <w:p w14:paraId="0010061E" w14:textId="0010061F">
      <w:pPr>
        <w:pStyle w:val="Normal"/>
        <w:jc w:val="left"/>
      </w:pPr>
      <w:r>
        <w:t xml:space="preserve">Improve project start-up readiness by linking sales handover, labor scheduling, equipment planning, and procurement milestones before mobilization.</w:t>
      </w:r>
    </w:p>
    <w:p w14:paraId="00100620" w14:textId="00100621">
      <w:pPr>
        <w:pStyle w:val="Normal"/>
        <w:jc w:val="left"/>
      </w:pPr>
      <w:r>
        <w:t xml:space="preserve">Expand site-level control routines through weekly productivity tracking, change-order monitoring, and early escalation of schedule variance.</w:t>
      </w:r>
    </w:p>
    <w:p w14:paraId="00100622" w14:textId="00100623">
      <w:pPr>
        <w:pStyle w:val="Normal"/>
        <w:jc w:val="left"/>
      </w:pPr>
      <w:r>
        <w:t xml:space="preserve">Reduce working-capital drag by accelerating billing milestones, strengthening collections follow-up, and aligning inventory and fleet deployment to confirmed demand.</w:t>
      </w:r>
    </w:p>
    <w:p w14:paraId="00100624" w14:textId="00100625">
      <w:pPr>
        <w:pStyle w:val="Normal"/>
        <w:jc w:val="left"/>
      </w:pPr>
      <w:r>
        <w:t xml:space="preserve">Invest in frontline capability through supervisor training, safety coaching, and wider use of digital field reporting in priority contracts.</w:t>
      </w:r>
    </w:p>
    <w:p w14:paraId="00100626" w14:textId="00100627">
      <w:pPr>
        <w:pStyle w:val="Normal"/>
        <w:jc w:val="left"/>
      </w:pPr>
      <w:r>
        <w:t xml:space="preserve">Maintain a focused capital program centered on fleet reliability, specialist tools, and selective technology that supports utilization and service quality.</w:t>
      </w:r>
    </w:p>
    <w:p w14:paraId="00100628" w14:textId="00100629">
      <w:pPr>
        <w:pStyle w:val="Normal"/>
        <w:jc w:val="left"/>
      </w:pPr>
      <w:r>
        <w:t xml:space="preserve">Track next-year milestones against backlog conversion, margin improvement, cash conversion, safety indicators, and on-time delivery performance.</w:t>
      </w:r>
    </w:p>
    <w:p w14:paraId="00101673" w14:textId="00101674">
      <w:pPr>
        <w:pStyle w:val="Normal"/>
        <w:jc w:val="left"/>
        <w:sectPr>
          <w:type w:val="nextPage"/>
          <w:pgSz w:w="11906" w:h="16838"/>
          <w:pgMar w:top="1440" w:right="1440" w:bottom="1440" w:left="1440" w:header="1440" w:footer="1440" w:gutter="0"/>
          <w:cols w:space="720" w:num="1"/>
        </w:sectPr>
      </w:pPr>
    </w:p>
    <w:p w14:paraId="0010062E" w14:textId="0010062F">
      <w:pPr>
        <w:pStyle w:val="Heading1a"/>
        <w:jc w:val="left"/>
      </w:pPr>
      <w:r>
        <w:t xml:space="preserve">Industrial Segment</w:t>
      </w:r>
    </w:p>
    <w:p w14:paraId="00100630" w14:textId="00100632">
      <w:pPr>
        <w:pStyle w:val="Normal"/>
        <w:jc w:val="left"/>
      </w:pPr>
      <w:r>
        <w:t xml:space="preserve">Overall performance:</w:t>
      </w:r>
      <w:r>
        <w:t xml:space="preserve"> the Industrial Segment operated through a mixed but improving market environment during the year, with order patterns stabilizing after the volatility seen in the prior period. Demand from maintenance, replacement, and process-efficiency programs remained comparatively resilient, while larger discretionary capital projects recovered more gradually and continued to vary by customer industry and region. Against this backdrop, Rivermark Group focused the segment on disciplined commercial execution, selective pricing, tighter plant scheduling, and product-line prioritization to protect margins while supporting service levels.</w:t>
        <w:br/>
        <w:t xml:space="preserve">The year was shaped by three themes. First, management emphasized quality of revenue rather than volume alone, favoring contracts and orders with stronger margin characteristics, clearer delivery economics, and lower working-capital intensity. Second, operational teams increased attention on throughput, scrap reduction, and procurement discipline as labor availability and input-cost normalization developed unevenly across the footprint. Third, the segment continued to align its portfolio toward higher-value engineered products, aftermarket support, and applications where customers place a premium on reliability, compliance, and lifecycle performance.</w:t>
        <w:br/>
        <w:t xml:space="preserve">As a result, the segment ended the year with a more balanced order book, improved execution consistency, and better visibility on near-term demand drivers. While end markets did not recover uniformly, the business strengthened its positioning in core industrial niches and entered the next period with clearer priorities around margin improvement, asset utilization, and customer retention.</w:t>
      </w:r>
    </w:p>
    <w:p w14:paraId="00100633" w14:textId="00100634">
      <w:pPr>
        <w:pStyle w:val="Normal"/>
        <w:jc w:val="left"/>
      </w:pPr>
      <w:r>
        <w:drawing>
          <wp:inline distT="0" distB="0" distL="0" distR="0">
            <wp:extent cx="5040000" cy="2520000"/>
            <wp:effectExtent l="0" t="0" r="0" b="0"/>
            <wp:docPr id="13" name="Fig-I08-01.png" descr=""/>
            <wp:cNvGraphicFramePr>
              <a:graphicFrameLocks noChangeAspect="1"/>
            </wp:cNvGraphicFramePr>
            <a:graphic>
              <a:graphicData uri="http://schemas.openxmlformats.org/drawingml/2006/picture">
                <pic:pic>
                  <pic:nvPicPr>
                    <pic:cNvPr id="13" name="Fig-I08-01.png"/>
                    <pic:cNvPicPr/>
                  </pic:nvPicPr>
                  <pic:blipFill>
                    <a:blip r:embed="R978f0b5356b143b5" cstate="print"/>
                    <a:stretch>
                      <a:fillRect/>
                    </a:stretch>
                  </pic:blipFill>
                  <pic:spPr>
                    <a:xfrm>
                      <a:off x="0" y="0"/>
                      <a:ext cx="4680000" cy="2880000"/>
                    </a:xfrm>
                    <a:prstGeom prst="rect">
                      <a:avLst/>
                    </a:prstGeom>
                  </pic:spPr>
                </pic:pic>
              </a:graphicData>
            </a:graphic>
          </wp:inline>
        </w:drawing>
      </w:r>
    </w:p>
    <w:p w14:paraId="00100635" w14:textId="00100636">
      <w:pPr>
        <w:pStyle w:val="Normal"/>
        <w:jc w:val="left"/>
      </w:pPr>
      <w:r>
        <w:t xml:space="preserve">Figure 22 Industrial Segment operations and customer application environment</w:t>
      </w:r>
    </w:p>
    <w:p w14:paraId="00100637" w14:textId="00100638">
      <w:pPr>
        <w:pStyle w:val="Heading2a"/>
        <w:jc w:val="left"/>
      </w:pPr>
      <w:r>
        <w:t xml:space="preserve">Segment Overview</w:t>
      </w:r>
    </w:p>
    <w:p w14:paraId="00100639" w14:textId="0010063A">
      <w:pPr>
        <w:pStyle w:val="Normal"/>
        <w:jc w:val="left"/>
      </w:pPr>
      <w:r>
        <w:t xml:space="preserve">The Industrial Segment supplies engineered products, components, and related technical services to customers operating in manufacturing, process industries, transport equipment, utilities, and specialized infrastructure applications. Its offering combines recurring replacement demand with project-based orders, giving the segment exposure to both shorter-cycle operational spending and longer-cycle investment programs. This balance helped moderate volatility during the year, although customer timing remained sensitive in sectors facing inventory normalization and cautious capital allocation.</w:t>
      </w:r>
    </w:p>
    <w:p w14:paraId="0010063B" w14:textId="00100640">
      <w:pPr>
        <w:pStyle w:val="Normal"/>
        <w:jc w:val="left"/>
      </w:pPr>
      <w:r>
        <w:t xml:space="preserve">Management tracks performance using a focused set of indicators that reflects both commercial momentum and operational discipline. Core measures include revenue, order intake, backlog coverage, adjusted operating margin, cash conversion, on-time delivery, and quality performance. Among these, backlog and margin were especially important because they signaled whether the segment was converting demand into profitable and executable work rather than simply accumulating volume. The report also references the segment’s use of *</w:t>
      </w:r>
      <w:r>
        <w:t xml:space="preserve">book-to-bill</w:t>
      </w:r>
      <w:r>
        <w:t xml:space="preserve">* and *</w:t>
      </w:r>
      <w:r>
        <w:t xml:space="preserve">capacity utilization</w:t>
      </w:r>
      <w:r>
        <w:t xml:space="preserve">* as operating terms that help explain short-term production loading and forward visibility.</w:t>
        <w:br/>
        <w:t xml:space="preserve">From a market perspective, conditions were strongest in maintenance-led categories, compliance-driven replacements, and customer programs tied to energy efficiency and process reliability. More cyclical product lines saw uneven demand, particularly where distributors and OEM customers remained cautious on inventory commitments. Even so, the segment preserved a solid KPI profile by combining selective pricing, tighter mix management, and improved scheduling discipline across its plant network. This positioned the business to pursue growth where demand quality is highest while continuing to improve operational resilience.</w:t>
      </w:r>
    </w:p>
    <w:p w14:paraId="00100641" w14:textId="00100642">
      <w:pPr>
        <w:pStyle w:val="Normal"/>
        <w:jc w:val="left"/>
      </w:pPr>
      <w:r>
        <w:t xml:space="preserve">Table 18 Industrial Segment key performance indicators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643" w14:textId="00100689">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645" w14:textId="0010068A">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647" w14:textId="0010068B">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649" w14:textId="0010068C">
            <w:pPr>
              <w:pStyle w:val="Normal"/>
              <w:jc w:val="left"/>
            </w:pPr>
            <w:r>
              <w:t xml:space="preserve">Change</w:t>
            </w:r>
          </w:p>
        </w:tc>
        <w:tc>
          <w:tcPr>
            <w:vAlign w:val="center"/>
            <w:tcBorders>
              <w:top w:val="single" w:sz="4" w:space="0" w:color="auto"/>
              <w:left w:val="single" w:sz="4" w:space="0" w:color="auto"/>
              <w:bottom w:val="single" w:sz="4" w:space="0" w:color="auto"/>
              <w:right w:val="single" w:sz="4" w:space="0" w:color="auto"/>
            </w:tcBorders>
          </w:tcPr>
          <w:p w14:paraId="0010064B" w14:textId="0010068D">
            <w:pPr>
              <w:pStyle w:val="Normal"/>
              <w:jc w:val="left"/>
            </w:pPr>
            <w:r>
              <w:t xml:space="preserve">Comment</w:t>
            </w:r>
          </w:p>
        </w:tc>
      </w:tr>
      <w:tr>
        <w:tc>
          <w:tcPr>
            <w:vAlign w:val="center"/>
            <w:tcBorders>
              <w:top w:val="single" w:sz="4" w:space="0" w:color="auto"/>
              <w:left w:val="single" w:sz="4" w:space="0" w:color="auto"/>
              <w:bottom w:val="single" w:sz="4" w:space="0" w:color="auto"/>
              <w:right w:val="single" w:sz="4" w:space="0" w:color="auto"/>
            </w:tcBorders>
          </w:tcPr>
          <w:p w14:paraId="0010064D" w14:textId="0010068E">
            <w:pPr>
              <w:pStyle w:val="Normal"/>
              <w:jc w:val="left"/>
            </w:pPr>
            <w:r>
              <w:t xml:space="preserve">Revenue ($m)</w:t>
            </w:r>
          </w:p>
        </w:tc>
        <w:tc>
          <w:tcPr>
            <w:vAlign w:val="center"/>
            <w:tcBorders>
              <w:top w:val="single" w:sz="4" w:space="0" w:color="auto"/>
              <w:left w:val="single" w:sz="4" w:space="0" w:color="auto"/>
              <w:bottom w:val="single" w:sz="4" w:space="0" w:color="auto"/>
              <w:right w:val="single" w:sz="4" w:space="0" w:color="auto"/>
            </w:tcBorders>
          </w:tcPr>
          <w:p w14:paraId="0010064F" w14:textId="0010068F">
            <w:pPr>
              <w:pStyle w:val="Normal"/>
              <w:jc w:val="left"/>
            </w:pPr>
            <w:r>
              <w:t xml:space="preserve">1,284</w:t>
            </w:r>
          </w:p>
        </w:tc>
        <w:tc>
          <w:tcPr>
            <w:vAlign w:val="center"/>
            <w:tcBorders>
              <w:top w:val="single" w:sz="4" w:space="0" w:color="auto"/>
              <w:left w:val="single" w:sz="4" w:space="0" w:color="auto"/>
              <w:bottom w:val="single" w:sz="4" w:space="0" w:color="auto"/>
              <w:right w:val="single" w:sz="4" w:space="0" w:color="auto"/>
            </w:tcBorders>
          </w:tcPr>
          <w:p w14:paraId="00100651" w14:textId="00100690">
            <w:pPr>
              <w:pStyle w:val="Normal"/>
              <w:jc w:val="left"/>
            </w:pPr>
            <w:r>
              <w:t xml:space="preserve">1,196</w:t>
            </w:r>
          </w:p>
        </w:tc>
        <w:tc>
          <w:tcPr>
            <w:vAlign w:val="center"/>
            <w:tcBorders>
              <w:top w:val="single" w:sz="4" w:space="0" w:color="auto"/>
              <w:left w:val="single" w:sz="4" w:space="0" w:color="auto"/>
              <w:bottom w:val="single" w:sz="4" w:space="0" w:color="auto"/>
              <w:right w:val="single" w:sz="4" w:space="0" w:color="auto"/>
            </w:tcBorders>
          </w:tcPr>
          <w:p w14:paraId="00100653" w14:textId="00100691">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655" w14:textId="00100692">
            <w:pPr>
              <w:pStyle w:val="Normal"/>
              <w:jc w:val="left"/>
            </w:pPr>
            <w:r>
              <w:t xml:space="preserve">Growth driven by order conversion and selective pricing</w:t>
            </w:r>
          </w:p>
        </w:tc>
      </w:tr>
      <w:tr>
        <w:tc>
          <w:tcPr>
            <w:vAlign w:val="center"/>
            <w:tcBorders>
              <w:top w:val="single" w:sz="4" w:space="0" w:color="auto"/>
              <w:left w:val="single" w:sz="4" w:space="0" w:color="auto"/>
              <w:bottom w:val="single" w:sz="4" w:space="0" w:color="auto"/>
              <w:right w:val="single" w:sz="4" w:space="0" w:color="auto"/>
            </w:tcBorders>
          </w:tcPr>
          <w:p w14:paraId="00100657" w14:textId="00100693">
            <w:pPr>
              <w:pStyle w:val="Normal"/>
              <w:jc w:val="left"/>
            </w:pPr>
            <w:r>
              <w:t xml:space="preserve">Operating margin (%)</w:t>
            </w:r>
          </w:p>
        </w:tc>
        <w:tc>
          <w:tcPr>
            <w:vAlign w:val="center"/>
            <w:tcBorders>
              <w:top w:val="single" w:sz="4" w:space="0" w:color="auto"/>
              <w:left w:val="single" w:sz="4" w:space="0" w:color="auto"/>
              <w:bottom w:val="single" w:sz="4" w:space="0" w:color="auto"/>
              <w:right w:val="single" w:sz="4" w:space="0" w:color="auto"/>
            </w:tcBorders>
          </w:tcPr>
          <w:p w14:paraId="00100659" w14:textId="00100694">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65B" w14:textId="00100695">
            <w:pPr>
              <w:pStyle w:val="Normal"/>
              <w:jc w:val="left"/>
            </w:pPr>
            <w:r>
              <w:t xml:space="preserve">10.9</w:t>
            </w:r>
          </w:p>
        </w:tc>
        <w:tc>
          <w:tcPr>
            <w:vAlign w:val="center"/>
            <w:tcBorders>
              <w:top w:val="single" w:sz="4" w:space="0" w:color="auto"/>
              <w:left w:val="single" w:sz="4" w:space="0" w:color="auto"/>
              <w:bottom w:val="single" w:sz="4" w:space="0" w:color="auto"/>
              <w:right w:val="single" w:sz="4" w:space="0" w:color="auto"/>
            </w:tcBorders>
          </w:tcPr>
          <w:p w14:paraId="0010065D" w14:textId="00100696">
            <w:pPr>
              <w:pStyle w:val="Normal"/>
              <w:jc w:val="left"/>
            </w:pPr>
            <w:r>
              <w:t xml:space="preserve">+0.9 pts</w:t>
            </w:r>
          </w:p>
        </w:tc>
        <w:tc>
          <w:tcPr>
            <w:vAlign w:val="center"/>
            <w:tcBorders>
              <w:top w:val="single" w:sz="4" w:space="0" w:color="auto"/>
              <w:left w:val="single" w:sz="4" w:space="0" w:color="auto"/>
              <w:bottom w:val="single" w:sz="4" w:space="0" w:color="auto"/>
              <w:right w:val="single" w:sz="4" w:space="0" w:color="auto"/>
            </w:tcBorders>
          </w:tcPr>
          <w:p w14:paraId="0010065F" w14:textId="00100697">
            <w:pPr>
              <w:pStyle w:val="Normal"/>
              <w:jc w:val="left"/>
            </w:pPr>
            <w:r>
              <w:t xml:space="preserve">Improved mix, productivity gains, and overhead discipline</w:t>
            </w:r>
          </w:p>
        </w:tc>
      </w:tr>
      <w:tr>
        <w:tc>
          <w:tcPr>
            <w:vAlign w:val="center"/>
            <w:tcBorders>
              <w:top w:val="single" w:sz="4" w:space="0" w:color="auto"/>
              <w:left w:val="single" w:sz="4" w:space="0" w:color="auto"/>
              <w:bottom w:val="single" w:sz="4" w:space="0" w:color="auto"/>
              <w:right w:val="single" w:sz="4" w:space="0" w:color="auto"/>
            </w:tcBorders>
          </w:tcPr>
          <w:p w14:paraId="00100661" w14:textId="00100698">
            <w:pPr>
              <w:pStyle w:val="Normal"/>
              <w:jc w:val="left"/>
            </w:pPr>
            <w:r>
              <w:t xml:space="preserve">Order intake ($m)</w:t>
            </w:r>
          </w:p>
        </w:tc>
        <w:tc>
          <w:tcPr>
            <w:vAlign w:val="center"/>
            <w:tcBorders>
              <w:top w:val="single" w:sz="4" w:space="0" w:color="auto"/>
              <w:left w:val="single" w:sz="4" w:space="0" w:color="auto"/>
              <w:bottom w:val="single" w:sz="4" w:space="0" w:color="auto"/>
              <w:right w:val="single" w:sz="4" w:space="0" w:color="auto"/>
            </w:tcBorders>
          </w:tcPr>
          <w:p w14:paraId="00100663" w14:textId="00100699">
            <w:pPr>
              <w:pStyle w:val="Normal"/>
              <w:jc w:val="left"/>
            </w:pPr>
            <w:r>
              <w:t xml:space="preserve">1,336</w:t>
            </w:r>
          </w:p>
        </w:tc>
        <w:tc>
          <w:tcPr>
            <w:vAlign w:val="center"/>
            <w:tcBorders>
              <w:top w:val="single" w:sz="4" w:space="0" w:color="auto"/>
              <w:left w:val="single" w:sz="4" w:space="0" w:color="auto"/>
              <w:bottom w:val="single" w:sz="4" w:space="0" w:color="auto"/>
              <w:right w:val="single" w:sz="4" w:space="0" w:color="auto"/>
            </w:tcBorders>
          </w:tcPr>
          <w:p w14:paraId="00100665" w14:textId="0010069A">
            <w:pPr>
              <w:pStyle w:val="Normal"/>
              <w:jc w:val="left"/>
            </w:pPr>
            <w:r>
              <w:t xml:space="preserve">1,221</w:t>
            </w:r>
          </w:p>
        </w:tc>
        <w:tc>
          <w:tcPr>
            <w:vAlign w:val="center"/>
            <w:tcBorders>
              <w:top w:val="single" w:sz="4" w:space="0" w:color="auto"/>
              <w:left w:val="single" w:sz="4" w:space="0" w:color="auto"/>
              <w:bottom w:val="single" w:sz="4" w:space="0" w:color="auto"/>
              <w:right w:val="single" w:sz="4" w:space="0" w:color="auto"/>
            </w:tcBorders>
          </w:tcPr>
          <w:p w14:paraId="00100667" w14:textId="0010069B">
            <w:pPr>
              <w:pStyle w:val="Normal"/>
              <w:jc w:val="left"/>
            </w:pPr>
            <w:r>
              <w:t xml:space="preserve">+9.4%</w:t>
            </w:r>
          </w:p>
        </w:tc>
        <w:tc>
          <w:tcPr>
            <w:vAlign w:val="center"/>
            <w:tcBorders>
              <w:top w:val="single" w:sz="4" w:space="0" w:color="auto"/>
              <w:left w:val="single" w:sz="4" w:space="0" w:color="auto"/>
              <w:bottom w:val="single" w:sz="4" w:space="0" w:color="auto"/>
              <w:right w:val="single" w:sz="4" w:space="0" w:color="auto"/>
            </w:tcBorders>
          </w:tcPr>
          <w:p w14:paraId="00100669" w14:textId="0010069C">
            <w:pPr>
              <w:pStyle w:val="Normal"/>
              <w:jc w:val="left"/>
            </w:pPr>
            <w:r>
              <w:t xml:space="preserve">Strong project awards and better aftermarket demand</w:t>
            </w:r>
          </w:p>
        </w:tc>
      </w:tr>
      <w:tr>
        <w:tc>
          <w:tcPr>
            <w:vAlign w:val="center"/>
            <w:tcBorders>
              <w:top w:val="single" w:sz="4" w:space="0" w:color="auto"/>
              <w:left w:val="single" w:sz="4" w:space="0" w:color="auto"/>
              <w:bottom w:val="single" w:sz="4" w:space="0" w:color="auto"/>
              <w:right w:val="single" w:sz="4" w:space="0" w:color="auto"/>
            </w:tcBorders>
          </w:tcPr>
          <w:p w14:paraId="0010066B" w14:textId="0010069D">
            <w:pPr>
              <w:pStyle w:val="Normal"/>
              <w:jc w:val="left"/>
            </w:pPr>
            <w:r>
              <w:t xml:space="preserve">Book-to-bill (x)</w:t>
            </w:r>
          </w:p>
        </w:tc>
        <w:tc>
          <w:tcPr>
            <w:vAlign w:val="center"/>
            <w:tcBorders>
              <w:top w:val="single" w:sz="4" w:space="0" w:color="auto"/>
              <w:left w:val="single" w:sz="4" w:space="0" w:color="auto"/>
              <w:bottom w:val="single" w:sz="4" w:space="0" w:color="auto"/>
              <w:right w:val="single" w:sz="4" w:space="0" w:color="auto"/>
            </w:tcBorders>
          </w:tcPr>
          <w:p w14:paraId="0010066D" w14:textId="0010069E">
            <w:pPr>
              <w:pStyle w:val="Normal"/>
              <w:jc w:val="left"/>
            </w:pPr>
            <w:r>
              <w:t xml:space="preserve">1.04</w:t>
            </w:r>
          </w:p>
        </w:tc>
        <w:tc>
          <w:tcPr>
            <w:vAlign w:val="center"/>
            <w:tcBorders>
              <w:top w:val="single" w:sz="4" w:space="0" w:color="auto"/>
              <w:left w:val="single" w:sz="4" w:space="0" w:color="auto"/>
              <w:bottom w:val="single" w:sz="4" w:space="0" w:color="auto"/>
              <w:right w:val="single" w:sz="4" w:space="0" w:color="auto"/>
            </w:tcBorders>
          </w:tcPr>
          <w:p w14:paraId="0010066F" w14:textId="0010069F">
            <w:pPr>
              <w:pStyle w:val="Normal"/>
              <w:jc w:val="left"/>
            </w:pPr>
            <w:r>
              <w:t xml:space="preserve">1.02</w:t>
            </w:r>
          </w:p>
        </w:tc>
        <w:tc>
          <w:tcPr>
            <w:vAlign w:val="center"/>
            <w:tcBorders>
              <w:top w:val="single" w:sz="4" w:space="0" w:color="auto"/>
              <w:left w:val="single" w:sz="4" w:space="0" w:color="auto"/>
              <w:bottom w:val="single" w:sz="4" w:space="0" w:color="auto"/>
              <w:right w:val="single" w:sz="4" w:space="0" w:color="auto"/>
            </w:tcBorders>
          </w:tcPr>
          <w:p w14:paraId="00100671" w14:textId="001006A0">
            <w:pPr>
              <w:pStyle w:val="Normal"/>
              <w:jc w:val="left"/>
            </w:pPr>
            <w:r>
              <w:t xml:space="preserve">+0.02x</w:t>
            </w:r>
          </w:p>
        </w:tc>
        <w:tc>
          <w:tcPr>
            <w:vAlign w:val="center"/>
            <w:tcBorders>
              <w:top w:val="single" w:sz="4" w:space="0" w:color="auto"/>
              <w:left w:val="single" w:sz="4" w:space="0" w:color="auto"/>
              <w:bottom w:val="single" w:sz="4" w:space="0" w:color="auto"/>
              <w:right w:val="single" w:sz="4" w:space="0" w:color="auto"/>
            </w:tcBorders>
          </w:tcPr>
          <w:p w14:paraId="00100673" w14:textId="001006A1">
            <w:pPr>
              <w:pStyle w:val="Normal"/>
              <w:jc w:val="left"/>
            </w:pPr>
            <w:r>
              <w:t xml:space="preserve">Backlog expanded modestly into year-end</w:t>
            </w:r>
          </w:p>
        </w:tc>
      </w:tr>
      <w:tr>
        <w:tc>
          <w:tcPr>
            <w:vAlign w:val="center"/>
            <w:tcBorders>
              <w:top w:val="single" w:sz="4" w:space="0" w:color="auto"/>
              <w:left w:val="single" w:sz="4" w:space="0" w:color="auto"/>
              <w:bottom w:val="single" w:sz="4" w:space="0" w:color="auto"/>
              <w:right w:val="single" w:sz="4" w:space="0" w:color="auto"/>
            </w:tcBorders>
          </w:tcPr>
          <w:p w14:paraId="00100675" w14:textId="001006A2">
            <w:pPr>
              <w:pStyle w:val="Normal"/>
              <w:jc w:val="left"/>
            </w:pPr>
            <w:r>
              <w:t xml:space="preserve">Operating cash flow ($m)</w:t>
            </w:r>
          </w:p>
        </w:tc>
        <w:tc>
          <w:tcPr>
            <w:vAlign w:val="center"/>
            <w:tcBorders>
              <w:top w:val="single" w:sz="4" w:space="0" w:color="auto"/>
              <w:left w:val="single" w:sz="4" w:space="0" w:color="auto"/>
              <w:bottom w:val="single" w:sz="4" w:space="0" w:color="auto"/>
              <w:right w:val="single" w:sz="4" w:space="0" w:color="auto"/>
            </w:tcBorders>
          </w:tcPr>
          <w:p w14:paraId="00100677" w14:textId="001006A3">
            <w:pPr>
              <w:pStyle w:val="Normal"/>
              <w:jc w:val="left"/>
            </w:pPr>
            <w:r>
              <w:t xml:space="preserve">162</w:t>
            </w:r>
          </w:p>
        </w:tc>
        <w:tc>
          <w:tcPr>
            <w:vAlign w:val="center"/>
            <w:tcBorders>
              <w:top w:val="single" w:sz="4" w:space="0" w:color="auto"/>
              <w:left w:val="single" w:sz="4" w:space="0" w:color="auto"/>
              <w:bottom w:val="single" w:sz="4" w:space="0" w:color="auto"/>
              <w:right w:val="single" w:sz="4" w:space="0" w:color="auto"/>
            </w:tcBorders>
          </w:tcPr>
          <w:p w14:paraId="00100679" w14:textId="001006A4">
            <w:pPr>
              <w:pStyle w:val="Normal"/>
              <w:jc w:val="left"/>
            </w:pPr>
            <w:r>
              <w:t xml:space="preserve">141</w:t>
            </w:r>
          </w:p>
        </w:tc>
        <w:tc>
          <w:tcPr>
            <w:vAlign w:val="center"/>
            <w:tcBorders>
              <w:top w:val="single" w:sz="4" w:space="0" w:color="auto"/>
              <w:left w:val="single" w:sz="4" w:space="0" w:color="auto"/>
              <w:bottom w:val="single" w:sz="4" w:space="0" w:color="auto"/>
              <w:right w:val="single" w:sz="4" w:space="0" w:color="auto"/>
            </w:tcBorders>
          </w:tcPr>
          <w:p w14:paraId="0010067B" w14:textId="001006A5">
            <w:pPr>
              <w:pStyle w:val="Normal"/>
              <w:jc w:val="left"/>
            </w:pPr>
            <w:r>
              <w:t xml:space="preserve">+14.9%</w:t>
            </w:r>
          </w:p>
        </w:tc>
        <w:tc>
          <w:tcPr>
            <w:vAlign w:val="center"/>
            <w:tcBorders>
              <w:top w:val="single" w:sz="4" w:space="0" w:color="auto"/>
              <w:left w:val="single" w:sz="4" w:space="0" w:color="auto"/>
              <w:bottom w:val="single" w:sz="4" w:space="0" w:color="auto"/>
              <w:right w:val="single" w:sz="4" w:space="0" w:color="auto"/>
            </w:tcBorders>
          </w:tcPr>
          <w:p w14:paraId="0010067D" w14:textId="001006A6">
            <w:pPr>
              <w:pStyle w:val="Normal"/>
              <w:jc w:val="left"/>
            </w:pPr>
            <w:r>
              <w:t xml:space="preserve">Higher earnings and tighter working capital control</w:t>
            </w:r>
          </w:p>
        </w:tc>
      </w:tr>
      <w:tr>
        <w:tc>
          <w:tcPr>
            <w:vAlign w:val="center"/>
            <w:tcBorders>
              <w:top w:val="single" w:sz="4" w:space="0" w:color="auto"/>
              <w:left w:val="single" w:sz="4" w:space="0" w:color="auto"/>
              <w:bottom w:val="single" w:sz="4" w:space="0" w:color="auto"/>
              <w:right w:val="single" w:sz="4" w:space="0" w:color="auto"/>
            </w:tcBorders>
          </w:tcPr>
          <w:p w14:paraId="0010067F" w14:textId="001006A7">
            <w:pPr>
              <w:pStyle w:val="Normal"/>
              <w:jc w:val="left"/>
            </w:pPr>
            <w:r>
              <w:t xml:space="preserve">Cash conversion (%)</w:t>
            </w:r>
          </w:p>
        </w:tc>
        <w:tc>
          <w:tcPr>
            <w:vAlign w:val="center"/>
            <w:tcBorders>
              <w:top w:val="single" w:sz="4" w:space="0" w:color="auto"/>
              <w:left w:val="single" w:sz="4" w:space="0" w:color="auto"/>
              <w:bottom w:val="single" w:sz="4" w:space="0" w:color="auto"/>
              <w:right w:val="single" w:sz="4" w:space="0" w:color="auto"/>
            </w:tcBorders>
          </w:tcPr>
          <w:p w14:paraId="00100681" w14:textId="001006A8">
            <w:pPr>
              <w:pStyle w:val="Normal"/>
              <w:jc w:val="left"/>
            </w:pPr>
            <w:r>
              <w:t xml:space="preserve">87</w:t>
            </w:r>
          </w:p>
        </w:tc>
        <w:tc>
          <w:tcPr>
            <w:vAlign w:val="center"/>
            <w:tcBorders>
              <w:top w:val="single" w:sz="4" w:space="0" w:color="auto"/>
              <w:left w:val="single" w:sz="4" w:space="0" w:color="auto"/>
              <w:bottom w:val="single" w:sz="4" w:space="0" w:color="auto"/>
              <w:right w:val="single" w:sz="4" w:space="0" w:color="auto"/>
            </w:tcBorders>
          </w:tcPr>
          <w:p w14:paraId="00100683" w14:textId="001006A9">
            <w:pPr>
              <w:pStyle w:val="Normal"/>
              <w:jc w:val="left"/>
            </w:pPr>
            <w:r>
              <w:t xml:space="preserve">82</w:t>
            </w:r>
          </w:p>
        </w:tc>
        <w:tc>
          <w:tcPr>
            <w:vAlign w:val="center"/>
            <w:tcBorders>
              <w:top w:val="single" w:sz="4" w:space="0" w:color="auto"/>
              <w:left w:val="single" w:sz="4" w:space="0" w:color="auto"/>
              <w:bottom w:val="single" w:sz="4" w:space="0" w:color="auto"/>
              <w:right w:val="single" w:sz="4" w:space="0" w:color="auto"/>
            </w:tcBorders>
          </w:tcPr>
          <w:p w14:paraId="00100685" w14:textId="001006AA">
            <w:pPr>
              <w:pStyle w:val="Normal"/>
              <w:jc w:val="left"/>
            </w:pPr>
            <w:r>
              <w:t xml:space="preserve">+5 pts</w:t>
            </w:r>
          </w:p>
        </w:tc>
        <w:tc>
          <w:tcPr>
            <w:vAlign w:val="center"/>
            <w:tcBorders>
              <w:top w:val="single" w:sz="4" w:space="0" w:color="auto"/>
              <w:left w:val="single" w:sz="4" w:space="0" w:color="auto"/>
              <w:bottom w:val="single" w:sz="4" w:space="0" w:color="auto"/>
              <w:right w:val="single" w:sz="4" w:space="0" w:color="auto"/>
            </w:tcBorders>
          </w:tcPr>
          <w:p w14:paraId="00100687" w14:textId="001006AB">
            <w:pPr>
              <w:pStyle w:val="Normal"/>
              <w:jc w:val="left"/>
            </w:pPr>
            <w:r>
              <w:t xml:space="preserve">Inventory normalization and receivables collection improved</w:t>
            </w:r>
          </w:p>
        </w:tc>
      </w:tr>
    </w:tbl>
    <w:p w14:paraId="001006AC" w14:textId="001006AD">
      <w:pPr>
        <w:pStyle w:val="Heading3a"/>
        <w:jc w:val="left"/>
      </w:pPr>
      <w:r>
        <w:t xml:space="preserve">Business Scope</w:t>
      </w:r>
    </w:p>
    <w:p w14:paraId="001006AE" w14:textId="001006AF">
      <w:pPr>
        <w:pStyle w:val="Normal"/>
        <w:jc w:val="left"/>
      </w:pPr>
      <w:r>
        <w:t xml:space="preserve">The Industrial Segment provides engineered products, process equipment, maintenance services, and technical support to customers operating in manufacturing, energy, transport, and resource-linked industries. Its portfolio combines recurring aftermarket activity with project-based original equipment sales, giving the business a mix of shorter-cycle demand and longer-cycle contract visibility. Core offerings include rotating and static equipment packages, plant components, automation-ready subsystems, field servicing, spare parts, and lifecycle optimization programs designed to improve uptime and operating efficiency.</w:t>
      </w:r>
    </w:p>
    <w:p w14:paraId="001006B0" w14:textId="001006B1">
      <w:pPr>
        <w:pStyle w:val="Normal"/>
        <w:jc w:val="left"/>
      </w:pPr>
      <w:r>
        <w:t xml:space="preserve">The customer base is broad but disciplined. Large industrial operators account for a significant share of revenue, particularly those requiring high reliability, documented compliance, and multi-site service capability. Mid-sized manufacturers and specialist contractors also remain important, especially in replacement demand, component upgrades, and regional distribution channels. Commercial reach is supported by production sites, assembly centers, and service hubs located near major industrial corridors, enabling faster response times and lower delivery complexity. This footprint allows the segment to serve both export customers and domestic accounts while maintaining product customization where application requirements differ.</w:t>
      </w:r>
    </w:p>
    <w:p w14:paraId="001006B2" w14:textId="001006B3">
      <w:pPr>
        <w:pStyle w:val="Normal"/>
        <w:jc w:val="left"/>
      </w:pPr>
      <w:r>
        <w:t xml:space="preserve">Across the year, management continued to emphasize technically differentiated offers, contract quality, and installed-base monetization. The segment therefore positioned itself not simply as a component supplier, but as an operations partner with design, installation, maintenance, and performance support capabilities.</w:t>
      </w:r>
    </w:p>
    <w:p w14:paraId="001006B4" w14:textId="001006B5">
      <w:pPr>
        <w:pStyle w:val="Normal"/>
        <w:jc w:val="left"/>
      </w:pPr>
      <w:r>
        <w:drawing>
          <wp:inline distT="0" distB="0" distL="0" distR="0">
            <wp:extent cx="4680000" cy="3240000"/>
            <wp:effectExtent l="0" t="0" r="0" b="0"/>
            <wp:docPr id="14" name="Fig-I08-02.png" descr=""/>
            <wp:cNvGraphicFramePr>
              <a:graphicFrameLocks noChangeAspect="1"/>
            </wp:cNvGraphicFramePr>
            <a:graphic>
              <a:graphicData uri="http://schemas.openxmlformats.org/drawingml/2006/picture">
                <pic:pic>
                  <pic:nvPicPr>
                    <pic:cNvPr id="14" name="Fig-I08-02.png"/>
                    <pic:cNvPicPr/>
                  </pic:nvPicPr>
                  <pic:blipFill>
                    <a:blip r:embed="R6500726243624fde" cstate="print"/>
                    <a:stretch>
                      <a:fillRect/>
                    </a:stretch>
                  </pic:blipFill>
                  <pic:spPr>
                    <a:xfrm>
                      <a:off x="0" y="0"/>
                      <a:ext cx="5040000" cy="2880000"/>
                    </a:xfrm>
                    <a:prstGeom prst="rect">
                      <a:avLst/>
                    </a:prstGeom>
                  </pic:spPr>
                </pic:pic>
              </a:graphicData>
            </a:graphic>
          </wp:inline>
        </w:drawing>
      </w:r>
    </w:p>
    <w:p w14:paraId="001006B6" w14:textId="001006B7">
      <w:pPr>
        <w:pStyle w:val="Normal"/>
        <w:jc w:val="left"/>
      </w:pPr>
      <w:r>
        <w:t xml:space="preserve">Figure 19 Industrial Segment production and service footprint by region</w:t>
      </w:r>
    </w:p>
    <w:p w14:paraId="001006B8" w14:textId="001006B9">
      <w:pPr>
        <w:pStyle w:val="Heading3a"/>
        <w:jc w:val="left"/>
      </w:pPr>
      <w:r>
        <w:t xml:space="preserve">Year at a Glance</w:t>
      </w:r>
    </w:p>
    <w:p w14:paraId="001006BA" w14:textId="001006BB">
      <w:pPr>
        <w:pStyle w:val="Normal"/>
        <w:jc w:val="left"/>
      </w:pPr>
      <w:r>
        <w:t xml:space="preserve">The Industrial Segment delivered a stronger year, with revenue, order intake, and cash generation all ahead of the prior period. Demand was supported by resilient maintenance spending, healthier project conversion in the second half, and improved commercial execution in target accounts. Order intake outpaced revenue for the year, resulting in a modestly higher backlog entering the new period. This provided better near-term visibility, particularly in engineered systems and service-led contracts where customer shutdown planning and replacement cycles remained active.</w:t>
      </w:r>
    </w:p>
    <w:p w14:paraId="001006BC" w14:textId="001006BD">
      <w:pPr>
        <w:pStyle w:val="Normal"/>
        <w:jc w:val="left"/>
      </w:pPr>
      <w:r>
        <w:t xml:space="preserve">Profitability also advanced. Operating margin improved as pricing actions, product mix, and internal productivity measures more than offset labor inflation and selected input cost pressure. Higher service activity contributed positively because aftermarket work typically carries stronger margins and faster cash collection than project deliveries. The segment also benefited from more disciplined bid selection, with management placing greater weight on complexity, execution risk, and return thresholds before committing capacity.</w:t>
      </w:r>
    </w:p>
    <w:p w14:paraId="001006BE" w14:textId="001006BF">
      <w:pPr>
        <w:pStyle w:val="Normal"/>
        <w:jc w:val="left"/>
      </w:pPr>
      <w:r>
        <w:t xml:space="preserve">Operationally, the business exited the year with better schedule adherence and more stable plant utilization. Lead times eased in several categories compared with the disruption seen in earlier periods, allowing the segment to convert backlog more efficiently and reduce some buffer inventory. Taken together, these trends indicate improving momentum rather than a one-off recovery, although end-market conditions still varied by customer industry and geography.</w:t>
      </w:r>
    </w:p>
    <w:p w14:paraId="001006C0" w14:textId="001006C1">
      <w:pPr>
        <w:pStyle w:val="Normal"/>
        <w:jc w:val="left"/>
      </w:pPr>
      <w:r>
        <w:t xml:space="preserve">Compared with the prior year, the most notable shift was the balance between project activity and recurring service revenue. While both streams grew, aftermarket and maintenance work expanded more consistently across the year, supporting margin resilience and reducing volatility in monthly performance. Original equipment orders also improved, but their timing remained uneven, with larger awards concentrated in fewer periods and subject to longer customer approval cycles.</w:t>
      </w:r>
    </w:p>
    <w:p w14:paraId="001006C2" w14:textId="001006C3">
      <w:pPr>
        <w:pStyle w:val="Normal"/>
        <w:jc w:val="left"/>
      </w:pPr>
      <w:r>
        <w:t xml:space="preserve">Another important change was the quality of operational execution. In the previous year, the segment faced greater friction from supply delays, uneven component availability, and cautious inventory positioning. During the current year, supplier performance became more predictable and internal planning discipline improved, allowing plants to run closer to target throughput. This helped lower expedite costs, reduced rework in selected lines, and improved on-time delivery for service-critical orders.</w:t>
      </w:r>
    </w:p>
    <w:p w14:paraId="001006C4" w14:textId="001006C5">
      <w:pPr>
        <w:pStyle w:val="Normal"/>
        <w:jc w:val="left"/>
      </w:pPr>
      <w:r>
        <w:t xml:space="preserve">The segment also made progress in commercial selectivity. Management moved away from lower-return business where technical complexity, warranty exposure, or customer-specific customization created disproportionate risk. As a result, year-on-year growth was accompanied by a better earnings profile rather than revenue expansion alone. Although energy-linked and heavy manufacturing demand remained mixed by region, the closing position was materially stronger, with a healthier backlog, improved cash conversion, and a more favorable mix of contracts than twelve months earlier.</w:t>
      </w:r>
    </w:p>
    <w:p w14:paraId="001006C6" w14:textId="001006C7">
      <w:pPr>
        <w:pStyle w:val="Heading2a"/>
        <w:jc w:val="left"/>
      </w:pPr>
      <w:r>
        <w:t xml:space="preserve">Performance Review</w:t>
      </w:r>
    </w:p>
    <w:p w14:paraId="001006C8" w14:textId="001006CA">
      <w:pPr>
        <w:pStyle w:val="Normal"/>
        <w:jc w:val="left"/>
      </w:pPr>
      <w:r>
        <w:t xml:space="preserve">Overall performance:</w:t>
      </w:r>
      <w:r>
        <w:t xml:space="preserve"> the Industrial Segment translated stronger commercial activity into improved financial delivery across revenue, margin, and cash. The KPI table shows that order intake grew faster than sales, supporting a stronger closing backlog and indicating that customer demand remained constructive despite mixed conditions in some industrial end markets. Revenue increased on better conversion of existing orders, continued service demand, and targeted pricing measures that helped protect value in contracts exposed to cost inflation.</w:t>
        <w:br/>
        <w:t xml:space="preserve">Margin performance reflected more than volume growth alone. A higher contribution from aftermarket services, better plant utilization, and tighter control of overhead supported the year-on-year uplift in operating margin. Cash generation also strengthened as earnings improvement was accompanied by more disciplined working capital management, particularly in inventories and collections. These factors provide the basis for the more detailed review that follows, which examines how orders, pricing, mix, operating efficiency, and cash conversion shaped the segment's full-year outcome.</w:t>
      </w:r>
    </w:p>
    <w:p w14:paraId="001006CB" w14:textId="001006CC">
      <w:pPr>
        <w:pStyle w:val="Normal"/>
        <w:jc w:val="left"/>
      </w:pPr>
      <w:r>
        <w:t xml:space="preserve">Table 12 Industrial Segment performance data</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6CD" w14:textId="00100705">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6CF" w14:textId="00100706">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6D1" w14:textId="00100707">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6D3" w14:textId="00100708">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6D5" w14:textId="00100709">
            <w:pPr>
              <w:pStyle w:val="Normal"/>
              <w:jc w:val="left"/>
            </w:pPr>
            <w:r>
              <w:t xml:space="preserve">Revenue (RVM million)</w:t>
            </w:r>
          </w:p>
        </w:tc>
        <w:tc>
          <w:tcPr>
            <w:vAlign w:val="center"/>
            <w:tcBorders>
              <w:top w:val="single" w:sz="4" w:space="0" w:color="auto"/>
              <w:left w:val="single" w:sz="4" w:space="0" w:color="auto"/>
              <w:bottom w:val="single" w:sz="4" w:space="0" w:color="auto"/>
              <w:right w:val="single" w:sz="4" w:space="0" w:color="auto"/>
            </w:tcBorders>
          </w:tcPr>
          <w:p w14:paraId="001006D7" w14:textId="0010070A">
            <w:pPr>
              <w:pStyle w:val="Normal"/>
              <w:jc w:val="left"/>
            </w:pPr>
            <w:r>
              <w:t xml:space="preserve">2,184</w:t>
            </w:r>
          </w:p>
        </w:tc>
        <w:tc>
          <w:tcPr>
            <w:vAlign w:val="center"/>
            <w:tcBorders>
              <w:top w:val="single" w:sz="4" w:space="0" w:color="auto"/>
              <w:left w:val="single" w:sz="4" w:space="0" w:color="auto"/>
              <w:bottom w:val="single" w:sz="4" w:space="0" w:color="auto"/>
              <w:right w:val="single" w:sz="4" w:space="0" w:color="auto"/>
            </w:tcBorders>
          </w:tcPr>
          <w:p w14:paraId="001006D9" w14:textId="0010070B">
            <w:pPr>
              <w:pStyle w:val="Normal"/>
              <w:jc w:val="left"/>
            </w:pPr>
            <w:r>
              <w:t xml:space="preserve">2,036</w:t>
            </w:r>
          </w:p>
        </w:tc>
        <w:tc>
          <w:tcPr>
            <w:vAlign w:val="center"/>
            <w:tcBorders>
              <w:top w:val="single" w:sz="4" w:space="0" w:color="auto"/>
              <w:left w:val="single" w:sz="4" w:space="0" w:color="auto"/>
              <w:bottom w:val="single" w:sz="4" w:space="0" w:color="auto"/>
              <w:right w:val="single" w:sz="4" w:space="0" w:color="auto"/>
            </w:tcBorders>
          </w:tcPr>
          <w:p w14:paraId="001006DB" w14:textId="0010070C">
            <w:pPr>
              <w:pStyle w:val="Normal"/>
              <w:jc w:val="left"/>
            </w:pPr>
            <w:r>
              <w:t xml:space="preserve">+7.3%</w:t>
            </w:r>
          </w:p>
        </w:tc>
      </w:tr>
      <w:tr>
        <w:tc>
          <w:tcPr>
            <w:vAlign w:val="center"/>
            <w:tcBorders>
              <w:top w:val="single" w:sz="4" w:space="0" w:color="auto"/>
              <w:left w:val="single" w:sz="4" w:space="0" w:color="auto"/>
              <w:bottom w:val="single" w:sz="4" w:space="0" w:color="auto"/>
              <w:right w:val="single" w:sz="4" w:space="0" w:color="auto"/>
            </w:tcBorders>
          </w:tcPr>
          <w:p w14:paraId="001006DD" w14:textId="0010070D">
            <w:pPr>
              <w:pStyle w:val="Normal"/>
              <w:jc w:val="left"/>
            </w:pPr>
            <w:r>
              <w:t xml:space="preserve">Operating profit (RVM million)</w:t>
            </w:r>
          </w:p>
        </w:tc>
        <w:tc>
          <w:tcPr>
            <w:vAlign w:val="center"/>
            <w:tcBorders>
              <w:top w:val="single" w:sz="4" w:space="0" w:color="auto"/>
              <w:left w:val="single" w:sz="4" w:space="0" w:color="auto"/>
              <w:bottom w:val="single" w:sz="4" w:space="0" w:color="auto"/>
              <w:right w:val="single" w:sz="4" w:space="0" w:color="auto"/>
            </w:tcBorders>
          </w:tcPr>
          <w:p w14:paraId="001006DF" w14:textId="0010070E">
            <w:pPr>
              <w:pStyle w:val="Normal"/>
              <w:jc w:val="left"/>
            </w:pPr>
            <w:r>
              <w:t xml:space="preserve">248</w:t>
            </w:r>
          </w:p>
        </w:tc>
        <w:tc>
          <w:tcPr>
            <w:vAlign w:val="center"/>
            <w:tcBorders>
              <w:top w:val="single" w:sz="4" w:space="0" w:color="auto"/>
              <w:left w:val="single" w:sz="4" w:space="0" w:color="auto"/>
              <w:bottom w:val="single" w:sz="4" w:space="0" w:color="auto"/>
              <w:right w:val="single" w:sz="4" w:space="0" w:color="auto"/>
            </w:tcBorders>
          </w:tcPr>
          <w:p w14:paraId="001006E1" w14:textId="0010070F">
            <w:pPr>
              <w:pStyle w:val="Normal"/>
              <w:jc w:val="left"/>
            </w:pPr>
            <w:r>
              <w:t xml:space="preserve">221</w:t>
            </w:r>
          </w:p>
        </w:tc>
        <w:tc>
          <w:tcPr>
            <w:vAlign w:val="center"/>
            <w:tcBorders>
              <w:top w:val="single" w:sz="4" w:space="0" w:color="auto"/>
              <w:left w:val="single" w:sz="4" w:space="0" w:color="auto"/>
              <w:bottom w:val="single" w:sz="4" w:space="0" w:color="auto"/>
              <w:right w:val="single" w:sz="4" w:space="0" w:color="auto"/>
            </w:tcBorders>
          </w:tcPr>
          <w:p w14:paraId="001006E3" w14:textId="00100710">
            <w:pPr>
              <w:pStyle w:val="Normal"/>
              <w:jc w:val="left"/>
            </w:pPr>
            <w:r>
              <w:t xml:space="preserve">+12.2%</w:t>
            </w:r>
          </w:p>
        </w:tc>
      </w:tr>
      <w:tr>
        <w:tc>
          <w:tcPr>
            <w:vAlign w:val="center"/>
            <w:tcBorders>
              <w:top w:val="single" w:sz="4" w:space="0" w:color="auto"/>
              <w:left w:val="single" w:sz="4" w:space="0" w:color="auto"/>
              <w:bottom w:val="single" w:sz="4" w:space="0" w:color="auto"/>
              <w:right w:val="single" w:sz="4" w:space="0" w:color="auto"/>
            </w:tcBorders>
          </w:tcPr>
          <w:p w14:paraId="001006E5" w14:textId="00100711">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6E7" w14:textId="00100712">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6E9" w14:textId="00100713">
            <w:pPr>
              <w:pStyle w:val="Normal"/>
              <w:jc w:val="left"/>
            </w:pPr>
            <w:r>
              <w:t xml:space="preserve">10.9%</w:t>
            </w:r>
          </w:p>
        </w:tc>
        <w:tc>
          <w:tcPr>
            <w:vAlign w:val="center"/>
            <w:tcBorders>
              <w:top w:val="single" w:sz="4" w:space="0" w:color="auto"/>
              <w:left w:val="single" w:sz="4" w:space="0" w:color="auto"/>
              <w:bottom w:val="single" w:sz="4" w:space="0" w:color="auto"/>
              <w:right w:val="single" w:sz="4" w:space="0" w:color="auto"/>
            </w:tcBorders>
          </w:tcPr>
          <w:p w14:paraId="001006EB" w14:textId="00100714">
            <w:pPr>
              <w:pStyle w:val="Normal"/>
              <w:jc w:val="left"/>
            </w:pPr>
            <w:r>
              <w:t xml:space="preserve">+0.5 pts</w:t>
            </w:r>
          </w:p>
        </w:tc>
      </w:tr>
      <w:tr>
        <w:tc>
          <w:tcPr>
            <w:vAlign w:val="center"/>
            <w:tcBorders>
              <w:top w:val="single" w:sz="4" w:space="0" w:color="auto"/>
              <w:left w:val="single" w:sz="4" w:space="0" w:color="auto"/>
              <w:bottom w:val="single" w:sz="4" w:space="0" w:color="auto"/>
              <w:right w:val="single" w:sz="4" w:space="0" w:color="auto"/>
            </w:tcBorders>
          </w:tcPr>
          <w:p w14:paraId="001006ED" w14:textId="00100715">
            <w:pPr>
              <w:pStyle w:val="Normal"/>
              <w:jc w:val="left"/>
            </w:pPr>
            <w:r>
              <w:t xml:space="preserve">Operating cash flow (RVM million)</w:t>
            </w:r>
          </w:p>
        </w:tc>
        <w:tc>
          <w:tcPr>
            <w:vAlign w:val="center"/>
            <w:tcBorders>
              <w:top w:val="single" w:sz="4" w:space="0" w:color="auto"/>
              <w:left w:val="single" w:sz="4" w:space="0" w:color="auto"/>
              <w:bottom w:val="single" w:sz="4" w:space="0" w:color="auto"/>
              <w:right w:val="single" w:sz="4" w:space="0" w:color="auto"/>
            </w:tcBorders>
          </w:tcPr>
          <w:p w14:paraId="001006EF" w14:textId="00100716">
            <w:pPr>
              <w:pStyle w:val="Normal"/>
              <w:jc w:val="left"/>
            </w:pPr>
            <w:r>
              <w:t xml:space="preserve">219</w:t>
            </w:r>
          </w:p>
        </w:tc>
        <w:tc>
          <w:tcPr>
            <w:vAlign w:val="center"/>
            <w:tcBorders>
              <w:top w:val="single" w:sz="4" w:space="0" w:color="auto"/>
              <w:left w:val="single" w:sz="4" w:space="0" w:color="auto"/>
              <w:bottom w:val="single" w:sz="4" w:space="0" w:color="auto"/>
              <w:right w:val="single" w:sz="4" w:space="0" w:color="auto"/>
            </w:tcBorders>
          </w:tcPr>
          <w:p w14:paraId="001006F1" w14:textId="00100717">
            <w:pPr>
              <w:pStyle w:val="Normal"/>
              <w:jc w:val="left"/>
            </w:pPr>
            <w:r>
              <w:t xml:space="preserve">187</w:t>
            </w:r>
          </w:p>
        </w:tc>
        <w:tc>
          <w:tcPr>
            <w:vAlign w:val="center"/>
            <w:tcBorders>
              <w:top w:val="single" w:sz="4" w:space="0" w:color="auto"/>
              <w:left w:val="single" w:sz="4" w:space="0" w:color="auto"/>
              <w:bottom w:val="single" w:sz="4" w:space="0" w:color="auto"/>
              <w:right w:val="single" w:sz="4" w:space="0" w:color="auto"/>
            </w:tcBorders>
          </w:tcPr>
          <w:p w14:paraId="001006F3" w14:textId="00100718">
            <w:pPr>
              <w:pStyle w:val="Normal"/>
              <w:jc w:val="left"/>
            </w:pPr>
            <w:r>
              <w:t xml:space="preserve">+17.1%</w:t>
            </w:r>
          </w:p>
        </w:tc>
      </w:tr>
      <w:tr>
        <w:tc>
          <w:tcPr>
            <w:vAlign w:val="center"/>
            <w:tcBorders>
              <w:top w:val="single" w:sz="4" w:space="0" w:color="auto"/>
              <w:left w:val="single" w:sz="4" w:space="0" w:color="auto"/>
              <w:bottom w:val="single" w:sz="4" w:space="0" w:color="auto"/>
              <w:right w:val="single" w:sz="4" w:space="0" w:color="auto"/>
            </w:tcBorders>
          </w:tcPr>
          <w:p w14:paraId="001006F5" w14:textId="00100719">
            <w:pPr>
              <w:pStyle w:val="Normal"/>
              <w:jc w:val="left"/>
            </w:pPr>
            <w:r>
              <w:t xml:space="preserve">Cash conversion</w:t>
            </w:r>
          </w:p>
        </w:tc>
        <w:tc>
          <w:tcPr>
            <w:vAlign w:val="center"/>
            <w:tcBorders>
              <w:top w:val="single" w:sz="4" w:space="0" w:color="auto"/>
              <w:left w:val="single" w:sz="4" w:space="0" w:color="auto"/>
              <w:bottom w:val="single" w:sz="4" w:space="0" w:color="auto"/>
              <w:right w:val="single" w:sz="4" w:space="0" w:color="auto"/>
            </w:tcBorders>
          </w:tcPr>
          <w:p w14:paraId="001006F7" w14:textId="0010071A">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06F9" w14:textId="0010071B">
            <w:pPr>
              <w:pStyle w:val="Normal"/>
              <w:jc w:val="left"/>
            </w:pPr>
            <w:r>
              <w:t xml:space="preserve">85%</w:t>
            </w:r>
          </w:p>
        </w:tc>
        <w:tc>
          <w:tcPr>
            <w:vAlign w:val="center"/>
            <w:tcBorders>
              <w:top w:val="single" w:sz="4" w:space="0" w:color="auto"/>
              <w:left w:val="single" w:sz="4" w:space="0" w:color="auto"/>
              <w:bottom w:val="single" w:sz="4" w:space="0" w:color="auto"/>
              <w:right w:val="single" w:sz="4" w:space="0" w:color="auto"/>
            </w:tcBorders>
          </w:tcPr>
          <w:p w14:paraId="001006FB" w14:textId="0010071C">
            <w:pPr>
              <w:pStyle w:val="Normal"/>
              <w:jc w:val="left"/>
            </w:pPr>
            <w:r>
              <w:t xml:space="preserve">+3 pts</w:t>
            </w:r>
          </w:p>
        </w:tc>
      </w:tr>
      <w:tr>
        <w:tc>
          <w:tcPr>
            <w:vAlign w:val="center"/>
            <w:tcBorders>
              <w:top w:val="single" w:sz="4" w:space="0" w:color="auto"/>
              <w:left w:val="single" w:sz="4" w:space="0" w:color="auto"/>
              <w:bottom w:val="single" w:sz="4" w:space="0" w:color="auto"/>
              <w:right w:val="single" w:sz="4" w:space="0" w:color="auto"/>
            </w:tcBorders>
          </w:tcPr>
          <w:p w14:paraId="001006FD" w14:textId="0010071D">
            <w:pPr>
              <w:pStyle w:val="Normal"/>
              <w:jc w:val="left"/>
            </w:pPr>
            <w:r>
              <w:t xml:space="preserve">Order intake (RVM million)</w:t>
            </w:r>
          </w:p>
        </w:tc>
        <w:tc>
          <w:tcPr>
            <w:vAlign w:val="center"/>
            <w:tcBorders>
              <w:top w:val="single" w:sz="4" w:space="0" w:color="auto"/>
              <w:left w:val="single" w:sz="4" w:space="0" w:color="auto"/>
              <w:bottom w:val="single" w:sz="4" w:space="0" w:color="auto"/>
              <w:right w:val="single" w:sz="4" w:space="0" w:color="auto"/>
            </w:tcBorders>
          </w:tcPr>
          <w:p w14:paraId="001006FF" w14:textId="0010071E">
            <w:pPr>
              <w:pStyle w:val="Normal"/>
              <w:jc w:val="left"/>
            </w:pPr>
            <w:r>
              <w:t xml:space="preserve">2,263</w:t>
            </w:r>
          </w:p>
        </w:tc>
        <w:tc>
          <w:tcPr>
            <w:vAlign w:val="center"/>
            <w:tcBorders>
              <w:top w:val="single" w:sz="4" w:space="0" w:color="auto"/>
              <w:left w:val="single" w:sz="4" w:space="0" w:color="auto"/>
              <w:bottom w:val="single" w:sz="4" w:space="0" w:color="auto"/>
              <w:right w:val="single" w:sz="4" w:space="0" w:color="auto"/>
            </w:tcBorders>
          </w:tcPr>
          <w:p w14:paraId="00100701" w14:textId="0010071F">
            <w:pPr>
              <w:pStyle w:val="Normal"/>
              <w:jc w:val="left"/>
            </w:pPr>
            <w:r>
              <w:t xml:space="preserve">2,091</w:t>
            </w:r>
          </w:p>
        </w:tc>
        <w:tc>
          <w:tcPr>
            <w:vAlign w:val="center"/>
            <w:tcBorders>
              <w:top w:val="single" w:sz="4" w:space="0" w:color="auto"/>
              <w:left w:val="single" w:sz="4" w:space="0" w:color="auto"/>
              <w:bottom w:val="single" w:sz="4" w:space="0" w:color="auto"/>
              <w:right w:val="single" w:sz="4" w:space="0" w:color="auto"/>
            </w:tcBorders>
          </w:tcPr>
          <w:p w14:paraId="00100703" w14:textId="00100720">
            <w:pPr>
              <w:pStyle w:val="Normal"/>
              <w:jc w:val="left"/>
            </w:pPr>
            <w:r>
              <w:t xml:space="preserve">+8.2%</w:t>
            </w:r>
          </w:p>
        </w:tc>
      </w:tr>
    </w:tbl>
    <w:p w14:paraId="00100721" w14:textId="00100722">
      <w:pPr>
        <w:pStyle w:val="Normal"/>
        <w:jc w:val="left"/>
      </w:pPr>
      <w:r>
        <w:drawing>
          <wp:inline distT="0" distB="0" distL="0" distR="0">
            <wp:extent cx="3960000" cy="2520000"/>
            <wp:effectExtent l="0" t="0" r="0" b="0"/>
            <wp:docPr id="15" name="Fig-I08-03.png" descr=""/>
            <wp:cNvGraphicFramePr>
              <a:graphicFrameLocks noChangeAspect="1"/>
            </wp:cNvGraphicFramePr>
            <a:graphic>
              <a:graphicData uri="http://schemas.openxmlformats.org/drawingml/2006/picture">
                <pic:pic>
                  <pic:nvPicPr>
                    <pic:cNvPr id="15" name="Fig-I08-03.png"/>
                    <pic:cNvPicPr/>
                  </pic:nvPicPr>
                  <pic:blipFill>
                    <a:blip r:embed="R494962e5f2304da4" cstate="print"/>
                    <a:stretch>
                      <a:fillRect/>
                    </a:stretch>
                  </pic:blipFill>
                  <pic:spPr>
                    <a:xfrm>
                      <a:off x="0" y="0"/>
                      <a:ext cx="4320000" cy="2880000"/>
                    </a:xfrm>
                    <a:prstGeom prst="rect">
                      <a:avLst/>
                    </a:prstGeom>
                  </pic:spPr>
                </pic:pic>
              </a:graphicData>
            </a:graphic>
          </wp:inline>
        </w:drawing>
      </w:r>
    </w:p>
    <w:p w14:paraId="00100723" w14:textId="00100724">
      <w:pPr>
        <w:pStyle w:val="Normal"/>
        <w:jc w:val="left"/>
      </w:pPr>
      <w:r>
        <w:t xml:space="preserve">Figure 19 Industrial Segment revenue, margin and cash trend, 2022–2024</w:t>
      </w:r>
    </w:p>
    <w:p w14:paraId="00100725" w14:textId="00100726">
      <w:pPr>
        <w:pStyle w:val="Heading3a"/>
        <w:jc w:val="left"/>
      </w:pPr>
      <w:r>
        <w:t xml:space="preserve">Revenue Drivers</w:t>
      </w:r>
    </w:p>
    <w:p w14:paraId="00100727" w14:textId="00100728">
      <w:pPr>
        <w:pStyle w:val="Normal"/>
        <w:jc w:val="left"/>
      </w:pPr>
      <w:r>
        <w:t xml:space="preserve">Industrial Segment revenue increased to RVM 2,184 million, supported by a combination of firmer order intake, improved shipment volumes and selective pricing actions. Order intake remained ahead of revenue through much of the year, reflecting resilient customer demand in maintenance-led industrial programs, replacement cycles in automation-related components and a gradual recovery in project timing during the second half. Volume growth was strongest in product lines tied to recurring operational expenditure by customers, where shorter decision cycles and installed-base demand provided a more stable earnings stream than discretionary capital projects.</w:t>
      </w:r>
    </w:p>
    <w:p w14:paraId="00100729" w14:textId="0010072A">
      <w:pPr>
        <w:pStyle w:val="Normal"/>
        <w:jc w:val="left"/>
      </w:pPr>
      <w:r>
        <w:t xml:space="preserve">Pricing also contributed positively, although the rate of increase moderated compared with the prior year as raw material inflation eased and the segment moved from broad-based price recovery to targeted value-based adjustments. Mix was modestly favorable. Higher-margin engineered assemblies, aftermarket parts and service-linked packages represented a larger share of revenue, while lower-margin commoditized items grew at a slower pace. Taken together, these factors produced balanced top-line progress rather than reliance on a single market or one-off contract, which is an encouraging signal for the quality and durability of the segment's growth profile.</w:t>
      </w:r>
    </w:p>
    <w:p w14:paraId="0010072B" w14:textId="0010072C">
      <w:pPr>
        <w:pStyle w:val="Normal"/>
        <w:jc w:val="left"/>
      </w:pPr>
      <w:r>
        <w:t xml:space="preserve">Regional performance was uneven but overall supportive. North River markets delivered the strongest contribution, helped by steady activity from energy, transport equipment and process industry customers. Central Coast operations showed moderate growth as project releases improved later in the year, while Eastland demand remained mixed because customers in export-oriented sectors continued to manage inventories carefully. This regional spread limited concentration risk and allowed the segment to redirect capacity toward markets with better near-term demand.</w:t>
      </w:r>
    </w:p>
    <w:p w14:paraId="0010072D" w14:textId="0010072E">
      <w:pPr>
        <w:pStyle w:val="Normal"/>
        <w:jc w:val="left"/>
      </w:pPr>
      <w:r>
        <w:t xml:space="preserve">Customer effects were similarly differentiated. Large contractual accounts provided good shipment visibility and supported factory loading, especially where framework agreements covered both components and technical support. Mid-sized industrial customers were more variable, with faster ordering patterns but smaller average order values. The segment responded by strengthening account coverage and improving quote turnaround times, which helped convert opportunities in shorter-cycle business. End-market exposure also mattered: demand from infrastructure-linked manufacturers and essential maintenance customers remained solid, while more cyclical machinery applications recovered only gradually. Overall, customer and regional mix enhanced resilience, even though recovery was not yet broad enough to eliminate pockets of softer utilization across the network.</w:t>
      </w:r>
    </w:p>
    <w:p w14:paraId="0010072F" w14:textId="00100730">
      <w:pPr>
        <w:pStyle w:val="Heading3a"/>
        <w:jc w:val="left"/>
      </w:pPr>
      <w:r>
        <w:t xml:space="preserve">Profit and Cash</w:t>
      </w:r>
    </w:p>
    <w:p w14:paraId="00100731" w14:textId="00100732">
      <w:pPr>
        <w:pStyle w:val="Normal"/>
        <w:jc w:val="left"/>
      </w:pPr>
      <w:r>
        <w:t xml:space="preserve">Operating profit rose to RVM 248 million and margin expanded to 11.4%, reflecting a constructive margin bridge across price retention, product mix and internal efficiency actions. The largest positive factor was the carry-through of prior pricing measures into current-year shipments, combined with disciplined discount management on new orders. Mix also helped, as service-linked offerings and engineered assemblies generated better contribution margins than standard catalog products. These gains were partly offset by labor cost inflation, higher maintenance spending and the continued ramp-up cost of selected automation investments.</w:t>
      </w:r>
    </w:p>
    <w:p w14:paraId="00100733" w14:textId="00100734">
      <w:pPr>
        <w:pStyle w:val="Normal"/>
        <w:jc w:val="left"/>
      </w:pPr>
      <w:r>
        <w:t xml:space="preserve">Manufacturing productivity improved over the year as plant scheduling became more stable and scrap rates declined in the two largest component sites. Procurement teams also secured better terms on several metal and electronics categories after supply conditions normalized, reducing spot-buy exposure and improving material availability. Overheads remained controlled despite targeted spending on digital production planning and field technical support. As a result, the segment converted moderate revenue growth into a stronger rate of profit growth. Management views this as evidence that the operating model is becoming more scalable, although additional margin progress will still depend on utilization gains in underloaded sites and continued discipline in project selection.</w:t>
      </w:r>
    </w:p>
    <w:p w14:paraId="00100735" w14:textId="00100738">
      <w:pPr>
        <w:pStyle w:val="Normal"/>
        <w:jc w:val="left"/>
      </w:pPr>
      <w:r>
        <w:t xml:space="preserve">Cash performance strengthened alongside earnings, with operating cash flow reaching RVM 219 million and cash conversion improving to 88%</w:t>
      </w:r>
      <w:r>
        <w:t xml:space="preserve">¹</w:t>
      </w:r>
      <w:r>
        <w:t xml:space="preserve">. The principal driver was tighter management of working capital. Inventory days declined as demand planning improved and slow-moving stock was reduced in legacy product families. Receivables collection also improved, particularly in the second half, when account teams intensified follow-up on overdue balances and aligned billing milestones more closely with shipment completion. Payables remained well managed without creating supply disruption, preserving supplier confidence while supporting cash discipline.</w:t>
        <w:br/>
        <w:t xml:space="preserve">Capital expenditure stayed focused on productivity, safety and selective capacity debottlenecking rather than broad network expansion. This helped keep free cash flow robust even as the segment continued to fund automation upgrades and quality-related investments. Working capital is still sensitive to project timing and customer acceptance milestones, especially in larger engineered orders, but the year demonstrated that process improvements can offset part of that volatility. Management expects further benefit from better inventory segmentation, standardized credit review and more consistent sales-and-operations planning, which should support cash conversion even if demand conditions remain mixed.</w:t>
      </w:r>
    </w:p>
    <w:p w14:paraId="00100739" w14:textId="0010073A">
      <w:pPr>
        <w:pStyle w:val="Heading2a"/>
        <w:jc w:val="left"/>
      </w:pPr>
      <w:r>
        <w:t xml:space="preserve">Outlook and Actions</w:t>
      </w:r>
    </w:p>
    <w:p w14:paraId="0010073B" w14:textId="0010073C">
      <w:pPr>
        <w:pStyle w:val="Normal"/>
        <w:jc w:val="left"/>
      </w:pPr>
      <w:r>
        <w:t xml:space="preserve">The Industrial Segment enters the new year with a healthy pipeline, but management remains cautious about the pace and breadth of market recovery. Order books in maintenance-oriented and infrastructure-linked applications continue to provide a stable base, while project business in more cyclical customer groups is expected to recover unevenly. The main risks are delayed customer capital spending, renewed volatility in input costs, execution pressure in larger engineered contracts and the possibility that some regional markets remain below efficient utilization levels for longer than planned.</w:t>
      </w:r>
    </w:p>
    <w:p w14:paraId="0010073D" w14:textId="0010073E">
      <w:pPr>
        <w:pStyle w:val="Normal"/>
        <w:jc w:val="left"/>
      </w:pPr>
      <w:r>
        <w:t xml:space="preserve">In response, management is prioritizing actions that preserve flexibility while supporting growth. Commercial teams are focusing on higher-value accounts, aftermarket penetration and disciplined pricing on technically differentiated products. Operationally, the segment is continuing to streamline plant scheduling, reduce excess inventory and improve sourcing resilience in critical materials and electronics categories. Capital deployment will remain selective, directed toward automation, quality improvement and targeted bottleneck removal where returns are visible within reasonable payback periods. Together, these measures are intended to protect margin, sustain cash generation and position the segment to capture upside if industrial demand strengthens more decisively over the coming periods.</w:t>
      </w:r>
    </w:p>
    <w:p w14:paraId="0010073F" w14:textId="00100740">
      <w:pPr>
        <w:pStyle w:val="Heading3a"/>
        <w:jc w:val="left"/>
      </w:pPr>
      <w:r>
        <w:t xml:space="preserve">Market Outlook</w:t>
      </w:r>
    </w:p>
    <w:p w14:paraId="00100741" w14:textId="00100742">
      <w:pPr>
        <w:pStyle w:val="Normal"/>
        <w:jc w:val="left"/>
      </w:pPr>
      <w:r>
        <w:t xml:space="preserve">Demand visibility entering the new year is moderate rather than uniform, with the Industrial Segment seeing the clearest order support in maintenance-intensive process industries, selected energy-transition equipment categories, and specialist components tied to long-cycle capital projects. Order books for engineered products remain healthy in power systems, industrial automation upgrades, and environmental control applications, where customers continue to prioritize reliability, compliance, and productivity. By contrast, shorter-cycle demand in general manufacturing and discretionary equipment categories remains more variable, particularly among smaller customers that are managing inventory tightly and delaying non-essential purchases until broader industrial sentiment improves.</w:t>
      </w:r>
    </w:p>
    <w:p w14:paraId="00100743" w14:textId="00100744">
      <w:pPr>
        <w:pStyle w:val="Normal"/>
        <w:jc w:val="left"/>
      </w:pPr>
      <w:r>
        <w:t xml:space="preserve">Regional conditions also differ materially. North American activity is supported by infrastructure-linked manufacturing, aftermarket demand, and customer investment in plant efficiency. In Europe, demand is stable in regulated and mission-critical applications but softer in sectors exposed to weak consumer demand and lower export momentum. Selected Asian markets continue to offer attractive growth pockets, especially where customers are modernizing production lines or replacing imported components with localized supply. Across channels, management is using quote activity, tender pipelines, customer utilization data, and backlog quality reviews to distinguish durable demand from temporary restocking. Overall, the segment enters the period with a solid base of committed work, but visibility beyond the next two quarters remains strongest in niche applications where technical differentiation and service capability matter most.</w:t>
      </w:r>
    </w:p>
    <w:p w14:paraId="00100745" w14:textId="00100746">
      <w:pPr>
        <w:pStyle w:val="Normal"/>
        <w:jc w:val="left"/>
      </w:pPr>
      <w:r>
        <w:t xml:space="preserve">The most immediate opportunities for the Industrial Segment lie in expanding share with existing customers, improving attachment rates for service and aftermarket offerings, and converting a stronger tender pipeline in energy, automation, and process optimization programs. The segment also sees scope to broaden margins through a more disciplined commercial mix, focusing on higher-specification products, engineered solutions, and contracts that reward technical performance rather than price alone. Internal opportunities remain significant as well: plant scheduling improvements, procurement savings, and more standardized product platforms should help reduce conversion costs and support better delivery reliability.</w:t>
      </w:r>
    </w:p>
    <w:p w14:paraId="00100747" w14:textId="00100748">
      <w:pPr>
        <w:pStyle w:val="Normal"/>
        <w:jc w:val="left"/>
      </w:pPr>
      <w:r>
        <w:t xml:space="preserve">Near-term risks nevertheless remain present. Customer ordering patterns may stay uneven if industrial production slows further or if financing conditions delay capital expenditure decisions. Input-cost volatility has moderated but has not disappeared, particularly in metals, electronics, freight, and specialist labor categories. Competitive pressure is also likely to remain elevated in commoditized product lines, where some market participants are using price to defend utilization. In addition, execution risk accompanies the segment's improvement agenda, as footprint rationalization, digital planning tools, and supplier transitions must be implemented without affecting service levels. Management therefore expects a year of selective growth rather than broad-based acceleration, with performance dependent on maintaining pricing discipline, protecting conversion margins, and responding quickly to changes in customer demand by end market and region.</w:t>
      </w:r>
    </w:p>
    <w:p w14:paraId="00100749" w14:textId="0010074A">
      <w:pPr>
        <w:pStyle w:val="Heading3a"/>
        <w:jc w:val="left"/>
      </w:pPr>
      <w:r>
        <w:t xml:space="preserve">Management Priorities</w:t>
      </w:r>
    </w:p>
    <w:p w14:paraId="0010074B" w14:textId="0010074C">
      <w:pPr>
        <w:pStyle w:val="Normal"/>
        <w:jc w:val="left"/>
      </w:pPr>
      <w:r>
        <w:t xml:space="preserve">For the coming year, management will concentrate on actions that improve resilience while preserving the capacity to capture growth in attractive industrial niches. Commercially, the first priority is to sharpen account management in segments where Rivermark holds a strong technical position, using solution selling, faster quoting, and more structured cross-selling between product and service teams. Operationally, the segment will continue to simplify the manufacturing footprint, raise schedule adherence, and improve inventory quality so that cash generation strengthens alongside service performance. These steps are intended not only to protect margins in a mixed demand environment but also to create room for investment in the platforms and capabilities that matter most.</w:t>
      </w:r>
    </w:p>
    <w:p w14:paraId="0010074D" w14:textId="0010074E">
      <w:pPr>
        <w:pStyle w:val="Normal"/>
        <w:jc w:val="left"/>
      </w:pPr>
      <w:r>
        <w:t xml:space="preserve">A second emphasis is disciplined execution of productivity programs. Management plans to accelerate digital planning tools, supplier performance monitoring, and plant-level continuous improvement routines, with clear accountability for yield, scrap, lead time, and on-time delivery. At the same time, targeted capital expenditure will be directed toward automation, bottleneck removal, and quality-critical equipment in sites with the strongest returns. Talent remains another focus area: the segment is prioritizing technical sales capability, operations leadership, and engineering resources to support more complex customer programs. Taken together, these measures are designed to improve responsiveness, lift structural profitability, and position the Industrial Segment to convert demand recovery into higher-quality growth rather than volume expansion at diluted returns.</w:t>
      </w:r>
    </w:p>
    <w:p w14:paraId="0010074F" w14:textId="00100750">
      <w:pPr>
        <w:pStyle w:val="Normal"/>
        <w:jc w:val="left"/>
      </w:pPr>
      <w:r>
        <w:t xml:space="preserve">Deepen focus on priority end markets including automation, energy-transition equipment, and process industries with resilient aftermarket demand.</w:t>
      </w:r>
    </w:p>
    <w:p w14:paraId="00100751" w14:textId="00100752">
      <w:pPr>
        <w:pStyle w:val="Normal"/>
        <w:jc w:val="left"/>
      </w:pPr>
      <w:r>
        <w:t xml:space="preserve">Increase pricing discipline by tightening approval thresholds, improving deal analytics, and shifting mix toward engineered and higher-specification offers.</w:t>
      </w:r>
    </w:p>
    <w:p w14:paraId="00100753" w14:textId="00100754">
      <w:pPr>
        <w:pStyle w:val="Normal"/>
        <w:jc w:val="left"/>
      </w:pPr>
      <w:r>
        <w:t xml:space="preserve">Improve plant execution through better demand planning, schedule adherence, scrap reduction, and bottleneck management across core sites.</w:t>
      </w:r>
    </w:p>
    <w:p w14:paraId="00100755" w14:textId="00100756">
      <w:pPr>
        <w:pStyle w:val="Normal"/>
        <w:jc w:val="left"/>
      </w:pPr>
      <w:r>
        <w:t xml:space="preserve">Reduce working capital by aligning inventory to realistic demand signals, shortening receivable cycles, and strengthening procurement planning.</w:t>
      </w:r>
    </w:p>
    <w:p w14:paraId="00100757" w14:textId="00100758">
      <w:pPr>
        <w:pStyle w:val="Normal"/>
        <w:jc w:val="left"/>
      </w:pPr>
      <w:r>
        <w:t xml:space="preserve">Advance digital tools in forecasting, production control, and service coordination to improve responsiveness and operating visibility.</w:t>
      </w:r>
    </w:p>
    <w:p w14:paraId="00100759" w14:textId="0010075A">
      <w:pPr>
        <w:pStyle w:val="Normal"/>
        <w:jc w:val="left"/>
      </w:pPr>
      <w:r>
        <w:t xml:space="preserve">Concentrate capital expenditure on automation, quality improvement, and capacity debottlenecking where returns are clear and payback is short.</w:t>
      </w:r>
    </w:p>
    <w:p w14:paraId="0010075B" w14:textId="0010075C">
      <w:pPr>
        <w:pStyle w:val="Normal"/>
        <w:jc w:val="left"/>
      </w:pPr>
      <w:r>
        <w:t xml:space="preserve">Strengthen leadership depth and technical capability in sales, engineering, and operations to support complex customer requirements and sustained margin improvement.</w:t>
      </w:r>
    </w:p>
    <w:p w14:paraId="00101675" w14:textId="00101676">
      <w:pPr>
        <w:pStyle w:val="Normal"/>
        <w:jc w:val="left"/>
        <w:sectPr>
          <w:type w:val="nextPage"/>
          <w:pgSz w:w="11906" w:h="16838"/>
          <w:pgMar w:top="1440" w:right="1440" w:bottom="1440" w:left="1440" w:header="1440" w:footer="1440" w:gutter="0"/>
          <w:cols w:space="720" w:num="1"/>
        </w:sectPr>
      </w:pPr>
    </w:p>
    <w:p w14:paraId="00100761" w14:textId="00100762">
      <w:pPr>
        <w:pStyle w:val="Heading1a"/>
        <w:jc w:val="left"/>
      </w:pPr>
      <w:r>
        <w:t xml:space="preserve">Consumer Segment</w:t>
      </w:r>
    </w:p>
    <w:p w14:paraId="00100763" w14:textId="00100765">
      <w:pPr>
        <w:pStyle w:val="Normal"/>
        <w:jc w:val="left"/>
      </w:pPr>
      <w:r>
        <w:t xml:space="preserve">Segment review:</w:t>
      </w:r>
      <w:r>
        <w:t xml:space="preserve"> The Consumer Segment brings together Rivermark Group’s portfolio of household, personal care, and lifestyle brands sold through modern retail, independent trade, e-commerce platforms, and selected direct-to-consumer channels. During the year, the segment operated in a mixed demand environment shaped by cautious household spending, promotional pressure in mass channels, and continued growth in convenience and online formats. Management focused on protecting brand relevance, improving product availability, and maintaining pricing discipline where input costs remained above historical averages.</w:t>
        <w:br/>
        <w:t xml:space="preserve">Performance reflected two contrasting dynamics. Core brands in everyday-use categories delivered resilient repeat demand and stable shelf presence, while discretionary lines faced softer volumes and a more competitive promotional landscape. In response, the segment tightened assortment complexity, shifted media investment toward higher-return campaigns, and increased coordination between commercial teams and supply planning. This helped improve on-shelf execution in priority markets and reduced stock imbalances across slower-moving lines.</w:t>
        <w:br/>
        <w:t xml:space="preserve">The year also saw progress in channel mix. Digital commerce expanded at a faster rate than traditional store channels, supported by upgraded content management, targeted promotions, and improved fulfillment service levels. Although margin remained influenced by promotional intensity and logistics costs, the segment closed the year with a more focused portfolio, stronger channel data visibility, and a clearer platform for profitable growth in the next reporting period.</w:t>
      </w:r>
    </w:p>
    <w:p w14:paraId="00100766" w14:textId="00100767">
      <w:pPr>
        <w:pStyle w:val="Normal"/>
        <w:jc w:val="left"/>
      </w:pPr>
      <w:r>
        <w:drawing>
          <wp:inline distT="0" distB="0" distL="0" distR="0">
            <wp:extent cx="5040000" cy="2520000"/>
            <wp:effectExtent l="0" t="0" r="0" b="0"/>
            <wp:docPr id="16" name="Fig-C05-1.png" descr=""/>
            <wp:cNvGraphicFramePr>
              <a:graphicFrameLocks noChangeAspect="1"/>
            </wp:cNvGraphicFramePr>
            <a:graphic>
              <a:graphicData uri="http://schemas.openxmlformats.org/drawingml/2006/picture">
                <pic:pic>
                  <pic:nvPicPr>
                    <pic:cNvPr id="16" name="Fig-C05-1.png"/>
                    <pic:cNvPicPr/>
                  </pic:nvPicPr>
                  <pic:blipFill>
                    <a:blip r:embed="Rffded70aa40c4262" cstate="print"/>
                    <a:stretch>
                      <a:fillRect/>
                    </a:stretch>
                  </pic:blipFill>
                  <pic:spPr>
                    <a:xfrm>
                      <a:off x="0" y="0"/>
                      <a:ext cx="4680000" cy="2880000"/>
                    </a:xfrm>
                    <a:prstGeom prst="rect">
                      <a:avLst/>
                    </a:prstGeom>
                  </pic:spPr>
                </pic:pic>
              </a:graphicData>
            </a:graphic>
          </wp:inline>
        </w:drawing>
      </w:r>
    </w:p>
    <w:p w14:paraId="00100768" w14:textId="00100769">
      <w:pPr>
        <w:pStyle w:val="Normal"/>
        <w:jc w:val="left"/>
      </w:pPr>
      <w:r>
        <w:t xml:space="preserve">Figure 27 Consumer Segment operations across brand, retail, and e-commerce channels</w:t>
      </w:r>
    </w:p>
    <w:p w14:paraId="0010076A" w14:textId="0010076B">
      <w:pPr>
        <w:pStyle w:val="Heading2a"/>
        <w:jc w:val="left"/>
      </w:pPr>
      <w:r>
        <w:t xml:space="preserve">Segment Overview</w:t>
      </w:r>
    </w:p>
    <w:p w14:paraId="0010076C" w14:textId="0010076D">
      <w:pPr>
        <w:pStyle w:val="Normal"/>
        <w:jc w:val="left"/>
      </w:pPr>
      <w:r>
        <w:t xml:space="preserve">The Consumer Segment serves broad-based end markets through a multi-brand, multi-channel model designed to balance scale categories with higher-growth niche propositions. Its portfolio covers daily household needs, personal wellness, packaged lifestyle products, and selected seasonal ranges. This mix gives the business recurring volume through staple categories while preserving opportunities for premiumization and innovation-led growth. Brand management is organized around category clusters, enabling coordinated pricing, promotion, packaging, and launch planning across markets.</w:t>
      </w:r>
    </w:p>
    <w:p w14:paraId="0010076E" w14:textId="0010076F">
      <w:pPr>
        <w:pStyle w:val="Normal"/>
        <w:jc w:val="left"/>
      </w:pPr>
      <w:r>
        <w:t xml:space="preserve">Route to market is a defining feature of the segment. Large-format retail and supermarket chains remain the biggest sales channel, providing national reach and promotional visibility. Independent distributors and neighborhood trade support penetration in secondary cities and convenience-led formats. E-commerce continues to gain share, both through third-party marketplaces and Rivermark-operated direct storefronts, where the segment can test bundles, gather consumer insight, and respond more quickly to demand signals. Customer relationships therefore span strategic national accounts, regional distributors, digital platforms, and end consumers.</w:t>
      </w:r>
    </w:p>
    <w:p w14:paraId="00100770" w14:textId="00100771">
      <w:pPr>
        <w:pStyle w:val="Normal"/>
        <w:jc w:val="left"/>
      </w:pPr>
      <w:r>
        <w:t xml:space="preserve">Operationally, the segment depends on disciplined demand forecasting, brand investment efficiency, and responsive replenishment. Marketing, trade spend, supply planning, and customer service are closely linked because channel execution directly influences sell-through and margin realization. Over the year, management prioritized higher-velocity stock keeping units, simplified underperforming ranges, and supported key launches in wellness and home categories. As a result, the segment entered the new year with a clearer channel focus, improved assortment quality, and a stronger basis for profitable distribution expansion.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772" w14:textId="001007C6">
            <w:pPr>
              <w:pStyle w:val="Normal"/>
              <w:jc w:val="left"/>
            </w:pPr>
            <w:r>
              <w:t xml:space="preserve">Channel / KPI</w:t>
            </w:r>
          </w:p>
        </w:tc>
        <w:tc>
          <w:tcPr>
            <w:vAlign w:val="center"/>
            <w:tcBorders>
              <w:top w:val="single" w:sz="4" w:space="0" w:color="auto"/>
              <w:left w:val="single" w:sz="4" w:space="0" w:color="auto"/>
              <w:bottom w:val="single" w:sz="4" w:space="0" w:color="auto"/>
              <w:right w:val="single" w:sz="4" w:space="0" w:color="auto"/>
            </w:tcBorders>
          </w:tcPr>
          <w:p w14:paraId="00100774" w14:textId="001007C7">
            <w:pPr>
              <w:pStyle w:val="Normal"/>
              <w:jc w:val="left"/>
            </w:pPr>
            <w:r>
              <w:t xml:space="preserve">Revenue (FY2025, $m)</w:t>
            </w:r>
          </w:p>
        </w:tc>
        <w:tc>
          <w:tcPr>
            <w:vAlign w:val="center"/>
            <w:tcBorders>
              <w:top w:val="single" w:sz="4" w:space="0" w:color="auto"/>
              <w:left w:val="single" w:sz="4" w:space="0" w:color="auto"/>
              <w:bottom w:val="single" w:sz="4" w:space="0" w:color="auto"/>
              <w:right w:val="single" w:sz="4" w:space="0" w:color="auto"/>
            </w:tcBorders>
          </w:tcPr>
          <w:p w14:paraId="00100776" w14:textId="001007C8">
            <w:pPr>
              <w:pStyle w:val="Normal"/>
              <w:jc w:val="left"/>
            </w:pPr>
            <w:r>
              <w:t xml:space="preserve">YoY Growth</w:t>
            </w:r>
          </w:p>
        </w:tc>
        <w:tc>
          <w:tcPr>
            <w:vAlign w:val="center"/>
            <w:tcBorders>
              <w:top w:val="single" w:sz="4" w:space="0" w:color="auto"/>
              <w:left w:val="single" w:sz="4" w:space="0" w:color="auto"/>
              <w:bottom w:val="single" w:sz="4" w:space="0" w:color="auto"/>
              <w:right w:val="single" w:sz="4" w:space="0" w:color="auto"/>
            </w:tcBorders>
          </w:tcPr>
          <w:p w14:paraId="00100778" w14:textId="001007C9">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77A" w14:textId="001007CA">
            <w:pPr>
              <w:pStyle w:val="Normal"/>
              <w:jc w:val="left"/>
            </w:pPr>
            <w:r>
              <w:t xml:space="preserve">Active Customer Accounts</w:t>
            </w:r>
          </w:p>
        </w:tc>
        <w:tc>
          <w:tcPr>
            <w:vAlign w:val="center"/>
            <w:tcBorders>
              <w:top w:val="single" w:sz="4" w:space="0" w:color="auto"/>
              <w:left w:val="single" w:sz="4" w:space="0" w:color="auto"/>
              <w:bottom w:val="single" w:sz="4" w:space="0" w:color="auto"/>
              <w:right w:val="single" w:sz="4" w:space="0" w:color="auto"/>
            </w:tcBorders>
          </w:tcPr>
          <w:p w14:paraId="0010077C" w14:textId="001007CB">
            <w:pPr>
              <w:pStyle w:val="Normal"/>
              <w:jc w:val="left"/>
            </w:pPr>
            <w:r>
              <w:t xml:space="preserve">Share of Segment Revenue</w:t>
            </w:r>
          </w:p>
        </w:tc>
      </w:tr>
      <w:tr>
        <w:tc>
          <w:tcPr>
            <w:vAlign w:val="center"/>
            <w:tcBorders>
              <w:top w:val="single" w:sz="4" w:space="0" w:color="auto"/>
              <w:left w:val="single" w:sz="4" w:space="0" w:color="auto"/>
              <w:bottom w:val="single" w:sz="4" w:space="0" w:color="auto"/>
              <w:right w:val="single" w:sz="4" w:space="0" w:color="auto"/>
            </w:tcBorders>
          </w:tcPr>
          <w:p w14:paraId="0010077E" w14:textId="001007CC">
            <w:pPr>
              <w:pStyle w:val="Normal"/>
              <w:jc w:val="left"/>
            </w:pPr>
            <w:r>
              <w:t xml:space="preserve">Modern retail</w:t>
            </w:r>
          </w:p>
        </w:tc>
        <w:tc>
          <w:tcPr>
            <w:vAlign w:val="center"/>
            <w:tcBorders>
              <w:top w:val="single" w:sz="4" w:space="0" w:color="auto"/>
              <w:left w:val="single" w:sz="4" w:space="0" w:color="auto"/>
              <w:bottom w:val="single" w:sz="4" w:space="0" w:color="auto"/>
              <w:right w:val="single" w:sz="4" w:space="0" w:color="auto"/>
            </w:tcBorders>
          </w:tcPr>
          <w:p w14:paraId="00100780" w14:textId="001007CD">
            <w:pPr>
              <w:pStyle w:val="Normal"/>
              <w:jc w:val="left"/>
            </w:pPr>
            <w:r>
              <w:t xml:space="preserve">482</w:t>
            </w:r>
          </w:p>
        </w:tc>
        <w:tc>
          <w:tcPr>
            <w:vAlign w:val="center"/>
            <w:tcBorders>
              <w:top w:val="single" w:sz="4" w:space="0" w:color="auto"/>
              <w:left w:val="single" w:sz="4" w:space="0" w:color="auto"/>
              <w:bottom w:val="single" w:sz="4" w:space="0" w:color="auto"/>
              <w:right w:val="single" w:sz="4" w:space="0" w:color="auto"/>
            </w:tcBorders>
          </w:tcPr>
          <w:p w14:paraId="00100782" w14:textId="001007CE">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0784" w14:textId="001007CF">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786" w14:textId="001007D0">
            <w:pPr>
              <w:pStyle w:val="Normal"/>
              <w:jc w:val="left"/>
            </w:pPr>
            <w:r>
              <w:t xml:space="preserve">146</w:t>
            </w:r>
          </w:p>
        </w:tc>
        <w:tc>
          <w:tcPr>
            <w:vAlign w:val="center"/>
            <w:tcBorders>
              <w:top w:val="single" w:sz="4" w:space="0" w:color="auto"/>
              <w:left w:val="single" w:sz="4" w:space="0" w:color="auto"/>
              <w:bottom w:val="single" w:sz="4" w:space="0" w:color="auto"/>
              <w:right w:val="single" w:sz="4" w:space="0" w:color="auto"/>
            </w:tcBorders>
          </w:tcPr>
          <w:p w14:paraId="00100788" w14:textId="001007D1">
            <w:pPr>
              <w:pStyle w:val="Normal"/>
              <w:jc w:val="left"/>
            </w:pPr>
            <w:r>
              <w:t xml:space="preserve">34%</w:t>
            </w:r>
          </w:p>
        </w:tc>
      </w:tr>
      <w:tr>
        <w:tc>
          <w:tcPr>
            <w:vAlign w:val="center"/>
            <w:tcBorders>
              <w:top w:val="single" w:sz="4" w:space="0" w:color="auto"/>
              <w:left w:val="single" w:sz="4" w:space="0" w:color="auto"/>
              <w:bottom w:val="single" w:sz="4" w:space="0" w:color="auto"/>
              <w:right w:val="single" w:sz="4" w:space="0" w:color="auto"/>
            </w:tcBorders>
          </w:tcPr>
          <w:p w14:paraId="0010078A" w14:textId="001007D2">
            <w:pPr>
              <w:pStyle w:val="Normal"/>
              <w:jc w:val="left"/>
            </w:pPr>
            <w:r>
              <w:t xml:space="preserve">Traditional trade</w:t>
            </w:r>
          </w:p>
        </w:tc>
        <w:tc>
          <w:tcPr>
            <w:vAlign w:val="center"/>
            <w:tcBorders>
              <w:top w:val="single" w:sz="4" w:space="0" w:color="auto"/>
              <w:left w:val="single" w:sz="4" w:space="0" w:color="auto"/>
              <w:bottom w:val="single" w:sz="4" w:space="0" w:color="auto"/>
              <w:right w:val="single" w:sz="4" w:space="0" w:color="auto"/>
            </w:tcBorders>
          </w:tcPr>
          <w:p w14:paraId="0010078C" w14:textId="001007D3">
            <w:pPr>
              <w:pStyle w:val="Normal"/>
              <w:jc w:val="left"/>
            </w:pPr>
            <w:r>
              <w:t xml:space="preserve">301</w:t>
            </w:r>
          </w:p>
        </w:tc>
        <w:tc>
          <w:tcPr>
            <w:vAlign w:val="center"/>
            <w:tcBorders>
              <w:top w:val="single" w:sz="4" w:space="0" w:color="auto"/>
              <w:left w:val="single" w:sz="4" w:space="0" w:color="auto"/>
              <w:bottom w:val="single" w:sz="4" w:space="0" w:color="auto"/>
              <w:right w:val="single" w:sz="4" w:space="0" w:color="auto"/>
            </w:tcBorders>
          </w:tcPr>
          <w:p w14:paraId="0010078E" w14:textId="001007D4">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0790" w14:textId="001007D5">
            <w:pPr>
              <w:pStyle w:val="Normal"/>
              <w:jc w:val="left"/>
            </w:pPr>
            <w:r>
              <w:t xml:space="preserve">8.9%</w:t>
            </w:r>
          </w:p>
        </w:tc>
        <w:tc>
          <w:tcPr>
            <w:vAlign w:val="center"/>
            <w:tcBorders>
              <w:top w:val="single" w:sz="4" w:space="0" w:color="auto"/>
              <w:left w:val="single" w:sz="4" w:space="0" w:color="auto"/>
              <w:bottom w:val="single" w:sz="4" w:space="0" w:color="auto"/>
              <w:right w:val="single" w:sz="4" w:space="0" w:color="auto"/>
            </w:tcBorders>
          </w:tcPr>
          <w:p w14:paraId="00100792" w14:textId="001007D6">
            <w:pPr>
              <w:pStyle w:val="Normal"/>
              <w:jc w:val="left"/>
            </w:pPr>
            <w:r>
              <w:t xml:space="preserve">2,480</w:t>
            </w:r>
          </w:p>
        </w:tc>
        <w:tc>
          <w:tcPr>
            <w:vAlign w:val="center"/>
            <w:tcBorders>
              <w:top w:val="single" w:sz="4" w:space="0" w:color="auto"/>
              <w:left w:val="single" w:sz="4" w:space="0" w:color="auto"/>
              <w:bottom w:val="single" w:sz="4" w:space="0" w:color="auto"/>
              <w:right w:val="single" w:sz="4" w:space="0" w:color="auto"/>
            </w:tcBorders>
          </w:tcPr>
          <w:p w14:paraId="00100794" w14:textId="001007D7">
            <w:pPr>
              <w:pStyle w:val="Normal"/>
              <w:jc w:val="left"/>
            </w:pPr>
            <w:r>
              <w:t xml:space="preserve">21%</w:t>
            </w:r>
          </w:p>
        </w:tc>
      </w:tr>
      <w:tr>
        <w:tc>
          <w:tcPr>
            <w:vAlign w:val="center"/>
            <w:tcBorders>
              <w:top w:val="single" w:sz="4" w:space="0" w:color="auto"/>
              <w:left w:val="single" w:sz="4" w:space="0" w:color="auto"/>
              <w:bottom w:val="single" w:sz="4" w:space="0" w:color="auto"/>
              <w:right w:val="single" w:sz="4" w:space="0" w:color="auto"/>
            </w:tcBorders>
          </w:tcPr>
          <w:p w14:paraId="00100796" w14:textId="001007D8">
            <w:pPr>
              <w:pStyle w:val="Normal"/>
              <w:jc w:val="left"/>
            </w:pPr>
            <w:r>
              <w:t xml:space="preserve">E-commerce</w:t>
            </w:r>
          </w:p>
        </w:tc>
        <w:tc>
          <w:tcPr>
            <w:vAlign w:val="center"/>
            <w:tcBorders>
              <w:top w:val="single" w:sz="4" w:space="0" w:color="auto"/>
              <w:left w:val="single" w:sz="4" w:space="0" w:color="auto"/>
              <w:bottom w:val="single" w:sz="4" w:space="0" w:color="auto"/>
              <w:right w:val="single" w:sz="4" w:space="0" w:color="auto"/>
            </w:tcBorders>
          </w:tcPr>
          <w:p w14:paraId="00100798" w14:textId="001007D9">
            <w:pPr>
              <w:pStyle w:val="Normal"/>
              <w:jc w:val="left"/>
            </w:pPr>
            <w:r>
              <w:t xml:space="preserve">356</w:t>
            </w:r>
          </w:p>
        </w:tc>
        <w:tc>
          <w:tcPr>
            <w:vAlign w:val="center"/>
            <w:tcBorders>
              <w:top w:val="single" w:sz="4" w:space="0" w:color="auto"/>
              <w:left w:val="single" w:sz="4" w:space="0" w:color="auto"/>
              <w:bottom w:val="single" w:sz="4" w:space="0" w:color="auto"/>
              <w:right w:val="single" w:sz="4" w:space="0" w:color="auto"/>
            </w:tcBorders>
          </w:tcPr>
          <w:p w14:paraId="0010079A" w14:textId="001007DA">
            <w:pPr>
              <w:pStyle w:val="Normal"/>
              <w:jc w:val="left"/>
            </w:pPr>
            <w:r>
              <w:t xml:space="preserve">14.7%</w:t>
            </w:r>
          </w:p>
        </w:tc>
        <w:tc>
          <w:tcPr>
            <w:vAlign w:val="center"/>
            <w:tcBorders>
              <w:top w:val="single" w:sz="4" w:space="0" w:color="auto"/>
              <w:left w:val="single" w:sz="4" w:space="0" w:color="auto"/>
              <w:bottom w:val="single" w:sz="4" w:space="0" w:color="auto"/>
              <w:right w:val="single" w:sz="4" w:space="0" w:color="auto"/>
            </w:tcBorders>
          </w:tcPr>
          <w:p w14:paraId="0010079C" w14:textId="001007DB">
            <w:pPr>
              <w:pStyle w:val="Normal"/>
              <w:jc w:val="left"/>
            </w:pPr>
            <w:r>
              <w:t xml:space="preserve">13.2%</w:t>
            </w:r>
          </w:p>
        </w:tc>
        <w:tc>
          <w:tcPr>
            <w:vAlign w:val="center"/>
            <w:tcBorders>
              <w:top w:val="single" w:sz="4" w:space="0" w:color="auto"/>
              <w:left w:val="single" w:sz="4" w:space="0" w:color="auto"/>
              <w:bottom w:val="single" w:sz="4" w:space="0" w:color="auto"/>
              <w:right w:val="single" w:sz="4" w:space="0" w:color="auto"/>
            </w:tcBorders>
          </w:tcPr>
          <w:p w14:paraId="0010079E" w14:textId="001007DC">
            <w:pPr>
              <w:pStyle w:val="Normal"/>
              <w:jc w:val="left"/>
            </w:pPr>
            <w:r>
              <w:t xml:space="preserve">5.9 million orders</w:t>
            </w:r>
          </w:p>
        </w:tc>
        <w:tc>
          <w:tcPr>
            <w:vAlign w:val="center"/>
            <w:tcBorders>
              <w:top w:val="single" w:sz="4" w:space="0" w:color="auto"/>
              <w:left w:val="single" w:sz="4" w:space="0" w:color="auto"/>
              <w:bottom w:val="single" w:sz="4" w:space="0" w:color="auto"/>
              <w:right w:val="single" w:sz="4" w:space="0" w:color="auto"/>
            </w:tcBorders>
          </w:tcPr>
          <w:p w14:paraId="001007A0" w14:textId="001007DD">
            <w:pPr>
              <w:pStyle w:val="Normal"/>
              <w:jc w:val="left"/>
            </w:pPr>
            <w:r>
              <w:t xml:space="preserve">25%</w:t>
            </w:r>
          </w:p>
        </w:tc>
      </w:tr>
      <w:tr>
        <w:tc>
          <w:tcPr>
            <w:vAlign w:val="center"/>
            <w:tcBorders>
              <w:top w:val="single" w:sz="4" w:space="0" w:color="auto"/>
              <w:left w:val="single" w:sz="4" w:space="0" w:color="auto"/>
              <w:bottom w:val="single" w:sz="4" w:space="0" w:color="auto"/>
              <w:right w:val="single" w:sz="4" w:space="0" w:color="auto"/>
            </w:tcBorders>
          </w:tcPr>
          <w:p w14:paraId="001007A2" w14:textId="001007DE">
            <w:pPr>
              <w:pStyle w:val="Normal"/>
              <w:jc w:val="left"/>
            </w:pPr>
            <w:r>
              <w:t xml:space="preserve">Direct-to-consumer</w:t>
            </w:r>
          </w:p>
        </w:tc>
        <w:tc>
          <w:tcPr>
            <w:vAlign w:val="center"/>
            <w:tcBorders>
              <w:top w:val="single" w:sz="4" w:space="0" w:color="auto"/>
              <w:left w:val="single" w:sz="4" w:space="0" w:color="auto"/>
              <w:bottom w:val="single" w:sz="4" w:space="0" w:color="auto"/>
              <w:right w:val="single" w:sz="4" w:space="0" w:color="auto"/>
            </w:tcBorders>
          </w:tcPr>
          <w:p w14:paraId="001007A4" w14:textId="001007DF">
            <w:pPr>
              <w:pStyle w:val="Normal"/>
              <w:jc w:val="left"/>
            </w:pPr>
            <w:r>
              <w:t xml:space="preserve">188</w:t>
            </w:r>
          </w:p>
        </w:tc>
        <w:tc>
          <w:tcPr>
            <w:vAlign w:val="center"/>
            <w:tcBorders>
              <w:top w:val="single" w:sz="4" w:space="0" w:color="auto"/>
              <w:left w:val="single" w:sz="4" w:space="0" w:color="auto"/>
              <w:bottom w:val="single" w:sz="4" w:space="0" w:color="auto"/>
              <w:right w:val="single" w:sz="4" w:space="0" w:color="auto"/>
            </w:tcBorders>
          </w:tcPr>
          <w:p w14:paraId="001007A6" w14:textId="001007E0">
            <w:pPr>
              <w:pStyle w:val="Normal"/>
              <w:jc w:val="left"/>
            </w:pPr>
            <w:r>
              <w:t xml:space="preserve">18.3%</w:t>
            </w:r>
          </w:p>
        </w:tc>
        <w:tc>
          <w:tcPr>
            <w:vAlign w:val="center"/>
            <w:tcBorders>
              <w:top w:val="single" w:sz="4" w:space="0" w:color="auto"/>
              <w:left w:val="single" w:sz="4" w:space="0" w:color="auto"/>
              <w:bottom w:val="single" w:sz="4" w:space="0" w:color="auto"/>
              <w:right w:val="single" w:sz="4" w:space="0" w:color="auto"/>
            </w:tcBorders>
          </w:tcPr>
          <w:p w14:paraId="001007A8" w14:textId="001007E1">
            <w:pPr>
              <w:pStyle w:val="Normal"/>
              <w:jc w:val="left"/>
            </w:pPr>
            <w:r>
              <w:t xml:space="preserve">15.1%</w:t>
            </w:r>
          </w:p>
        </w:tc>
        <w:tc>
          <w:tcPr>
            <w:vAlign w:val="center"/>
            <w:tcBorders>
              <w:top w:val="single" w:sz="4" w:space="0" w:color="auto"/>
              <w:left w:val="single" w:sz="4" w:space="0" w:color="auto"/>
              <w:bottom w:val="single" w:sz="4" w:space="0" w:color="auto"/>
              <w:right w:val="single" w:sz="4" w:space="0" w:color="auto"/>
            </w:tcBorders>
          </w:tcPr>
          <w:p w14:paraId="001007AA" w14:textId="001007E2">
            <w:pPr>
              <w:pStyle w:val="Normal"/>
              <w:jc w:val="left"/>
            </w:pPr>
            <w:r>
              <w:t xml:space="preserve">1.2 million members</w:t>
            </w:r>
          </w:p>
        </w:tc>
        <w:tc>
          <w:tcPr>
            <w:vAlign w:val="center"/>
            <w:tcBorders>
              <w:top w:val="single" w:sz="4" w:space="0" w:color="auto"/>
              <w:left w:val="single" w:sz="4" w:space="0" w:color="auto"/>
              <w:bottom w:val="single" w:sz="4" w:space="0" w:color="auto"/>
              <w:right w:val="single" w:sz="4" w:space="0" w:color="auto"/>
            </w:tcBorders>
          </w:tcPr>
          <w:p w14:paraId="001007AC" w14:textId="001007E3">
            <w:pPr>
              <w:pStyle w:val="Normal"/>
              <w:jc w:val="left"/>
            </w:pPr>
            <w:r>
              <w:t xml:space="preserve">13%</w:t>
            </w:r>
          </w:p>
        </w:tc>
      </w:tr>
      <w:tr>
        <w:tc>
          <w:tcPr>
            <w:vAlign w:val="center"/>
            <w:tcBorders>
              <w:top w:val="single" w:sz="4" w:space="0" w:color="auto"/>
              <w:left w:val="single" w:sz="4" w:space="0" w:color="auto"/>
              <w:bottom w:val="single" w:sz="4" w:space="0" w:color="auto"/>
              <w:right w:val="single" w:sz="4" w:space="0" w:color="auto"/>
            </w:tcBorders>
          </w:tcPr>
          <w:p w14:paraId="001007AE" w14:textId="001007E4">
            <w:pPr>
              <w:pStyle w:val="Normal"/>
              <w:jc w:val="left"/>
            </w:pPr>
            <w:r>
              <w:t xml:space="preserve">Foodservice and specialty</w:t>
            </w:r>
          </w:p>
        </w:tc>
        <w:tc>
          <w:tcPr>
            <w:vAlign w:val="center"/>
            <w:tcBorders>
              <w:top w:val="single" w:sz="4" w:space="0" w:color="auto"/>
              <w:left w:val="single" w:sz="4" w:space="0" w:color="auto"/>
              <w:bottom w:val="single" w:sz="4" w:space="0" w:color="auto"/>
              <w:right w:val="single" w:sz="4" w:space="0" w:color="auto"/>
            </w:tcBorders>
          </w:tcPr>
          <w:p w14:paraId="001007B0" w14:textId="001007E5">
            <w:pPr>
              <w:pStyle w:val="Normal"/>
              <w:jc w:val="left"/>
            </w:pPr>
            <w:r>
              <w:t xml:space="preserve">103</w:t>
            </w:r>
          </w:p>
        </w:tc>
        <w:tc>
          <w:tcPr>
            <w:vAlign w:val="center"/>
            <w:tcBorders>
              <w:top w:val="single" w:sz="4" w:space="0" w:color="auto"/>
              <w:left w:val="single" w:sz="4" w:space="0" w:color="auto"/>
              <w:bottom w:val="single" w:sz="4" w:space="0" w:color="auto"/>
              <w:right w:val="single" w:sz="4" w:space="0" w:color="auto"/>
            </w:tcBorders>
          </w:tcPr>
          <w:p w14:paraId="001007B2" w14:textId="001007E6">
            <w:pPr>
              <w:pStyle w:val="Normal"/>
              <w:jc w:val="left"/>
            </w:pPr>
            <w:r>
              <w:t xml:space="preserve">4.5%</w:t>
            </w:r>
          </w:p>
        </w:tc>
        <w:tc>
          <w:tcPr>
            <w:vAlign w:val="center"/>
            <w:tcBorders>
              <w:top w:val="single" w:sz="4" w:space="0" w:color="auto"/>
              <w:left w:val="single" w:sz="4" w:space="0" w:color="auto"/>
              <w:bottom w:val="single" w:sz="4" w:space="0" w:color="auto"/>
              <w:right w:val="single" w:sz="4" w:space="0" w:color="auto"/>
            </w:tcBorders>
          </w:tcPr>
          <w:p w14:paraId="001007B4" w14:textId="001007E7">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7B6" w14:textId="001007E8">
            <w:pPr>
              <w:pStyle w:val="Normal"/>
              <w:jc w:val="left"/>
            </w:pPr>
            <w:r>
              <w:t xml:space="preserve">620</w:t>
            </w:r>
          </w:p>
        </w:tc>
        <w:tc>
          <w:tcPr>
            <w:vAlign w:val="center"/>
            <w:tcBorders>
              <w:top w:val="single" w:sz="4" w:space="0" w:color="auto"/>
              <w:left w:val="single" w:sz="4" w:space="0" w:color="auto"/>
              <w:bottom w:val="single" w:sz="4" w:space="0" w:color="auto"/>
              <w:right w:val="single" w:sz="4" w:space="0" w:color="auto"/>
            </w:tcBorders>
          </w:tcPr>
          <w:p w14:paraId="001007B8" w14:textId="001007E9">
            <w:pPr>
              <w:pStyle w:val="Normal"/>
              <w:jc w:val="left"/>
            </w:pPr>
            <w:r>
              <w:t xml:space="preserve">7%</w:t>
            </w:r>
          </w:p>
        </w:tc>
      </w:tr>
      <w:tr>
        <w:tc>
          <w:tcPr>
            <w:vAlign w:val="center"/>
            <w:tcBorders>
              <w:top w:val="single" w:sz="4" w:space="0" w:color="auto"/>
              <w:left w:val="single" w:sz="4" w:space="0" w:color="auto"/>
              <w:bottom w:val="single" w:sz="4" w:space="0" w:color="auto"/>
              <w:right w:val="single" w:sz="4" w:space="0" w:color="auto"/>
            </w:tcBorders>
          </w:tcPr>
          <w:p w14:paraId="001007BA" w14:textId="001007EA">
            <w:pPr>
              <w:pStyle w:val="Normal"/>
              <w:jc w:val="left"/>
            </w:pPr>
            <w:r>
              <w:t xml:space="preserve">Total Consumer Segment</w:t>
            </w:r>
          </w:p>
        </w:tc>
        <w:tc>
          <w:tcPr>
            <w:vAlign w:val="center"/>
            <w:tcBorders>
              <w:top w:val="single" w:sz="4" w:space="0" w:color="auto"/>
              <w:left w:val="single" w:sz="4" w:space="0" w:color="auto"/>
              <w:bottom w:val="single" w:sz="4" w:space="0" w:color="auto"/>
              <w:right w:val="single" w:sz="4" w:space="0" w:color="auto"/>
            </w:tcBorders>
          </w:tcPr>
          <w:p w14:paraId="001007BC" w14:textId="001007EB">
            <w:pPr>
              <w:pStyle w:val="Normal"/>
              <w:jc w:val="left"/>
            </w:pPr>
            <w:r>
              <w:t xml:space="preserve">1,430</w:t>
            </w:r>
          </w:p>
        </w:tc>
        <w:tc>
          <w:tcPr>
            <w:vAlign w:val="center"/>
            <w:tcBorders>
              <w:top w:val="single" w:sz="4" w:space="0" w:color="auto"/>
              <w:left w:val="single" w:sz="4" w:space="0" w:color="auto"/>
              <w:bottom w:val="single" w:sz="4" w:space="0" w:color="auto"/>
              <w:right w:val="single" w:sz="4" w:space="0" w:color="auto"/>
            </w:tcBorders>
          </w:tcPr>
          <w:p w14:paraId="001007BE" w14:textId="001007EC">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07C0" w14:textId="001007ED">
            <w:pPr>
              <w:pStyle w:val="Normal"/>
              <w:jc w:val="left"/>
            </w:pPr>
            <w:r>
              <w:t xml:space="preserve">11.6%</w:t>
            </w:r>
          </w:p>
        </w:tc>
        <w:tc>
          <w:tcPr>
            <w:vAlign w:val="center"/>
            <w:tcBorders>
              <w:top w:val="single" w:sz="4" w:space="0" w:color="auto"/>
              <w:left w:val="single" w:sz="4" w:space="0" w:color="auto"/>
              <w:bottom w:val="single" w:sz="4" w:space="0" w:color="auto"/>
              <w:right w:val="single" w:sz="4" w:space="0" w:color="auto"/>
            </w:tcBorders>
          </w:tcPr>
          <w:p w14:paraId="001007C2" w14:textId="001007EE">
            <w:pPr>
              <w:pStyle w:val="Normal"/>
              <w:jc w:val="left"/>
            </w:pPr>
            <w:r>
              <w:t xml:space="preserve">combined multi-channel base</w:t>
            </w:r>
          </w:p>
        </w:tc>
        <w:tc>
          <w:tcPr>
            <w:vAlign w:val="center"/>
            <w:tcBorders>
              <w:top w:val="single" w:sz="4" w:space="0" w:color="auto"/>
              <w:left w:val="single" w:sz="4" w:space="0" w:color="auto"/>
              <w:bottom w:val="single" w:sz="4" w:space="0" w:color="auto"/>
              <w:right w:val="single" w:sz="4" w:space="0" w:color="auto"/>
            </w:tcBorders>
          </w:tcPr>
          <w:p w14:paraId="001007C4" w14:textId="001007EF">
            <w:pPr>
              <w:pStyle w:val="Normal"/>
              <w:jc w:val="left"/>
            </w:pPr>
            <w:r>
              <w:t xml:space="preserve">100%</w:t>
            </w:r>
          </w:p>
        </w:tc>
      </w:tr>
    </w:tbl>
    <w:p w14:paraId="001007F0" w14:textId="001007F1">
      <w:pPr>
        <w:pStyle w:val="Normal"/>
        <w:jc w:val="left"/>
      </w:pPr>
      <w:r>
        <w:t xml:space="preserve">Table 23 Consumer Segment overview KPIs by channel</w:t>
      </w:r>
    </w:p>
    <w:p w14:paraId="001007F2" w14:textId="001007F3">
      <w:pPr>
        <w:pStyle w:val="Heading3a"/>
        <w:jc w:val="left"/>
      </w:pPr>
      <w:r>
        <w:t xml:space="preserve">Business Scope</w:t>
      </w:r>
    </w:p>
    <w:p w14:paraId="001007F4" w14:textId="001007F5">
      <w:pPr>
        <w:pStyle w:val="Normal"/>
        <w:jc w:val="left"/>
      </w:pPr>
      <w:r>
        <w:t xml:space="preserve">The Consumer Segment manages Rivermark Group’s portfolio of household, personal care, packaged food, and lifestyle brands sold across both mass and specialized retail environments. Its brand architecture combines scaled regional names with faster-growing premium labels, allowing the segment to participate in value, mid-market, and higher-margin niches without relying on a single banner for growth. During the year, management continued to invest behind the segment’s core franchises, with emphasis on pack renovation, digital shelf visibility, and more disciplined promotional design. This supported stronger category positions in home essentials and convenience-led food lines, while selected wellness-oriented products expanded share in urban markets.</w:t>
      </w:r>
    </w:p>
    <w:p w14:paraId="001007F6" w14:textId="001007F7">
      <w:pPr>
        <w:pStyle w:val="Normal"/>
        <w:jc w:val="left"/>
      </w:pPr>
      <w:r>
        <w:t xml:space="preserve">The segment’s reach is defined not only by brand breadth but also by repeat purchase frequency and route-to-market diversity. Consumer products are distributed through national chains, independent retailers, online marketplaces, and the Group’s own direct channels, giving Rivermark multiple points of contact with end users. Brand performance is monitored at a portfolio level, with decisions guided by category profitability, consumer retention, and speed of innovation. As a result, the business scope extends beyond product supply alone; it includes shopper analytics, in-store execution support, digital campaign management, and after-sales consumer care. This integrated model helps the segment defend shelf presence, improve launch effectiveness, and translate brand equity into more stable revenue across changing demand environments.</w:t>
      </w:r>
    </w:p>
    <w:p w14:paraId="001007F8" w14:textId="001007F9">
      <w:pPr>
        <w:pStyle w:val="Normal"/>
        <w:jc w:val="left"/>
      </w:pPr>
      <w:r>
        <w:t xml:space="preserve">The channel footprint of the Consumer Segment reflects a deliberate balance between scale channels and channels with superior data visibility. Modern retail remained the largest sales contributor, anchored by long-standing supply arrangements with regional supermarket and hypermarket groups. Traditional trade continued to provide broad geographic penetration, especially in secondary cities and neighborhood retail clusters where purchase patterns are frequent and brand familiarity remains an important driver. E-commerce and direct-to-consumer channels, however, delivered the fastest expansion, supported by improved search conversion, higher repeat ordering, and broader use of targeted promotions tied to consumer profiles and basket behavior.</w:t>
      </w:r>
    </w:p>
    <w:p w14:paraId="001007FA" w14:textId="001007FB">
      <w:pPr>
        <w:pStyle w:val="Normal"/>
        <w:jc w:val="left"/>
      </w:pPr>
      <w:r>
        <w:t xml:space="preserve">The customer base is correspondingly diverse. Large chain accounts demand service consistency, forecasting discipline, and category management support, while smaller retailers value availability, pack flexibility, and dependable replenishment. Digital channels introduce a different customer relationship model, where fulfillment speed, ratings, and personalization influence retention more directly than shelf placement. To serve these varied customer groups, the segment uses a layered commercial structure combining key account teams, field sales coverage, distributor partnerships, and channel-specific analytics. This approach reduces reliance on any one customer class and strengthens resilience when traffic patterns, promotional intensity, or channel economics shift during the year.</w:t>
      </w:r>
    </w:p>
    <w:p w14:paraId="001007FC" w14:textId="001007FD">
      <w:pPr>
        <w:pStyle w:val="Heading3a"/>
        <w:jc w:val="left"/>
      </w:pPr>
      <w:r>
        <w:t xml:space="preserve">Year at a Glance</w:t>
      </w:r>
    </w:p>
    <w:p w14:paraId="001007FE" w14:textId="001007FF">
      <w:pPr>
        <w:pStyle w:val="Normal"/>
        <w:jc w:val="left"/>
      </w:pPr>
      <w:r>
        <w:t xml:space="preserve">The Consumer Segment delivered a solid year of growth, with revenue rising to $1,430 million and operating margin improving to 11.6%. Performance was underpinned by favorable channel mix, selective pricing actions, and better availability in priority categories. E-commerce and direct-to-consumer operations accounted for a growing share of sales and contributed disproportionately to margin expansion because of stronger demand visibility and more effective promotion targeting. Modern retail remained the volume anchor of the business, while traditional trade provided stable baseline demand despite a more competitive pricing environment in several territories.</w:t>
      </w:r>
    </w:p>
    <w:p w14:paraId="00100800" w14:textId="00100801">
      <w:pPr>
        <w:pStyle w:val="Normal"/>
        <w:jc w:val="left"/>
      </w:pPr>
      <w:r>
        <w:t xml:space="preserve">Headline operating metrics also indicated healthier commercial execution. Active account coverage was retained across major retail formats, digital order volumes increased materially, and membership activity in owned channels supported repeat purchasing. Product launch performance improved compared with the prior year, particularly in convenience and home care ranges, where refreshed formats translated into better placement and higher reorder rates. Although input cost movements remained uneven during the period, disciplined revenue management and channel-specific assortment control helped preserve gross margin quality. Overall, the year showed that the segment can combine scale, brand support, and channel discipline to deliver growth without sacrificing profitability.</w:t>
      </w:r>
    </w:p>
    <w:p w14:paraId="00100802" w14:textId="00100803">
      <w:pPr>
        <w:pStyle w:val="Normal"/>
        <w:jc w:val="left"/>
      </w:pPr>
      <w:r>
        <w:t xml:space="preserve">Recent trends within the Consumer Segment point to a gradual shift from broad-based volume dependence toward a more data-led and mix-driven growth profile. Over the last year, management observed stronger elasticity performance in products with clearer value propositions, especially where packaging, formulation, or convenience features were refreshed. This allowed the segment to recover part of prior cost inflation through selective price increases while limiting disruption to repeat demand. At the same time, online channels continued to increase their role in product discovery and replenishment, influencing not only digital sales but also in-store purchasing behavior through campaign spillover and brand visibility.</w:t>
      </w:r>
    </w:p>
    <w:p w14:paraId="00100804" w14:textId="00100805">
      <w:pPr>
        <w:pStyle w:val="Normal"/>
        <w:jc w:val="left"/>
      </w:pPr>
      <w:r>
        <w:t xml:space="preserve">Another notable trend was the widening performance gap between channels. Direct and marketplace channels produced faster growth and richer consumer insight, but they also required sharper execution in fulfillment, digital content, and promotional timing. Traditional trade remained important for reach, yet profitability varied more significantly by territory and distributor effectiveness. Management responded by tightening assortment complexity, refining promotional calendars, and redirecting commercial resources toward higher-return accounts and categories. These actions began to improve sell-through consistency and reduce low-productivity activity. Taken together, the trend profile suggests that future segment performance will depend increasingly on channel quality, portfolio discipline, and the ability to convert consumer data into faster operating decisions.</w:t>
      </w:r>
    </w:p>
    <w:p w14:paraId="00100806" w14:textId="00100807">
      <w:pPr>
        <w:pStyle w:val="Heading2a"/>
        <w:jc w:val="left"/>
      </w:pPr>
      <w:r>
        <w:t xml:space="preserve">Performance Review</w:t>
      </w:r>
    </w:p>
    <w:p w14:paraId="00100808" w14:textId="00100809">
      <w:pPr>
        <w:pStyle w:val="Normal"/>
        <w:jc w:val="left"/>
      </w:pPr>
      <w:r>
        <w:t xml:space="preserve">Performance in the Consumer Segment was shaped by four main themes during the year: resilient core-category demand, accelerating digital channel contribution, selective pricing recovery, and continued cost discipline. Revenue growth was strongest in channels where the segment had better visibility over consumer behavior and promotional returns, particularly e-commerce and direct-to-consumer. These gains offset softer demand in selected traditional trade markets, where traffic remained uneven and competitive discounting was more prevalent. Mix also supported results, as newer premium and convenience-oriented lines grew faster than legacy lower-margin products.</w:t>
      </w:r>
    </w:p>
    <w:p w14:paraId="0010080A" w14:textId="0010080B">
      <w:pPr>
        <w:pStyle w:val="Normal"/>
        <w:jc w:val="left"/>
      </w:pPr>
      <w:r>
        <w:t xml:space="preserve">From a variance perspective, pricing contributed positively, but the benefit was not uniform across the portfolio. In categories with strong brand recognition and differentiated features, price realization was sustained with limited impact on volume. In more commoditized categories, management relied more heavily on pack architecture, targeted promotions, and assortment rationalization to protect value. Cost pressures in packaging, freight, and labor moderated compared with the prior year but remained relevant, making procurement savings and supply chain planning important contributors to margin progression.</w:t>
      </w:r>
    </w:p>
    <w:p w14:paraId="0010080C" w14:textId="0010080D">
      <w:pPr>
        <w:pStyle w:val="Normal"/>
        <w:jc w:val="left"/>
      </w:pPr>
      <w:r>
        <w:t xml:space="preserve">Operationally, service levels improved and inventory placement became more consistent, supporting better on-shelf availability and digital fulfillment. Marketing spending was also directed more selectively toward campaigns with measurable conversion and retention effects. As a result, the segment exited the year with stronger channel quality, better margin resilience, and a clearer basis for evaluating where future growth can be pursued most profitably.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80E" w14:textId="00100846">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810" w14:textId="00100847">
            <w:pPr>
              <w:pStyle w:val="Normal"/>
              <w:jc w:val="left"/>
            </w:pPr>
            <w:r>
              <w:t xml:space="preserve">FY2023</w:t>
            </w:r>
          </w:p>
        </w:tc>
        <w:tc>
          <w:tcPr>
            <w:vAlign w:val="center"/>
            <w:tcBorders>
              <w:top w:val="single" w:sz="4" w:space="0" w:color="auto"/>
              <w:left w:val="single" w:sz="4" w:space="0" w:color="auto"/>
              <w:bottom w:val="single" w:sz="4" w:space="0" w:color="auto"/>
              <w:right w:val="single" w:sz="4" w:space="0" w:color="auto"/>
            </w:tcBorders>
          </w:tcPr>
          <w:p w14:paraId="00100812" w14:textId="00100848">
            <w:pPr>
              <w:pStyle w:val="Normal"/>
              <w:jc w:val="left"/>
            </w:pPr>
            <w:r>
              <w:t xml:space="preserve">FY2024</w:t>
            </w:r>
          </w:p>
        </w:tc>
        <w:tc>
          <w:tcPr>
            <w:vAlign w:val="center"/>
            <w:tcBorders>
              <w:top w:val="single" w:sz="4" w:space="0" w:color="auto"/>
              <w:left w:val="single" w:sz="4" w:space="0" w:color="auto"/>
              <w:bottom w:val="single" w:sz="4" w:space="0" w:color="auto"/>
              <w:right w:val="single" w:sz="4" w:space="0" w:color="auto"/>
            </w:tcBorders>
          </w:tcPr>
          <w:p w14:paraId="00100814" w14:textId="00100849">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816" w14:textId="0010084A">
            <w:pPr>
              <w:pStyle w:val="Normal"/>
              <w:jc w:val="left"/>
            </w:pPr>
            <w:r>
              <w:t xml:space="preserve">Revenue (RVM million)</w:t>
            </w:r>
          </w:p>
        </w:tc>
        <w:tc>
          <w:tcPr>
            <w:vAlign w:val="center"/>
            <w:tcBorders>
              <w:top w:val="single" w:sz="4" w:space="0" w:color="auto"/>
              <w:left w:val="single" w:sz="4" w:space="0" w:color="auto"/>
              <w:bottom w:val="single" w:sz="4" w:space="0" w:color="auto"/>
              <w:right w:val="single" w:sz="4" w:space="0" w:color="auto"/>
            </w:tcBorders>
          </w:tcPr>
          <w:p w14:paraId="00100818" w14:textId="0010084B">
            <w:pPr>
              <w:pStyle w:val="Normal"/>
              <w:jc w:val="left"/>
            </w:pPr>
            <w:r>
              <w:t xml:space="preserve">3,240</w:t>
            </w:r>
          </w:p>
        </w:tc>
        <w:tc>
          <w:tcPr>
            <w:vAlign w:val="center"/>
            <w:tcBorders>
              <w:top w:val="single" w:sz="4" w:space="0" w:color="auto"/>
              <w:left w:val="single" w:sz="4" w:space="0" w:color="auto"/>
              <w:bottom w:val="single" w:sz="4" w:space="0" w:color="auto"/>
              <w:right w:val="single" w:sz="4" w:space="0" w:color="auto"/>
            </w:tcBorders>
          </w:tcPr>
          <w:p w14:paraId="0010081A" w14:textId="0010084C">
            <w:pPr>
              <w:pStyle w:val="Normal"/>
              <w:jc w:val="left"/>
            </w:pPr>
            <w:r>
              <w:t xml:space="preserve">3,468</w:t>
            </w:r>
          </w:p>
        </w:tc>
        <w:tc>
          <w:tcPr>
            <w:vAlign w:val="center"/>
            <w:tcBorders>
              <w:top w:val="single" w:sz="4" w:space="0" w:color="auto"/>
              <w:left w:val="single" w:sz="4" w:space="0" w:color="auto"/>
              <w:bottom w:val="single" w:sz="4" w:space="0" w:color="auto"/>
              <w:right w:val="single" w:sz="4" w:space="0" w:color="auto"/>
            </w:tcBorders>
          </w:tcPr>
          <w:p w14:paraId="0010081C" w14:textId="0010084D">
            <w:pPr>
              <w:pStyle w:val="Normal"/>
              <w:jc w:val="left"/>
            </w:pPr>
            <w:r>
              <w:t xml:space="preserve">+7.0%</w:t>
            </w:r>
          </w:p>
        </w:tc>
      </w:tr>
      <w:tr>
        <w:tc>
          <w:tcPr>
            <w:vAlign w:val="center"/>
            <w:tcBorders>
              <w:top w:val="single" w:sz="4" w:space="0" w:color="auto"/>
              <w:left w:val="single" w:sz="4" w:space="0" w:color="auto"/>
              <w:bottom w:val="single" w:sz="4" w:space="0" w:color="auto"/>
              <w:right w:val="single" w:sz="4" w:space="0" w:color="auto"/>
            </w:tcBorders>
          </w:tcPr>
          <w:p w14:paraId="0010081E" w14:textId="0010084E">
            <w:pPr>
              <w:pStyle w:val="Normal"/>
              <w:jc w:val="left"/>
            </w:pPr>
            <w:r>
              <w:t xml:space="preserve">Gross margin</w:t>
            </w:r>
          </w:p>
        </w:tc>
        <w:tc>
          <w:tcPr>
            <w:vAlign w:val="center"/>
            <w:tcBorders>
              <w:top w:val="single" w:sz="4" w:space="0" w:color="auto"/>
              <w:left w:val="single" w:sz="4" w:space="0" w:color="auto"/>
              <w:bottom w:val="single" w:sz="4" w:space="0" w:color="auto"/>
              <w:right w:val="single" w:sz="4" w:space="0" w:color="auto"/>
            </w:tcBorders>
          </w:tcPr>
          <w:p w14:paraId="00100820" w14:textId="0010084F">
            <w:pPr>
              <w:pStyle w:val="Normal"/>
              <w:jc w:val="left"/>
            </w:pPr>
            <w:r>
              <w:t xml:space="preserve">31.8%</w:t>
            </w:r>
          </w:p>
        </w:tc>
        <w:tc>
          <w:tcPr>
            <w:vAlign w:val="center"/>
            <w:tcBorders>
              <w:top w:val="single" w:sz="4" w:space="0" w:color="auto"/>
              <w:left w:val="single" w:sz="4" w:space="0" w:color="auto"/>
              <w:bottom w:val="single" w:sz="4" w:space="0" w:color="auto"/>
              <w:right w:val="single" w:sz="4" w:space="0" w:color="auto"/>
            </w:tcBorders>
          </w:tcPr>
          <w:p w14:paraId="00100822" w14:textId="00100850">
            <w:pPr>
              <w:pStyle w:val="Normal"/>
              <w:jc w:val="left"/>
            </w:pPr>
            <w:r>
              <w:t xml:space="preserve">33.1%</w:t>
            </w:r>
          </w:p>
        </w:tc>
        <w:tc>
          <w:tcPr>
            <w:vAlign w:val="center"/>
            <w:tcBorders>
              <w:top w:val="single" w:sz="4" w:space="0" w:color="auto"/>
              <w:left w:val="single" w:sz="4" w:space="0" w:color="auto"/>
              <w:bottom w:val="single" w:sz="4" w:space="0" w:color="auto"/>
              <w:right w:val="single" w:sz="4" w:space="0" w:color="auto"/>
            </w:tcBorders>
          </w:tcPr>
          <w:p w14:paraId="00100824" w14:textId="00100851">
            <w:pPr>
              <w:pStyle w:val="Normal"/>
              <w:jc w:val="left"/>
            </w:pPr>
            <w:r>
              <w:t xml:space="preserve">+1.3 pts</w:t>
            </w:r>
          </w:p>
        </w:tc>
      </w:tr>
      <w:tr>
        <w:tc>
          <w:tcPr>
            <w:vAlign w:val="center"/>
            <w:tcBorders>
              <w:top w:val="single" w:sz="4" w:space="0" w:color="auto"/>
              <w:left w:val="single" w:sz="4" w:space="0" w:color="auto"/>
              <w:bottom w:val="single" w:sz="4" w:space="0" w:color="auto"/>
              <w:right w:val="single" w:sz="4" w:space="0" w:color="auto"/>
            </w:tcBorders>
          </w:tcPr>
          <w:p w14:paraId="00100826" w14:textId="00100852">
            <w:pPr>
              <w:pStyle w:val="Normal"/>
              <w:jc w:val="left"/>
            </w:pPr>
            <w:r>
              <w:t xml:space="preserve">Adjusted EBIT margin</w:t>
            </w:r>
          </w:p>
        </w:tc>
        <w:tc>
          <w:tcPr>
            <w:vAlign w:val="center"/>
            <w:tcBorders>
              <w:top w:val="single" w:sz="4" w:space="0" w:color="auto"/>
              <w:left w:val="single" w:sz="4" w:space="0" w:color="auto"/>
              <w:bottom w:val="single" w:sz="4" w:space="0" w:color="auto"/>
              <w:right w:val="single" w:sz="4" w:space="0" w:color="auto"/>
            </w:tcBorders>
          </w:tcPr>
          <w:p w14:paraId="00100828" w14:textId="00100853">
            <w:pPr>
              <w:pStyle w:val="Normal"/>
              <w:jc w:val="left"/>
            </w:pPr>
            <w:r>
              <w:t xml:space="preserve">10.6%</w:t>
            </w:r>
          </w:p>
        </w:tc>
        <w:tc>
          <w:tcPr>
            <w:vAlign w:val="center"/>
            <w:tcBorders>
              <w:top w:val="single" w:sz="4" w:space="0" w:color="auto"/>
              <w:left w:val="single" w:sz="4" w:space="0" w:color="auto"/>
              <w:bottom w:val="single" w:sz="4" w:space="0" w:color="auto"/>
              <w:right w:val="single" w:sz="4" w:space="0" w:color="auto"/>
            </w:tcBorders>
          </w:tcPr>
          <w:p w14:paraId="0010082A" w14:textId="00100854">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82C" w14:textId="00100855">
            <w:pPr>
              <w:pStyle w:val="Normal"/>
              <w:jc w:val="left"/>
            </w:pPr>
            <w:r>
              <w:t xml:space="preserve">+0.8 pts</w:t>
            </w:r>
          </w:p>
        </w:tc>
      </w:tr>
      <w:tr>
        <w:tc>
          <w:tcPr>
            <w:vAlign w:val="center"/>
            <w:tcBorders>
              <w:top w:val="single" w:sz="4" w:space="0" w:color="auto"/>
              <w:left w:val="single" w:sz="4" w:space="0" w:color="auto"/>
              <w:bottom w:val="single" w:sz="4" w:space="0" w:color="auto"/>
              <w:right w:val="single" w:sz="4" w:space="0" w:color="auto"/>
            </w:tcBorders>
          </w:tcPr>
          <w:p w14:paraId="0010082E" w14:textId="00100856">
            <w:pPr>
              <w:pStyle w:val="Normal"/>
              <w:jc w:val="left"/>
            </w:pPr>
            <w:r>
              <w:t xml:space="preserve">Operating cash flow (RVM million)</w:t>
            </w:r>
          </w:p>
        </w:tc>
        <w:tc>
          <w:tcPr>
            <w:vAlign w:val="center"/>
            <w:tcBorders>
              <w:top w:val="single" w:sz="4" w:space="0" w:color="auto"/>
              <w:left w:val="single" w:sz="4" w:space="0" w:color="auto"/>
              <w:bottom w:val="single" w:sz="4" w:space="0" w:color="auto"/>
              <w:right w:val="single" w:sz="4" w:space="0" w:color="auto"/>
            </w:tcBorders>
          </w:tcPr>
          <w:p w14:paraId="00100830" w14:textId="00100857">
            <w:pPr>
              <w:pStyle w:val="Normal"/>
              <w:jc w:val="left"/>
            </w:pPr>
            <w:r>
              <w:t xml:space="preserve">302</w:t>
            </w:r>
          </w:p>
        </w:tc>
        <w:tc>
          <w:tcPr>
            <w:vAlign w:val="center"/>
            <w:tcBorders>
              <w:top w:val="single" w:sz="4" w:space="0" w:color="auto"/>
              <w:left w:val="single" w:sz="4" w:space="0" w:color="auto"/>
              <w:bottom w:val="single" w:sz="4" w:space="0" w:color="auto"/>
              <w:right w:val="single" w:sz="4" w:space="0" w:color="auto"/>
            </w:tcBorders>
          </w:tcPr>
          <w:p w14:paraId="00100832" w14:textId="00100858">
            <w:pPr>
              <w:pStyle w:val="Normal"/>
              <w:jc w:val="left"/>
            </w:pPr>
            <w:r>
              <w:t xml:space="preserve">356</w:t>
            </w:r>
          </w:p>
        </w:tc>
        <w:tc>
          <w:tcPr>
            <w:vAlign w:val="center"/>
            <w:tcBorders>
              <w:top w:val="single" w:sz="4" w:space="0" w:color="auto"/>
              <w:left w:val="single" w:sz="4" w:space="0" w:color="auto"/>
              <w:bottom w:val="single" w:sz="4" w:space="0" w:color="auto"/>
              <w:right w:val="single" w:sz="4" w:space="0" w:color="auto"/>
            </w:tcBorders>
          </w:tcPr>
          <w:p w14:paraId="00100834" w14:textId="00100859">
            <w:pPr>
              <w:pStyle w:val="Normal"/>
              <w:jc w:val="left"/>
            </w:pPr>
            <w:r>
              <w:t xml:space="preserve">+17.9%</w:t>
            </w:r>
          </w:p>
        </w:tc>
      </w:tr>
      <w:tr>
        <w:tc>
          <w:tcPr>
            <w:vAlign w:val="center"/>
            <w:tcBorders>
              <w:top w:val="single" w:sz="4" w:space="0" w:color="auto"/>
              <w:left w:val="single" w:sz="4" w:space="0" w:color="auto"/>
              <w:bottom w:val="single" w:sz="4" w:space="0" w:color="auto"/>
              <w:right w:val="single" w:sz="4" w:space="0" w:color="auto"/>
            </w:tcBorders>
          </w:tcPr>
          <w:p w14:paraId="00100836" w14:textId="0010085A">
            <w:pPr>
              <w:pStyle w:val="Normal"/>
              <w:jc w:val="left"/>
            </w:pPr>
            <w:r>
              <w:t xml:space="preserve">Cash conversion</w:t>
            </w:r>
          </w:p>
        </w:tc>
        <w:tc>
          <w:tcPr>
            <w:vAlign w:val="center"/>
            <w:tcBorders>
              <w:top w:val="single" w:sz="4" w:space="0" w:color="auto"/>
              <w:left w:val="single" w:sz="4" w:space="0" w:color="auto"/>
              <w:bottom w:val="single" w:sz="4" w:space="0" w:color="auto"/>
              <w:right w:val="single" w:sz="4" w:space="0" w:color="auto"/>
            </w:tcBorders>
          </w:tcPr>
          <w:p w14:paraId="00100838" w14:textId="0010085B">
            <w:pPr>
              <w:pStyle w:val="Normal"/>
              <w:jc w:val="left"/>
            </w:pPr>
            <w:r>
              <w:t xml:space="preserve">84%</w:t>
            </w:r>
          </w:p>
        </w:tc>
        <w:tc>
          <w:tcPr>
            <w:vAlign w:val="center"/>
            <w:tcBorders>
              <w:top w:val="single" w:sz="4" w:space="0" w:color="auto"/>
              <w:left w:val="single" w:sz="4" w:space="0" w:color="auto"/>
              <w:bottom w:val="single" w:sz="4" w:space="0" w:color="auto"/>
              <w:right w:val="single" w:sz="4" w:space="0" w:color="auto"/>
            </w:tcBorders>
          </w:tcPr>
          <w:p w14:paraId="0010083A" w14:textId="0010085C">
            <w:pPr>
              <w:pStyle w:val="Normal"/>
              <w:jc w:val="left"/>
            </w:pPr>
            <w:r>
              <w:t xml:space="preserve">89%</w:t>
            </w:r>
          </w:p>
        </w:tc>
        <w:tc>
          <w:tcPr>
            <w:vAlign w:val="center"/>
            <w:tcBorders>
              <w:top w:val="single" w:sz="4" w:space="0" w:color="auto"/>
              <w:left w:val="single" w:sz="4" w:space="0" w:color="auto"/>
              <w:bottom w:val="single" w:sz="4" w:space="0" w:color="auto"/>
              <w:right w:val="single" w:sz="4" w:space="0" w:color="auto"/>
            </w:tcBorders>
          </w:tcPr>
          <w:p w14:paraId="0010083C" w14:textId="0010085D">
            <w:pPr>
              <w:pStyle w:val="Normal"/>
              <w:jc w:val="left"/>
            </w:pPr>
            <w:r>
              <w:t xml:space="preserve">+5 pts</w:t>
            </w:r>
          </w:p>
        </w:tc>
      </w:tr>
      <w:tr>
        <w:tc>
          <w:tcPr>
            <w:vAlign w:val="center"/>
            <w:tcBorders>
              <w:top w:val="single" w:sz="4" w:space="0" w:color="auto"/>
              <w:left w:val="single" w:sz="4" w:space="0" w:color="auto"/>
              <w:bottom w:val="single" w:sz="4" w:space="0" w:color="auto"/>
              <w:right w:val="single" w:sz="4" w:space="0" w:color="auto"/>
            </w:tcBorders>
          </w:tcPr>
          <w:p w14:paraId="0010083E" w14:textId="0010085E">
            <w:pPr>
              <w:pStyle w:val="Normal"/>
              <w:jc w:val="left"/>
            </w:pPr>
            <w:r>
              <w:t xml:space="preserve">Capex (RVM million)</w:t>
            </w:r>
          </w:p>
        </w:tc>
        <w:tc>
          <w:tcPr>
            <w:vAlign w:val="center"/>
            <w:tcBorders>
              <w:top w:val="single" w:sz="4" w:space="0" w:color="auto"/>
              <w:left w:val="single" w:sz="4" w:space="0" w:color="auto"/>
              <w:bottom w:val="single" w:sz="4" w:space="0" w:color="auto"/>
              <w:right w:val="single" w:sz="4" w:space="0" w:color="auto"/>
            </w:tcBorders>
          </w:tcPr>
          <w:p w14:paraId="00100840" w14:textId="0010085F">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842" w14:textId="00100860">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844" w14:textId="00100861">
            <w:pPr>
              <w:pStyle w:val="Normal"/>
              <w:jc w:val="left"/>
            </w:pPr>
            <w:r>
              <w:t xml:space="preserve">+6.8%</w:t>
            </w:r>
          </w:p>
        </w:tc>
      </w:tr>
    </w:tbl>
    <w:p w14:paraId="00100862" w14:textId="00100863">
      <w:pPr>
        <w:pStyle w:val="Normal"/>
        <w:jc w:val="left"/>
      </w:pPr>
      <w:r>
        <w:t xml:space="preserve">Table 18 Consumer Segment performance summary</w:t>
      </w:r>
    </w:p>
    <w:p w14:paraId="00100864" w14:textId="00100865">
      <w:pPr>
        <w:pStyle w:val="Normal"/>
        <w:jc w:val="left"/>
      </w:pPr>
      <w:r>
        <w:drawing>
          <wp:inline distT="0" distB="0" distL="0" distR="0">
            <wp:extent cx="4680000" cy="3240000"/>
            <wp:effectExtent l="0" t="0" r="0" b="0"/>
            <wp:docPr id="17" name="Fig-C05b-1.png" descr=""/>
            <wp:cNvGraphicFramePr>
              <a:graphicFrameLocks noChangeAspect="1"/>
            </wp:cNvGraphicFramePr>
            <a:graphic>
              <a:graphicData uri="http://schemas.openxmlformats.org/drawingml/2006/picture">
                <pic:pic>
                  <pic:nvPicPr>
                    <pic:cNvPr id="17" name="Fig-C05b-1.png"/>
                    <pic:cNvPicPr/>
                  </pic:nvPicPr>
                  <pic:blipFill>
                    <a:blip r:embed="R9628fd1fa59e433f" cstate="print"/>
                    <a:stretch>
                      <a:fillRect/>
                    </a:stretch>
                  </pic:blipFill>
                  <pic:spPr>
                    <a:xfrm>
                      <a:off x="0" y="0"/>
                      <a:ext cx="4320000" cy="2880000"/>
                    </a:xfrm>
                    <a:prstGeom prst="rect">
                      <a:avLst/>
                    </a:prstGeom>
                  </pic:spPr>
                </pic:pic>
              </a:graphicData>
            </a:graphic>
          </wp:inline>
        </w:drawing>
      </w:r>
    </w:p>
    <w:p w14:paraId="00100866" w14:textId="00100867">
      <w:pPr>
        <w:pStyle w:val="Normal"/>
        <w:jc w:val="left"/>
      </w:pPr>
      <w:r>
        <w:t xml:space="preserve">Figure 22 Consumer Segment revenue, EBIT margin and cash conversion trend</w:t>
      </w:r>
    </w:p>
    <w:p w14:paraId="00100868" w14:textId="00100869">
      <w:pPr>
        <w:pStyle w:val="Heading3a"/>
        <w:jc w:val="left"/>
      </w:pPr>
      <w:r>
        <w:t xml:space="preserve">Revenue Drivers</w:t>
      </w:r>
    </w:p>
    <w:p w14:paraId="0010086A" w14:textId="0010086B">
      <w:pPr>
        <w:pStyle w:val="Normal"/>
        <w:jc w:val="left"/>
      </w:pPr>
      <w:r>
        <w:t xml:space="preserve">Consumer Segment revenue increased 7.0% in FY2024, supported by a more balanced combination of unit growth and pricing than in the prior year. Volume improved in the second half as replenishment orders normalized in household essentials and selected personal care lines returned to growth after a weak comparative base. New product launches in convenience packs and premium variants also contributed incremental sell-through, particularly in urban retail clusters where Rivermark Group had strengthened promotional execution and shelf visibility. Pricing remained an important driver, although the pace moderated from the prior year as input-cost inflation eased and management shifted from broad-based increases to tighter, category-specific actions.</w:t>
      </w:r>
    </w:p>
    <w:p w14:paraId="0010086C" w14:textId="0010086D">
      <w:pPr>
        <w:pStyle w:val="Normal"/>
        <w:jc w:val="left"/>
      </w:pPr>
      <w:r>
        <w:t xml:space="preserve">The most resilient pricing performance came from branded categories with stronger repeat purchase behavior and lower private-label substitution risk. In these lines, price realization remained positive without a material loss of share. By contrast, more discretionary categories required a mix of targeted discounts, pack architecture changes and promotional funding to preserve volume momentum. Overall, the segment delivered healthy net revenue growth because pricing gains were retained where brand strength justified them, while volume recovery in core everyday categories reduced dependence on pure price-led expansion. This produced a better quality of growth, with less volatility across periods and improved alignment between market demand and factory loading.</w:t>
      </w:r>
    </w:p>
    <w:p w14:paraId="0010086E" w14:textId="0010086F">
      <w:pPr>
        <w:pStyle w:val="Normal"/>
        <w:jc w:val="left"/>
      </w:pPr>
      <w:r>
        <w:t xml:space="preserve">Channel and product mix also had a visible effect on reported performance. Modern trade and organized retail remained the largest channels and posted steady growth, helped by improved on-shelf availability and better campaign execution with key accounts. E-commerce recorded the fastest increase, driven by direct-to-platform promotions, higher repeat orders in home and personal care bundles, and broader use of data-led assortment tools. Traditional trade was more mixed, with rural distributors remaining cautious on inventory positions in the first half before restocking conditions improved later in the year. The net result was a channel mix shift toward formats with higher velocity and better demand visibility.</w:t>
      </w:r>
    </w:p>
    <w:p w14:paraId="00100870" w14:textId="00100871">
      <w:pPr>
        <w:pStyle w:val="Normal"/>
        <w:jc w:val="left"/>
      </w:pPr>
      <w:r>
        <w:t xml:space="preserve">From a portfolio perspective, the segment benefited from a richer sales mix as premium and differentiated products outperformed entry-level stock-keeping units. Management intentionally reduced exposure to low-margin tail items, simplified selected ranges, and redirected marketing spend toward categories with stronger household penetration and repeat purchase rates. This mix discipline supported average selling price and gross margin at the same time. While promotional intensity remained elevated in several categories, especially during festive periods and online campaigns, the segment was able to offset part of that pressure through assortment optimization and improved category management. Consequently, revenue growth was not only larger in absolute terms but also structurally more profitable across channels.</w:t>
      </w:r>
    </w:p>
    <w:p w14:paraId="00100872" w14:textId="00100873">
      <w:pPr>
        <w:pStyle w:val="Heading3a"/>
        <w:jc w:val="left"/>
      </w:pPr>
      <w:r>
        <w:t xml:space="preserve">Profit and Cash</w:t>
      </w:r>
    </w:p>
    <w:p w14:paraId="00100874" w14:textId="00100875">
      <w:pPr>
        <w:pStyle w:val="Normal"/>
        <w:jc w:val="left"/>
      </w:pPr>
      <w:r>
        <w:t xml:space="preserve">Profitability improved as gross margin expansion more than offset continued spending behind brands, digital commerce and service levels. The year started with residual pressure from packaging materials, freight contracts and labor inflation, but these headwinds moderated as sourcing terms were renegotiated and production planning became more stable. Better factory utilization reduced unit conversion costs, while the simplification of lower-volume product lines lowered complexity in scheduling and changeovers. Together, these operational improvements created a favorable margin bridge from gross profit into adjusted EBIT.</w:t>
      </w:r>
    </w:p>
    <w:p w14:paraId="00100876" w14:textId="00100877">
      <w:pPr>
        <w:pStyle w:val="Normal"/>
        <w:jc w:val="left"/>
      </w:pPr>
      <w:r>
        <w:t xml:space="preserve">Selling and administrative expenses increased in absolute terms, reflecting support for new launches, retailer activation and capability investment in data-driven demand planning. However, these costs declined modestly as a percentage of revenue because sales growth outpaced overhead expansion. Promotional spending remained elevated in selected categories, yet it was increasingly directed toward campaigns with measurable return and stronger retailer compliance. Mix was also supportive, as premium products and higher-growth digital channels delivered stronger contribution margins than the segment average. As a result, adjusted EBIT margin rose to 11.4% from 10.6%, demonstrating that the segment was able to convert top-line momentum into operating leverage rather than simply funding growth through higher commercial spend.</w:t>
      </w:r>
    </w:p>
    <w:p w14:paraId="00100878" w14:textId="00100879">
      <w:pPr>
        <w:pStyle w:val="Normal"/>
        <w:jc w:val="left"/>
      </w:pPr>
      <w:r>
        <w:t xml:space="preserve">Cash generation strengthened in FY2024, with operating cash flow rising to RVM 356 million and cash conversion reaching 89%. The principal driver was tighter working capital management. Inventory days declined as forecast accuracy improved and the segment reduced safety stock on slower-moving items while protecting service levels in core categories. Receivables remained well controlled despite higher e-commerce and modern trade exposure, supported by disciplined credit terms and improved collections follow-up. Payables provided a modest benefit as procurement teams aligned supplier terms more closely with the segment’s replenishment cycle and seasonal purchasing profile.</w:t>
      </w:r>
    </w:p>
    <w:p w14:paraId="0010087A" w14:textId="0010087B">
      <w:pPr>
        <w:pStyle w:val="Normal"/>
        <w:jc w:val="left"/>
      </w:pPr>
      <w:r>
        <w:t xml:space="preserve">Capital expenditure increased moderately, mainly for packaging line upgrades, automation in regional distribution centers and digital tools supporting demand sensing and category planning. Even with this higher investment level, free cash generation remained healthy because earnings quality improved and inventory absorption was better than in the prior year. Cash performance also benefited from fewer one-off outflows related to network stabilization and portfolio cleanup. The segment therefore ended the year with a more efficient cash cycle and a stronger platform to fund innovation, channel expansion and selective capacity additions without placing undue pressure on group liquidity.</w:t>
      </w:r>
    </w:p>
    <w:p w14:paraId="0010087C" w14:textId="0010087D">
      <w:pPr>
        <w:pStyle w:val="Heading2a"/>
        <w:jc w:val="left"/>
      </w:pPr>
      <w:r>
        <w:t xml:space="preserve">Outlook and Actions</w:t>
      </w:r>
    </w:p>
    <w:p w14:paraId="0010087E" w14:textId="0010087F">
      <w:pPr>
        <w:pStyle w:val="Normal"/>
        <w:jc w:val="left"/>
      </w:pPr>
      <w:r>
        <w:t xml:space="preserve">The Consumer Segment enters the new year with a constructive but still selective outlook. Demand in everyday consumption categories is expected to remain comparatively resilient, while more discretionary lines may continue to show uneven purchasing patterns as households balance affordability with preference for trusted brands. Management expects input-cost conditions to be more stable than in the prior two years, but promotional intensity is likely to remain high across organized retail and online channels. In this environment, the segment’s response plan centers on disciplined revenue management, sharper portfolio focus and continued improvement in service and inventory efficiency.</w:t>
      </w:r>
    </w:p>
    <w:p w14:paraId="00100880" w14:textId="00100881">
      <w:pPr>
        <w:pStyle w:val="Normal"/>
        <w:jc w:val="left"/>
      </w:pPr>
      <w:r>
        <w:t xml:space="preserve">Operationally, the segment will prioritize the categories, geographies and channels that showed the highest repeat demand and strongest margin resilience in FY2024. Commercial teams will expand targeted pricing architecture, strengthen retailer-specific assortments and increase the use of digital campaign analytics to improve return on trade spending. Supply chain actions will focus on service reliability during peak periods, shorter replenishment cycles and further simplification of lower-velocity stock-keeping units. The segment also plans to sustain investment in premium innovation and data-enabled planning tools, while maintaining tight control over overhead growth. Taken together, these actions are intended to support another year of profitable growth, protect cash conversion and improve the balance between volume expansion and margin quality.</w:t>
      </w:r>
    </w:p>
    <w:p w14:paraId="00100882" w14:textId="00100883">
      <w:pPr>
        <w:pStyle w:val="Heading3a"/>
        <w:jc w:val="left"/>
      </w:pPr>
      <w:r>
        <w:t xml:space="preserve">Market Outlook</w:t>
      </w:r>
    </w:p>
    <w:p w14:paraId="00100884" w14:textId="00100885">
      <w:pPr>
        <w:pStyle w:val="Normal"/>
        <w:jc w:val="left"/>
      </w:pPr>
      <w:r>
        <w:t xml:space="preserve">Consumer demand entered the new year with better visibility than in the prior reporting period, but the picture remains uneven across channels and categories. Core household staples, everyday personal care lines, and replenishment-led products continued to show stable reorder patterns, supported by broad distribution and relatively resilient purchase frequency. Visibility was strongest in modern retail and major e-commerce platforms, where Rivermark Group has access to weekly sell-out data, promotional response metrics, and inventory signals from key accounts. These indicators suggest a healthier baseline for production planning than was available twelve months ago, particularly for the segment’s top-selling stock-keeping units.</w:t>
      </w:r>
    </w:p>
    <w:p w14:paraId="00100886" w14:textId="00100887">
      <w:pPr>
        <w:pStyle w:val="Normal"/>
        <w:jc w:val="left"/>
      </w:pPr>
      <w:r>
        <w:t xml:space="preserve">At the same time, discretionary categories remain more sensitive to consumer confidence, promotional intensity, and regional income pressure. Orders from specialty retail partners are being placed closer to the point of sale, and launch volumes for premium extensions are being phased more cautiously. Management therefore views demand visibility as adequate rather than fully secure. The segment has improved forecasting accuracy through tighter retailer collaboration, shorter replenishment cycles, and better digital demand sensing, yet it continues to plan with scenario ranges rather than a single-volume assumption. Overall, the forward view supports measured growth, provided service levels remain strong and pricing actions continue to be calibrated to category elasticity and competitor behavior.</w:t>
      </w:r>
    </w:p>
    <w:p w14:paraId="00100888" w14:textId="00100889">
      <w:pPr>
        <w:pStyle w:val="Normal"/>
        <w:jc w:val="left"/>
      </w:pPr>
      <w:r>
        <w:t xml:space="preserve">The Consumer Segment enters the next period with a clear set of opportunities linked to brand strength, channel development, and portfolio discipline. The most immediate upside lies in increasing share within existing customers through better assortment architecture, stronger in-store execution, and improved online conversion. There is also room to extend selected products into adjacent price tiers, using entry packs to defend household penetration while preserving premium propositions where brand loyalty remains high. In addition, the segment can capture further gains from data-led promotion planning, lower stock-outs, and faster innovation cycles in categories where consumer preferences are changing quickly.</w:t>
      </w:r>
    </w:p>
    <w:p w14:paraId="0010088A" w14:textId="0010088B">
      <w:pPr>
        <w:pStyle w:val="Normal"/>
        <w:jc w:val="left"/>
      </w:pPr>
      <w:r>
        <w:t xml:space="preserve">The principal risks are equally clear. Input-cost volatility has moderated but not disappeared, especially in packaging, freight, and certain agricultural materials. Retail customers remain focused on margin recovery and may resist price increases unless supported by visible category growth or product differentiation. Promotional pressure could intensify if competitors seek volume at the expense of mix quality. The segment also faces execution risk in balancing inventory availability with disciplined working capital, particularly around seasonal peaks and new product launches. Finally, consumer sentiment remains fragile in several markets, creating the possibility of downtrading or weaker demand for premium and impulse-driven lines. The outlook is therefore constructive, but it depends on precise execution, channel responsiveness, and continued cost control.</w:t>
      </w:r>
    </w:p>
    <w:p w14:paraId="0010088C" w14:textId="0010088D">
      <w:pPr>
        <w:pStyle w:val="Heading3a"/>
        <w:jc w:val="left"/>
      </w:pPr>
      <w:r>
        <w:t xml:space="preserve">Management Priorities</w:t>
      </w:r>
    </w:p>
    <w:p w14:paraId="0010088E" w14:textId="0010088F">
      <w:pPr>
        <w:pStyle w:val="Normal"/>
        <w:jc w:val="left"/>
      </w:pPr>
      <w:r>
        <w:t xml:space="preserve">Management’s execution focus for the next year is to convert a more stable operating base into higher-quality growth. The first priority is to strengthen net revenue management by aligning pricing, pack architecture, trade investment, and promotional calendars more tightly to channel economics. This should allow the segment to defend gross margin while remaining competitive in value-sensitive categories. The second priority is to improve supply-chain responsiveness, particularly in high-velocity items, so that service levels remain dependable during demand peaks and campaign periods. Better forecast translation, more disciplined inventory placement, and closer coordination between commercial and operations teams are central to this effort.</w:t>
      </w:r>
    </w:p>
    <w:p w14:paraId="00100890" w14:textId="00100891">
      <w:pPr>
        <w:pStyle w:val="Normal"/>
        <w:jc w:val="left"/>
      </w:pPr>
      <w:r>
        <w:t xml:space="preserve">A further area of emphasis is portfolio productivity. Management intends to direct resources toward brands and stock-keeping units with clearer repeat-purchase potential, while simplifying low-rotation lines that absorb working capital and dilute execution. Digital commerce will remain a strategic growth lever, not only as a sales channel but also as a source of consumer insight that can shape assortment, content, and innovation. Across all priorities, the segment will maintain a disciplined approach to cash generation and returns. Success will be measured not simply by top-line growth, but by improved mix, more reliable service, stronger conversion of earnings into cash, and a sharper allocation of investment behind scalable demand drivers.</w:t>
      </w:r>
    </w:p>
    <w:p w14:paraId="00100892" w14:textId="00100893">
      <w:pPr>
        <w:pStyle w:val="Normal"/>
        <w:jc w:val="left"/>
      </w:pPr>
      <w:r>
        <w:t xml:space="preserve">Tighten pricing and promotion governance across major retail and e-commerce accounts, with category-level post-event reviews and clearer return thresholds for trade spend.</w:t>
      </w:r>
    </w:p>
    <w:p w14:paraId="00100894" w14:textId="00100895">
      <w:pPr>
        <w:pStyle w:val="Normal"/>
        <w:jc w:val="left"/>
      </w:pPr>
      <w:r>
        <w:t xml:space="preserve">Improve on-shelf availability in top-volume lines through shorter replenishment cycles, higher forecast accuracy, and targeted inventory buffers before seasonal peaks.</w:t>
      </w:r>
    </w:p>
    <w:p w14:paraId="00100896" w14:textId="00100897">
      <w:pPr>
        <w:pStyle w:val="Normal"/>
        <w:jc w:val="left"/>
      </w:pPr>
      <w:r>
        <w:t xml:space="preserve">Simplify the product portfolio by exiting low-rotation items, reducing complexity in packaging formats, and concentrating innovation spending on priority brands.</w:t>
      </w:r>
    </w:p>
    <w:p w14:paraId="00100898" w14:textId="00100899">
      <w:pPr>
        <w:pStyle w:val="Normal"/>
        <w:jc w:val="left"/>
      </w:pPr>
      <w:r>
        <w:t xml:space="preserve">Expand digital commerce capabilities through stronger search placement, improved product content, and coordinated campaign planning with leading platform partners.</w:t>
      </w:r>
    </w:p>
    <w:p w14:paraId="0010089A" w14:textId="0010089B">
      <w:pPr>
        <w:pStyle w:val="Normal"/>
        <w:jc w:val="left"/>
      </w:pPr>
      <w:r>
        <w:t xml:space="preserve">Advance procurement and packaging efficiency initiatives to offset residual input-cost pressure without weakening product quality or brand presentation.</w:t>
      </w:r>
    </w:p>
    <w:p w14:paraId="0010089C" w14:textId="0010089D">
      <w:pPr>
        <w:pStyle w:val="Normal"/>
        <w:jc w:val="left"/>
      </w:pPr>
      <w:r>
        <w:t xml:space="preserve">Track execution through monthly milestones covering service levels, gross margin, working capital turns, new product launch performance, and channel-specific revenue growth.</w:t>
      </w:r>
    </w:p>
    <w:p w14:paraId="00101677" w14:textId="00101678">
      <w:pPr>
        <w:pStyle w:val="Normal"/>
        <w:jc w:val="left"/>
        <w:sectPr>
          <w:type w:val="nextPage"/>
          <w:pgSz w:w="11906" w:h="16838"/>
          <w:pgMar w:top="1440" w:right="1440" w:bottom="1440" w:left="1440" w:header="1440" w:footer="1440" w:gutter="0"/>
          <w:cols w:space="720" w:num="1"/>
        </w:sectPr>
      </w:pPr>
    </w:p>
    <w:p w14:paraId="001008A2" w14:textId="001008A3">
      <w:pPr>
        <w:pStyle w:val="Heading1a"/>
        <w:jc w:val="left"/>
      </w:pPr>
      <w:r>
        <w:t xml:space="preserve">Digital Services Segment</w:t>
      </w:r>
    </w:p>
    <w:p w14:paraId="001008A4" w14:textId="001008A6">
      <w:pPr>
        <w:pStyle w:val="Normal"/>
        <w:jc w:val="left"/>
      </w:pPr>
      <w:r>
        <w:t xml:space="preserve">Segment focus:</w:t>
      </w:r>
      <w:r>
        <w:t xml:space="preserve"> the Digital Services Segment provides software-enabled platforms, managed services, data integration, and recurring support solutions to enterprise and public-sector clients across the Group’s core markets. During the year, the segment continued to shift its revenue mix toward subscription and multi-year service contracts, improving visibility while also increasing the importance of retention, service uptime, and implementation discipline. Demand remained strongest in cloud migration support, workflow automation, cybersecurity monitoring, and analytics services linked to customers’ operating infrastructure.</w:t>
        <w:br/>
        <w:t xml:space="preserve">The year was defined by three themes. First, commercial quality improved as new bookings were weighted toward higher-value clients with broader platform adoption potential rather than stand-alone project work. Second, delivery performance became a sharper management priority as the segment scaled its service desk, standardized onboarding methods, and invested in platform reliability. Third, margin development reflected a balance between continued hiring in product and client-facing teams and better utilization of delivery capacity in the second half.</w:t>
        <w:br/>
        <w:t xml:space="preserve">Although customer buying cycles were more selective in several markets, renewal rates remained resilient and the pipeline of cross-sell opportunities expanded through closer coordination with the Infrastructure, Industrial, and Consumer segments. As a result, the Digital Services Segment ended the year with a stronger recurring revenue base, improved operational discipline, and a clearer platform roadmap for the next phase of growth.</w:t>
      </w:r>
    </w:p>
    <w:p w14:paraId="001008A7" w14:textId="001008A8">
      <w:pPr>
        <w:pStyle w:val="Normal"/>
        <w:jc w:val="left"/>
      </w:pPr>
      <w:r>
        <w:drawing>
          <wp:inline distT="0" distB="0" distL="0" distR="0">
            <wp:extent cx="5040000" cy="2520000"/>
            <wp:effectExtent l="0" t="0" r="0" b="0"/>
            <wp:docPr id="18" name="Fig-I10-01.png" descr=""/>
            <wp:cNvGraphicFramePr>
              <a:graphicFrameLocks noChangeAspect="1"/>
            </wp:cNvGraphicFramePr>
            <a:graphic>
              <a:graphicData uri="http://schemas.openxmlformats.org/drawingml/2006/picture">
                <pic:pic>
                  <pic:nvPicPr>
                    <pic:cNvPr id="18" name="Fig-I10-01.png"/>
                    <pic:cNvPicPr/>
                  </pic:nvPicPr>
                  <pic:blipFill>
                    <a:blip r:embed="R634b2b16b46347eb" cstate="print"/>
                    <a:stretch>
                      <a:fillRect/>
                    </a:stretch>
                  </pic:blipFill>
                  <pic:spPr>
                    <a:xfrm>
                      <a:off x="0" y="0"/>
                      <a:ext cx="4680000" cy="2880000"/>
                    </a:xfrm>
                    <a:prstGeom prst="rect">
                      <a:avLst/>
                    </a:prstGeom>
                  </pic:spPr>
                </pic:pic>
              </a:graphicData>
            </a:graphic>
          </wp:inline>
        </w:drawing>
      </w:r>
    </w:p>
    <w:p w14:paraId="001008A9" w14:textId="001008AA">
      <w:pPr>
        <w:pStyle w:val="Normal"/>
        <w:jc w:val="left"/>
      </w:pPr>
      <w:r>
        <w:t xml:space="preserve">Figure 28 Service delivery team supporting platform operations and client response management</w:t>
      </w:r>
    </w:p>
    <w:p w14:paraId="001008AB" w14:textId="001008AC">
      <w:pPr>
        <w:pStyle w:val="Heading2a"/>
        <w:jc w:val="left"/>
      </w:pPr>
      <w:r>
        <w:t xml:space="preserve">Segment Overview</w:t>
      </w:r>
    </w:p>
    <w:p w14:paraId="001008AD" w14:textId="001008AE">
      <w:pPr>
        <w:pStyle w:val="Normal"/>
        <w:jc w:val="left"/>
      </w:pPr>
      <w:r>
        <w:t xml:space="preserve">The Digital Services Segment combines the Group’s technology-led activities into a more unified operating platform, allowing management to assess performance through recurring revenue, client retention, platform usage, implementation throughput, and service quality indicators alongside conventional financial measures. This section should therefore be read not only as a revenue and margin overview, but also as a view of how effectively the segment converts product capability and delivery capacity into durable client relationships.</w:t>
      </w:r>
    </w:p>
    <w:p w14:paraId="001008AF" w14:textId="001008B0">
      <w:pPr>
        <w:pStyle w:val="Normal"/>
        <w:jc w:val="left"/>
      </w:pPr>
      <w:r>
        <w:t xml:space="preserve">The KPI context for the year shows a business moving from build-out toward scaled execution. Revenue growth was supported by subscription expansion, managed service renewals, and selective new client wins, while usage-based income added flexibility in accounts with rising transaction volumes. At the same time, management tracked deployment cycle time, support response metrics, and engineer utilization more closely because these indicators have a direct effect on renewal quality and incremental margin. Customer concentration remained manageable, with no single contract dominating the portfolio, and the client base became somewhat more balanced between existing enterprise accounts and newly acquired mid-market customers.</w:t>
      </w:r>
    </w:p>
    <w:p w14:paraId="001008B1" w14:textId="001008B2">
      <w:pPr>
        <w:pStyle w:val="Normal"/>
        <w:jc w:val="left"/>
      </w:pPr>
      <w:r>
        <w:t xml:space="preserve">From an operating perspective, the segment benefited from stronger internal coordination around product releases, pricing governance, and customer success processes. These improvements helped reduce rework in implementations and supported steadier service delivery in the second half. The overview that follows summarizes business scope, market position, and headline metrics before turning to the revenue, profitability, cash profile, and forward priorities of the segment.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8B3" w14:textId="001008F9">
            <w:pPr>
              <w:pStyle w:val="Normal"/>
              <w:jc w:val="left"/>
            </w:pPr>
            <w:r>
              <w:t xml:space="preserve">Market / Service</w:t>
            </w:r>
          </w:p>
        </w:tc>
        <w:tc>
          <w:tcPr>
            <w:vAlign w:val="center"/>
            <w:tcBorders>
              <w:top w:val="single" w:sz="4" w:space="0" w:color="auto"/>
              <w:left w:val="single" w:sz="4" w:space="0" w:color="auto"/>
              <w:bottom w:val="single" w:sz="4" w:space="0" w:color="auto"/>
              <w:right w:val="single" w:sz="4" w:space="0" w:color="auto"/>
            </w:tcBorders>
          </w:tcPr>
          <w:p w14:paraId="001008B5" w14:textId="001008FA">
            <w:pPr>
              <w:pStyle w:val="Normal"/>
              <w:jc w:val="left"/>
            </w:pPr>
            <w:r>
              <w:t xml:space="preserve">Revenue FY2024 ($m)</w:t>
            </w:r>
          </w:p>
        </w:tc>
        <w:tc>
          <w:tcPr>
            <w:vAlign w:val="center"/>
            <w:tcBorders>
              <w:top w:val="single" w:sz="4" w:space="0" w:color="auto"/>
              <w:left w:val="single" w:sz="4" w:space="0" w:color="auto"/>
              <w:bottom w:val="single" w:sz="4" w:space="0" w:color="auto"/>
              <w:right w:val="single" w:sz="4" w:space="0" w:color="auto"/>
            </w:tcBorders>
          </w:tcPr>
          <w:p w14:paraId="001008B7" w14:textId="001008FB">
            <w:pPr>
              <w:pStyle w:val="Normal"/>
              <w:jc w:val="left"/>
            </w:pPr>
            <w:r>
              <w:t xml:space="preserve">Growth vs FY2023</w:t>
            </w:r>
          </w:p>
        </w:tc>
        <w:tc>
          <w:tcPr>
            <w:vAlign w:val="center"/>
            <w:tcBorders>
              <w:top w:val="single" w:sz="4" w:space="0" w:color="auto"/>
              <w:left w:val="single" w:sz="4" w:space="0" w:color="auto"/>
              <w:bottom w:val="single" w:sz="4" w:space="0" w:color="auto"/>
              <w:right w:val="single" w:sz="4" w:space="0" w:color="auto"/>
            </w:tcBorders>
          </w:tcPr>
          <w:p w14:paraId="001008B9" w14:textId="001008FC">
            <w:pPr>
              <w:pStyle w:val="Normal"/>
              <w:jc w:val="left"/>
            </w:pPr>
            <w:r>
              <w:t xml:space="preserve">Adjusted EBIT Margin</w:t>
            </w:r>
          </w:p>
        </w:tc>
        <w:tc>
          <w:tcPr>
            <w:vAlign w:val="center"/>
            <w:tcBorders>
              <w:top w:val="single" w:sz="4" w:space="0" w:color="auto"/>
              <w:left w:val="single" w:sz="4" w:space="0" w:color="auto"/>
              <w:bottom w:val="single" w:sz="4" w:space="0" w:color="auto"/>
              <w:right w:val="single" w:sz="4" w:space="0" w:color="auto"/>
            </w:tcBorders>
          </w:tcPr>
          <w:p w14:paraId="001008BB" w14:textId="001008FD">
            <w:pPr>
              <w:pStyle w:val="Normal"/>
              <w:jc w:val="left"/>
            </w:pPr>
            <w:r>
              <w:t xml:space="preserve">Active Clients</w:t>
            </w:r>
          </w:p>
        </w:tc>
      </w:tr>
      <w:tr>
        <w:tc>
          <w:tcPr>
            <w:vAlign w:val="center"/>
            <w:tcBorders>
              <w:top w:val="single" w:sz="4" w:space="0" w:color="auto"/>
              <w:left w:val="single" w:sz="4" w:space="0" w:color="auto"/>
              <w:bottom w:val="single" w:sz="4" w:space="0" w:color="auto"/>
              <w:right w:val="single" w:sz="4" w:space="0" w:color="auto"/>
            </w:tcBorders>
          </w:tcPr>
          <w:p w14:paraId="001008BD" w14:textId="001008FE">
            <w:pPr>
              <w:pStyle w:val="Normal"/>
              <w:jc w:val="left"/>
            </w:pPr>
            <w:r>
              <w:t xml:space="preserve">Enterprise SaaS</w:t>
            </w:r>
          </w:p>
        </w:tc>
        <w:tc>
          <w:tcPr>
            <w:vAlign w:val="center"/>
            <w:tcBorders>
              <w:top w:val="single" w:sz="4" w:space="0" w:color="auto"/>
              <w:left w:val="single" w:sz="4" w:space="0" w:color="auto"/>
              <w:bottom w:val="single" w:sz="4" w:space="0" w:color="auto"/>
              <w:right w:val="single" w:sz="4" w:space="0" w:color="auto"/>
            </w:tcBorders>
          </w:tcPr>
          <w:p w14:paraId="001008BF" w14:textId="001008FF">
            <w:pPr>
              <w:pStyle w:val="Normal"/>
              <w:jc w:val="left"/>
            </w:pPr>
            <w:r>
              <w:t xml:space="preserve">248.6</w:t>
            </w:r>
          </w:p>
        </w:tc>
        <w:tc>
          <w:tcPr>
            <w:vAlign w:val="center"/>
            <w:tcBorders>
              <w:top w:val="single" w:sz="4" w:space="0" w:color="auto"/>
              <w:left w:val="single" w:sz="4" w:space="0" w:color="auto"/>
              <w:bottom w:val="single" w:sz="4" w:space="0" w:color="auto"/>
              <w:right w:val="single" w:sz="4" w:space="0" w:color="auto"/>
            </w:tcBorders>
          </w:tcPr>
          <w:p w14:paraId="001008C1" w14:textId="00100900">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8C3" w14:textId="00100901">
            <w:pPr>
              <w:pStyle w:val="Normal"/>
              <w:jc w:val="left"/>
            </w:pPr>
            <w:r>
              <w:t xml:space="preserve">24.1%</w:t>
            </w:r>
          </w:p>
        </w:tc>
        <w:tc>
          <w:tcPr>
            <w:vAlign w:val="center"/>
            <w:tcBorders>
              <w:top w:val="single" w:sz="4" w:space="0" w:color="auto"/>
              <w:left w:val="single" w:sz="4" w:space="0" w:color="auto"/>
              <w:bottom w:val="single" w:sz="4" w:space="0" w:color="auto"/>
              <w:right w:val="single" w:sz="4" w:space="0" w:color="auto"/>
            </w:tcBorders>
          </w:tcPr>
          <w:p w14:paraId="001008C5" w14:textId="00100902">
            <w:pPr>
              <w:pStyle w:val="Normal"/>
              <w:jc w:val="left"/>
            </w:pPr>
            <w:r>
              <w:t xml:space="preserve">1,180</w:t>
            </w:r>
          </w:p>
        </w:tc>
      </w:tr>
      <w:tr>
        <w:tc>
          <w:tcPr>
            <w:vAlign w:val="center"/>
            <w:tcBorders>
              <w:top w:val="single" w:sz="4" w:space="0" w:color="auto"/>
              <w:left w:val="single" w:sz="4" w:space="0" w:color="auto"/>
              <w:bottom w:val="single" w:sz="4" w:space="0" w:color="auto"/>
              <w:right w:val="single" w:sz="4" w:space="0" w:color="auto"/>
            </w:tcBorders>
          </w:tcPr>
          <w:p w14:paraId="001008C7" w14:textId="00100903">
            <w:pPr>
              <w:pStyle w:val="Normal"/>
              <w:jc w:val="left"/>
            </w:pPr>
            <w:r>
              <w:t xml:space="preserve">Managed Cloud Operations</w:t>
            </w:r>
          </w:p>
        </w:tc>
        <w:tc>
          <w:tcPr>
            <w:vAlign w:val="center"/>
            <w:tcBorders>
              <w:top w:val="single" w:sz="4" w:space="0" w:color="auto"/>
              <w:left w:val="single" w:sz="4" w:space="0" w:color="auto"/>
              <w:bottom w:val="single" w:sz="4" w:space="0" w:color="auto"/>
              <w:right w:val="single" w:sz="4" w:space="0" w:color="auto"/>
            </w:tcBorders>
          </w:tcPr>
          <w:p w14:paraId="001008C9" w14:textId="00100904">
            <w:pPr>
              <w:pStyle w:val="Normal"/>
              <w:jc w:val="left"/>
            </w:pPr>
            <w:r>
              <w:t xml:space="preserve">196.3</w:t>
            </w:r>
          </w:p>
        </w:tc>
        <w:tc>
          <w:tcPr>
            <w:vAlign w:val="center"/>
            <w:tcBorders>
              <w:top w:val="single" w:sz="4" w:space="0" w:color="auto"/>
              <w:left w:val="single" w:sz="4" w:space="0" w:color="auto"/>
              <w:bottom w:val="single" w:sz="4" w:space="0" w:color="auto"/>
              <w:right w:val="single" w:sz="4" w:space="0" w:color="auto"/>
            </w:tcBorders>
          </w:tcPr>
          <w:p w14:paraId="001008CB" w14:textId="00100905">
            <w:pPr>
              <w:pStyle w:val="Normal"/>
              <w:jc w:val="left"/>
            </w:pPr>
            <w:r>
              <w:t xml:space="preserve">+10.5%</w:t>
            </w:r>
          </w:p>
        </w:tc>
        <w:tc>
          <w:tcPr>
            <w:vAlign w:val="center"/>
            <w:tcBorders>
              <w:top w:val="single" w:sz="4" w:space="0" w:color="auto"/>
              <w:left w:val="single" w:sz="4" w:space="0" w:color="auto"/>
              <w:bottom w:val="single" w:sz="4" w:space="0" w:color="auto"/>
              <w:right w:val="single" w:sz="4" w:space="0" w:color="auto"/>
            </w:tcBorders>
          </w:tcPr>
          <w:p w14:paraId="001008CD" w14:textId="00100906">
            <w:pPr>
              <w:pStyle w:val="Normal"/>
              <w:jc w:val="left"/>
            </w:pPr>
            <w:r>
              <w:t xml:space="preserve">18.7%</w:t>
            </w:r>
          </w:p>
        </w:tc>
        <w:tc>
          <w:tcPr>
            <w:vAlign w:val="center"/>
            <w:tcBorders>
              <w:top w:val="single" w:sz="4" w:space="0" w:color="auto"/>
              <w:left w:val="single" w:sz="4" w:space="0" w:color="auto"/>
              <w:bottom w:val="single" w:sz="4" w:space="0" w:color="auto"/>
              <w:right w:val="single" w:sz="4" w:space="0" w:color="auto"/>
            </w:tcBorders>
          </w:tcPr>
          <w:p w14:paraId="001008CF" w14:textId="00100907">
            <w:pPr>
              <w:pStyle w:val="Normal"/>
              <w:jc w:val="left"/>
            </w:pPr>
            <w:r>
              <w:t xml:space="preserve">420</w:t>
            </w:r>
          </w:p>
        </w:tc>
      </w:tr>
      <w:tr>
        <w:tc>
          <w:tcPr>
            <w:vAlign w:val="center"/>
            <w:tcBorders>
              <w:top w:val="single" w:sz="4" w:space="0" w:color="auto"/>
              <w:left w:val="single" w:sz="4" w:space="0" w:color="auto"/>
              <w:bottom w:val="single" w:sz="4" w:space="0" w:color="auto"/>
              <w:right w:val="single" w:sz="4" w:space="0" w:color="auto"/>
            </w:tcBorders>
          </w:tcPr>
          <w:p w14:paraId="001008D1" w14:textId="00100908">
            <w:pPr>
              <w:pStyle w:val="Normal"/>
              <w:jc w:val="left"/>
            </w:pPr>
            <w:r>
              <w:t xml:space="preserve">Data and Analytics Solutions</w:t>
            </w:r>
          </w:p>
        </w:tc>
        <w:tc>
          <w:tcPr>
            <w:vAlign w:val="center"/>
            <w:tcBorders>
              <w:top w:val="single" w:sz="4" w:space="0" w:color="auto"/>
              <w:left w:val="single" w:sz="4" w:space="0" w:color="auto"/>
              <w:bottom w:val="single" w:sz="4" w:space="0" w:color="auto"/>
              <w:right w:val="single" w:sz="4" w:space="0" w:color="auto"/>
            </w:tcBorders>
          </w:tcPr>
          <w:p w14:paraId="001008D3" w14:textId="00100909">
            <w:pPr>
              <w:pStyle w:val="Normal"/>
              <w:jc w:val="left"/>
            </w:pPr>
            <w:r>
              <w:t xml:space="preserve">143.8</w:t>
            </w:r>
          </w:p>
        </w:tc>
        <w:tc>
          <w:tcPr>
            <w:vAlign w:val="center"/>
            <w:tcBorders>
              <w:top w:val="single" w:sz="4" w:space="0" w:color="auto"/>
              <w:left w:val="single" w:sz="4" w:space="0" w:color="auto"/>
              <w:bottom w:val="single" w:sz="4" w:space="0" w:color="auto"/>
              <w:right w:val="single" w:sz="4" w:space="0" w:color="auto"/>
            </w:tcBorders>
          </w:tcPr>
          <w:p w14:paraId="001008D5" w14:textId="0010090A">
            <w:pPr>
              <w:pStyle w:val="Normal"/>
              <w:jc w:val="left"/>
            </w:pPr>
            <w:r>
              <w:t xml:space="preserve">+18.9%</w:t>
            </w:r>
          </w:p>
        </w:tc>
        <w:tc>
          <w:tcPr>
            <w:vAlign w:val="center"/>
            <w:tcBorders>
              <w:top w:val="single" w:sz="4" w:space="0" w:color="auto"/>
              <w:left w:val="single" w:sz="4" w:space="0" w:color="auto"/>
              <w:bottom w:val="single" w:sz="4" w:space="0" w:color="auto"/>
              <w:right w:val="single" w:sz="4" w:space="0" w:color="auto"/>
            </w:tcBorders>
          </w:tcPr>
          <w:p w14:paraId="001008D7" w14:textId="0010090B">
            <w:pPr>
              <w:pStyle w:val="Normal"/>
              <w:jc w:val="left"/>
            </w:pPr>
            <w:r>
              <w:t xml:space="preserve">21.4%</w:t>
            </w:r>
          </w:p>
        </w:tc>
        <w:tc>
          <w:tcPr>
            <w:vAlign w:val="center"/>
            <w:tcBorders>
              <w:top w:val="single" w:sz="4" w:space="0" w:color="auto"/>
              <w:left w:val="single" w:sz="4" w:space="0" w:color="auto"/>
              <w:bottom w:val="single" w:sz="4" w:space="0" w:color="auto"/>
              <w:right w:val="single" w:sz="4" w:space="0" w:color="auto"/>
            </w:tcBorders>
          </w:tcPr>
          <w:p w14:paraId="001008D9" w14:textId="0010090C">
            <w:pPr>
              <w:pStyle w:val="Normal"/>
              <w:jc w:val="left"/>
            </w:pPr>
            <w:r>
              <w:t xml:space="preserve">365</w:t>
            </w:r>
          </w:p>
        </w:tc>
      </w:tr>
      <w:tr>
        <w:tc>
          <w:tcPr>
            <w:vAlign w:val="center"/>
            <w:tcBorders>
              <w:top w:val="single" w:sz="4" w:space="0" w:color="auto"/>
              <w:left w:val="single" w:sz="4" w:space="0" w:color="auto"/>
              <w:bottom w:val="single" w:sz="4" w:space="0" w:color="auto"/>
              <w:right w:val="single" w:sz="4" w:space="0" w:color="auto"/>
            </w:tcBorders>
          </w:tcPr>
          <w:p w14:paraId="001008DB" w14:textId="0010090D">
            <w:pPr>
              <w:pStyle w:val="Normal"/>
              <w:jc w:val="left"/>
            </w:pPr>
            <w:r>
              <w:t xml:space="preserve">Digital Commerce Enablement</w:t>
            </w:r>
          </w:p>
        </w:tc>
        <w:tc>
          <w:tcPr>
            <w:vAlign w:val="center"/>
            <w:tcBorders>
              <w:top w:val="single" w:sz="4" w:space="0" w:color="auto"/>
              <w:left w:val="single" w:sz="4" w:space="0" w:color="auto"/>
              <w:bottom w:val="single" w:sz="4" w:space="0" w:color="auto"/>
              <w:right w:val="single" w:sz="4" w:space="0" w:color="auto"/>
            </w:tcBorders>
          </w:tcPr>
          <w:p w14:paraId="001008DD" w14:textId="0010090E">
            <w:pPr>
              <w:pStyle w:val="Normal"/>
              <w:jc w:val="left"/>
            </w:pPr>
            <w:r>
              <w:t xml:space="preserve">118.9</w:t>
            </w:r>
          </w:p>
        </w:tc>
        <w:tc>
          <w:tcPr>
            <w:vAlign w:val="center"/>
            <w:tcBorders>
              <w:top w:val="single" w:sz="4" w:space="0" w:color="auto"/>
              <w:left w:val="single" w:sz="4" w:space="0" w:color="auto"/>
              <w:bottom w:val="single" w:sz="4" w:space="0" w:color="auto"/>
              <w:right w:val="single" w:sz="4" w:space="0" w:color="auto"/>
            </w:tcBorders>
          </w:tcPr>
          <w:p w14:paraId="001008DF" w14:textId="0010090F">
            <w:pPr>
              <w:pStyle w:val="Normal"/>
              <w:jc w:val="left"/>
            </w:pPr>
            <w:r>
              <w:t xml:space="preserve">+7.6%</w:t>
            </w:r>
          </w:p>
        </w:tc>
        <w:tc>
          <w:tcPr>
            <w:vAlign w:val="center"/>
            <w:tcBorders>
              <w:top w:val="single" w:sz="4" w:space="0" w:color="auto"/>
              <w:left w:val="single" w:sz="4" w:space="0" w:color="auto"/>
              <w:bottom w:val="single" w:sz="4" w:space="0" w:color="auto"/>
              <w:right w:val="single" w:sz="4" w:space="0" w:color="auto"/>
            </w:tcBorders>
          </w:tcPr>
          <w:p w14:paraId="001008E1" w14:textId="00100910">
            <w:pPr>
              <w:pStyle w:val="Normal"/>
              <w:jc w:val="left"/>
            </w:pPr>
            <w:r>
              <w:t xml:space="preserve">16.2%</w:t>
            </w:r>
          </w:p>
        </w:tc>
        <w:tc>
          <w:tcPr>
            <w:vAlign w:val="center"/>
            <w:tcBorders>
              <w:top w:val="single" w:sz="4" w:space="0" w:color="auto"/>
              <w:left w:val="single" w:sz="4" w:space="0" w:color="auto"/>
              <w:bottom w:val="single" w:sz="4" w:space="0" w:color="auto"/>
              <w:right w:val="single" w:sz="4" w:space="0" w:color="auto"/>
            </w:tcBorders>
          </w:tcPr>
          <w:p w14:paraId="001008E3" w14:textId="00100911">
            <w:pPr>
              <w:pStyle w:val="Normal"/>
              <w:jc w:val="left"/>
            </w:pPr>
            <w:r>
              <w:t xml:space="preserve">710</w:t>
            </w:r>
          </w:p>
        </w:tc>
      </w:tr>
      <w:tr>
        <w:tc>
          <w:tcPr>
            <w:vAlign w:val="center"/>
            <w:tcBorders>
              <w:top w:val="single" w:sz="4" w:space="0" w:color="auto"/>
              <w:left w:val="single" w:sz="4" w:space="0" w:color="auto"/>
              <w:bottom w:val="single" w:sz="4" w:space="0" w:color="auto"/>
              <w:right w:val="single" w:sz="4" w:space="0" w:color="auto"/>
            </w:tcBorders>
          </w:tcPr>
          <w:p w14:paraId="001008E5" w14:textId="00100912">
            <w:pPr>
              <w:pStyle w:val="Normal"/>
              <w:jc w:val="left"/>
            </w:pPr>
            <w:r>
              <w:t xml:space="preserve">Public Sector Platforms</w:t>
            </w:r>
          </w:p>
        </w:tc>
        <w:tc>
          <w:tcPr>
            <w:vAlign w:val="center"/>
            <w:tcBorders>
              <w:top w:val="single" w:sz="4" w:space="0" w:color="auto"/>
              <w:left w:val="single" w:sz="4" w:space="0" w:color="auto"/>
              <w:bottom w:val="single" w:sz="4" w:space="0" w:color="auto"/>
              <w:right w:val="single" w:sz="4" w:space="0" w:color="auto"/>
            </w:tcBorders>
          </w:tcPr>
          <w:p w14:paraId="001008E7" w14:textId="00100913">
            <w:pPr>
              <w:pStyle w:val="Normal"/>
              <w:jc w:val="left"/>
            </w:pPr>
            <w:r>
              <w:t xml:space="preserve">96.4</w:t>
            </w:r>
          </w:p>
        </w:tc>
        <w:tc>
          <w:tcPr>
            <w:vAlign w:val="center"/>
            <w:tcBorders>
              <w:top w:val="single" w:sz="4" w:space="0" w:color="auto"/>
              <w:left w:val="single" w:sz="4" w:space="0" w:color="auto"/>
              <w:bottom w:val="single" w:sz="4" w:space="0" w:color="auto"/>
              <w:right w:val="single" w:sz="4" w:space="0" w:color="auto"/>
            </w:tcBorders>
          </w:tcPr>
          <w:p w14:paraId="001008E9" w14:textId="00100914">
            <w:pPr>
              <w:pStyle w:val="Normal"/>
              <w:jc w:val="left"/>
            </w:pPr>
            <w:r>
              <w:t xml:space="preserve">+22.3%</w:t>
            </w:r>
          </w:p>
        </w:tc>
        <w:tc>
          <w:tcPr>
            <w:vAlign w:val="center"/>
            <w:tcBorders>
              <w:top w:val="single" w:sz="4" w:space="0" w:color="auto"/>
              <w:left w:val="single" w:sz="4" w:space="0" w:color="auto"/>
              <w:bottom w:val="single" w:sz="4" w:space="0" w:color="auto"/>
              <w:right w:val="single" w:sz="4" w:space="0" w:color="auto"/>
            </w:tcBorders>
          </w:tcPr>
          <w:p w14:paraId="001008EB" w14:textId="00100915">
            <w:pPr>
              <w:pStyle w:val="Normal"/>
              <w:jc w:val="left"/>
            </w:pPr>
            <w:r>
              <w:t xml:space="preserve">19.6%</w:t>
            </w:r>
          </w:p>
        </w:tc>
        <w:tc>
          <w:tcPr>
            <w:vAlign w:val="center"/>
            <w:tcBorders>
              <w:top w:val="single" w:sz="4" w:space="0" w:color="auto"/>
              <w:left w:val="single" w:sz="4" w:space="0" w:color="auto"/>
              <w:bottom w:val="single" w:sz="4" w:space="0" w:color="auto"/>
              <w:right w:val="single" w:sz="4" w:space="0" w:color="auto"/>
            </w:tcBorders>
          </w:tcPr>
          <w:p w14:paraId="001008ED" w14:textId="00100916">
            <w:pPr>
              <w:pStyle w:val="Normal"/>
              <w:jc w:val="left"/>
            </w:pPr>
            <w:r>
              <w:t xml:space="preserve">84</w:t>
            </w:r>
          </w:p>
        </w:tc>
      </w:tr>
      <w:tr>
        <w:tc>
          <w:tcPr>
            <w:vAlign w:val="center"/>
            <w:tcBorders>
              <w:top w:val="single" w:sz="4" w:space="0" w:color="auto"/>
              <w:left w:val="single" w:sz="4" w:space="0" w:color="auto"/>
              <w:bottom w:val="single" w:sz="4" w:space="0" w:color="auto"/>
              <w:right w:val="single" w:sz="4" w:space="0" w:color="auto"/>
            </w:tcBorders>
          </w:tcPr>
          <w:p w14:paraId="001008EF" w14:textId="00100917">
            <w:pPr>
              <w:pStyle w:val="Normal"/>
              <w:jc w:val="left"/>
            </w:pPr>
            <w:r>
              <w:t xml:space="preserve">Total Digital Services Segment</w:t>
            </w:r>
          </w:p>
        </w:tc>
        <w:tc>
          <w:tcPr>
            <w:vAlign w:val="center"/>
            <w:tcBorders>
              <w:top w:val="single" w:sz="4" w:space="0" w:color="auto"/>
              <w:left w:val="single" w:sz="4" w:space="0" w:color="auto"/>
              <w:bottom w:val="single" w:sz="4" w:space="0" w:color="auto"/>
              <w:right w:val="single" w:sz="4" w:space="0" w:color="auto"/>
            </w:tcBorders>
          </w:tcPr>
          <w:p w14:paraId="001008F1" w14:textId="00100918">
            <w:pPr>
              <w:pStyle w:val="Normal"/>
              <w:jc w:val="left"/>
            </w:pPr>
            <w:r>
              <w:t xml:space="preserve">804.0</w:t>
            </w:r>
          </w:p>
        </w:tc>
        <w:tc>
          <w:tcPr>
            <w:vAlign w:val="center"/>
            <w:tcBorders>
              <w:top w:val="single" w:sz="4" w:space="0" w:color="auto"/>
              <w:left w:val="single" w:sz="4" w:space="0" w:color="auto"/>
              <w:bottom w:val="single" w:sz="4" w:space="0" w:color="auto"/>
              <w:right w:val="single" w:sz="4" w:space="0" w:color="auto"/>
            </w:tcBorders>
          </w:tcPr>
          <w:p w14:paraId="001008F3" w14:textId="00100919">
            <w:pPr>
              <w:pStyle w:val="Normal"/>
              <w:jc w:val="left"/>
            </w:pPr>
            <w:r>
              <w:t xml:space="preserve">+13.1%</w:t>
            </w:r>
          </w:p>
        </w:tc>
        <w:tc>
          <w:tcPr>
            <w:vAlign w:val="center"/>
            <w:tcBorders>
              <w:top w:val="single" w:sz="4" w:space="0" w:color="auto"/>
              <w:left w:val="single" w:sz="4" w:space="0" w:color="auto"/>
              <w:bottom w:val="single" w:sz="4" w:space="0" w:color="auto"/>
              <w:right w:val="single" w:sz="4" w:space="0" w:color="auto"/>
            </w:tcBorders>
          </w:tcPr>
          <w:p w14:paraId="001008F5" w14:textId="0010091A">
            <w:pPr>
              <w:pStyle w:val="Normal"/>
              <w:jc w:val="left"/>
            </w:pPr>
            <w:r>
              <w:t xml:space="preserve">20.5%</w:t>
            </w:r>
          </w:p>
        </w:tc>
        <w:tc>
          <w:tcPr>
            <w:vAlign w:val="center"/>
            <w:tcBorders>
              <w:top w:val="single" w:sz="4" w:space="0" w:color="auto"/>
              <w:left w:val="single" w:sz="4" w:space="0" w:color="auto"/>
              <w:bottom w:val="single" w:sz="4" w:space="0" w:color="auto"/>
              <w:right w:val="single" w:sz="4" w:space="0" w:color="auto"/>
            </w:tcBorders>
          </w:tcPr>
          <w:p w14:paraId="001008F7" w14:textId="0010091B">
            <w:pPr>
              <w:pStyle w:val="Normal"/>
              <w:jc w:val="left"/>
            </w:pPr>
            <w:r>
              <w:t xml:space="preserve">2,759</w:t>
            </w:r>
          </w:p>
        </w:tc>
      </w:tr>
    </w:tbl>
    <w:p w14:paraId="0010091C" w14:textId="0010091D">
      <w:pPr>
        <w:pStyle w:val="Normal"/>
        <w:jc w:val="left"/>
      </w:pPr>
      <w:r>
        <w:t xml:space="preserve">Table 10 Digital Services Segment overview KPIs by market and service</w:t>
      </w:r>
    </w:p>
    <w:p w14:paraId="0010091E" w14:textId="0010091F">
      <w:pPr>
        <w:pStyle w:val="Heading3a"/>
        <w:jc w:val="left"/>
      </w:pPr>
      <w:r>
        <w:t xml:space="preserve">Business Scope</w:t>
      </w:r>
    </w:p>
    <w:p w14:paraId="00100920" w14:textId="00100921">
      <w:pPr>
        <w:pStyle w:val="Normal"/>
        <w:jc w:val="left"/>
      </w:pPr>
      <w:r>
        <w:t xml:space="preserve">The Digital Services Segment brings together Rivermark Group’s software, data, and managed delivery capabilities into a single operating platform serving enterprise, public sector, and mid-market clients. Its offer set spans subscription software, recurring support, implementation work, usage-based analytics, and selective project integration. The segment’s core proposition is to help customers modernize operations, improve visibility, and reduce service friction through scalable platform tools and embedded technical support. Within this portfolio, the strongest recurring earnings come from cloud-native business applications, managed infrastructure monitoring, cyber resilience services, and sector-specific workflow solutions.</w:t>
      </w:r>
    </w:p>
    <w:p w14:paraId="00100922" w14:textId="00100925">
      <w:pPr>
        <w:pStyle w:val="Normal"/>
        <w:jc w:val="left"/>
      </w:pPr>
      <w:r>
        <w:t xml:space="preserve">A distinguishing feature of the segment is the combination of proprietary applications with delivery expertise. Rather than selling stand-alone licenses, the business increasingly packages platform configuration, migration, maintenance, and data insight into longer-term commercial relationships. This model deepens retention and raises average revenue per client over time. The segment’s service architecture is organized around modular offerings, allowing cross-sell between core software subscriptions and adjacent advisory or support contracts. Management refers to this integrated layer as </w:t>
      </w:r>
      <w:r>
        <w:t xml:space="preserve">platform services</w:t>
      </w:r>
      <w:r>
        <w:t xml:space="preserve">, reflecting the way software capability and service execution are presented to customers as one operating solution rather than separate products.</w:t>
      </w:r>
    </w:p>
    <w:p w14:paraId="00100926" w14:textId="00100927">
      <w:pPr>
        <w:pStyle w:val="Normal"/>
        <w:jc w:val="left"/>
      </w:pPr>
      <w:r>
        <w:t xml:space="preserve">Geographically, the segment maintains its largest revenue base in Rivermark Group’s domestic market, while expanding steadily across neighboring regional economies and selected overseas accounts. Enterprise SaaS and managed cloud contracts remain concentrated in metropolitan business centers, where customers place greater value on integration depth, uptime assurance, and data governance. Public sector platform revenue is narrower in client count but broader in contract duration, supported by multi-year deployment cycles and compliance-driven renewal behavior. Data and analytics solutions, by contrast, show a more dispersed footprint because delivery can be scaled remotely once implementation standards are established.</w:t>
      </w:r>
    </w:p>
    <w:p w14:paraId="00100928" w14:textId="00100929">
      <w:pPr>
        <w:pStyle w:val="Normal"/>
        <w:jc w:val="left"/>
      </w:pPr>
      <w:r>
        <w:t xml:space="preserve">Route to market varies by service line. Larger accounts are developed through direct sales teams and strategic account management, especially in software, cloud operations, and public sector workflow systems. Mid-sized and channel-led business is more common in digital commerce enablement and certain analytics tools, where implementation can be standardized and partner-led distribution improves reach. This mix gives the segment a balanced profile: direct channels protect value in complex accounts, while partner channels support faster customer acquisition in repeatable solutions. As a result, revenue concentration remains manageable, and no single client or geography dominates the segment’s overall trading pattern.</w:t>
      </w:r>
    </w:p>
    <w:p w14:paraId="0010092A" w14:textId="0010092B">
      <w:pPr>
        <w:pStyle w:val="Heading3a"/>
        <w:jc w:val="left"/>
      </w:pPr>
      <w:r>
        <w:t xml:space="preserve">Year at a Glance</w:t>
      </w:r>
    </w:p>
    <w:p w14:paraId="0010092C" w14:textId="0010092D">
      <w:pPr>
        <w:pStyle w:val="Normal"/>
        <w:jc w:val="left"/>
      </w:pPr>
      <w:r>
        <w:t xml:space="preserve">The Digital Services Segment delivered a year of solid expansion, combining double-digit revenue growth with further progress in margin discipline and recurring income quality. Segment revenue reached $804.0 million, supported by growth in enterprise subscriptions, managed cloud services, and public sector platform deployments. Adjusted EBIT margin improved to 20.5%, reflecting favorable operating leverage from a larger installed base, better utilization of delivery teams, and a more selective approach to lower-margin customization work. Active client numbers also increased, but management’s emphasis remained on retention, wallet share, and contract renewal quality rather than simple account count growth.</w:t>
      </w:r>
    </w:p>
    <w:p w14:paraId="0010092E" w14:textId="0010092F">
      <w:pPr>
        <w:pStyle w:val="Normal"/>
        <w:jc w:val="left"/>
      </w:pPr>
      <w:r>
        <w:t xml:space="preserve">Operationally, the year was characterized by a stronger mix of recurring revenue and a steadier implementation cadence. Churn remained low in core software products, while managed services contracts showed healthy renewal rates as customers prioritized resilience, compliance, and service continuity. Investment continued in automation, common code libraries, and delivery tooling, helping the segment scale service volumes without an equivalent rise in support cost. Although some discretionary digital project spending softened in the second half, this was offset by resilient demand for business-critical systems and data-led process improvement. Overall, the segment exited the year with improved commercial visibility and a more durable earnings base than at the start of the period.</w:t>
      </w:r>
    </w:p>
    <w:p w14:paraId="00100930" w14:textId="00100931">
      <w:pPr>
        <w:pStyle w:val="Normal"/>
        <w:jc w:val="left"/>
      </w:pPr>
      <w:r>
        <w:t xml:space="preserve">Customer activity was strongest among existing accounts expanding usage across multiple modules and support layers. A meaningful share of growth came from clients that began with a limited software deployment and then added analytics dashboards, workflow automation, or managed support once early operational benefits were demonstrated. This land-and-expand pattern was especially evident in enterprise SaaS and cloud operations, where integration complexity creates natural opportunities for deeper engagement over time. Public sector customers also progressed from pilot deployments to broader operational rollouts, contributing to both higher contract value and longer revenue visibility.</w:t>
      </w:r>
    </w:p>
    <w:p w14:paraId="00100932" w14:textId="00100933">
      <w:pPr>
        <w:pStyle w:val="Normal"/>
        <w:jc w:val="left"/>
      </w:pPr>
      <w:r>
        <w:t xml:space="preserve">New business momentum remained constructive, though conversion cycles varied by service type. Subscription-led offerings typically closed faster, particularly where implementation requirements were light and return on investment was easy to demonstrate. Larger transformation projects required more extensive procurement review and technical validation, but they also created broader follow-on revenue once deployment commenced. Customer demand continued to favor measurable outcomes such as uptime, process speed, data transparency, and lower operating risk. In response, the segment sharpened solution packaging and customer success management to improve adoption after go-live. These actions supported stronger renewal confidence and positioned the business for continued growth from both new logos and deepening relationships with established accounts.</w:t>
      </w:r>
    </w:p>
    <w:p w14:paraId="00100934" w14:textId="00100935">
      <w:pPr>
        <w:pStyle w:val="Heading2a"/>
        <w:jc w:val="left"/>
      </w:pPr>
      <w:r>
        <w:t xml:space="preserve">Performance Review</w:t>
      </w:r>
    </w:p>
    <w:p w14:paraId="00100936" w14:textId="00100937">
      <w:pPr>
        <w:pStyle w:val="Normal"/>
        <w:jc w:val="left"/>
      </w:pPr>
      <w:r>
        <w:t xml:space="preserve">Performance for the year reflected a combination of recurring revenue expansion, disciplined pricing, and better operating efficiency across the delivery model. Revenue growth was led by enterprise SaaS, public sector platforms, and analytics solutions, while managed cloud operations provided a stable base of contractual income. Volume growth came from new client wins, broader module adoption in existing accounts, and higher service usage in cloud and data environments. Pricing contributed positively, particularly in renewals where Rivermark was able to align contract terms more closely with service complexity, support coverage, and infrastructure intensity. Portfolio mix also improved as higher-value subscriptions and standardized service bundles represented a larger share of total sales.</w:t>
      </w:r>
    </w:p>
    <w:p w14:paraId="00100938" w14:textId="00100939">
      <w:pPr>
        <w:pStyle w:val="Normal"/>
        <w:jc w:val="left"/>
      </w:pPr>
      <w:r>
        <w:t xml:space="preserve">From a profitability perspective, margin progression was supported by stronger utilization of engineering and implementation teams, increased automation in monitoring and support, and a lower proportion of bespoke development work. Delivery productivity improved as common deployment templates and reusable components reduced time-to-launch and post-implementation rework. At the same time, management maintained investment in product development, cyber controls, and customer success capability, recognizing that long-term retention depends on service reliability and product relevance. The principal offsets to margin expansion were wage inflation in specialist technical roles and selective upfront costs tied to new platform features. Even so, the overall performance bridge remained favorable: better recurring mix, disciplined execution, and scalable service economics more than compensated for cost pressure during the period.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93A" w14:textId="00100972">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93C" w14:textId="00100973">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93E" w14:textId="00100974">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940" w14:textId="00100975">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942" w14:textId="00100976">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944" w14:textId="00100977">
            <w:pPr>
              <w:pStyle w:val="Normal"/>
              <w:jc w:val="left"/>
            </w:pPr>
            <w:r>
              <w:t xml:space="preserve">412.6</w:t>
            </w:r>
          </w:p>
        </w:tc>
        <w:tc>
          <w:tcPr>
            <w:vAlign w:val="center"/>
            <w:tcBorders>
              <w:top w:val="single" w:sz="4" w:space="0" w:color="auto"/>
              <w:left w:val="single" w:sz="4" w:space="0" w:color="auto"/>
              <w:bottom w:val="single" w:sz="4" w:space="0" w:color="auto"/>
              <w:right w:val="single" w:sz="4" w:space="0" w:color="auto"/>
            </w:tcBorders>
          </w:tcPr>
          <w:p w14:paraId="00100946" w14:textId="00100978">
            <w:pPr>
              <w:pStyle w:val="Normal"/>
              <w:jc w:val="left"/>
            </w:pPr>
            <w:r>
              <w:t xml:space="preserve">381.4</w:t>
            </w:r>
          </w:p>
        </w:tc>
        <w:tc>
          <w:tcPr>
            <w:vAlign w:val="center"/>
            <w:tcBorders>
              <w:top w:val="single" w:sz="4" w:space="0" w:color="auto"/>
              <w:left w:val="single" w:sz="4" w:space="0" w:color="auto"/>
              <w:bottom w:val="single" w:sz="4" w:space="0" w:color="auto"/>
              <w:right w:val="single" w:sz="4" w:space="0" w:color="auto"/>
            </w:tcBorders>
          </w:tcPr>
          <w:p w14:paraId="00100948" w14:textId="00100979">
            <w:pPr>
              <w:pStyle w:val="Normal"/>
              <w:jc w:val="left"/>
            </w:pPr>
            <w:r>
              <w:t xml:space="preserve">+8.2%</w:t>
            </w:r>
          </w:p>
        </w:tc>
      </w:tr>
      <w:tr>
        <w:tc>
          <w:tcPr>
            <w:vAlign w:val="center"/>
            <w:tcBorders>
              <w:top w:val="single" w:sz="4" w:space="0" w:color="auto"/>
              <w:left w:val="single" w:sz="4" w:space="0" w:color="auto"/>
              <w:bottom w:val="single" w:sz="4" w:space="0" w:color="auto"/>
              <w:right w:val="single" w:sz="4" w:space="0" w:color="auto"/>
            </w:tcBorders>
          </w:tcPr>
          <w:p w14:paraId="0010094A" w14:textId="0010097A">
            <w:pPr>
              <w:pStyle w:val="Normal"/>
              <w:jc w:val="left"/>
            </w:pPr>
            <w:r>
              <w:t xml:space="preserve">Adjusted EBITDA margin</w:t>
            </w:r>
          </w:p>
        </w:tc>
        <w:tc>
          <w:tcPr>
            <w:vAlign w:val="center"/>
            <w:tcBorders>
              <w:top w:val="single" w:sz="4" w:space="0" w:color="auto"/>
              <w:left w:val="single" w:sz="4" w:space="0" w:color="auto"/>
              <w:bottom w:val="single" w:sz="4" w:space="0" w:color="auto"/>
              <w:right w:val="single" w:sz="4" w:space="0" w:color="auto"/>
            </w:tcBorders>
          </w:tcPr>
          <w:p w14:paraId="0010094C" w14:textId="0010097B">
            <w:pPr>
              <w:pStyle w:val="Normal"/>
              <w:jc w:val="left"/>
            </w:pPr>
            <w:r>
              <w:t xml:space="preserve">24.1%</w:t>
            </w:r>
          </w:p>
        </w:tc>
        <w:tc>
          <w:tcPr>
            <w:vAlign w:val="center"/>
            <w:tcBorders>
              <w:top w:val="single" w:sz="4" w:space="0" w:color="auto"/>
              <w:left w:val="single" w:sz="4" w:space="0" w:color="auto"/>
              <w:bottom w:val="single" w:sz="4" w:space="0" w:color="auto"/>
              <w:right w:val="single" w:sz="4" w:space="0" w:color="auto"/>
            </w:tcBorders>
          </w:tcPr>
          <w:p w14:paraId="0010094E" w14:textId="0010097C">
            <w:pPr>
              <w:pStyle w:val="Normal"/>
              <w:jc w:val="left"/>
            </w:pPr>
            <w:r>
              <w:t xml:space="preserve">22.8%</w:t>
            </w:r>
          </w:p>
        </w:tc>
        <w:tc>
          <w:tcPr>
            <w:vAlign w:val="center"/>
            <w:tcBorders>
              <w:top w:val="single" w:sz="4" w:space="0" w:color="auto"/>
              <w:left w:val="single" w:sz="4" w:space="0" w:color="auto"/>
              <w:bottom w:val="single" w:sz="4" w:space="0" w:color="auto"/>
              <w:right w:val="single" w:sz="4" w:space="0" w:color="auto"/>
            </w:tcBorders>
          </w:tcPr>
          <w:p w14:paraId="00100950" w14:textId="0010097D">
            <w:pPr>
              <w:pStyle w:val="Normal"/>
              <w:jc w:val="left"/>
            </w:pPr>
            <w:r>
              <w:t xml:space="preserve">+1.3 ppt</w:t>
            </w:r>
          </w:p>
        </w:tc>
      </w:tr>
      <w:tr>
        <w:tc>
          <w:tcPr>
            <w:vAlign w:val="center"/>
            <w:tcBorders>
              <w:top w:val="single" w:sz="4" w:space="0" w:color="auto"/>
              <w:left w:val="single" w:sz="4" w:space="0" w:color="auto"/>
              <w:bottom w:val="single" w:sz="4" w:space="0" w:color="auto"/>
              <w:right w:val="single" w:sz="4" w:space="0" w:color="auto"/>
            </w:tcBorders>
          </w:tcPr>
          <w:p w14:paraId="00100952" w14:textId="0010097E">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954" w14:textId="0010097F">
            <w:pPr>
              <w:pStyle w:val="Normal"/>
              <w:jc w:val="left"/>
            </w:pPr>
            <w:r>
              <w:t xml:space="preserve">68.9</w:t>
            </w:r>
          </w:p>
        </w:tc>
        <w:tc>
          <w:tcPr>
            <w:vAlign w:val="center"/>
            <w:tcBorders>
              <w:top w:val="single" w:sz="4" w:space="0" w:color="auto"/>
              <w:left w:val="single" w:sz="4" w:space="0" w:color="auto"/>
              <w:bottom w:val="single" w:sz="4" w:space="0" w:color="auto"/>
              <w:right w:val="single" w:sz="4" w:space="0" w:color="auto"/>
            </w:tcBorders>
          </w:tcPr>
          <w:p w14:paraId="00100956" w14:textId="00100980">
            <w:pPr>
              <w:pStyle w:val="Normal"/>
              <w:jc w:val="left"/>
            </w:pPr>
            <w:r>
              <w:t xml:space="preserve">57.6</w:t>
            </w:r>
          </w:p>
        </w:tc>
        <w:tc>
          <w:tcPr>
            <w:vAlign w:val="center"/>
            <w:tcBorders>
              <w:top w:val="single" w:sz="4" w:space="0" w:color="auto"/>
              <w:left w:val="single" w:sz="4" w:space="0" w:color="auto"/>
              <w:bottom w:val="single" w:sz="4" w:space="0" w:color="auto"/>
              <w:right w:val="single" w:sz="4" w:space="0" w:color="auto"/>
            </w:tcBorders>
          </w:tcPr>
          <w:p w14:paraId="00100958" w14:textId="00100981">
            <w:pPr>
              <w:pStyle w:val="Normal"/>
              <w:jc w:val="left"/>
            </w:pPr>
            <w:r>
              <w:t xml:space="preserve">+19.6%</w:t>
            </w:r>
          </w:p>
        </w:tc>
      </w:tr>
      <w:tr>
        <w:tc>
          <w:tcPr>
            <w:vAlign w:val="center"/>
            <w:tcBorders>
              <w:top w:val="single" w:sz="4" w:space="0" w:color="auto"/>
              <w:left w:val="single" w:sz="4" w:space="0" w:color="auto"/>
              <w:bottom w:val="single" w:sz="4" w:space="0" w:color="auto"/>
              <w:right w:val="single" w:sz="4" w:space="0" w:color="auto"/>
            </w:tcBorders>
          </w:tcPr>
          <w:p w14:paraId="0010095A" w14:textId="00100982">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95C" w14:textId="00100983">
            <w:pPr>
              <w:pStyle w:val="Normal"/>
              <w:jc w:val="left"/>
            </w:pPr>
            <w:r>
              <w:t xml:space="preserve">83.7</w:t>
            </w:r>
          </w:p>
        </w:tc>
        <w:tc>
          <w:tcPr>
            <w:vAlign w:val="center"/>
            <w:tcBorders>
              <w:top w:val="single" w:sz="4" w:space="0" w:color="auto"/>
              <w:left w:val="single" w:sz="4" w:space="0" w:color="auto"/>
              <w:bottom w:val="single" w:sz="4" w:space="0" w:color="auto"/>
              <w:right w:val="single" w:sz="4" w:space="0" w:color="auto"/>
            </w:tcBorders>
          </w:tcPr>
          <w:p w14:paraId="0010095E" w14:textId="00100984">
            <w:pPr>
              <w:pStyle w:val="Normal"/>
              <w:jc w:val="left"/>
            </w:pPr>
            <w:r>
              <w:t xml:space="preserve">71.2</w:t>
            </w:r>
          </w:p>
        </w:tc>
        <w:tc>
          <w:tcPr>
            <w:vAlign w:val="center"/>
            <w:tcBorders>
              <w:top w:val="single" w:sz="4" w:space="0" w:color="auto"/>
              <w:left w:val="single" w:sz="4" w:space="0" w:color="auto"/>
              <w:bottom w:val="single" w:sz="4" w:space="0" w:color="auto"/>
              <w:right w:val="single" w:sz="4" w:space="0" w:color="auto"/>
            </w:tcBorders>
          </w:tcPr>
          <w:p w14:paraId="00100960" w14:textId="00100985">
            <w:pPr>
              <w:pStyle w:val="Normal"/>
              <w:jc w:val="left"/>
            </w:pPr>
            <w:r>
              <w:t xml:space="preserve">+17.6%</w:t>
            </w:r>
          </w:p>
        </w:tc>
      </w:tr>
      <w:tr>
        <w:tc>
          <w:tcPr>
            <w:vAlign w:val="center"/>
            <w:tcBorders>
              <w:top w:val="single" w:sz="4" w:space="0" w:color="auto"/>
              <w:left w:val="single" w:sz="4" w:space="0" w:color="auto"/>
              <w:bottom w:val="single" w:sz="4" w:space="0" w:color="auto"/>
              <w:right w:val="single" w:sz="4" w:space="0" w:color="auto"/>
            </w:tcBorders>
          </w:tcPr>
          <w:p w14:paraId="00100962" w14:textId="00100986">
            <w:pPr>
              <w:pStyle w:val="Normal"/>
              <w:jc w:val="left"/>
            </w:pPr>
            <w:r>
              <w:t xml:space="preserve">Cash conversion</w:t>
            </w:r>
          </w:p>
        </w:tc>
        <w:tc>
          <w:tcPr>
            <w:vAlign w:val="center"/>
            <w:tcBorders>
              <w:top w:val="single" w:sz="4" w:space="0" w:color="auto"/>
              <w:left w:val="single" w:sz="4" w:space="0" w:color="auto"/>
              <w:bottom w:val="single" w:sz="4" w:space="0" w:color="auto"/>
              <w:right w:val="single" w:sz="4" w:space="0" w:color="auto"/>
            </w:tcBorders>
          </w:tcPr>
          <w:p w14:paraId="00100964" w14:textId="00100987">
            <w:pPr>
              <w:pStyle w:val="Normal"/>
              <w:jc w:val="left"/>
            </w:pPr>
            <w:r>
              <w:t xml:space="preserve">121%</w:t>
            </w:r>
          </w:p>
        </w:tc>
        <w:tc>
          <w:tcPr>
            <w:vAlign w:val="center"/>
            <w:tcBorders>
              <w:top w:val="single" w:sz="4" w:space="0" w:color="auto"/>
              <w:left w:val="single" w:sz="4" w:space="0" w:color="auto"/>
              <w:bottom w:val="single" w:sz="4" w:space="0" w:color="auto"/>
              <w:right w:val="single" w:sz="4" w:space="0" w:color="auto"/>
            </w:tcBorders>
          </w:tcPr>
          <w:p w14:paraId="00100966" w14:textId="00100988">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968" w14:textId="00100989">
            <w:pPr>
              <w:pStyle w:val="Normal"/>
              <w:jc w:val="left"/>
            </w:pPr>
            <w:r>
              <w:t xml:space="preserve">+3 ppt</w:t>
            </w:r>
          </w:p>
        </w:tc>
      </w:tr>
      <w:tr>
        <w:tc>
          <w:tcPr>
            <w:vAlign w:val="center"/>
            <w:tcBorders>
              <w:top w:val="single" w:sz="4" w:space="0" w:color="auto"/>
              <w:left w:val="single" w:sz="4" w:space="0" w:color="auto"/>
              <w:bottom w:val="single" w:sz="4" w:space="0" w:color="auto"/>
              <w:right w:val="single" w:sz="4" w:space="0" w:color="auto"/>
            </w:tcBorders>
          </w:tcPr>
          <w:p w14:paraId="0010096A" w14:textId="0010098A">
            <w:pPr>
              <w:pStyle w:val="Normal"/>
              <w:jc w:val="left"/>
            </w:pPr>
            <w:r>
              <w:t xml:space="preserve">Annual recurring revenue share</w:t>
            </w:r>
          </w:p>
        </w:tc>
        <w:tc>
          <w:tcPr>
            <w:vAlign w:val="center"/>
            <w:tcBorders>
              <w:top w:val="single" w:sz="4" w:space="0" w:color="auto"/>
              <w:left w:val="single" w:sz="4" w:space="0" w:color="auto"/>
              <w:bottom w:val="single" w:sz="4" w:space="0" w:color="auto"/>
              <w:right w:val="single" w:sz="4" w:space="0" w:color="auto"/>
            </w:tcBorders>
          </w:tcPr>
          <w:p w14:paraId="0010096C" w14:textId="0010098B">
            <w:pPr>
              <w:pStyle w:val="Normal"/>
              <w:jc w:val="left"/>
            </w:pPr>
            <w:r>
              <w:t xml:space="preserve">72%</w:t>
            </w:r>
          </w:p>
        </w:tc>
        <w:tc>
          <w:tcPr>
            <w:vAlign w:val="center"/>
            <w:tcBorders>
              <w:top w:val="single" w:sz="4" w:space="0" w:color="auto"/>
              <w:left w:val="single" w:sz="4" w:space="0" w:color="auto"/>
              <w:bottom w:val="single" w:sz="4" w:space="0" w:color="auto"/>
              <w:right w:val="single" w:sz="4" w:space="0" w:color="auto"/>
            </w:tcBorders>
          </w:tcPr>
          <w:p w14:paraId="0010096E" w14:textId="0010098C">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0970" w14:textId="0010098D">
            <w:pPr>
              <w:pStyle w:val="Normal"/>
              <w:jc w:val="left"/>
            </w:pPr>
            <w:r>
              <w:t xml:space="preserve">+4 ppt</w:t>
            </w:r>
          </w:p>
        </w:tc>
      </w:tr>
    </w:tbl>
    <w:p w14:paraId="0010098E" w14:textId="0010098F">
      <w:pPr>
        <w:pStyle w:val="Normal"/>
        <w:jc w:val="left"/>
      </w:pPr>
      <w:r>
        <w:t xml:space="preserve">Table 18 Digital Services Segment performance data</w:t>
      </w:r>
    </w:p>
    <w:p w14:paraId="00100990" w14:textId="00100991">
      <w:pPr>
        <w:pStyle w:val="Normal"/>
        <w:jc w:val="left"/>
      </w:pPr>
      <w:r>
        <w:drawing>
          <wp:inline distT="0" distB="0" distL="0" distR="0">
            <wp:extent cx="4680000" cy="2520000"/>
            <wp:effectExtent l="0" t="0" r="0" b="0"/>
            <wp:docPr id="19" name="Fig-I10-02.png" descr=""/>
            <wp:cNvGraphicFramePr>
              <a:graphicFrameLocks noChangeAspect="1"/>
            </wp:cNvGraphicFramePr>
            <a:graphic>
              <a:graphicData uri="http://schemas.openxmlformats.org/drawingml/2006/picture">
                <pic:pic>
                  <pic:nvPicPr>
                    <pic:cNvPr id="19" name="Fig-I10-02.png"/>
                    <pic:cNvPicPr/>
                  </pic:nvPicPr>
                  <pic:blipFill>
                    <a:blip r:embed="R6a0d4d418dde4f64" cstate="print"/>
                    <a:stretch>
                      <a:fillRect/>
                    </a:stretch>
                  </pic:blipFill>
                  <pic:spPr>
                    <a:xfrm>
                      <a:off x="0" y="0"/>
                      <a:ext cx="4320000" cy="2880000"/>
                    </a:xfrm>
                    <a:prstGeom prst="rect">
                      <a:avLst/>
                    </a:prstGeom>
                  </pic:spPr>
                </pic:pic>
              </a:graphicData>
            </a:graphic>
          </wp:inline>
        </w:drawing>
      </w:r>
    </w:p>
    <w:p w14:paraId="00100992" w14:textId="00100993">
      <w:pPr>
        <w:pStyle w:val="Normal"/>
        <w:jc w:val="left"/>
      </w:pPr>
      <w:r>
        <w:t xml:space="preserve">Figure 22 Digital Services Segment revenue and operating margin trend, 2023–2024</w:t>
      </w:r>
    </w:p>
    <w:p w14:paraId="00100994" w14:textId="00100995">
      <w:pPr>
        <w:pStyle w:val="Heading3a"/>
        <w:jc w:val="left"/>
      </w:pPr>
      <w:r>
        <w:t xml:space="preserve">Revenue Drivers</w:t>
      </w:r>
    </w:p>
    <w:p w14:paraId="00100996" w14:textId="00100998">
      <w:pPr>
        <w:pStyle w:val="Normal"/>
        <w:jc w:val="left"/>
      </w:pPr>
      <w:r>
        <w:t xml:space="preserve">Revenue mix:</w:t>
      </w:r>
      <w:r>
        <w:t xml:space="preserve"> the Digital Services Segment continued to shift toward higher-quality recurring income during the year, with subscription contracts remaining the largest source of growth. Expansion in cloud-based monitoring, workflow automation, and managed analytics services increased annual recurring revenue and improved visibility across the installed client base. Usage-based income also grew, particularly in transaction processing and data-enrichment tools, where higher platform activity from infrastructure and industrial customers lifted volumes in the second half. Price realization was positive but measured. Management applied targeted increases on renewals, premium support tiers, and selected platform modules, balancing inflation recovery with retention objectives in a competitive software market.</w:t>
        <w:br/>
        <w:t xml:space="preserve">The interaction between these three elements was important. Subscription growth created a broader committed base, usage growth added operating leverage as platform utilization rose, and pricing supported margin quality without materially affecting churn. Product mix also improved as a greater share of sales came from integrated multi-module contracts rather than stand-alone licenses or lower-value implementation work. As a result, reported revenue growth was not driven by a single contract event but by a wider expansion of recurring customer activity across the segment’s core offerings.</w:t>
      </w:r>
    </w:p>
    <w:p w14:paraId="00100999" w14:textId="0010099A">
      <w:pPr>
        <w:pStyle w:val="Normal"/>
        <w:jc w:val="left"/>
      </w:pPr>
      <w:r>
        <w:t xml:space="preserve">Client retention remained strong, supported by service continuity, platform reliability, and deeper integration of Rivermark Group’s digital tools into customer operating processes. Renewal performance was strongest in enterprise accounts using bundled applications across planning, field execution, and reporting, where switching costs were higher and the value proposition was tied to workflow efficiency rather than isolated software features. In the mid-market base, retention was more variable, but this was partly offset by disciplined customer success programs and more selective onboarding of accounts with better lifetime value characteristics.</w:t>
      </w:r>
    </w:p>
    <w:p w14:paraId="0010099B" w14:textId="0010099C">
      <w:pPr>
        <w:pStyle w:val="Normal"/>
        <w:jc w:val="left"/>
      </w:pPr>
      <w:r>
        <w:t xml:space="preserve">Upsell contributed meaningfully to the year’s topline progression. Existing customers expanded seat counts, adopted adjacent modules, and increased managed-service scope after initial deployments demonstrated productivity or compliance benefits. Cross-sell into group relationships also supported growth, particularly where the segment sold digital layers alongside infrastructure or industrial service contracts. Client mix moved modestly toward larger multi-year accounts, improving revenue visibility and billing quality, although this also increased concentration in a limited number of strategic customers. Management therefore continued to balance large-account growth with broader base development, seeking to preserve resilience while building a more predictable recurring portfolio.</w:t>
      </w:r>
    </w:p>
    <w:p w14:paraId="0010099D" w14:textId="0010099E">
      <w:pPr>
        <w:pStyle w:val="Heading3a"/>
        <w:jc w:val="left"/>
      </w:pPr>
      <w:r>
        <w:t xml:space="preserve">Profit and Cash</w:t>
      </w:r>
    </w:p>
    <w:p w14:paraId="0010099F" w14:textId="001009A0">
      <w:pPr>
        <w:pStyle w:val="Normal"/>
        <w:jc w:val="left"/>
      </w:pPr>
      <w:r>
        <w:t xml:space="preserve">Profitability improved over the year as revenue growth outpaced the increase in the segment’s cost base. The main bridge items were recurring revenue expansion, a favorable product mix, and better utilization of development and delivery teams. Higher subscription scale allowed a greater proportion of platform hosting, support, and central engineering costs to be absorbed across a wider base of contracted revenue. In parallel, implementation work was delivered with tighter project governance, reducing rework and improving the margin profile of professional services compared with the prior year.</w:t>
      </w:r>
    </w:p>
    <w:p w14:paraId="001009A1" w14:textId="001009A2">
      <w:pPr>
        <w:pStyle w:val="Normal"/>
        <w:jc w:val="left"/>
      </w:pPr>
      <w:r>
        <w:t xml:space="preserve">Cost effects were mixed but manageable. Personnel expense increased as the segment continued to invest in software engineering, cybersecurity, and customer success capabilities, while third-party cloud and data service costs also rose with usage volumes. These pressures were partly offset by procurement actions on hosting contracts, tighter control of contractor spend, and the ongoing automation of service and support tasks. Sales and marketing spending remained selective, with more resources directed to higher-conversion account-based programs. Taken together, these measures widened adjusted EBITDA margin and translated into a stronger operating profit outcome, demonstrating that the segment’s platform model is gaining scale efficiency as recurring revenue deepens.</w:t>
      </w:r>
    </w:p>
    <w:p w14:paraId="001009A3" w14:textId="001009A6">
      <w:pPr>
        <w:pStyle w:val="Normal"/>
        <w:jc w:val="left"/>
      </w:pPr>
      <w:r>
        <w:t xml:space="preserve">Cash generation remained robust and continued to compare favorably with accounting profit. The segment benefited from the inherently cash-generative characteristics of subscription billing, including advance invoicing on annual contracts and disciplined collections on enterprise accounts. Deferred income growth provided support to operating cash flow, while lower implementation backlog at year end limited the accumulation of unbilled receivables. Working capital performance was also aided by stronger billing governance, better milestone acceptance on project work, and closer management of overdue balances in a small number of public-sector and large corporate accounts.</w:t>
      </w:r>
      <w:r>
        <w:t xml:space="preserve">1</w:t>
      </w:r>
      <w:r>
        <w:br/>
        <w:t xml:space="preserve">Cash conversion was additionally supported by a measured capital expenditure profile. Investment remained focused on software enhancement, platform resilience, and security architecture, but expenditure was prioritized toward modules with clear commercialization pathways and near-term customer adoption. Management also moderated discretionary spending in the final quarter to preserve liquidity and maintain flexibility for the next investment cycle. Although working capital can fluctuate with renewal timing and project phasing, the segment exited the year with healthy receivable quality, limited inventory exposure, and a funding profile consistent with continued organic expansion.</w:t>
      </w:r>
    </w:p>
    <w:p w14:paraId="001009A7" w14:textId="001009A8">
      <w:pPr>
        <w:pStyle w:val="Heading2a"/>
        <w:jc w:val="left"/>
      </w:pPr>
      <w:r>
        <w:t xml:space="preserve">Outlook and Actions</w:t>
      </w:r>
    </w:p>
    <w:p w14:paraId="001009A9" w14:textId="001009AA">
      <w:pPr>
        <w:pStyle w:val="Normal"/>
        <w:jc w:val="left"/>
      </w:pPr>
      <w:r>
        <w:t xml:space="preserve">The near-term outlook for the Digital Services Segment remains constructive, though not without execution and market risks. Demand fundamentals continue to be supported by customers seeking automation, data visibility, compliance support, and lower operating friction. At the same time, buying decisions in some enterprise accounts remain subject to budget scrutiny, phased approvals, and longer procurement cycles, particularly for larger transformation programs. Management therefore expects growth to continue to be led by recurring contracts, module expansion within existing customers, and selective new-logo wins rather than a broad surge in discretionary technology spending.</w:t>
      </w:r>
    </w:p>
    <w:p w14:paraId="001009AB" w14:textId="001009AC">
      <w:pPr>
        <w:pStyle w:val="Normal"/>
        <w:jc w:val="left"/>
      </w:pPr>
      <w:r>
        <w:t xml:space="preserve">The action plan for the coming year is designed to balance growth with control. Commercially, the segment will prioritize retention, pricing discipline on renewals, and deeper cross-sell into group customer relationships. Operationally, the focus will remain on product standardization, service automation, cybersecurity resilience, and more consistent delivery economics across implementation work. Management is also maintaining a clear risk frame around customer concentration, cloud cost inflation, data-security expectations, and the pace of adoption for newly launched products. In this context, the segment’s objective is not only to grow revenue, but to do so with improving quality of earnings, sustained cash conversion, and stronger platform scalability.</w:t>
      </w:r>
    </w:p>
    <w:p w14:paraId="001009AD" w14:textId="001009AE">
      <w:pPr>
        <w:pStyle w:val="Heading3a"/>
        <w:jc w:val="left"/>
      </w:pPr>
      <w:r>
        <w:t xml:space="preserve">Market Outlook</w:t>
      </w:r>
    </w:p>
    <w:p w14:paraId="001009AF" w14:textId="001009B0">
      <w:pPr>
        <w:pStyle w:val="Normal"/>
        <w:jc w:val="left"/>
      </w:pPr>
      <w:r>
        <w:t xml:space="preserve">Demand visibility in Digital Services remains more favorable than in the Group’s asset-intensive activities, although buying patterns are still differentiated by client type and region. Enterprise software subscriptions and managed platform services entered the new year with solid contracted recurring revenue, providing a clearer base level of demand in public-sector, infrastructure and regulated-industry accounts. These customers continue to prioritize resilience, cybersecurity, workflow digitization and data integration, and their renewal behavior has remained stable. In contrast, project-led discretionary spending by mid-sized commercial customers is recovering more gradually, with procurement cycles still elongated and approval thresholds remaining tight for larger transformation programs.</w:t>
      </w:r>
    </w:p>
    <w:p w14:paraId="001009B1" w14:textId="001009B2">
      <w:pPr>
        <w:pStyle w:val="Normal"/>
        <w:jc w:val="left"/>
      </w:pPr>
      <w:r>
        <w:t xml:space="preserve">From a market perspective, Rivermark Group sees the strongest near-term visibility in compliance-oriented solutions, cloud migration support, industrial data services and field-service enablement tools linked to the Infrastructure and Industrial segments. Consumer-facing digital applications are showing a more selective pattern, with demand concentrated in analytics, customer engagement and service automation rather than broad platform replacement. Order intake in the second half improved sequentially, backlog quality strengthened, and churn remained within management’s target range. Overall, the segment enters the next year with a balanced demand profile: dependable recurring revenue at the core, a healthier pipeline in higher-value solution areas, and continued caution in one-off discretionary technology projects.</w:t>
      </w:r>
    </w:p>
    <w:p w14:paraId="001009B3" w14:textId="001009B4">
      <w:pPr>
        <w:pStyle w:val="Normal"/>
        <w:jc w:val="left"/>
      </w:pPr>
      <w:r>
        <w:t xml:space="preserve">The opportunity pipeline for Digital Services is anchored in three areas: expansion within the existing client base, cross-segment solutions that combine software with physical operations, and higher-value advisory and managed-service offerings. Rivermark Group is seeing increased interest in bundled contracts where platform licenses, implementation support, analytics and ongoing monitoring are sold as a single service proposition. This is particularly relevant for customers seeking measurable outcomes such as lower downtime, faster asset turnaround, better compliance reporting and improved customer retention. The segment also has room to deepen wallet share through upselling premium modules, increasing user penetration and converting bespoke support work into recurring managed-service agreements.</w:t>
      </w:r>
    </w:p>
    <w:p w14:paraId="001009B5" w14:textId="001009B6">
      <w:pPr>
        <w:pStyle w:val="Normal"/>
        <w:jc w:val="left"/>
      </w:pPr>
      <w:r>
        <w:t xml:space="preserve">The principal risks are less about structural demand and more about execution and market timing. Sales conversion can be affected by long client approval cycles, especially where projects require data migration or systems integration across multiple vendors. Competitive pricing remains intense in selected software categories, creating pressure on new-contract margins if value differentiation is not clearly demonstrated. Delivery risk also persists in the form of specialist talent availability, cyber threats, service-level failures and implementation delays that could defer revenue recognition or affect renewals. In addition, a weaker macroeconomic backdrop could cause customers to phase deployments over longer periods. Management therefore views the year ahead as opportunity-rich, but dependent on disciplined bid selection, delivery consistency and continued product relevance.</w:t>
      </w:r>
    </w:p>
    <w:p w14:paraId="001009B7" w14:textId="001009B8">
      <w:pPr>
        <w:pStyle w:val="Heading3a"/>
        <w:jc w:val="left"/>
      </w:pPr>
      <w:r>
        <w:t xml:space="preserve">Management Priorities</w:t>
      </w:r>
    </w:p>
    <w:p w14:paraId="001009B9" w14:textId="001009BA">
      <w:pPr>
        <w:pStyle w:val="Normal"/>
        <w:jc w:val="left"/>
      </w:pPr>
      <w:r>
        <w:t xml:space="preserve">For the coming year, management’s focus is to convert the segment’s improved commercial position into more consistent growth, better profitability and stronger cash generation. Execution will begin with tighter go-to-market coordination across Digital Services and the Group’s other operating segments so that customer proposals are built around operational outcomes rather than stand-alone software features. This should improve win rates in targeted accounts and increase the share of recurring multi-service contracts. At the same time, the segment will continue simplifying its product architecture, reducing customization where standard modules can meet client needs, and accelerating implementation methods that shorten time to value.</w:t>
      </w:r>
    </w:p>
    <w:p w14:paraId="001009BB" w14:textId="001009BC">
      <w:pPr>
        <w:pStyle w:val="Normal"/>
        <w:jc w:val="left"/>
      </w:pPr>
      <w:r>
        <w:t xml:space="preserve">Operationally, priorities include raising delivery discipline, improving resource utilization and protecting service quality as the installed base expands. Management intends to concentrate investment on cybersecurity, platform reliability, automation of routine support tasks and selected product enhancements with clear commercial payback. Pricing governance will also be strengthened to reflect usage intensity, service complexity and inflation in specialist labor. These actions are expected to support margin progression without undermining competitiveness. Taken together, the next-year plan is designed to make Digital Services more scalable: more recurring in revenue mix, more standardized in delivery, and more selective in the opportunities it pursues.</w:t>
      </w:r>
    </w:p>
    <w:p w14:paraId="001009BD" w14:textId="001009BE">
      <w:pPr>
        <w:pStyle w:val="Normal"/>
        <w:jc w:val="left"/>
      </w:pPr>
      <w:r>
        <w:t xml:space="preserve">Sharpen account segmentation and target the highest-probability opportunities in public-sector, infrastructure, industrial data and regulated-industry customers.</w:t>
      </w:r>
    </w:p>
    <w:p w14:paraId="001009BF" w14:textId="001009C0">
      <w:pPr>
        <w:pStyle w:val="Normal"/>
        <w:jc w:val="left"/>
      </w:pPr>
      <w:r>
        <w:t xml:space="preserve">Increase cross-selling with the Infrastructure, Industrial and Consumer segments by launching joint commercial plans for priority accounts and solution bundles.</w:t>
      </w:r>
    </w:p>
    <w:p w14:paraId="001009C1" w14:textId="001009C2">
      <w:pPr>
        <w:pStyle w:val="Normal"/>
        <w:jc w:val="left"/>
      </w:pPr>
      <w:r>
        <w:t xml:space="preserve">Reduce implementation cycle time through standardized deployment templates, tighter project governance and clearer acceptance milestones.</w:t>
      </w:r>
    </w:p>
    <w:p w14:paraId="001009C3" w14:textId="001009C4">
      <w:pPr>
        <w:pStyle w:val="Normal"/>
        <w:jc w:val="left"/>
      </w:pPr>
      <w:r>
        <w:t xml:space="preserve">Expand recurring revenue by converting support-heavy customer relationships into subscription, managed-service or outcome-based contracts where appropriate.</w:t>
      </w:r>
    </w:p>
    <w:p w14:paraId="001009C5" w14:textId="001009C6">
      <w:pPr>
        <w:pStyle w:val="Normal"/>
        <w:jc w:val="left"/>
      </w:pPr>
      <w:r>
        <w:t xml:space="preserve">Invest in cybersecurity, platform resilience and service monitoring to protect renewal rates and support larger enterprise bids.</w:t>
      </w:r>
    </w:p>
    <w:p w14:paraId="001009C7" w14:textId="001009C8">
      <w:pPr>
        <w:pStyle w:val="Normal"/>
        <w:jc w:val="left"/>
      </w:pPr>
      <w:r>
        <w:t xml:space="preserve">Apply disciplined pricing and bid review standards to preserve margin quality, with clear thresholds for customization, discounting and partner dependency.</w:t>
      </w:r>
    </w:p>
    <w:p w14:paraId="001009C9" w14:textId="001009CA">
      <w:pPr>
        <w:pStyle w:val="Normal"/>
        <w:jc w:val="left"/>
      </w:pPr>
      <w:r>
        <w:t xml:space="preserve">Improve talent retention in product, engineering and customer success teams through targeted capability building and workforce planning.</w:t>
      </w:r>
    </w:p>
    <w:p w14:paraId="001009CB" w14:textId="001009CC">
      <w:pPr>
        <w:pStyle w:val="Normal"/>
        <w:jc w:val="left"/>
      </w:pPr>
      <w:r>
        <w:t xml:space="preserve">Track next-year milestones through monthly measures covering annual recurring revenue growth, churn, utilization, implementation lead time, service-level performance and cash conversion.</w:t>
      </w:r>
    </w:p>
    <w:p w14:paraId="00101679" w14:textId="0010167A">
      <w:pPr>
        <w:pStyle w:val="Normal"/>
        <w:jc w:val="left"/>
        <w:sectPr>
          <w:type w:val="nextPage"/>
          <w:pgSz w:w="11906" w:h="16838"/>
          <w:pgMar w:top="1440" w:right="1440" w:bottom="1440" w:left="1440" w:header="1440" w:footer="1440" w:gutter="0"/>
          <w:cols w:space="720" w:num="1"/>
        </w:sectPr>
      </w:pPr>
    </w:p>
    <w:p w14:paraId="001009D1" w14:textId="001009D2">
      <w:pPr>
        <w:pStyle w:val="Heading1a"/>
        <w:jc w:val="left"/>
      </w:pPr>
      <w:r>
        <w:t xml:space="preserve">Governance</w:t>
      </w:r>
    </w:p>
    <w:p w14:paraId="001009D3" w14:textId="001009D5">
      <w:pPr>
        <w:pStyle w:val="Normal"/>
        <w:jc w:val="left"/>
      </w:pPr>
      <w:r>
        <w:t xml:space="preserve">Governance framework:</w:t>
      </w:r>
      <w:r>
        <w:t xml:space="preserve"> Rivermark Group maintains a governance model designed to support accountable decision-making, disciplined risk oversight, and transparent reporting across the Group’s diversified operations. The Board provides overall strategic supervision, approves the annual plan and major capital commitments, and monitors management performance against financial, operational, and sustainability objectives. Day-to-day execution is delegated to the Executive Team within clearly defined authorities, while committee structures support deeper review of audit, risk, remuneration, and nomination matters.</w:t>
        <w:br/>
        <w:t xml:space="preserve">During the year, governance attention remained focused on capital allocation, operational resilience, cyber preparedness, safety performance, and succession planning. The framework is intended to balance entrepreneurial responsiveness within each segment with common standards for ethics, internal control, and compliance at Group level. Reporting lines, approval thresholds, and periodic performance reviews were maintained to ensure that emerging issues could be escalated in a timely manner and that material decisions received appropriate challenge before implementation. This chapter summarizes the composition of the Board and leadership team, the mandate and activity of Board committees, and the principal governance practices that underpin oversight across Rivermark Group.</w:t>
      </w:r>
    </w:p>
    <w:p w14:paraId="001009D6" w14:textId="001009D7">
      <w:pPr>
        <w:pStyle w:val="Heading2a"/>
        <w:jc w:val="left"/>
      </w:pPr>
      <w:r>
        <w:t xml:space="preserve">Board and Leadership</w:t>
      </w:r>
    </w:p>
    <w:p w14:paraId="001009D8" w14:textId="001009D9">
      <w:pPr>
        <w:pStyle w:val="Normal"/>
        <w:jc w:val="left"/>
      </w:pPr>
      <w:r>
        <w:t xml:space="preserve">The Board is responsible for overseeing Rivermark Group’s long-term direction and safeguarding the interests of shareholders and other stakeholders. Its structure is intended to combine continuity in strategic judgment with sufficient independence, sector experience, financial literacy, and operational insight to challenge management effectively. Board discussion during the year covered portfolio priorities, segment performance, major investments, funding capacity, risk appetite, and leadership development, with scheduled reviews supplemented by ad hoc sessions on market developments and major project decisions.</w:t>
      </w:r>
    </w:p>
    <w:p w14:paraId="001009DA" w14:textId="001009DB">
      <w:pPr>
        <w:pStyle w:val="Normal"/>
        <w:jc w:val="left"/>
      </w:pPr>
      <w:r>
        <w:t xml:space="preserve">The Chair leads the Board’s agenda, supports effective information flow, and promotes constructive evaluation of strategic alternatives. Executive leadership is headed by the Group Chief Executive Officer, who is accountable for performance delivery, resource deployment, and execution of the approved strategy across Infrastructure, Industrial, Consumer, and Digital Services. Functional leaders in finance, operations, people, technology, and legal matters support segment management through common policies and controls while preserving operating accountability within each business line. This structure allows the Group to align local responsiveness with enterprise-wide governance discipline, helping ensure that business decisions are assessed not only for growth potential but also for risk, capital efficiency, and organizational capability.</w:t>
      </w:r>
    </w:p>
    <w:p w14:paraId="001009DC" w14:textId="001009DD">
      <w:pPr>
        <w:pStyle w:val="Normal"/>
        <w:jc w:val="left"/>
      </w:pPr>
      <w:r>
        <w:drawing>
          <wp:inline distT="0" distB="0" distL="0" distR="0">
            <wp:extent cx="3240000" cy="3240000"/>
            <wp:effectExtent l="0" t="0" r="0" b="0"/>
            <wp:docPr id="20" name="Fig-I11-01.png" descr=""/>
            <wp:cNvGraphicFramePr>
              <a:graphicFrameLocks noChangeAspect="1"/>
            </wp:cNvGraphicFramePr>
            <a:graphic>
              <a:graphicData uri="http://schemas.openxmlformats.org/drawingml/2006/picture">
                <pic:pic>
                  <pic:nvPicPr>
                    <pic:cNvPr id="20" name="Fig-I11-01.png"/>
                    <pic:cNvPicPr/>
                  </pic:nvPicPr>
                  <pic:blipFill>
                    <a:blip r:embed="Rf0f940dbf54147cf" cstate="print"/>
                    <a:stretch>
                      <a:fillRect/>
                    </a:stretch>
                  </pic:blipFill>
                  <pic:spPr>
                    <a:xfrm>
                      <a:off x="0" y="0"/>
                      <a:ext cx="2880000" cy="3600000"/>
                    </a:xfrm>
                    <a:prstGeom prst="rect">
                      <a:avLst/>
                    </a:prstGeom>
                  </pic:spPr>
                </pic:pic>
              </a:graphicData>
            </a:graphic>
          </wp:inline>
        </w:drawing>
      </w:r>
    </w:p>
    <w:p w14:paraId="001009DE" w14:textId="001009DF">
      <w:pPr>
        <w:pStyle w:val="Normal"/>
        <w:jc w:val="left"/>
      </w:pPr>
      <w:r>
        <w:t xml:space="preserve">Figure 11.1 Board and senior leadership portraits</w:t>
      </w:r>
    </w:p>
    <w:p w14:paraId="001009E0" w14:textId="001009E1">
      <w:pPr>
        <w:pStyle w:val="Heading3a"/>
        <w:jc w:val="left"/>
      </w:pPr>
      <w:r>
        <w:t xml:space="preserve">Board Composition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9E2" w14:textId="00100A28">
            <w:pPr>
              <w:pStyle w:val="Normal"/>
              <w:jc w:val="left"/>
            </w:pPr>
            <w:r>
              <w:t xml:space="preserve">Name</w:t>
            </w:r>
          </w:p>
        </w:tc>
        <w:tc>
          <w:tcPr>
            <w:vAlign w:val="center"/>
            <w:tcBorders>
              <w:top w:val="single" w:sz="4" w:space="0" w:color="auto"/>
              <w:left w:val="single" w:sz="4" w:space="0" w:color="auto"/>
              <w:bottom w:val="single" w:sz="4" w:space="0" w:color="auto"/>
              <w:right w:val="single" w:sz="4" w:space="0" w:color="auto"/>
            </w:tcBorders>
          </w:tcPr>
          <w:p w14:paraId="001009E4" w14:textId="00100A29">
            <w:pPr>
              <w:pStyle w:val="Normal"/>
              <w:jc w:val="left"/>
            </w:pPr>
            <w:r>
              <w:t xml:space="preserve">Role</w:t>
            </w:r>
          </w:p>
        </w:tc>
        <w:tc>
          <w:tcPr>
            <w:vAlign w:val="center"/>
            <w:tcBorders>
              <w:top w:val="single" w:sz="4" w:space="0" w:color="auto"/>
              <w:left w:val="single" w:sz="4" w:space="0" w:color="auto"/>
              <w:bottom w:val="single" w:sz="4" w:space="0" w:color="auto"/>
              <w:right w:val="single" w:sz="4" w:space="0" w:color="auto"/>
            </w:tcBorders>
          </w:tcPr>
          <w:p w14:paraId="001009E6" w14:textId="00100A2A">
            <w:pPr>
              <w:pStyle w:val="Normal"/>
              <w:jc w:val="left"/>
            </w:pPr>
            <w:r>
              <w:t xml:space="preserve">First appointed</w:t>
            </w:r>
          </w:p>
        </w:tc>
        <w:tc>
          <w:tcPr>
            <w:vAlign w:val="center"/>
            <w:tcBorders>
              <w:top w:val="single" w:sz="4" w:space="0" w:color="auto"/>
              <w:left w:val="single" w:sz="4" w:space="0" w:color="auto"/>
              <w:bottom w:val="single" w:sz="4" w:space="0" w:color="auto"/>
              <w:right w:val="single" w:sz="4" w:space="0" w:color="auto"/>
            </w:tcBorders>
          </w:tcPr>
          <w:p w14:paraId="001009E8" w14:textId="00100A2B">
            <w:pPr>
              <w:pStyle w:val="Normal"/>
              <w:jc w:val="left"/>
            </w:pPr>
            <w:r>
              <w:t xml:space="preserve">Tenure at year-end</w:t>
            </w:r>
          </w:p>
        </w:tc>
        <w:tc>
          <w:tcPr>
            <w:vAlign w:val="center"/>
            <w:tcBorders>
              <w:top w:val="single" w:sz="4" w:space="0" w:color="auto"/>
              <w:left w:val="single" w:sz="4" w:space="0" w:color="auto"/>
              <w:bottom w:val="single" w:sz="4" w:space="0" w:color="auto"/>
              <w:right w:val="single" w:sz="4" w:space="0" w:color="auto"/>
            </w:tcBorders>
          </w:tcPr>
          <w:p w14:paraId="001009EA" w14:textId="00100A2C">
            <w:pPr>
              <w:pStyle w:val="Normal"/>
              <w:jc w:val="left"/>
            </w:pPr>
            <w:r>
              <w:t xml:space="preserve">Independence</w:t>
            </w:r>
          </w:p>
        </w:tc>
      </w:tr>
      <w:tr>
        <w:tc>
          <w:tcPr>
            <w:vAlign w:val="center"/>
            <w:tcBorders>
              <w:top w:val="single" w:sz="4" w:space="0" w:color="auto"/>
              <w:left w:val="single" w:sz="4" w:space="0" w:color="auto"/>
              <w:bottom w:val="single" w:sz="4" w:space="0" w:color="auto"/>
              <w:right w:val="single" w:sz="4" w:space="0" w:color="auto"/>
            </w:tcBorders>
          </w:tcPr>
          <w:p w14:paraId="001009EC" w14:textId="00100A2D">
            <w:pPr>
              <w:pStyle w:val="Normal"/>
              <w:jc w:val="left"/>
            </w:pPr>
            <w:r>
              <w:t xml:space="preserve">Adrian Vale</w:t>
            </w:r>
          </w:p>
        </w:tc>
        <w:tc>
          <w:tcPr>
            <w:vAlign w:val="center"/>
            <w:tcBorders>
              <w:top w:val="single" w:sz="4" w:space="0" w:color="auto"/>
              <w:left w:val="single" w:sz="4" w:space="0" w:color="auto"/>
              <w:bottom w:val="single" w:sz="4" w:space="0" w:color="auto"/>
              <w:right w:val="single" w:sz="4" w:space="0" w:color="auto"/>
            </w:tcBorders>
          </w:tcPr>
          <w:p w14:paraId="001009EE" w14:textId="00100A2E">
            <w:pPr>
              <w:pStyle w:val="Normal"/>
              <w:jc w:val="left"/>
            </w:pPr>
            <w:r>
              <w:t xml:space="preserve">Chair</w:t>
            </w:r>
          </w:p>
        </w:tc>
        <w:tc>
          <w:tcPr>
            <w:vAlign w:val="center"/>
            <w:tcBorders>
              <w:top w:val="single" w:sz="4" w:space="0" w:color="auto"/>
              <w:left w:val="single" w:sz="4" w:space="0" w:color="auto"/>
              <w:bottom w:val="single" w:sz="4" w:space="0" w:color="auto"/>
              <w:right w:val="single" w:sz="4" w:space="0" w:color="auto"/>
            </w:tcBorders>
          </w:tcPr>
          <w:p w14:paraId="001009F0" w14:textId="00100A2F">
            <w:pPr>
              <w:pStyle w:val="Normal"/>
              <w:jc w:val="left"/>
            </w:pPr>
            <w:r>
              <w:t xml:space="preserve">2018</w:t>
            </w:r>
          </w:p>
        </w:tc>
        <w:tc>
          <w:tcPr>
            <w:vAlign w:val="center"/>
            <w:tcBorders>
              <w:top w:val="single" w:sz="4" w:space="0" w:color="auto"/>
              <w:left w:val="single" w:sz="4" w:space="0" w:color="auto"/>
              <w:bottom w:val="single" w:sz="4" w:space="0" w:color="auto"/>
              <w:right w:val="single" w:sz="4" w:space="0" w:color="auto"/>
            </w:tcBorders>
          </w:tcPr>
          <w:p w14:paraId="001009F2" w14:textId="00100A30">
            <w:pPr>
              <w:pStyle w:val="Normal"/>
              <w:jc w:val="left"/>
            </w:pPr>
            <w:r>
              <w:t xml:space="preserve">6 years</w:t>
            </w:r>
          </w:p>
        </w:tc>
        <w:tc>
          <w:tcPr>
            <w:vAlign w:val="center"/>
            <w:tcBorders>
              <w:top w:val="single" w:sz="4" w:space="0" w:color="auto"/>
              <w:left w:val="single" w:sz="4" w:space="0" w:color="auto"/>
              <w:bottom w:val="single" w:sz="4" w:space="0" w:color="auto"/>
              <w:right w:val="single" w:sz="4" w:space="0" w:color="auto"/>
            </w:tcBorders>
          </w:tcPr>
          <w:p w14:paraId="001009F4" w14:textId="00100A31">
            <w:pPr>
              <w:pStyle w:val="Normal"/>
              <w:jc w:val="left"/>
            </w:pPr>
            <w:r>
              <w:t xml:space="preserve">Independent</w:t>
            </w:r>
          </w:p>
        </w:tc>
      </w:tr>
      <w:tr>
        <w:tc>
          <w:tcPr>
            <w:vAlign w:val="center"/>
            <w:tcBorders>
              <w:top w:val="single" w:sz="4" w:space="0" w:color="auto"/>
              <w:left w:val="single" w:sz="4" w:space="0" w:color="auto"/>
              <w:bottom w:val="single" w:sz="4" w:space="0" w:color="auto"/>
              <w:right w:val="single" w:sz="4" w:space="0" w:color="auto"/>
            </w:tcBorders>
          </w:tcPr>
          <w:p w14:paraId="001009F6" w14:textId="00100A32">
            <w:pPr>
              <w:pStyle w:val="Normal"/>
              <w:jc w:val="left"/>
            </w:pPr>
            <w:r>
              <w:t xml:space="preserve">Marina Quill</w:t>
            </w:r>
          </w:p>
        </w:tc>
        <w:tc>
          <w:tcPr>
            <w:vAlign w:val="center"/>
            <w:tcBorders>
              <w:top w:val="single" w:sz="4" w:space="0" w:color="auto"/>
              <w:left w:val="single" w:sz="4" w:space="0" w:color="auto"/>
              <w:bottom w:val="single" w:sz="4" w:space="0" w:color="auto"/>
              <w:right w:val="single" w:sz="4" w:space="0" w:color="auto"/>
            </w:tcBorders>
          </w:tcPr>
          <w:p w14:paraId="001009F8" w14:textId="00100A33">
            <w:pPr>
              <w:pStyle w:val="Normal"/>
              <w:jc w:val="left"/>
            </w:pPr>
            <w:r>
              <w:t xml:space="preserve">Chief Executive Officer, Director</w:t>
            </w:r>
          </w:p>
        </w:tc>
        <w:tc>
          <w:tcPr>
            <w:vAlign w:val="center"/>
            <w:tcBorders>
              <w:top w:val="single" w:sz="4" w:space="0" w:color="auto"/>
              <w:left w:val="single" w:sz="4" w:space="0" w:color="auto"/>
              <w:bottom w:val="single" w:sz="4" w:space="0" w:color="auto"/>
              <w:right w:val="single" w:sz="4" w:space="0" w:color="auto"/>
            </w:tcBorders>
          </w:tcPr>
          <w:p w14:paraId="001009FA" w14:textId="00100A34">
            <w:pPr>
              <w:pStyle w:val="Normal"/>
              <w:jc w:val="left"/>
            </w:pPr>
            <w:r>
              <w:t xml:space="preserve">2021</w:t>
            </w:r>
          </w:p>
        </w:tc>
        <w:tc>
          <w:tcPr>
            <w:vAlign w:val="center"/>
            <w:tcBorders>
              <w:top w:val="single" w:sz="4" w:space="0" w:color="auto"/>
              <w:left w:val="single" w:sz="4" w:space="0" w:color="auto"/>
              <w:bottom w:val="single" w:sz="4" w:space="0" w:color="auto"/>
              <w:right w:val="single" w:sz="4" w:space="0" w:color="auto"/>
            </w:tcBorders>
          </w:tcPr>
          <w:p w14:paraId="001009FC" w14:textId="00100A35">
            <w:pPr>
              <w:pStyle w:val="Normal"/>
              <w:jc w:val="left"/>
            </w:pPr>
            <w:r>
              <w:t xml:space="preserve">3 years</w:t>
            </w:r>
          </w:p>
        </w:tc>
        <w:tc>
          <w:tcPr>
            <w:vAlign w:val="center"/>
            <w:tcBorders>
              <w:top w:val="single" w:sz="4" w:space="0" w:color="auto"/>
              <w:left w:val="single" w:sz="4" w:space="0" w:color="auto"/>
              <w:bottom w:val="single" w:sz="4" w:space="0" w:color="auto"/>
              <w:right w:val="single" w:sz="4" w:space="0" w:color="auto"/>
            </w:tcBorders>
          </w:tcPr>
          <w:p w14:paraId="001009FE" w14:textId="00100A36">
            <w:pPr>
              <w:pStyle w:val="Normal"/>
              <w:jc w:val="left"/>
            </w:pPr>
            <w:r>
              <w:t xml:space="preserve">Non-independent</w:t>
            </w:r>
          </w:p>
        </w:tc>
      </w:tr>
      <w:tr>
        <w:tc>
          <w:tcPr>
            <w:vAlign w:val="center"/>
            <w:tcBorders>
              <w:top w:val="single" w:sz="4" w:space="0" w:color="auto"/>
              <w:left w:val="single" w:sz="4" w:space="0" w:color="auto"/>
              <w:bottom w:val="single" w:sz="4" w:space="0" w:color="auto"/>
              <w:right w:val="single" w:sz="4" w:space="0" w:color="auto"/>
            </w:tcBorders>
          </w:tcPr>
          <w:p w14:paraId="00100A00" w14:textId="00100A37">
            <w:pPr>
              <w:pStyle w:val="Normal"/>
              <w:jc w:val="left"/>
            </w:pPr>
            <w:r>
              <w:t xml:space="preserve">Darius Holt</w:t>
            </w:r>
          </w:p>
        </w:tc>
        <w:tc>
          <w:tcPr>
            <w:vAlign w:val="center"/>
            <w:tcBorders>
              <w:top w:val="single" w:sz="4" w:space="0" w:color="auto"/>
              <w:left w:val="single" w:sz="4" w:space="0" w:color="auto"/>
              <w:bottom w:val="single" w:sz="4" w:space="0" w:color="auto"/>
              <w:right w:val="single" w:sz="4" w:space="0" w:color="auto"/>
            </w:tcBorders>
          </w:tcPr>
          <w:p w14:paraId="00100A02" w14:textId="00100A38">
            <w:pPr>
              <w:pStyle w:val="Normal"/>
              <w:jc w:val="left"/>
            </w:pPr>
            <w:r>
              <w:t xml:space="preserve">Senior Independent Director</w:t>
            </w:r>
          </w:p>
        </w:tc>
        <w:tc>
          <w:tcPr>
            <w:vAlign w:val="center"/>
            <w:tcBorders>
              <w:top w:val="single" w:sz="4" w:space="0" w:color="auto"/>
              <w:left w:val="single" w:sz="4" w:space="0" w:color="auto"/>
              <w:bottom w:val="single" w:sz="4" w:space="0" w:color="auto"/>
              <w:right w:val="single" w:sz="4" w:space="0" w:color="auto"/>
            </w:tcBorders>
          </w:tcPr>
          <w:p w14:paraId="00100A04" w14:textId="00100A39">
            <w:pPr>
              <w:pStyle w:val="Normal"/>
              <w:jc w:val="left"/>
            </w:pPr>
            <w:r>
              <w:t xml:space="preserve">2019</w:t>
            </w:r>
          </w:p>
        </w:tc>
        <w:tc>
          <w:tcPr>
            <w:vAlign w:val="center"/>
            <w:tcBorders>
              <w:top w:val="single" w:sz="4" w:space="0" w:color="auto"/>
              <w:left w:val="single" w:sz="4" w:space="0" w:color="auto"/>
              <w:bottom w:val="single" w:sz="4" w:space="0" w:color="auto"/>
              <w:right w:val="single" w:sz="4" w:space="0" w:color="auto"/>
            </w:tcBorders>
          </w:tcPr>
          <w:p w14:paraId="00100A06" w14:textId="00100A3A">
            <w:pPr>
              <w:pStyle w:val="Normal"/>
              <w:jc w:val="left"/>
            </w:pPr>
            <w:r>
              <w:t xml:space="preserve">5 years</w:t>
            </w:r>
          </w:p>
        </w:tc>
        <w:tc>
          <w:tcPr>
            <w:vAlign w:val="center"/>
            <w:tcBorders>
              <w:top w:val="single" w:sz="4" w:space="0" w:color="auto"/>
              <w:left w:val="single" w:sz="4" w:space="0" w:color="auto"/>
              <w:bottom w:val="single" w:sz="4" w:space="0" w:color="auto"/>
              <w:right w:val="single" w:sz="4" w:space="0" w:color="auto"/>
            </w:tcBorders>
          </w:tcPr>
          <w:p w14:paraId="00100A08" w14:textId="00100A3B">
            <w:pPr>
              <w:pStyle w:val="Normal"/>
              <w:jc w:val="left"/>
            </w:pPr>
            <w:r>
              <w:t xml:space="preserve">Independent</w:t>
            </w:r>
          </w:p>
        </w:tc>
      </w:tr>
      <w:tr>
        <w:tc>
          <w:tcPr>
            <w:vAlign w:val="center"/>
            <w:tcBorders>
              <w:top w:val="single" w:sz="4" w:space="0" w:color="auto"/>
              <w:left w:val="single" w:sz="4" w:space="0" w:color="auto"/>
              <w:bottom w:val="single" w:sz="4" w:space="0" w:color="auto"/>
              <w:right w:val="single" w:sz="4" w:space="0" w:color="auto"/>
            </w:tcBorders>
          </w:tcPr>
          <w:p w14:paraId="00100A0A" w14:textId="00100A3C">
            <w:pPr>
              <w:pStyle w:val="Normal"/>
              <w:jc w:val="left"/>
            </w:pPr>
            <w:r>
              <w:t xml:space="preserve">Leona Pierce</w:t>
            </w:r>
          </w:p>
        </w:tc>
        <w:tc>
          <w:tcPr>
            <w:vAlign w:val="center"/>
            <w:tcBorders>
              <w:top w:val="single" w:sz="4" w:space="0" w:color="auto"/>
              <w:left w:val="single" w:sz="4" w:space="0" w:color="auto"/>
              <w:bottom w:val="single" w:sz="4" w:space="0" w:color="auto"/>
              <w:right w:val="single" w:sz="4" w:space="0" w:color="auto"/>
            </w:tcBorders>
          </w:tcPr>
          <w:p w14:paraId="00100A0C" w14:textId="00100A3D">
            <w:pPr>
              <w:pStyle w:val="Normal"/>
              <w:jc w:val="left"/>
            </w:pPr>
            <w:r>
              <w:t xml:space="preserve">Non-Executive Director</w:t>
            </w:r>
          </w:p>
        </w:tc>
        <w:tc>
          <w:tcPr>
            <w:vAlign w:val="center"/>
            <w:tcBorders>
              <w:top w:val="single" w:sz="4" w:space="0" w:color="auto"/>
              <w:left w:val="single" w:sz="4" w:space="0" w:color="auto"/>
              <w:bottom w:val="single" w:sz="4" w:space="0" w:color="auto"/>
              <w:right w:val="single" w:sz="4" w:space="0" w:color="auto"/>
            </w:tcBorders>
          </w:tcPr>
          <w:p w14:paraId="00100A0E" w14:textId="00100A3E">
            <w:pPr>
              <w:pStyle w:val="Normal"/>
              <w:jc w:val="left"/>
            </w:pPr>
            <w:r>
              <w:t xml:space="preserve">2020</w:t>
            </w:r>
          </w:p>
        </w:tc>
        <w:tc>
          <w:tcPr>
            <w:vAlign w:val="center"/>
            <w:tcBorders>
              <w:top w:val="single" w:sz="4" w:space="0" w:color="auto"/>
              <w:left w:val="single" w:sz="4" w:space="0" w:color="auto"/>
              <w:bottom w:val="single" w:sz="4" w:space="0" w:color="auto"/>
              <w:right w:val="single" w:sz="4" w:space="0" w:color="auto"/>
            </w:tcBorders>
          </w:tcPr>
          <w:p w14:paraId="00100A10" w14:textId="00100A3F">
            <w:pPr>
              <w:pStyle w:val="Normal"/>
              <w:jc w:val="left"/>
            </w:pPr>
            <w:r>
              <w:t xml:space="preserve">4 years</w:t>
            </w:r>
          </w:p>
        </w:tc>
        <w:tc>
          <w:tcPr>
            <w:vAlign w:val="center"/>
            <w:tcBorders>
              <w:top w:val="single" w:sz="4" w:space="0" w:color="auto"/>
              <w:left w:val="single" w:sz="4" w:space="0" w:color="auto"/>
              <w:bottom w:val="single" w:sz="4" w:space="0" w:color="auto"/>
              <w:right w:val="single" w:sz="4" w:space="0" w:color="auto"/>
            </w:tcBorders>
          </w:tcPr>
          <w:p w14:paraId="00100A12" w14:textId="00100A40">
            <w:pPr>
              <w:pStyle w:val="Normal"/>
              <w:jc w:val="left"/>
            </w:pPr>
            <w:r>
              <w:t xml:space="preserve">Independent</w:t>
            </w:r>
          </w:p>
        </w:tc>
      </w:tr>
      <w:tr>
        <w:tc>
          <w:tcPr>
            <w:vAlign w:val="center"/>
            <w:tcBorders>
              <w:top w:val="single" w:sz="4" w:space="0" w:color="auto"/>
              <w:left w:val="single" w:sz="4" w:space="0" w:color="auto"/>
              <w:bottom w:val="single" w:sz="4" w:space="0" w:color="auto"/>
              <w:right w:val="single" w:sz="4" w:space="0" w:color="auto"/>
            </w:tcBorders>
          </w:tcPr>
          <w:p w14:paraId="00100A14" w14:textId="00100A41">
            <w:pPr>
              <w:pStyle w:val="Normal"/>
              <w:jc w:val="left"/>
            </w:pPr>
            <w:r>
              <w:t xml:space="preserve">Nikhil Rowan</w:t>
            </w:r>
          </w:p>
        </w:tc>
        <w:tc>
          <w:tcPr>
            <w:vAlign w:val="center"/>
            <w:tcBorders>
              <w:top w:val="single" w:sz="4" w:space="0" w:color="auto"/>
              <w:left w:val="single" w:sz="4" w:space="0" w:color="auto"/>
              <w:bottom w:val="single" w:sz="4" w:space="0" w:color="auto"/>
              <w:right w:val="single" w:sz="4" w:space="0" w:color="auto"/>
            </w:tcBorders>
          </w:tcPr>
          <w:p w14:paraId="00100A16" w14:textId="00100A42">
            <w:pPr>
              <w:pStyle w:val="Normal"/>
              <w:jc w:val="left"/>
            </w:pPr>
            <w:r>
              <w:t xml:space="preserve">Non-Executive Director</w:t>
            </w:r>
          </w:p>
        </w:tc>
        <w:tc>
          <w:tcPr>
            <w:vAlign w:val="center"/>
            <w:tcBorders>
              <w:top w:val="single" w:sz="4" w:space="0" w:color="auto"/>
              <w:left w:val="single" w:sz="4" w:space="0" w:color="auto"/>
              <w:bottom w:val="single" w:sz="4" w:space="0" w:color="auto"/>
              <w:right w:val="single" w:sz="4" w:space="0" w:color="auto"/>
            </w:tcBorders>
          </w:tcPr>
          <w:p w14:paraId="00100A18" w14:textId="00100A43">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A1A" w14:textId="00100A44">
            <w:pPr>
              <w:pStyle w:val="Normal"/>
              <w:jc w:val="left"/>
            </w:pPr>
            <w:r>
              <w:t xml:space="preserve">2 years</w:t>
            </w:r>
          </w:p>
        </w:tc>
        <w:tc>
          <w:tcPr>
            <w:vAlign w:val="center"/>
            <w:tcBorders>
              <w:top w:val="single" w:sz="4" w:space="0" w:color="auto"/>
              <w:left w:val="single" w:sz="4" w:space="0" w:color="auto"/>
              <w:bottom w:val="single" w:sz="4" w:space="0" w:color="auto"/>
              <w:right w:val="single" w:sz="4" w:space="0" w:color="auto"/>
            </w:tcBorders>
          </w:tcPr>
          <w:p w14:paraId="00100A1C" w14:textId="00100A45">
            <w:pPr>
              <w:pStyle w:val="Normal"/>
              <w:jc w:val="left"/>
            </w:pPr>
            <w:r>
              <w:t xml:space="preserve">Independent</w:t>
            </w:r>
          </w:p>
        </w:tc>
      </w:tr>
      <w:tr>
        <w:tc>
          <w:tcPr>
            <w:vAlign w:val="center"/>
            <w:tcBorders>
              <w:top w:val="single" w:sz="4" w:space="0" w:color="auto"/>
              <w:left w:val="single" w:sz="4" w:space="0" w:color="auto"/>
              <w:bottom w:val="single" w:sz="4" w:space="0" w:color="auto"/>
              <w:right w:val="single" w:sz="4" w:space="0" w:color="auto"/>
            </w:tcBorders>
          </w:tcPr>
          <w:p w14:paraId="00100A1E" w14:textId="00100A46">
            <w:pPr>
              <w:pStyle w:val="Normal"/>
              <w:jc w:val="left"/>
            </w:pPr>
            <w:r>
              <w:t xml:space="preserve">Elise Mercer</w:t>
            </w:r>
          </w:p>
        </w:tc>
        <w:tc>
          <w:tcPr>
            <w:vAlign w:val="center"/>
            <w:tcBorders>
              <w:top w:val="single" w:sz="4" w:space="0" w:color="auto"/>
              <w:left w:val="single" w:sz="4" w:space="0" w:color="auto"/>
              <w:bottom w:val="single" w:sz="4" w:space="0" w:color="auto"/>
              <w:right w:val="single" w:sz="4" w:space="0" w:color="auto"/>
            </w:tcBorders>
          </w:tcPr>
          <w:p w14:paraId="00100A20" w14:textId="00100A47">
            <w:pPr>
              <w:pStyle w:val="Normal"/>
              <w:jc w:val="left"/>
            </w:pPr>
            <w:r>
              <w:t xml:space="preserve">Non-Executive Director</w:t>
            </w:r>
          </w:p>
        </w:tc>
        <w:tc>
          <w:tcPr>
            <w:vAlign w:val="center"/>
            <w:tcBorders>
              <w:top w:val="single" w:sz="4" w:space="0" w:color="auto"/>
              <w:left w:val="single" w:sz="4" w:space="0" w:color="auto"/>
              <w:bottom w:val="single" w:sz="4" w:space="0" w:color="auto"/>
              <w:right w:val="single" w:sz="4" w:space="0" w:color="auto"/>
            </w:tcBorders>
          </w:tcPr>
          <w:p w14:paraId="00100A22" w14:textId="00100A48">
            <w:pPr>
              <w:pStyle w:val="Normal"/>
              <w:jc w:val="left"/>
            </w:pPr>
            <w:r>
              <w:t xml:space="preserve">2017</w:t>
            </w:r>
          </w:p>
        </w:tc>
        <w:tc>
          <w:tcPr>
            <w:vAlign w:val="center"/>
            <w:tcBorders>
              <w:top w:val="single" w:sz="4" w:space="0" w:color="auto"/>
              <w:left w:val="single" w:sz="4" w:space="0" w:color="auto"/>
              <w:bottom w:val="single" w:sz="4" w:space="0" w:color="auto"/>
              <w:right w:val="single" w:sz="4" w:space="0" w:color="auto"/>
            </w:tcBorders>
          </w:tcPr>
          <w:p w14:paraId="00100A24" w14:textId="00100A49">
            <w:pPr>
              <w:pStyle w:val="Normal"/>
              <w:jc w:val="left"/>
            </w:pPr>
            <w:r>
              <w:t xml:space="preserve">7 years</w:t>
            </w:r>
          </w:p>
        </w:tc>
        <w:tc>
          <w:tcPr>
            <w:vAlign w:val="center"/>
            <w:tcBorders>
              <w:top w:val="single" w:sz="4" w:space="0" w:color="auto"/>
              <w:left w:val="single" w:sz="4" w:space="0" w:color="auto"/>
              <w:bottom w:val="single" w:sz="4" w:space="0" w:color="auto"/>
              <w:right w:val="single" w:sz="4" w:space="0" w:color="auto"/>
            </w:tcBorders>
          </w:tcPr>
          <w:p w14:paraId="00100A26" w14:textId="00100A4A">
            <w:pPr>
              <w:pStyle w:val="Normal"/>
              <w:jc w:val="left"/>
            </w:pPr>
            <w:r>
              <w:t xml:space="preserve">Independent</w:t>
            </w:r>
          </w:p>
        </w:tc>
      </w:tr>
    </w:tbl>
    <w:p w14:paraId="00100A4B" w14:textId="00100A4C">
      <w:pPr>
        <w:pStyle w:val="Normal"/>
        <w:jc w:val="left"/>
      </w:pPr>
      <w:r>
        <w:t xml:space="preserve">Table 12 Board roster, tenure and independence at year-end</w:t>
      </w:r>
    </w:p>
    <w:p w14:paraId="00100A4D" w14:textId="00100A4E">
      <w:pPr>
        <w:pStyle w:val="Heading3a"/>
        <w:jc w:val="left"/>
      </w:pPr>
      <w:r>
        <w:t xml:space="preserve">Executive Team</w:t>
      </w:r>
    </w:p>
    <w:p w14:paraId="00100A4F" w14:textId="00100A50">
      <w:pPr>
        <w:pStyle w:val="Normal"/>
        <w:jc w:val="left"/>
      </w:pPr>
      <w:r>
        <w:drawing>
          <wp:inline distT="0" distB="0" distL="0" distR="0">
            <wp:extent cx="4320000" cy="3600000"/>
            <wp:effectExtent l="0" t="0" r="0" b="0"/>
            <wp:docPr id="21" name="Fig-I11-02.png" descr=""/>
            <wp:cNvGraphicFramePr>
              <a:graphicFrameLocks noChangeAspect="1"/>
            </wp:cNvGraphicFramePr>
            <a:graphic>
              <a:graphicData uri="http://schemas.openxmlformats.org/drawingml/2006/picture">
                <pic:pic>
                  <pic:nvPicPr>
                    <pic:cNvPr id="21" name="Fig-I11-02.png"/>
                    <pic:cNvPicPr/>
                  </pic:nvPicPr>
                  <pic:blipFill>
                    <a:blip r:embed="R45197c9fa9474406" cstate="print"/>
                    <a:stretch>
                      <a:fillRect/>
                    </a:stretch>
                  </pic:blipFill>
                  <pic:spPr>
                    <a:xfrm>
                      <a:off x="0" y="0"/>
                      <a:ext cx="3960000" cy="3240000"/>
                    </a:xfrm>
                    <a:prstGeom prst="rect">
                      <a:avLst/>
                    </a:prstGeom>
                  </pic:spPr>
                </pic:pic>
              </a:graphicData>
            </a:graphic>
          </wp:inline>
        </w:drawing>
      </w:r>
    </w:p>
    <w:p w14:paraId="00100A51" w14:textId="00100A52">
      <w:pPr>
        <w:pStyle w:val="Normal"/>
        <w:jc w:val="left"/>
      </w:pPr>
      <w:r>
        <w:t xml:space="preserve">Figure 16 Executive organization structure of Rivermark Group</w:t>
      </w:r>
    </w:p>
    <w:p w14:paraId="00100A53" w14:textId="00100A54">
      <w:pPr>
        <w:pStyle w:val="Heading2a"/>
        <w:jc w:val="left"/>
      </w:pPr>
      <w:r>
        <w:t xml:space="preserve">Committees and Oversight</w:t>
      </w:r>
    </w:p>
    <w:p w14:paraId="00100A55" w14:textId="00100A56">
      <w:pPr>
        <w:pStyle w:val="Normal"/>
        <w:jc w:val="left"/>
      </w:pPr>
      <w:r>
        <w:t xml:space="preserve">The Board carries out detailed oversight through standing committees that support, but do not replace, collective Board accountability. During the year, Rivermark Group operated through the Audit Committee, the Risk Committee, and the Remuneration Committee, each chaired by an independent non-executive director and governed by written terms of reference approved by the Board. The committee structure is intended to allow deeper review of technical matters, more frequent monitoring of management responses, and clearer escalation of issues requiring Board action.</w:t>
      </w:r>
    </w:p>
    <w:p w14:paraId="00100A57" w14:textId="00100A58">
      <w:pPr>
        <w:pStyle w:val="Normal"/>
        <w:jc w:val="left"/>
      </w:pPr>
      <w:r>
        <w:t xml:space="preserve">Committee work was aligned to the Group’s operating profile and strategic priorities. Financial reporting quality, internal control effectiveness, cyber and operational resilience, liquidity, executive succession, and incentive design were recurring agenda themes. The committees received regular reports from the Chief Executive Officer, Chief Financial Officer, General Counsel, Head of Internal Audit, and relevant business leaders, enabling discussion to move beyond compliance formality into challenge of assumptions, performance indicators, and execution risks.</w:t>
      </w:r>
    </w:p>
    <w:p w14:paraId="00100A59" w14:textId="00100A5A">
      <w:pPr>
        <w:pStyle w:val="Normal"/>
        <w:jc w:val="left"/>
      </w:pPr>
      <w:r>
        <w:t xml:space="preserve">Each committee reported its conclusions to the full Board after scheduled meetings, with recommendations documented in Board papers and reflected in follow-up actions. This reporting cycle helped connect governance processes with capital allocation, performance review, and risk management across the Infrastructure, Industrial, Consumer, and Digital Services segments. As a result, oversight remained both structured and responsive, combining annual work plans with targeted review of emerging issues as conditions evolved through the year.</w:t>
      </w:r>
    </w:p>
    <w:p w14:paraId="00100A5B" w14:textId="00100A5C">
      <w:pPr>
        <w:pStyle w:val="Heading3a"/>
        <w:jc w:val="left"/>
      </w:pPr>
      <w:r>
        <w:t xml:space="preserve">Committee Mandates</w:t>
      </w:r>
    </w:p>
    <w:p w14:paraId="00100A5D" w14:textId="00100A5E">
      <w:pPr>
        <w:pStyle w:val="Normal"/>
        <w:jc w:val="left"/>
      </w:pPr>
      <w:r>
        <w:t xml:space="preserve">Each standing committee operates under delegated authority set by the Board and limited by the Group’s governance framework. The mandates define purpose, membership requirements, quorum, meeting frequency, reserved matters, and reporting obligations. While committees may review, challenge, and recommend, decision rights on matters such as approval of annual results, major capital commitments, principal risk appetite, and executive appointments remain with the Board unless expressly delegated. This distinction preserves accountability while allowing committee-level examination of more detailed materials than would be practical in full Board sessions.</w:t>
      </w:r>
    </w:p>
    <w:p w14:paraId="00100A5F" w14:textId="00100A60">
      <w:pPr>
        <w:pStyle w:val="Normal"/>
        <w:jc w:val="left"/>
      </w:pPr>
      <w:r>
        <w:t xml:space="preserve">In practice, the mandates are designed to support both assurance and decision preparation. Committees can request information from any business unit, call members of management to attend meetings, commission additional analysis, and seek external advice where specialist judgment is required. The scope of authority also includes monitoring implementation of previously agreed actions, so committee oversight extends beyond review of policy documents into verification of execution and remediation.</w:t>
      </w:r>
    </w:p>
    <w:p w14:paraId="00100A61" w14:textId="00100A62">
      <w:pPr>
        <w:pStyle w:val="Normal"/>
        <w:jc w:val="left"/>
      </w:pPr>
      <w:r>
        <w:t xml:space="preserve">The Board reviews committee terms of reference periodically to ensure they remain fit for the scale and complexity of Rivermark Group. Updates during the year clarified reporting lines on enterprise risk, strengthened oversight expectations for data governance and internal control testing, and refined escalation triggers for material compliance or financial reporting issues. Through this framework, committee mandates provide a disciplined basis for scrutiny while remaining adaptable to the Group’s evolving operating environment.</w:t>
      </w:r>
    </w:p>
    <w:p w14:paraId="00100A63" w14:textId="00100A64">
      <w:pPr>
        <w:pStyle w:val="Normal"/>
        <w:jc w:val="left"/>
      </w:pPr>
      <w:r>
        <w:t xml:space="preserve">The Audit Committee focuses on the integrity of financial statements, the appropriateness of accounting judgments, effectiveness of internal control over financial reporting, performance and independence of the external auditor, and the work plan and findings of internal audit. It also reviews treasury exposures, tax governance, and the adequacy of whistleblowing arrangements where these affect control integrity or reporting reliability. The committee’s remit therefore extends from year-end reporting quality to the robustness of the underlying control environment.</w:t>
      </w:r>
    </w:p>
    <w:p w14:paraId="00100A65" w14:textId="00100A66">
      <w:pPr>
        <w:pStyle w:val="Normal"/>
        <w:jc w:val="left"/>
      </w:pPr>
      <w:r>
        <w:t xml:space="preserve">The Risk Committee reviews principal risks, risk appetite settings, scenario analysis, cyber security, business continuity, health and safety exposures, and selected sustainability-related risks where they have strategic or operational significance. It monitors whether management’s mitigation actions are proportionate to changing market conditions and whether risk information presented to the Board is timely, complete, and decision-useful. This remit is especially important in a diversified group where operational disruption, supply concentration, digital dependency, and regional market volatility can interact across segments.</w:t>
      </w:r>
    </w:p>
    <w:p w14:paraId="00100A67" w14:textId="00100A68">
      <w:pPr>
        <w:pStyle w:val="Normal"/>
        <w:jc w:val="left"/>
      </w:pPr>
      <w:r>
        <w:t xml:space="preserve">The Remuneration Committee oversees executive pay policy, annual incentive outcomes, long-term incentive design, pension arrangements, and succession-related reward considerations. Its purpose is to align reward with sustainable performance, capital discipline, risk awareness, and leadership continuity. In reviewing pay decisions, the committee considers both quantitative outcomes and broader stewardship factors, including safety, compliance, and delivery against strategic milestones, helping to ensure that compensation supports long-term value creation rather than narrow short-term targets.</w:t>
      </w:r>
    </w:p>
    <w:p w14:paraId="00100A69" w14:textId="00100A6A">
      <w:pPr>
        <w:pStyle w:val="Heading3a"/>
        <w:jc w:val="left"/>
      </w:pPr>
      <w:r>
        <w:t xml:space="preserve">Attendance and Activity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A6B" w14:textId="00100AB1">
            <w:pPr>
              <w:pStyle w:val="Normal"/>
              <w:jc w:val="left"/>
            </w:pPr>
            <w:r>
              <w:t xml:space="preserve">Committee member</w:t>
            </w:r>
          </w:p>
        </w:tc>
        <w:tc>
          <w:tcPr>
            <w:vAlign w:val="center"/>
            <w:tcBorders>
              <w:top w:val="single" w:sz="4" w:space="0" w:color="auto"/>
              <w:left w:val="single" w:sz="4" w:space="0" w:color="auto"/>
              <w:bottom w:val="single" w:sz="4" w:space="0" w:color="auto"/>
              <w:right w:val="single" w:sz="4" w:space="0" w:color="auto"/>
            </w:tcBorders>
          </w:tcPr>
          <w:p w14:paraId="00100A6D" w14:textId="00100AB2">
            <w:pPr>
              <w:pStyle w:val="Normal"/>
              <w:jc w:val="left"/>
            </w:pPr>
            <w:r>
              <w:t xml:space="preserve">Primary committee role</w:t>
            </w:r>
          </w:p>
        </w:tc>
        <w:tc>
          <w:tcPr>
            <w:vAlign w:val="center"/>
            <w:tcBorders>
              <w:top w:val="single" w:sz="4" w:space="0" w:color="auto"/>
              <w:left w:val="single" w:sz="4" w:space="0" w:color="auto"/>
              <w:bottom w:val="single" w:sz="4" w:space="0" w:color="auto"/>
              <w:right w:val="single" w:sz="4" w:space="0" w:color="auto"/>
            </w:tcBorders>
          </w:tcPr>
          <w:p w14:paraId="00100A6F" w14:textId="00100AB3">
            <w:pPr>
              <w:pStyle w:val="Normal"/>
              <w:jc w:val="left"/>
            </w:pPr>
            <w:r>
              <w:t xml:space="preserve">Tenure on committee</w:t>
            </w:r>
          </w:p>
        </w:tc>
        <w:tc>
          <w:tcPr>
            <w:vAlign w:val="center"/>
            <w:tcBorders>
              <w:top w:val="single" w:sz="4" w:space="0" w:color="auto"/>
              <w:left w:val="single" w:sz="4" w:space="0" w:color="auto"/>
              <w:bottom w:val="single" w:sz="4" w:space="0" w:color="auto"/>
              <w:right w:val="single" w:sz="4" w:space="0" w:color="auto"/>
            </w:tcBorders>
          </w:tcPr>
          <w:p w14:paraId="00100A71" w14:textId="00100AB4">
            <w:pPr>
              <w:pStyle w:val="Normal"/>
              <w:jc w:val="left"/>
            </w:pPr>
            <w:r>
              <w:t xml:space="preserve">Meetings attended</w:t>
            </w:r>
          </w:p>
        </w:tc>
        <w:tc>
          <w:tcPr>
            <w:vAlign w:val="center"/>
            <w:tcBorders>
              <w:top w:val="single" w:sz="4" w:space="0" w:color="auto"/>
              <w:left w:val="single" w:sz="4" w:space="0" w:color="auto"/>
              <w:bottom w:val="single" w:sz="4" w:space="0" w:color="auto"/>
              <w:right w:val="single" w:sz="4" w:space="0" w:color="auto"/>
            </w:tcBorders>
          </w:tcPr>
          <w:p w14:paraId="00100A73" w14:textId="00100AB5">
            <w:pPr>
              <w:pStyle w:val="Normal"/>
              <w:jc w:val="left"/>
            </w:pPr>
            <w:r>
              <w:t xml:space="preserve">Attendance rate</w:t>
            </w:r>
          </w:p>
        </w:tc>
      </w:tr>
      <w:tr>
        <w:tc>
          <w:tcPr>
            <w:vAlign w:val="center"/>
            <w:tcBorders>
              <w:top w:val="single" w:sz="4" w:space="0" w:color="auto"/>
              <w:left w:val="single" w:sz="4" w:space="0" w:color="auto"/>
              <w:bottom w:val="single" w:sz="4" w:space="0" w:color="auto"/>
              <w:right w:val="single" w:sz="4" w:space="0" w:color="auto"/>
            </w:tcBorders>
          </w:tcPr>
          <w:p w14:paraId="00100A75" w14:textId="00100AB6">
            <w:pPr>
              <w:pStyle w:val="Normal"/>
              <w:jc w:val="left"/>
            </w:pPr>
            <w:r>
              <w:t xml:space="preserve">Elena Shore</w:t>
            </w:r>
          </w:p>
        </w:tc>
        <w:tc>
          <w:tcPr>
            <w:vAlign w:val="center"/>
            <w:tcBorders>
              <w:top w:val="single" w:sz="4" w:space="0" w:color="auto"/>
              <w:left w:val="single" w:sz="4" w:space="0" w:color="auto"/>
              <w:bottom w:val="single" w:sz="4" w:space="0" w:color="auto"/>
              <w:right w:val="single" w:sz="4" w:space="0" w:color="auto"/>
            </w:tcBorders>
          </w:tcPr>
          <w:p w14:paraId="00100A77" w14:textId="00100AB7">
            <w:pPr>
              <w:pStyle w:val="Normal"/>
              <w:jc w:val="left"/>
            </w:pPr>
            <w:r>
              <w:t xml:space="preserve">Audit Committee Chair</w:t>
            </w:r>
          </w:p>
        </w:tc>
        <w:tc>
          <w:tcPr>
            <w:vAlign w:val="center"/>
            <w:tcBorders>
              <w:top w:val="single" w:sz="4" w:space="0" w:color="auto"/>
              <w:left w:val="single" w:sz="4" w:space="0" w:color="auto"/>
              <w:bottom w:val="single" w:sz="4" w:space="0" w:color="auto"/>
              <w:right w:val="single" w:sz="4" w:space="0" w:color="auto"/>
            </w:tcBorders>
          </w:tcPr>
          <w:p w14:paraId="00100A79" w14:textId="00100AB8">
            <w:pPr>
              <w:pStyle w:val="Normal"/>
              <w:jc w:val="left"/>
            </w:pPr>
            <w:r>
              <w:t xml:space="preserve">4 years</w:t>
            </w:r>
          </w:p>
        </w:tc>
        <w:tc>
          <w:tcPr>
            <w:vAlign w:val="center"/>
            <w:tcBorders>
              <w:top w:val="single" w:sz="4" w:space="0" w:color="auto"/>
              <w:left w:val="single" w:sz="4" w:space="0" w:color="auto"/>
              <w:bottom w:val="single" w:sz="4" w:space="0" w:color="auto"/>
              <w:right w:val="single" w:sz="4" w:space="0" w:color="auto"/>
            </w:tcBorders>
          </w:tcPr>
          <w:p w14:paraId="00100A7B" w14:textId="00100AB9">
            <w:pPr>
              <w:pStyle w:val="Normal"/>
              <w:jc w:val="left"/>
            </w:pPr>
            <w:r>
              <w:t xml:space="preserve">6/6</w:t>
            </w:r>
          </w:p>
        </w:tc>
        <w:tc>
          <w:tcPr>
            <w:vAlign w:val="center"/>
            <w:tcBorders>
              <w:top w:val="single" w:sz="4" w:space="0" w:color="auto"/>
              <w:left w:val="single" w:sz="4" w:space="0" w:color="auto"/>
              <w:bottom w:val="single" w:sz="4" w:space="0" w:color="auto"/>
              <w:right w:val="single" w:sz="4" w:space="0" w:color="auto"/>
            </w:tcBorders>
          </w:tcPr>
          <w:p w14:paraId="00100A7D" w14:textId="00100ABA">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A7F" w14:textId="00100ABB">
            <w:pPr>
              <w:pStyle w:val="Normal"/>
              <w:jc w:val="left"/>
            </w:pPr>
            <w:r>
              <w:t xml:space="preserve">Martin Hale</w:t>
            </w:r>
          </w:p>
        </w:tc>
        <w:tc>
          <w:tcPr>
            <w:vAlign w:val="center"/>
            <w:tcBorders>
              <w:top w:val="single" w:sz="4" w:space="0" w:color="auto"/>
              <w:left w:val="single" w:sz="4" w:space="0" w:color="auto"/>
              <w:bottom w:val="single" w:sz="4" w:space="0" w:color="auto"/>
              <w:right w:val="single" w:sz="4" w:space="0" w:color="auto"/>
            </w:tcBorders>
          </w:tcPr>
          <w:p w14:paraId="00100A81" w14:textId="00100ABC">
            <w:pPr>
              <w:pStyle w:val="Normal"/>
              <w:jc w:val="left"/>
            </w:pPr>
            <w:r>
              <w:t xml:space="preserve">Audit Committee Member</w:t>
            </w:r>
          </w:p>
        </w:tc>
        <w:tc>
          <w:tcPr>
            <w:vAlign w:val="center"/>
            <w:tcBorders>
              <w:top w:val="single" w:sz="4" w:space="0" w:color="auto"/>
              <w:left w:val="single" w:sz="4" w:space="0" w:color="auto"/>
              <w:bottom w:val="single" w:sz="4" w:space="0" w:color="auto"/>
              <w:right w:val="single" w:sz="4" w:space="0" w:color="auto"/>
            </w:tcBorders>
          </w:tcPr>
          <w:p w14:paraId="00100A83" w14:textId="00100ABD">
            <w:pPr>
              <w:pStyle w:val="Normal"/>
              <w:jc w:val="left"/>
            </w:pPr>
            <w:r>
              <w:t xml:space="preserve">3 years</w:t>
            </w:r>
          </w:p>
        </w:tc>
        <w:tc>
          <w:tcPr>
            <w:vAlign w:val="center"/>
            <w:tcBorders>
              <w:top w:val="single" w:sz="4" w:space="0" w:color="auto"/>
              <w:left w:val="single" w:sz="4" w:space="0" w:color="auto"/>
              <w:bottom w:val="single" w:sz="4" w:space="0" w:color="auto"/>
              <w:right w:val="single" w:sz="4" w:space="0" w:color="auto"/>
            </w:tcBorders>
          </w:tcPr>
          <w:p w14:paraId="00100A85" w14:textId="00100ABE">
            <w:pPr>
              <w:pStyle w:val="Normal"/>
              <w:jc w:val="left"/>
            </w:pPr>
            <w:r>
              <w:t xml:space="preserve">6/6</w:t>
            </w:r>
          </w:p>
        </w:tc>
        <w:tc>
          <w:tcPr>
            <w:vAlign w:val="center"/>
            <w:tcBorders>
              <w:top w:val="single" w:sz="4" w:space="0" w:color="auto"/>
              <w:left w:val="single" w:sz="4" w:space="0" w:color="auto"/>
              <w:bottom w:val="single" w:sz="4" w:space="0" w:color="auto"/>
              <w:right w:val="single" w:sz="4" w:space="0" w:color="auto"/>
            </w:tcBorders>
          </w:tcPr>
          <w:p w14:paraId="00100A87" w14:textId="00100ABF">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A89" w14:textId="00100AC0">
            <w:pPr>
              <w:pStyle w:val="Normal"/>
              <w:jc w:val="left"/>
            </w:pPr>
            <w:r>
              <w:t xml:space="preserve">Priya Nand</w:t>
            </w:r>
          </w:p>
        </w:tc>
        <w:tc>
          <w:tcPr>
            <w:vAlign w:val="center"/>
            <w:tcBorders>
              <w:top w:val="single" w:sz="4" w:space="0" w:color="auto"/>
              <w:left w:val="single" w:sz="4" w:space="0" w:color="auto"/>
              <w:bottom w:val="single" w:sz="4" w:space="0" w:color="auto"/>
              <w:right w:val="single" w:sz="4" w:space="0" w:color="auto"/>
            </w:tcBorders>
          </w:tcPr>
          <w:p w14:paraId="00100A8B" w14:textId="00100AC1">
            <w:pPr>
              <w:pStyle w:val="Normal"/>
              <w:jc w:val="left"/>
            </w:pPr>
            <w:r>
              <w:t xml:space="preserve">Risk Committee Chair</w:t>
            </w:r>
          </w:p>
        </w:tc>
        <w:tc>
          <w:tcPr>
            <w:vAlign w:val="center"/>
            <w:tcBorders>
              <w:top w:val="single" w:sz="4" w:space="0" w:color="auto"/>
              <w:left w:val="single" w:sz="4" w:space="0" w:color="auto"/>
              <w:bottom w:val="single" w:sz="4" w:space="0" w:color="auto"/>
              <w:right w:val="single" w:sz="4" w:space="0" w:color="auto"/>
            </w:tcBorders>
          </w:tcPr>
          <w:p w14:paraId="00100A8D" w14:textId="00100AC2">
            <w:pPr>
              <w:pStyle w:val="Normal"/>
              <w:jc w:val="left"/>
            </w:pPr>
            <w:r>
              <w:t xml:space="preserve">2 years</w:t>
            </w:r>
          </w:p>
        </w:tc>
        <w:tc>
          <w:tcPr>
            <w:vAlign w:val="center"/>
            <w:tcBorders>
              <w:top w:val="single" w:sz="4" w:space="0" w:color="auto"/>
              <w:left w:val="single" w:sz="4" w:space="0" w:color="auto"/>
              <w:bottom w:val="single" w:sz="4" w:space="0" w:color="auto"/>
              <w:right w:val="single" w:sz="4" w:space="0" w:color="auto"/>
            </w:tcBorders>
          </w:tcPr>
          <w:p w14:paraId="00100A8F" w14:textId="00100AC3">
            <w:pPr>
              <w:pStyle w:val="Normal"/>
              <w:jc w:val="left"/>
            </w:pPr>
            <w:r>
              <w:t xml:space="preserve">5/5</w:t>
            </w:r>
          </w:p>
        </w:tc>
        <w:tc>
          <w:tcPr>
            <w:vAlign w:val="center"/>
            <w:tcBorders>
              <w:top w:val="single" w:sz="4" w:space="0" w:color="auto"/>
              <w:left w:val="single" w:sz="4" w:space="0" w:color="auto"/>
              <w:bottom w:val="single" w:sz="4" w:space="0" w:color="auto"/>
              <w:right w:val="single" w:sz="4" w:space="0" w:color="auto"/>
            </w:tcBorders>
          </w:tcPr>
          <w:p w14:paraId="00100A91" w14:textId="00100AC4">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A93" w14:textId="00100AC5">
            <w:pPr>
              <w:pStyle w:val="Normal"/>
              <w:jc w:val="left"/>
            </w:pPr>
            <w:r>
              <w:t xml:space="preserve">Daniel Voss</w:t>
            </w:r>
          </w:p>
        </w:tc>
        <w:tc>
          <w:tcPr>
            <w:vAlign w:val="center"/>
            <w:tcBorders>
              <w:top w:val="single" w:sz="4" w:space="0" w:color="auto"/>
              <w:left w:val="single" w:sz="4" w:space="0" w:color="auto"/>
              <w:bottom w:val="single" w:sz="4" w:space="0" w:color="auto"/>
              <w:right w:val="single" w:sz="4" w:space="0" w:color="auto"/>
            </w:tcBorders>
          </w:tcPr>
          <w:p w14:paraId="00100A95" w14:textId="00100AC6">
            <w:pPr>
              <w:pStyle w:val="Normal"/>
              <w:jc w:val="left"/>
            </w:pPr>
            <w:r>
              <w:t xml:space="preserve">Risk Committee Member</w:t>
            </w:r>
          </w:p>
        </w:tc>
        <w:tc>
          <w:tcPr>
            <w:vAlign w:val="center"/>
            <w:tcBorders>
              <w:top w:val="single" w:sz="4" w:space="0" w:color="auto"/>
              <w:left w:val="single" w:sz="4" w:space="0" w:color="auto"/>
              <w:bottom w:val="single" w:sz="4" w:space="0" w:color="auto"/>
              <w:right w:val="single" w:sz="4" w:space="0" w:color="auto"/>
            </w:tcBorders>
          </w:tcPr>
          <w:p w14:paraId="00100A97" w14:textId="00100AC7">
            <w:pPr>
              <w:pStyle w:val="Normal"/>
              <w:jc w:val="left"/>
            </w:pPr>
            <w:r>
              <w:t xml:space="preserve">5 years</w:t>
            </w:r>
          </w:p>
        </w:tc>
        <w:tc>
          <w:tcPr>
            <w:vAlign w:val="center"/>
            <w:tcBorders>
              <w:top w:val="single" w:sz="4" w:space="0" w:color="auto"/>
              <w:left w:val="single" w:sz="4" w:space="0" w:color="auto"/>
              <w:bottom w:val="single" w:sz="4" w:space="0" w:color="auto"/>
              <w:right w:val="single" w:sz="4" w:space="0" w:color="auto"/>
            </w:tcBorders>
          </w:tcPr>
          <w:p w14:paraId="00100A99" w14:textId="00100AC8">
            <w:pPr>
              <w:pStyle w:val="Normal"/>
              <w:jc w:val="left"/>
            </w:pPr>
            <w:r>
              <w:t xml:space="preserve">5/5</w:t>
            </w:r>
          </w:p>
        </w:tc>
        <w:tc>
          <w:tcPr>
            <w:vAlign w:val="center"/>
            <w:tcBorders>
              <w:top w:val="single" w:sz="4" w:space="0" w:color="auto"/>
              <w:left w:val="single" w:sz="4" w:space="0" w:color="auto"/>
              <w:bottom w:val="single" w:sz="4" w:space="0" w:color="auto"/>
              <w:right w:val="single" w:sz="4" w:space="0" w:color="auto"/>
            </w:tcBorders>
          </w:tcPr>
          <w:p w14:paraId="00100A9B" w14:textId="00100AC9">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A9D" w14:textId="00100ACA">
            <w:pPr>
              <w:pStyle w:val="Normal"/>
              <w:jc w:val="left"/>
            </w:pPr>
            <w:r>
              <w:t xml:space="preserve">Lina Mercer</w:t>
            </w:r>
          </w:p>
        </w:tc>
        <w:tc>
          <w:tcPr>
            <w:vAlign w:val="center"/>
            <w:tcBorders>
              <w:top w:val="single" w:sz="4" w:space="0" w:color="auto"/>
              <w:left w:val="single" w:sz="4" w:space="0" w:color="auto"/>
              <w:bottom w:val="single" w:sz="4" w:space="0" w:color="auto"/>
              <w:right w:val="single" w:sz="4" w:space="0" w:color="auto"/>
            </w:tcBorders>
          </w:tcPr>
          <w:p w14:paraId="00100A9F" w14:textId="00100ACB">
            <w:pPr>
              <w:pStyle w:val="Normal"/>
              <w:jc w:val="left"/>
            </w:pPr>
            <w:r>
              <w:t xml:space="preserve">Remuneration Committee Chair</w:t>
            </w:r>
          </w:p>
        </w:tc>
        <w:tc>
          <w:tcPr>
            <w:vAlign w:val="center"/>
            <w:tcBorders>
              <w:top w:val="single" w:sz="4" w:space="0" w:color="auto"/>
              <w:left w:val="single" w:sz="4" w:space="0" w:color="auto"/>
              <w:bottom w:val="single" w:sz="4" w:space="0" w:color="auto"/>
              <w:right w:val="single" w:sz="4" w:space="0" w:color="auto"/>
            </w:tcBorders>
          </w:tcPr>
          <w:p w14:paraId="00100AA1" w14:textId="00100ACC">
            <w:pPr>
              <w:pStyle w:val="Normal"/>
              <w:jc w:val="left"/>
            </w:pPr>
            <w:r>
              <w:t xml:space="preserve">3 years</w:t>
            </w:r>
          </w:p>
        </w:tc>
        <w:tc>
          <w:tcPr>
            <w:vAlign w:val="center"/>
            <w:tcBorders>
              <w:top w:val="single" w:sz="4" w:space="0" w:color="auto"/>
              <w:left w:val="single" w:sz="4" w:space="0" w:color="auto"/>
              <w:bottom w:val="single" w:sz="4" w:space="0" w:color="auto"/>
              <w:right w:val="single" w:sz="4" w:space="0" w:color="auto"/>
            </w:tcBorders>
          </w:tcPr>
          <w:p w14:paraId="00100AA3" w14:textId="00100ACD">
            <w:pPr>
              <w:pStyle w:val="Normal"/>
              <w:jc w:val="left"/>
            </w:pPr>
            <w:r>
              <w:t xml:space="preserve">4/4</w:t>
            </w:r>
          </w:p>
        </w:tc>
        <w:tc>
          <w:tcPr>
            <w:vAlign w:val="center"/>
            <w:tcBorders>
              <w:top w:val="single" w:sz="4" w:space="0" w:color="auto"/>
              <w:left w:val="single" w:sz="4" w:space="0" w:color="auto"/>
              <w:bottom w:val="single" w:sz="4" w:space="0" w:color="auto"/>
              <w:right w:val="single" w:sz="4" w:space="0" w:color="auto"/>
            </w:tcBorders>
          </w:tcPr>
          <w:p w14:paraId="00100AA5" w14:textId="00100ACE">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0AA7" w14:textId="00100ACF">
            <w:pPr>
              <w:pStyle w:val="Normal"/>
              <w:jc w:val="left"/>
            </w:pPr>
            <w:r>
              <w:t xml:space="preserve">Owen Keats</w:t>
            </w:r>
          </w:p>
        </w:tc>
        <w:tc>
          <w:tcPr>
            <w:vAlign w:val="center"/>
            <w:tcBorders>
              <w:top w:val="single" w:sz="4" w:space="0" w:color="auto"/>
              <w:left w:val="single" w:sz="4" w:space="0" w:color="auto"/>
              <w:bottom w:val="single" w:sz="4" w:space="0" w:color="auto"/>
              <w:right w:val="single" w:sz="4" w:space="0" w:color="auto"/>
            </w:tcBorders>
          </w:tcPr>
          <w:p w14:paraId="00100AA9" w14:textId="00100AD0">
            <w:pPr>
              <w:pStyle w:val="Normal"/>
              <w:jc w:val="left"/>
            </w:pPr>
            <w:r>
              <w:t xml:space="preserve">Remuneration Committee Member</w:t>
            </w:r>
          </w:p>
        </w:tc>
        <w:tc>
          <w:tcPr>
            <w:vAlign w:val="center"/>
            <w:tcBorders>
              <w:top w:val="single" w:sz="4" w:space="0" w:color="auto"/>
              <w:left w:val="single" w:sz="4" w:space="0" w:color="auto"/>
              <w:bottom w:val="single" w:sz="4" w:space="0" w:color="auto"/>
              <w:right w:val="single" w:sz="4" w:space="0" w:color="auto"/>
            </w:tcBorders>
          </w:tcPr>
          <w:p w14:paraId="00100AAB" w14:textId="00100AD1">
            <w:pPr>
              <w:pStyle w:val="Normal"/>
              <w:jc w:val="left"/>
            </w:pPr>
            <w:r>
              <w:t xml:space="preserve">1 year</w:t>
            </w:r>
          </w:p>
        </w:tc>
        <w:tc>
          <w:tcPr>
            <w:vAlign w:val="center"/>
            <w:tcBorders>
              <w:top w:val="single" w:sz="4" w:space="0" w:color="auto"/>
              <w:left w:val="single" w:sz="4" w:space="0" w:color="auto"/>
              <w:bottom w:val="single" w:sz="4" w:space="0" w:color="auto"/>
              <w:right w:val="single" w:sz="4" w:space="0" w:color="auto"/>
            </w:tcBorders>
          </w:tcPr>
          <w:p w14:paraId="00100AAD" w14:textId="00100AD2">
            <w:pPr>
              <w:pStyle w:val="Normal"/>
              <w:jc w:val="left"/>
            </w:pPr>
            <w:r>
              <w:t xml:space="preserve">4/4</w:t>
            </w:r>
          </w:p>
        </w:tc>
        <w:tc>
          <w:tcPr>
            <w:vAlign w:val="center"/>
            <w:tcBorders>
              <w:top w:val="single" w:sz="4" w:space="0" w:color="auto"/>
              <w:left w:val="single" w:sz="4" w:space="0" w:color="auto"/>
              <w:bottom w:val="single" w:sz="4" w:space="0" w:color="auto"/>
              <w:right w:val="single" w:sz="4" w:space="0" w:color="auto"/>
            </w:tcBorders>
          </w:tcPr>
          <w:p w14:paraId="00100AAF" w14:textId="00100AD3">
            <w:pPr>
              <w:pStyle w:val="Normal"/>
              <w:jc w:val="left"/>
            </w:pPr>
            <w:r>
              <w:t xml:space="preserve">100%</w:t>
            </w:r>
          </w:p>
        </w:tc>
      </w:tr>
    </w:tbl>
    <w:p w14:paraId="00100AD4" w14:textId="00100AD5">
      <w:pPr>
        <w:pStyle w:val="Normal"/>
        <w:jc w:val="left"/>
      </w:pPr>
      <w:r>
        <w:t xml:space="preserve">Table 11 Committee meetings and attendance</w:t>
      </w:r>
    </w:p>
    <w:p w14:paraId="00100AD6" w14:textId="00100AD7">
      <w:pPr>
        <w:pStyle w:val="Heading2a"/>
        <w:jc w:val="left"/>
      </w:pPr>
      <w:r>
        <w:t xml:space="preserve">Governance Practices</w:t>
      </w:r>
    </w:p>
    <w:p w14:paraId="00100AD8" w14:textId="00100AD9">
      <w:pPr>
        <w:pStyle w:val="Normal"/>
        <w:jc w:val="left"/>
      </w:pPr>
      <w:r>
        <w:t xml:space="preserve">Rivermark Group maintains a governance framework designed to support disciplined decision-making, transparent accountability and consistent conduct across all operating segments. The framework links Board oversight with executive ownership and local management execution, so that strategic choices, capital deployment, risk responses and compliance obligations are handled through defined authorities rather than informal practice. During the year, governance practices were further standardized across Infrastructure, Industrial, Consumer and Digital Services through refreshed approval matrices, revised policy attestations and a more regular cycle of control self-assessment.</w:t>
      </w:r>
    </w:p>
    <w:p w14:paraId="00100ADA" w14:textId="00100ADB">
      <w:pPr>
        <w:pStyle w:val="Normal"/>
        <w:jc w:val="left"/>
      </w:pPr>
      <w:r>
        <w:t xml:space="preserve">The Group’s policy architecture covers code of conduct requirements, delegated financial authority, procurement integrity, competition compliance, information security, records management and whistleblower protections. These policies are supported by practical procedures, mandatory training modules and monitoring routines embedded in finance, legal, human resources and internal audit activities. Management reviews policy exceptions and control breakdowns at scheduled intervals, while the Board receives consolidated reporting on key governance indicators, material incidents and remediation progress. As a result, governance practices are not treated as a stand-alone compliance exercise; they function as an operating discipline that helps protect assets, maintain stakeholder confidence and improve the reliability of operational and financial reporting.</w:t>
      </w:r>
    </w:p>
    <w:p w14:paraId="00100ADC" w14:textId="00100ADD">
      <w:pPr>
        <w:pStyle w:val="Normal"/>
        <w:jc w:val="left"/>
      </w:pPr>
      <w:r>
        <w:drawing>
          <wp:inline distT="0" distB="0" distL="0" distR="0">
            <wp:extent cx="3960000" cy="2520000"/>
            <wp:effectExtent l="0" t="0" r="0" b="0"/>
            <wp:docPr id="22" name="Fig-I11-03.png" descr=""/>
            <wp:cNvGraphicFramePr>
              <a:graphicFrameLocks noChangeAspect="1"/>
            </wp:cNvGraphicFramePr>
            <a:graphic>
              <a:graphicData uri="http://schemas.openxmlformats.org/drawingml/2006/picture">
                <pic:pic>
                  <pic:nvPicPr>
                    <pic:cNvPr id="22" name="Fig-I11-03.png"/>
                    <pic:cNvPicPr/>
                  </pic:nvPicPr>
                  <pic:blipFill>
                    <a:blip r:embed="R910f5cf5c7a1474f" cstate="print"/>
                    <a:stretch>
                      <a:fillRect/>
                    </a:stretch>
                  </pic:blipFill>
                  <pic:spPr>
                    <a:xfrm>
                      <a:off x="0" y="0"/>
                      <a:ext cx="4320000" cy="2880000"/>
                    </a:xfrm>
                    <a:prstGeom prst="rect">
                      <a:avLst/>
                    </a:prstGeom>
                  </pic:spPr>
                </pic:pic>
              </a:graphicData>
            </a:graphic>
          </wp:inline>
        </w:drawing>
      </w:r>
    </w:p>
    <w:p w14:paraId="00100ADE" w14:textId="00100ADF">
      <w:pPr>
        <w:pStyle w:val="Normal"/>
        <w:jc w:val="left"/>
      </w:pPr>
      <w:r>
        <w:t xml:space="preserve">Figure 18 Governance practices indicators across policy coverage, training completion and issue closure</w:t>
      </w:r>
    </w:p>
    <w:p w14:paraId="00100AE0" w14:textId="00100AE1">
      <w:pPr>
        <w:pStyle w:val="Heading3a"/>
        <w:jc w:val="left"/>
      </w:pPr>
      <w:r>
        <w:t xml:space="preserve">Control Framework</w:t>
      </w:r>
    </w:p>
    <w:p w14:paraId="00100AE2" w14:textId="00100AE3">
      <w:pPr>
        <w:pStyle w:val="Normal"/>
        <w:jc w:val="left"/>
      </w:pPr>
      <w:r>
        <w:t xml:space="preserve">The control framework at Rivermark Group is built on clear delegations of authority, documented policy ownership and a formal ethics structure that applies to employees, managers and directors. Financial approvals are assigned by transaction type and value threshold, with escalation rules for capital expenditure, contract commitments, hiring decisions and non-routine payments. The framework also requires segregation of duties in core processes such as vendor onboarding, purchasing, invoice release, payroll processing and journal entry approval. These controls reduce the risk of error and inappropriate override while improving auditability across the Group.</w:t>
      </w:r>
    </w:p>
    <w:p w14:paraId="00100AE4" w14:textId="00100AE7">
      <w:pPr>
        <w:pStyle w:val="Normal"/>
        <w:jc w:val="left"/>
      </w:pPr>
      <w:r>
        <w:t xml:space="preserve">Ethics oversight is anchored in the Code of Conduct, annual declarations by designated managers and targeted reviews in higher-risk functions including procurement, commercial bidding and third-party engagement. The Group uses a common control language based on the principle of the italicized term </w:t>
      </w:r>
      <w:r>
        <w:t xml:space="preserve">internal control environment</w:t>
      </w:r>
      <w:r>
        <w:t xml:space="preserve">, covering preventive controls, detective controls and management review controls. This structure is reinforced by policy attestations, hotline access, conflict-of-interest declarations and periodic internal audit testing. During the year, management also updated delegated authority schedules to reflect growth in Digital Services and to align newly expanded commercial arrangements with existing approval disciplines.</w:t>
      </w:r>
    </w:p>
    <w:p w14:paraId="00100AE8" w14:textId="00100AE9">
      <w:pPr>
        <w:pStyle w:val="Normal"/>
        <w:jc w:val="left"/>
      </w:pPr>
      <w:r>
        <w:t xml:space="preserve">Operational management initiates transactions and business proposals within approved budgets, policy limits and delegated authority thresholds.</w:t>
      </w:r>
    </w:p>
    <w:p w14:paraId="00100AEA" w14:textId="00100AEB">
      <w:pPr>
        <w:pStyle w:val="Normal"/>
        <w:jc w:val="left"/>
      </w:pPr>
      <w:r>
        <w:t xml:space="preserve">Functional reviewers in finance, legal, procurement, human resources or information security test completeness, compliance and supporting evidence before approval is granted.</w:t>
      </w:r>
    </w:p>
    <w:p w14:paraId="00100AEC" w14:textId="00100AED">
      <w:pPr>
        <w:pStyle w:val="Normal"/>
        <w:jc w:val="left"/>
      </w:pPr>
      <w:r>
        <w:t xml:space="preserve">Executive management approves items that exceed business-unit authority or carry broader strategic, reputational or risk implications for the Group.</w:t>
      </w:r>
    </w:p>
    <w:p w14:paraId="00100AEE" w14:textId="00100AEF">
      <w:pPr>
        <w:pStyle w:val="Normal"/>
        <w:jc w:val="left"/>
      </w:pPr>
      <w:r>
        <w:t xml:space="preserve">Board committees review matters reserved for committee oversight, including financial reporting integrity, principal risk developments, executive remuneration matters and significant control exceptions.</w:t>
      </w:r>
    </w:p>
    <w:p w14:paraId="00100AF0" w14:textId="00100AF1">
      <w:pPr>
        <w:pStyle w:val="Normal"/>
        <w:jc w:val="left"/>
      </w:pPr>
      <w:r>
        <w:t xml:space="preserve">The Board retains final approval for reserved matters such as major acquisitions, large capital programs, funding actions, dividend recommendations and changes to Group governance policy.</w:t>
      </w:r>
    </w:p>
    <w:p w14:paraId="00100AF2" w14:textId="00100AF3">
      <w:pPr>
        <w:pStyle w:val="Heading3a"/>
        <w:jc w:val="left"/>
      </w:pPr>
      <w:r>
        <w:t xml:space="preserve">Compliance Topics</w:t>
      </w:r>
    </w:p>
    <w:p w14:paraId="00100AF4" w14:textId="00100AF5">
      <w:pPr>
        <w:pStyle w:val="Normal"/>
        <w:jc w:val="left"/>
      </w:pPr>
      <w:r>
        <w:t xml:space="preserve">Compliance activity during the year focused on strengthening awareness, improving reporting quality and reducing repeat issues in areas with elevated operational exposure. Mandatory training covered code of conduct expectations, anti-bribery and corruption, competition law, cybersecurity hygiene, data handling, workplace respect and speaking-up procedures. Completion rates improved across the Group, supported by tighter onboarding requirements and follow-up campaigns in business units where training was initially delayed. Management also introduced more tailored learning for procurement, sales leadership and plant supervision roles, recognizing that risks often arise in day-to-day decisions rather than in exceptional events.</w:t>
      </w:r>
    </w:p>
    <w:p w14:paraId="00100AF6" w14:textId="00100AF7">
      <w:pPr>
        <w:pStyle w:val="Normal"/>
        <w:jc w:val="left"/>
      </w:pPr>
      <w:r>
        <w:t xml:space="preserve">Reported incidents remained concentrated in three recurring themes: control documentation gaps, policy breaches related to purchasing discipline and conduct matters involving interpersonal behavior. Most cases were local in scale and were resolved through investigation, coaching, disciplinary action or process correction. A smaller number required cross-functional review because they involved data access, third-party screening or repeat control failure. The compliance team tracks themes by business unit and issue type to identify common root causes, allowing management to focus resources on prevention rather than only case closure. This thematic approach has improved visibility over where policies are well understood and where stronger supervision or clearer procedures are still required.</w:t>
      </w:r>
    </w:p>
    <w:p w14:paraId="00100AF8" w14:textId="00100AFB">
      <w:pPr>
        <w:pStyle w:val="Normal"/>
        <w:jc w:val="left"/>
      </w:pPr>
      <w:r>
        <w:t xml:space="preserve">When compliance breaches or control failures are identified, Rivermark Group follows a structured remediation process that combines immediate containment with longer-term corrective action</w:t>
      </w:r>
      <w:r>
        <w:t xml:space="preserve">¹</w:t>
      </w:r>
      <w:r>
        <w:t xml:space="preserve">. Initial responses are designed to stop the issue from recurring, secure relevant records and assign accountable owners for investigation and resolution. Depending on the nature of the matter, remediation may include control redesign, targeted retraining, disciplinary measures, contract revision, system-access changes or strengthened management review. Material matters are reported through the relevant executive forum and, where appropriate, escalated to the Audit Committee or Risk Committee for oversight.</w:t>
        <w:br/>
        <w:t xml:space="preserve">Follow-up is managed through a centralized issues log that records root cause, action plan, due date and closure evidence. Internal audit and control owners test whether agreed actions have been implemented in practice rather than only documented on paper. Overdue actions are highlighted in periodic governance reporting, and repeat findings trigger more intensive monitoring. This approach has helped the Group improve closure discipline, shorten remediation timelines and raise the consistency of response across segments. By linking incident management with policy review and training feedback, Rivermark Group aims to ensure that each case contributes to a stronger control environment rather than remaining an isolated correction.</w:t>
      </w:r>
    </w:p>
    <w:p w14:paraId="0010167B" w14:textId="0010167C">
      <w:pPr>
        <w:pStyle w:val="Normal"/>
        <w:jc w:val="left"/>
        <w:sectPr>
          <w:type w:val="nextPage"/>
          <w:pgSz w:w="11906" w:h="16838"/>
          <w:pgMar w:top="1440" w:right="1440" w:bottom="1440" w:left="1440" w:header="1440" w:footer="1440" w:gutter="0"/>
          <w:cols w:space="720" w:num="1"/>
        </w:sectPr>
      </w:pPr>
    </w:p>
    <w:p w14:paraId="00100B00" w14:textId="00100B01">
      <w:pPr>
        <w:pStyle w:val="Heading1a"/>
        <w:jc w:val="left"/>
      </w:pPr>
      <w:r>
        <w:t xml:space="preserve">Risk and Sustainability</w:t>
      </w:r>
    </w:p>
    <w:p w14:paraId="00100B02" w14:textId="00100B03">
      <w:pPr>
        <w:pStyle w:val="Normal"/>
        <w:jc w:val="left"/>
      </w:pPr>
      <w:r>
        <w:t xml:space="preserve">Rivermark Group manages risk and sustainability as connected responsibilities rather than separate reporting streams. During the year, management continued to align commercial planning, capital allocation, operational control, safety performance, workforce development, and environmental action within a single oversight framework. This approach reflects the Group’s operating profile: supply disruption, cyber exposure, energy cost volatility, safety incidents, climate transition pressure, and talent availability can all affect earnings quality, cash generation, and long-term resilience at the same time.</w:t>
      </w:r>
    </w:p>
    <w:p w14:paraId="00100B04" w14:textId="00100B05">
      <w:pPr>
        <w:pStyle w:val="Normal"/>
        <w:jc w:val="left"/>
      </w:pPr>
      <w:r>
        <w:t xml:space="preserve">The chapter therefore combines principal risk reporting with key non-financial indicators and management actions. It explains how risks are identified, assessed, escalated, and reviewed; how assurance is obtained from business units and corporate functions; and how the Board monitors emerging developments that may influence strategy execution. It also summarizes progress in safety, people, climate, energy, resources, and waste, with attention to the operational drivers behind the reported measures rather than presenting metrics in isolation.</w:t>
      </w:r>
    </w:p>
    <w:p w14:paraId="00100B06" w14:textId="00100B07">
      <w:pPr>
        <w:pStyle w:val="Normal"/>
        <w:jc w:val="left"/>
      </w:pPr>
      <w:r>
        <w:t xml:space="preserve">Management’s emphasis in the reporting year was on discipline and practicality. The Group refined risk ownership, strengthened control reviews in higher-exposure activities, expanded scenario analysis in selected areas, and linked sustainability priorities more directly to operational improvement programs. As a result, the disclosures in this chapter are intended to show not only where Rivermark Group faced pressure, but also how it responded and where further improvement remains necessary.</w:t>
      </w:r>
    </w:p>
    <w:p w14:paraId="00100B08" w14:textId="00100B09">
      <w:pPr>
        <w:pStyle w:val="Heading2a"/>
        <w:jc w:val="left"/>
      </w:pPr>
      <w:r>
        <w:t xml:space="preserve">Risk Management</w:t>
      </w:r>
    </w:p>
    <w:p w14:paraId="00100B0A" w14:textId="00100B0B">
      <w:pPr>
        <w:pStyle w:val="Normal"/>
        <w:jc w:val="left"/>
      </w:pPr>
      <w:r>
        <w:t xml:space="preserve">Risk governance at Rivermark Group is designed to support timely decision-making while maintaining clear accountability. The Board retains overall responsibility for the Group’s risk profile and determines the level of risk considered acceptable in pursuit of strategy. Day-to-day management of risks is delegated to the Chief Executive Officer and the executive team, who oversee the identification of operational, financial, legal, technology, people, and sustainability-related exposures across the portfolio.</w:t>
      </w:r>
    </w:p>
    <w:p w14:paraId="00100B0C" w14:textId="00100B0D">
      <w:pPr>
        <w:pStyle w:val="Normal"/>
        <w:jc w:val="left"/>
      </w:pPr>
      <w:r>
        <w:t xml:space="preserve">The governance model operates through defined reporting lines from segment management and functional leaders to central oversight forums. Each segment maintains risk registers covering its principal exposures, control actions, and residual risk assessments. These registers are reviewed periodically and consolidated at Group level to identify concentration areas, common control weaknesses, and emerging issues that may require escalation. Particular focus during the year was placed on supply continuity, cyber readiness, inflation-related cost pressure, health and safety performance, and regulatory developments affecting environmental compliance.</w:t>
      </w:r>
    </w:p>
    <w:p w14:paraId="00100B0E" w14:textId="00100B0F">
      <w:pPr>
        <w:pStyle w:val="Normal"/>
        <w:jc w:val="left"/>
      </w:pPr>
      <w:r>
        <w:t xml:space="preserve">This governance process is intended to balance local ownership with Group consistency. Segment leaders remain accountable for the risks arising in their operations, while central functions provide policy, challenge, methodology, and monitoring. The result is a framework that supports comparability across businesses without weakening management responsibility at source.</w:t>
      </w:r>
    </w:p>
    <w:p w14:paraId="00100B10" w14:textId="00100B11">
      <w:pPr>
        <w:pStyle w:val="Normal"/>
        <w:jc w:val="left"/>
      </w:pPr>
      <w:r>
        <w:drawing>
          <wp:inline distT="0" distB="0" distL="0" distR="0">
            <wp:extent cx="3960000" cy="2520000"/>
            <wp:effectExtent l="0" t="0" r="0" b="0"/>
            <wp:docPr id="23" name="Fig-C08a-1.png" descr=""/>
            <wp:cNvGraphicFramePr>
              <a:graphicFrameLocks noChangeAspect="1"/>
            </wp:cNvGraphicFramePr>
            <a:graphic>
              <a:graphicData uri="http://schemas.openxmlformats.org/drawingml/2006/picture">
                <pic:pic>
                  <pic:nvPicPr>
                    <pic:cNvPr id="23" name="Fig-C08a-1.png"/>
                    <pic:cNvPicPr/>
                  </pic:nvPicPr>
                  <pic:blipFill>
                    <a:blip r:embed="R3aea449cc3eb422a" cstate="print"/>
                    <a:stretch>
                      <a:fillRect/>
                    </a:stretch>
                  </pic:blipFill>
                  <pic:spPr>
                    <a:xfrm>
                      <a:off x="0" y="0"/>
                      <a:ext cx="4320000" cy="2880000"/>
                    </a:xfrm>
                    <a:prstGeom prst="rect">
                      <a:avLst/>
                    </a:prstGeom>
                  </pic:spPr>
                </pic:pic>
              </a:graphicData>
            </a:graphic>
          </wp:inline>
        </w:drawing>
      </w:r>
    </w:p>
    <w:p w14:paraId="00100B12" w14:textId="00100B13">
      <w:pPr>
        <w:pStyle w:val="Normal"/>
        <w:jc w:val="left"/>
      </w:pPr>
      <w:r>
        <w:t xml:space="preserve">Figure 21. Group principal risk heat chart by likelihood and potential impact at year end.</w:t>
      </w:r>
    </w:p>
    <w:p w14:paraId="00100B14" w14:textId="00100B15">
      <w:pPr>
        <w:pStyle w:val="Heading3a"/>
        <w:jc w:val="left"/>
      </w:pPr>
      <w:r>
        <w:t xml:space="preserve">Risk Framework</w:t>
      </w:r>
    </w:p>
    <w:p w14:paraId="00100B16" w14:textId="00100B17">
      <w:pPr>
        <w:pStyle w:val="Normal"/>
        <w:jc w:val="left"/>
      </w:pPr>
      <w:r>
        <w:t xml:space="preserve">Rivermark Group’s risk framework combines top-down oversight with bottom-up assessment. The Board reviews the Group’s principal risks, emerging exposures, and mitigation priorities at scheduled intervals, supported by reporting from the Audit and Risk Committee and executive management. At operating level, segment and functional teams identify risks through planning cycles, monthly performance reviews, incident reporting, internal control testing, and targeted workshops. Risks are then evaluated by reference to likelihood, potential financial and operational effect, speed of onset, and management preparedness.</w:t>
      </w:r>
    </w:p>
    <w:p w14:paraId="00100B18" w14:textId="00100B19">
      <w:pPr>
        <w:pStyle w:val="Normal"/>
        <w:jc w:val="left"/>
      </w:pPr>
      <w:r>
        <w:t xml:space="preserve">A common methodology is used to support consistency in rating and escalation. Management distinguishes between gross exposure, current controls, and residual risk so that discussion is focused on the remaining vulnerability after mitigating actions. This is particularly important for cross-functional matters such as cyber security, key supplier dependency, environmental compliance, and workforce capability, where formal ownership may sit in one area but consequences extend across several businesses. The framework also incorporates horizon scanning for emerging issues that may not yet be visible in historical data.</w:t>
      </w:r>
    </w:p>
    <w:p w14:paraId="00100B1A" w14:textId="00100B1D">
      <w:pPr>
        <w:pStyle w:val="Normal"/>
        <w:jc w:val="left"/>
      </w:pPr>
      <w:r>
        <w:t xml:space="preserve">The process is embedded in the Group’s wider system of governance rather than treated as a standalone compliance exercise. Risk assessment informs investment proposals, budgeting, business continuity planning, and the review of strategic initiatives. In this way, risk management supports decisions on growth, cost actions, and resilience, while helping management maintain an explicit view of *</w:t>
      </w:r>
      <w:r>
        <w:t xml:space="preserve">risk appetite</w:t>
      </w:r>
      <w:r>
        <w:t xml:space="preserve">* in areas where opportunity and exposure move together.</w:t>
      </w:r>
    </w:p>
    <w:p w14:paraId="00100B1E" w14:textId="00100B1F">
      <w:pPr>
        <w:pStyle w:val="Normal"/>
        <w:jc w:val="left"/>
      </w:pPr>
      <w:r>
        <w:t xml:space="preserve">Assurance over the risk framework is provided through a layered model of review. First-line assurance is delivered by operational management, which is responsible for maintaining controls, tracking incidents, and confirming completion of agreed mitigation actions. Second-line assurance is provided by Group functions including finance, legal, compliance, sustainability, information security, human resources, and health and safety teams. These functions issue policies, monitor adherence, perform thematic reviews, and challenge the quality of reporting from business units.</w:t>
      </w:r>
    </w:p>
    <w:p w14:paraId="00100B20" w14:textId="00100B21">
      <w:pPr>
        <w:pStyle w:val="Normal"/>
        <w:jc w:val="left"/>
      </w:pPr>
      <w:r>
        <w:t xml:space="preserve">Internal audit provides independent third-line review over selected processes and sites using a risk-based annual plan approved by the Audit and Risk Committee. Findings from internal audit work are graded, assigned to accountable owners, and monitored through formal remediation tracking. During the year, review activity focused on procurement controls, access management, inventory governance, project execution, and selected environmental and safety processes in higher-risk operations. Follow-up testing was also undertaken where prior-year recommendations had not yet been fully embedded.</w:t>
      </w:r>
    </w:p>
    <w:p w14:paraId="00100B22" w14:textId="00100B23">
      <w:pPr>
        <w:pStyle w:val="Normal"/>
        <w:jc w:val="left"/>
      </w:pPr>
      <w:r>
        <w:t xml:space="preserve">The assurance cycle is supplemented by management certifications, external specialist assessments in targeted areas, and periodic deep dives requested by the Board or committee chairs. Together, these mechanisms help validate whether reported risk positions remain accurate and whether controls are operating as intended. Management considers this layered review structure essential to maintaining confidence in both principal risk disclosures and the broader sustainability data presented in this report.</w:t>
      </w:r>
    </w:p>
    <w:p w14:paraId="00100B24" w14:textId="00100B25">
      <w:pPr>
        <w:pStyle w:val="Heading3a"/>
        <w:jc w:val="left"/>
      </w:pPr>
      <w:r>
        <w:t xml:space="preserve">Principal Risks</w:t>
      </w:r>
    </w:p>
    <w:p w14:paraId="00100B26" w14:textId="00100B27">
      <w:pPr>
        <w:pStyle w:val="Normal"/>
        <w:jc w:val="left"/>
      </w:pPr>
      <w:r>
        <w:t xml:space="preserve">The Group’s principal risks remained broadly stable in category during the year, but movement was observed in several underlying exposures. Supply chain risk moderated from the peak conditions experienced in the prior year as lead times improved and sourcing alternatives widened, although dependence on selected critical components and logistics lanes continues to require close oversight. Inflationary pressure also eased relative to earlier periods, yet labor cost and utility cost volatility remained relevant in markets where pricing recovery lagged input changes.</w:t>
      </w:r>
    </w:p>
    <w:p w14:paraId="00100B28" w14:textId="00100B29">
      <w:pPr>
        <w:pStyle w:val="Normal"/>
        <w:jc w:val="left"/>
      </w:pPr>
      <w:r>
        <w:t xml:space="preserve">Cyber and data protection risk continued to rank among the Group’s highest priorities. Expanded digital operations, greater system interdependence, and rising external threat activity increased the importance of resilience, access control, and incident preparedness, even though no material breach with lasting financial effect was recorded during the reporting year. Regulatory and compliance risk also increased in attention level as reporting expectations, environmental obligations, and customer due-diligence standards became more demanding across multiple jurisdictions.</w:t>
      </w:r>
    </w:p>
    <w:p w14:paraId="00100B2A" w14:textId="00100B2B">
      <w:pPr>
        <w:pStyle w:val="Normal"/>
        <w:jc w:val="left"/>
      </w:pPr>
      <w:r>
        <w:t xml:space="preserve">In sustainability-related areas, climate and energy risk shifted from a largely medium-term consideration to a more immediate operational and commercial issue. Energy procurement, emissions performance, customer decarbonization requirements, and physical weather disruption all became more significant in planning discussions. By contrast, liquidity risk remained well controlled, supported by available facilities and disciplined cash management. Overall, management’s assessment is that the risk profile is manageable, but that resilience now depends less on isolated controls and more on coordinated response across operations, technology, people, and external partners.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B2C" w14:textId="00100B64">
            <w:pPr>
              <w:pStyle w:val="Normal"/>
              <w:jc w:val="left"/>
            </w:pPr>
            <w:r>
              <w:t xml:space="preserve">Principal risk</w:t>
            </w:r>
          </w:p>
        </w:tc>
        <w:tc>
          <w:tcPr>
            <w:vAlign w:val="center"/>
            <w:tcBorders>
              <w:top w:val="single" w:sz="4" w:space="0" w:color="auto"/>
              <w:left w:val="single" w:sz="4" w:space="0" w:color="auto"/>
              <w:bottom w:val="single" w:sz="4" w:space="0" w:color="auto"/>
              <w:right w:val="single" w:sz="4" w:space="0" w:color="auto"/>
            </w:tcBorders>
          </w:tcPr>
          <w:p w14:paraId="00100B2E" w14:textId="00100B65">
            <w:pPr>
              <w:pStyle w:val="Normal"/>
              <w:jc w:val="left"/>
            </w:pPr>
            <w:r>
              <w:t xml:space="preserve">Trend</w:t>
            </w:r>
          </w:p>
        </w:tc>
        <w:tc>
          <w:tcPr>
            <w:vAlign w:val="center"/>
            <w:tcBorders>
              <w:top w:val="single" w:sz="4" w:space="0" w:color="auto"/>
              <w:left w:val="single" w:sz="4" w:space="0" w:color="auto"/>
              <w:bottom w:val="single" w:sz="4" w:space="0" w:color="auto"/>
              <w:right w:val="single" w:sz="4" w:space="0" w:color="auto"/>
            </w:tcBorders>
          </w:tcPr>
          <w:p w14:paraId="00100B30" w14:textId="00100B66">
            <w:pPr>
              <w:pStyle w:val="Normal"/>
              <w:jc w:val="left"/>
            </w:pPr>
            <w:r>
              <w:t xml:space="preserve">Potential effect</w:t>
            </w:r>
          </w:p>
        </w:tc>
        <w:tc>
          <w:tcPr>
            <w:vAlign w:val="center"/>
            <w:tcBorders>
              <w:top w:val="single" w:sz="4" w:space="0" w:color="auto"/>
              <w:left w:val="single" w:sz="4" w:space="0" w:color="auto"/>
              <w:bottom w:val="single" w:sz="4" w:space="0" w:color="auto"/>
              <w:right w:val="single" w:sz="4" w:space="0" w:color="auto"/>
            </w:tcBorders>
          </w:tcPr>
          <w:p w14:paraId="00100B32" w14:textId="00100B67">
            <w:pPr>
              <w:pStyle w:val="Normal"/>
              <w:jc w:val="left"/>
            </w:pPr>
            <w:r>
              <w:t xml:space="preserve">Current response</w:t>
            </w:r>
          </w:p>
        </w:tc>
      </w:tr>
      <w:tr>
        <w:tc>
          <w:tcPr>
            <w:vAlign w:val="center"/>
            <w:tcBorders>
              <w:top w:val="single" w:sz="4" w:space="0" w:color="auto"/>
              <w:left w:val="single" w:sz="4" w:space="0" w:color="auto"/>
              <w:bottom w:val="single" w:sz="4" w:space="0" w:color="auto"/>
              <w:right w:val="single" w:sz="4" w:space="0" w:color="auto"/>
            </w:tcBorders>
          </w:tcPr>
          <w:p w14:paraId="00100B34" w14:textId="00100B68">
            <w:pPr>
              <w:pStyle w:val="Normal"/>
              <w:jc w:val="left"/>
            </w:pPr>
            <w:r>
              <w:t xml:space="preserve">Market demand volatility</w:t>
            </w:r>
          </w:p>
        </w:tc>
        <w:tc>
          <w:tcPr>
            <w:vAlign w:val="center"/>
            <w:tcBorders>
              <w:top w:val="single" w:sz="4" w:space="0" w:color="auto"/>
              <w:left w:val="single" w:sz="4" w:space="0" w:color="auto"/>
              <w:bottom w:val="single" w:sz="4" w:space="0" w:color="auto"/>
              <w:right w:val="single" w:sz="4" w:space="0" w:color="auto"/>
            </w:tcBorders>
          </w:tcPr>
          <w:p w14:paraId="00100B36" w14:textId="00100B69">
            <w:pPr>
              <w:pStyle w:val="Normal"/>
              <w:jc w:val="left"/>
            </w:pPr>
            <w:r>
              <w:t xml:space="preserve">Increasing</w:t>
            </w:r>
          </w:p>
        </w:tc>
        <w:tc>
          <w:tcPr>
            <w:vAlign w:val="center"/>
            <w:tcBorders>
              <w:top w:val="single" w:sz="4" w:space="0" w:color="auto"/>
              <w:left w:val="single" w:sz="4" w:space="0" w:color="auto"/>
              <w:bottom w:val="single" w:sz="4" w:space="0" w:color="auto"/>
              <w:right w:val="single" w:sz="4" w:space="0" w:color="auto"/>
            </w:tcBorders>
          </w:tcPr>
          <w:p w14:paraId="00100B38" w14:textId="00100B6A">
            <w:pPr>
              <w:pStyle w:val="Normal"/>
              <w:jc w:val="left"/>
            </w:pPr>
            <w:r>
              <w:t xml:space="preserve">Lower order intake, reduced capacity utilization, and pressure on pricing in cyclical end markets</w:t>
            </w:r>
          </w:p>
        </w:tc>
        <w:tc>
          <w:tcPr>
            <w:vAlign w:val="center"/>
            <w:tcBorders>
              <w:top w:val="single" w:sz="4" w:space="0" w:color="auto"/>
              <w:left w:val="single" w:sz="4" w:space="0" w:color="auto"/>
              <w:bottom w:val="single" w:sz="4" w:space="0" w:color="auto"/>
              <w:right w:val="single" w:sz="4" w:space="0" w:color="auto"/>
            </w:tcBorders>
          </w:tcPr>
          <w:p w14:paraId="00100B3A" w14:textId="00100B6B">
            <w:pPr>
              <w:pStyle w:val="Normal"/>
              <w:jc w:val="left"/>
            </w:pPr>
            <w:r>
              <w:t xml:space="preserve">Monthly demand sensing, diversified customer mix, selective pricing action, and tighter production scheduling</w:t>
            </w:r>
          </w:p>
        </w:tc>
      </w:tr>
      <w:tr>
        <w:tc>
          <w:tcPr>
            <w:vAlign w:val="center"/>
            <w:tcBorders>
              <w:top w:val="single" w:sz="4" w:space="0" w:color="auto"/>
              <w:left w:val="single" w:sz="4" w:space="0" w:color="auto"/>
              <w:bottom w:val="single" w:sz="4" w:space="0" w:color="auto"/>
              <w:right w:val="single" w:sz="4" w:space="0" w:color="auto"/>
            </w:tcBorders>
          </w:tcPr>
          <w:p w14:paraId="00100B3C" w14:textId="00100B6C">
            <w:pPr>
              <w:pStyle w:val="Normal"/>
              <w:jc w:val="left"/>
            </w:pPr>
            <w:r>
              <w:t xml:space="preserve">Supply chain disruption</w:t>
            </w:r>
          </w:p>
        </w:tc>
        <w:tc>
          <w:tcPr>
            <w:vAlign w:val="center"/>
            <w:tcBorders>
              <w:top w:val="single" w:sz="4" w:space="0" w:color="auto"/>
              <w:left w:val="single" w:sz="4" w:space="0" w:color="auto"/>
              <w:bottom w:val="single" w:sz="4" w:space="0" w:color="auto"/>
              <w:right w:val="single" w:sz="4" w:space="0" w:color="auto"/>
            </w:tcBorders>
          </w:tcPr>
          <w:p w14:paraId="00100B3E" w14:textId="00100B6D">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B40" w14:textId="00100B6E">
            <w:pPr>
              <w:pStyle w:val="Normal"/>
              <w:jc w:val="left"/>
            </w:pPr>
            <w:r>
              <w:t xml:space="preserve">Delays in material availability, higher freight costs, and service disruption for customer projects</w:t>
            </w:r>
          </w:p>
        </w:tc>
        <w:tc>
          <w:tcPr>
            <w:vAlign w:val="center"/>
            <w:tcBorders>
              <w:top w:val="single" w:sz="4" w:space="0" w:color="auto"/>
              <w:left w:val="single" w:sz="4" w:space="0" w:color="auto"/>
              <w:bottom w:val="single" w:sz="4" w:space="0" w:color="auto"/>
              <w:right w:val="single" w:sz="4" w:space="0" w:color="auto"/>
            </w:tcBorders>
          </w:tcPr>
          <w:p w14:paraId="00100B42" w14:textId="00100B6F">
            <w:pPr>
              <w:pStyle w:val="Normal"/>
              <w:jc w:val="left"/>
            </w:pPr>
            <w:r>
              <w:t xml:space="preserve">Dual sourcing on critical categories, supplier risk reviews, safety stock for constrained items, and logistics contingency plans</w:t>
            </w:r>
          </w:p>
        </w:tc>
      </w:tr>
      <w:tr>
        <w:tc>
          <w:tcPr>
            <w:vAlign w:val="center"/>
            <w:tcBorders>
              <w:top w:val="single" w:sz="4" w:space="0" w:color="auto"/>
              <w:left w:val="single" w:sz="4" w:space="0" w:color="auto"/>
              <w:bottom w:val="single" w:sz="4" w:space="0" w:color="auto"/>
              <w:right w:val="single" w:sz="4" w:space="0" w:color="auto"/>
            </w:tcBorders>
          </w:tcPr>
          <w:p w14:paraId="00100B44" w14:textId="00100B70">
            <w:pPr>
              <w:pStyle w:val="Normal"/>
              <w:jc w:val="left"/>
            </w:pPr>
            <w:r>
              <w:t xml:space="preserve">Cybersecurity and data resilience</w:t>
            </w:r>
          </w:p>
        </w:tc>
        <w:tc>
          <w:tcPr>
            <w:vAlign w:val="center"/>
            <w:tcBorders>
              <w:top w:val="single" w:sz="4" w:space="0" w:color="auto"/>
              <w:left w:val="single" w:sz="4" w:space="0" w:color="auto"/>
              <w:bottom w:val="single" w:sz="4" w:space="0" w:color="auto"/>
              <w:right w:val="single" w:sz="4" w:space="0" w:color="auto"/>
            </w:tcBorders>
          </w:tcPr>
          <w:p w14:paraId="00100B46" w14:textId="00100B71">
            <w:pPr>
              <w:pStyle w:val="Normal"/>
              <w:jc w:val="left"/>
            </w:pPr>
            <w:r>
              <w:t xml:space="preserve">Increasing</w:t>
            </w:r>
          </w:p>
        </w:tc>
        <w:tc>
          <w:tcPr>
            <w:vAlign w:val="center"/>
            <w:tcBorders>
              <w:top w:val="single" w:sz="4" w:space="0" w:color="auto"/>
              <w:left w:val="single" w:sz="4" w:space="0" w:color="auto"/>
              <w:bottom w:val="single" w:sz="4" w:space="0" w:color="auto"/>
              <w:right w:val="single" w:sz="4" w:space="0" w:color="auto"/>
            </w:tcBorders>
          </w:tcPr>
          <w:p w14:paraId="00100B48" w14:textId="00100B72">
            <w:pPr>
              <w:pStyle w:val="Normal"/>
              <w:jc w:val="left"/>
            </w:pPr>
            <w:r>
              <w:t xml:space="preserve">Operational interruption, client service outages, data loss, and regulatory exposure across digital platforms</w:t>
            </w:r>
          </w:p>
        </w:tc>
        <w:tc>
          <w:tcPr>
            <w:vAlign w:val="center"/>
            <w:tcBorders>
              <w:top w:val="single" w:sz="4" w:space="0" w:color="auto"/>
              <w:left w:val="single" w:sz="4" w:space="0" w:color="auto"/>
              <w:bottom w:val="single" w:sz="4" w:space="0" w:color="auto"/>
              <w:right w:val="single" w:sz="4" w:space="0" w:color="auto"/>
            </w:tcBorders>
          </w:tcPr>
          <w:p w14:paraId="00100B4A" w14:textId="00100B73">
            <w:pPr>
              <w:pStyle w:val="Normal"/>
              <w:jc w:val="left"/>
            </w:pPr>
            <w:r>
              <w:t xml:space="preserve">24/7 security monitoring, access control upgrades, backup testing, incident response drills, and employee awareness training</w:t>
            </w:r>
          </w:p>
        </w:tc>
      </w:tr>
      <w:tr>
        <w:tc>
          <w:tcPr>
            <w:vAlign w:val="center"/>
            <w:tcBorders>
              <w:top w:val="single" w:sz="4" w:space="0" w:color="auto"/>
              <w:left w:val="single" w:sz="4" w:space="0" w:color="auto"/>
              <w:bottom w:val="single" w:sz="4" w:space="0" w:color="auto"/>
              <w:right w:val="single" w:sz="4" w:space="0" w:color="auto"/>
            </w:tcBorders>
          </w:tcPr>
          <w:p w14:paraId="00100B4C" w14:textId="00100B74">
            <w:pPr>
              <w:pStyle w:val="Normal"/>
              <w:jc w:val="left"/>
            </w:pPr>
            <w:r>
              <w:t xml:space="preserve">Health, safety, and environmental incidents</w:t>
            </w:r>
          </w:p>
        </w:tc>
        <w:tc>
          <w:tcPr>
            <w:vAlign w:val="center"/>
            <w:tcBorders>
              <w:top w:val="single" w:sz="4" w:space="0" w:color="auto"/>
              <w:left w:val="single" w:sz="4" w:space="0" w:color="auto"/>
              <w:bottom w:val="single" w:sz="4" w:space="0" w:color="auto"/>
              <w:right w:val="single" w:sz="4" w:space="0" w:color="auto"/>
            </w:tcBorders>
          </w:tcPr>
          <w:p w14:paraId="00100B4E" w14:textId="00100B75">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B50" w14:textId="00100B76">
            <w:pPr>
              <w:pStyle w:val="Normal"/>
              <w:jc w:val="left"/>
            </w:pPr>
            <w:r>
              <w:t xml:space="preserve">Injury risk, site shutdowns, remediation cost, and reputational damage</w:t>
            </w:r>
          </w:p>
        </w:tc>
        <w:tc>
          <w:tcPr>
            <w:vAlign w:val="center"/>
            <w:tcBorders>
              <w:top w:val="single" w:sz="4" w:space="0" w:color="auto"/>
              <w:left w:val="single" w:sz="4" w:space="0" w:color="auto"/>
              <w:bottom w:val="single" w:sz="4" w:space="0" w:color="auto"/>
              <w:right w:val="single" w:sz="4" w:space="0" w:color="auto"/>
            </w:tcBorders>
          </w:tcPr>
          <w:p w14:paraId="00100B52" w14:textId="00100B77">
            <w:pPr>
              <w:pStyle w:val="Normal"/>
              <w:jc w:val="left"/>
            </w:pPr>
            <w:r>
              <w:t xml:space="preserve">Site-based prevention plans, critical control verification, contractor induction, and near-miss reporting</w:t>
            </w:r>
          </w:p>
        </w:tc>
      </w:tr>
      <w:tr>
        <w:tc>
          <w:tcPr>
            <w:vAlign w:val="center"/>
            <w:tcBorders>
              <w:top w:val="single" w:sz="4" w:space="0" w:color="auto"/>
              <w:left w:val="single" w:sz="4" w:space="0" w:color="auto"/>
              <w:bottom w:val="single" w:sz="4" w:space="0" w:color="auto"/>
              <w:right w:val="single" w:sz="4" w:space="0" w:color="auto"/>
            </w:tcBorders>
          </w:tcPr>
          <w:p w14:paraId="00100B54" w14:textId="00100B78">
            <w:pPr>
              <w:pStyle w:val="Normal"/>
              <w:jc w:val="left"/>
            </w:pPr>
            <w:r>
              <w:t xml:space="preserve">Talent availability and retention</w:t>
            </w:r>
          </w:p>
        </w:tc>
        <w:tc>
          <w:tcPr>
            <w:vAlign w:val="center"/>
            <w:tcBorders>
              <w:top w:val="single" w:sz="4" w:space="0" w:color="auto"/>
              <w:left w:val="single" w:sz="4" w:space="0" w:color="auto"/>
              <w:bottom w:val="single" w:sz="4" w:space="0" w:color="auto"/>
              <w:right w:val="single" w:sz="4" w:space="0" w:color="auto"/>
            </w:tcBorders>
          </w:tcPr>
          <w:p w14:paraId="00100B56" w14:textId="00100B79">
            <w:pPr>
              <w:pStyle w:val="Normal"/>
              <w:jc w:val="left"/>
            </w:pPr>
            <w:r>
              <w:t xml:space="preserve">Increasing</w:t>
            </w:r>
          </w:p>
        </w:tc>
        <w:tc>
          <w:tcPr>
            <w:vAlign w:val="center"/>
            <w:tcBorders>
              <w:top w:val="single" w:sz="4" w:space="0" w:color="auto"/>
              <w:left w:val="single" w:sz="4" w:space="0" w:color="auto"/>
              <w:bottom w:val="single" w:sz="4" w:space="0" w:color="auto"/>
              <w:right w:val="single" w:sz="4" w:space="0" w:color="auto"/>
            </w:tcBorders>
          </w:tcPr>
          <w:p w14:paraId="00100B58" w14:textId="00100B7A">
            <w:pPr>
              <w:pStyle w:val="Normal"/>
              <w:jc w:val="left"/>
            </w:pPr>
            <w:r>
              <w:t xml:space="preserve">Capability gaps in engineering, digital, and frontline roles leading to slower execution</w:t>
            </w:r>
          </w:p>
        </w:tc>
        <w:tc>
          <w:tcPr>
            <w:vAlign w:val="center"/>
            <w:tcBorders>
              <w:top w:val="single" w:sz="4" w:space="0" w:color="auto"/>
              <w:left w:val="single" w:sz="4" w:space="0" w:color="auto"/>
              <w:bottom w:val="single" w:sz="4" w:space="0" w:color="auto"/>
              <w:right w:val="single" w:sz="4" w:space="0" w:color="auto"/>
            </w:tcBorders>
          </w:tcPr>
          <w:p w14:paraId="00100B5A" w14:textId="00100B7B">
            <w:pPr>
              <w:pStyle w:val="Normal"/>
              <w:jc w:val="left"/>
            </w:pPr>
            <w:r>
              <w:t xml:space="preserve">Targeted recruitment, skills academies, succession planning, and retention incentives for priority roles</w:t>
            </w:r>
          </w:p>
        </w:tc>
      </w:tr>
      <w:tr>
        <w:tc>
          <w:tcPr>
            <w:vAlign w:val="center"/>
            <w:tcBorders>
              <w:top w:val="single" w:sz="4" w:space="0" w:color="auto"/>
              <w:left w:val="single" w:sz="4" w:space="0" w:color="auto"/>
              <w:bottom w:val="single" w:sz="4" w:space="0" w:color="auto"/>
              <w:right w:val="single" w:sz="4" w:space="0" w:color="auto"/>
            </w:tcBorders>
          </w:tcPr>
          <w:p w14:paraId="00100B5C" w14:textId="00100B7C">
            <w:pPr>
              <w:pStyle w:val="Normal"/>
              <w:jc w:val="left"/>
            </w:pPr>
            <w:r>
              <w:t xml:space="preserve">Regulatory and compliance change</w:t>
            </w:r>
          </w:p>
        </w:tc>
        <w:tc>
          <w:tcPr>
            <w:vAlign w:val="center"/>
            <w:tcBorders>
              <w:top w:val="single" w:sz="4" w:space="0" w:color="auto"/>
              <w:left w:val="single" w:sz="4" w:space="0" w:color="auto"/>
              <w:bottom w:val="single" w:sz="4" w:space="0" w:color="auto"/>
              <w:right w:val="single" w:sz="4" w:space="0" w:color="auto"/>
            </w:tcBorders>
          </w:tcPr>
          <w:p w14:paraId="00100B5E" w14:textId="00100B7D">
            <w:pPr>
              <w:pStyle w:val="Normal"/>
              <w:jc w:val="left"/>
            </w:pPr>
            <w:r>
              <w:t xml:space="preserve">Stable</w:t>
            </w:r>
          </w:p>
        </w:tc>
        <w:tc>
          <w:tcPr>
            <w:vAlign w:val="center"/>
            <w:tcBorders>
              <w:top w:val="single" w:sz="4" w:space="0" w:color="auto"/>
              <w:left w:val="single" w:sz="4" w:space="0" w:color="auto"/>
              <w:bottom w:val="single" w:sz="4" w:space="0" w:color="auto"/>
              <w:right w:val="single" w:sz="4" w:space="0" w:color="auto"/>
            </w:tcBorders>
          </w:tcPr>
          <w:p w14:paraId="00100B60" w14:textId="00100B7E">
            <w:pPr>
              <w:pStyle w:val="Normal"/>
              <w:jc w:val="left"/>
            </w:pPr>
            <w:r>
              <w:t xml:space="preserve">Higher compliance cost, delayed approvals, and exposure to penalties in regulated markets</w:t>
            </w:r>
          </w:p>
        </w:tc>
        <w:tc>
          <w:tcPr>
            <w:vAlign w:val="center"/>
            <w:tcBorders>
              <w:top w:val="single" w:sz="4" w:space="0" w:color="auto"/>
              <w:left w:val="single" w:sz="4" w:space="0" w:color="auto"/>
              <w:bottom w:val="single" w:sz="4" w:space="0" w:color="auto"/>
              <w:right w:val="single" w:sz="4" w:space="0" w:color="auto"/>
            </w:tcBorders>
          </w:tcPr>
          <w:p w14:paraId="00100B62" w14:textId="00100B7F">
            <w:pPr>
              <w:pStyle w:val="Normal"/>
              <w:jc w:val="left"/>
            </w:pPr>
            <w:r>
              <w:t xml:space="preserve">Policy monitoring, local compliance ownership, legal review of new requirements, and periodic control testing</w:t>
            </w:r>
          </w:p>
        </w:tc>
      </w:tr>
    </w:tbl>
    <w:p w14:paraId="00100B80" w14:textId="00100B81">
      <w:pPr>
        <w:pStyle w:val="Normal"/>
        <w:jc w:val="left"/>
      </w:pPr>
      <w:r>
        <w:t xml:space="preserve">Table 12 Principal risks, movement indicators, and management response priorities</w:t>
      </w:r>
    </w:p>
    <w:p w14:paraId="00100B82" w14:textId="00100B84">
      <w:pPr>
        <w:pStyle w:val="Normal"/>
        <w:jc w:val="left"/>
      </w:pPr>
      <w:r>
        <w:t xml:space="preserve">Commercial resilience:</w:t>
      </w:r>
      <w:r>
        <w:t xml:space="preserve"> Preserve pricing discipline, rebalance customer exposure, and tighten pipeline conversion reviews in markets showing weaker order momentum.</w:t>
      </w:r>
    </w:p>
    <w:p w14:paraId="00100B85" w14:textId="00100B87">
      <w:pPr>
        <w:pStyle w:val="Normal"/>
        <w:jc w:val="left"/>
      </w:pPr>
      <w:r>
        <w:t xml:space="preserve">Supply assurance:</w:t>
      </w:r>
      <w:r>
        <w:t xml:space="preserve"> Expand dual-source coverage for critical materials, deepen supplier financial screening, and align inventory buffers to the volatility profile of each segment.</w:t>
      </w:r>
    </w:p>
    <w:p w14:paraId="00100B88" w14:textId="00100B8A">
      <w:pPr>
        <w:pStyle w:val="Normal"/>
        <w:jc w:val="left"/>
      </w:pPr>
      <w:r>
        <w:t xml:space="preserve">Digital protection:</w:t>
      </w:r>
      <w:r>
        <w:t xml:space="preserve"> Continue hardening core platforms through identity controls, patch governance, recovery testing, and clearer escalation protocols for cyber events.</w:t>
      </w:r>
    </w:p>
    <w:p w14:paraId="00100B8B" w14:textId="00100B8D">
      <w:pPr>
        <w:pStyle w:val="Normal"/>
        <w:jc w:val="left"/>
      </w:pPr>
      <w:r>
        <w:t xml:space="preserve">Safe operations:</w:t>
      </w:r>
      <w:r>
        <w:t xml:space="preserve"> Focus management attention on high-energy tasks, contractor control, frontline coaching, and closure of repeat near-miss themes before they develop into recordable incidents.</w:t>
      </w:r>
    </w:p>
    <w:p w14:paraId="00100B8E" w14:textId="00100B90">
      <w:pPr>
        <w:pStyle w:val="Normal"/>
        <w:jc w:val="left"/>
      </w:pPr>
      <w:r>
        <w:t xml:space="preserve">People capability:</w:t>
      </w:r>
      <w:r>
        <w:t xml:space="preserve"> Accelerate hiring in engineering and data roles, strengthen internal mobility, and link technical training plans to succession coverage for key operations.</w:t>
      </w:r>
    </w:p>
    <w:p w14:paraId="00100B91" w14:textId="00100B93">
      <w:pPr>
        <w:pStyle w:val="Normal"/>
        <w:jc w:val="left"/>
      </w:pPr>
      <w:r>
        <w:t xml:space="preserve">Compliance readiness:</w:t>
      </w:r>
      <w:r>
        <w:t xml:space="preserve"> Refresh policy libraries, complete targeted training in higher-risk jurisdictions, and improve evidence retention for internal control and audit reviews.</w:t>
      </w:r>
    </w:p>
    <w:p w14:paraId="00100B94" w14:textId="00100B95">
      <w:pPr>
        <w:pStyle w:val="Heading2a"/>
        <w:jc w:val="left"/>
      </w:pPr>
      <w:r>
        <w:t xml:space="preserve">Safety and People</w:t>
      </w:r>
    </w:p>
    <w:p w14:paraId="00100B96" w14:textId="00100B97">
      <w:pPr>
        <w:pStyle w:val="Normal"/>
        <w:jc w:val="left"/>
      </w:pPr>
      <w:r>
        <w:t xml:space="preserve">Rivermark Group views workforce capability and safe operations as closely connected management priorities rather than separate reporting topics. During the year, the Group operated in a mixed demand environment that required flexibility in production, field service, logistics, and digital support teams. This placed greater emphasis on supervision, planning discipline, and the ability to move skilled labor to the areas of highest operational need. Headcount growth was concentrated in customer-facing technical roles, digital delivery positions, and selected maintenance and project functions, while support areas remained under tighter cost control. Management also continued to address competition for skilled labor in engineering, automation, cybersecurity, and frontline leadership positions through targeted recruitment and expanded internal development pathways.</w:t>
      </w:r>
    </w:p>
    <w:p w14:paraId="00100B98" w14:textId="00100B99">
      <w:pPr>
        <w:pStyle w:val="Normal"/>
        <w:jc w:val="left"/>
      </w:pPr>
      <w:r>
        <w:t xml:space="preserve">From a safety perspective, the operating profile of the Group remains diverse, spanning manufacturing sites, logistics nodes, customer project locations, offices, and remote digital environments. The most material exposure continues to arise from mobile equipment, manual handling, contractor activity, electrical work, and high-energy maintenance tasks. In response, local leadership teams reinforced critical control checks, refreshed induction routines, and increased review of near-miss patterns to identify recurring behaviors and process weaknesses. Safety communications were aligned more closely with operational planning so that workload peaks, shift changes, and contractor mobilization received earlier management attention.</w:t>
      </w:r>
    </w:p>
    <w:p w14:paraId="00100B9A" w14:textId="00100B9B">
      <w:pPr>
        <w:pStyle w:val="Normal"/>
        <w:jc w:val="left"/>
      </w:pPr>
      <w:r>
        <w:t xml:space="preserve">People development remained a practical execution theme across the business. Training programs were increasingly tied to role-based capability matrices, with additional focus on supervisor coaching, technical certification, and data-enabled decision support. Inclusion efforts centered on broadening recruitment channels and improving retention in positions where labor turnover had a direct effect on service reliability. Overall, the Group ended the year with a stronger foundation in skills visibility and prevention discipline, while recognizing that sustained progress depends on consistent local execution and continued leadership attention.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B9C" w14:textId="00100BDC">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B9E" w14:textId="00100BDD">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BA0" w14:textId="00100BDE">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BA2" w14:textId="00100BDF">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BA4" w14:textId="00100BE0">
            <w:pPr>
              <w:pStyle w:val="Normal"/>
              <w:jc w:val="left"/>
            </w:pPr>
            <w:r>
              <w:t xml:space="preserve">Average headcount</w:t>
            </w:r>
          </w:p>
        </w:tc>
        <w:tc>
          <w:tcPr>
            <w:vAlign w:val="center"/>
            <w:tcBorders>
              <w:top w:val="single" w:sz="4" w:space="0" w:color="auto"/>
              <w:left w:val="single" w:sz="4" w:space="0" w:color="auto"/>
              <w:bottom w:val="single" w:sz="4" w:space="0" w:color="auto"/>
              <w:right w:val="single" w:sz="4" w:space="0" w:color="auto"/>
            </w:tcBorders>
          </w:tcPr>
          <w:p w14:paraId="00100BA6" w14:textId="00100BE1">
            <w:pPr>
              <w:pStyle w:val="Normal"/>
              <w:jc w:val="left"/>
            </w:pPr>
            <w:r>
              <w:t xml:space="preserve">18,460</w:t>
            </w:r>
          </w:p>
        </w:tc>
        <w:tc>
          <w:tcPr>
            <w:vAlign w:val="center"/>
            <w:tcBorders>
              <w:top w:val="single" w:sz="4" w:space="0" w:color="auto"/>
              <w:left w:val="single" w:sz="4" w:space="0" w:color="auto"/>
              <w:bottom w:val="single" w:sz="4" w:space="0" w:color="auto"/>
              <w:right w:val="single" w:sz="4" w:space="0" w:color="auto"/>
            </w:tcBorders>
          </w:tcPr>
          <w:p w14:paraId="00100BA8" w14:textId="00100BE2">
            <w:pPr>
              <w:pStyle w:val="Normal"/>
              <w:jc w:val="left"/>
            </w:pPr>
            <w:r>
              <w:t xml:space="preserve">17,920</w:t>
            </w:r>
          </w:p>
        </w:tc>
        <w:tc>
          <w:tcPr>
            <w:vAlign w:val="center"/>
            <w:tcBorders>
              <w:top w:val="single" w:sz="4" w:space="0" w:color="auto"/>
              <w:left w:val="single" w:sz="4" w:space="0" w:color="auto"/>
              <w:bottom w:val="single" w:sz="4" w:space="0" w:color="auto"/>
              <w:right w:val="single" w:sz="4" w:space="0" w:color="auto"/>
            </w:tcBorders>
          </w:tcPr>
          <w:p w14:paraId="00100BAA" w14:textId="00100BE3">
            <w:pPr>
              <w:pStyle w:val="Normal"/>
              <w:jc w:val="left"/>
            </w:pPr>
            <w:r>
              <w:t xml:space="preserve">+3.0%</w:t>
            </w:r>
          </w:p>
        </w:tc>
      </w:tr>
      <w:tr>
        <w:tc>
          <w:tcPr>
            <w:vAlign w:val="center"/>
            <w:tcBorders>
              <w:top w:val="single" w:sz="4" w:space="0" w:color="auto"/>
              <w:left w:val="single" w:sz="4" w:space="0" w:color="auto"/>
              <w:bottom w:val="single" w:sz="4" w:space="0" w:color="auto"/>
              <w:right w:val="single" w:sz="4" w:space="0" w:color="auto"/>
            </w:tcBorders>
          </w:tcPr>
          <w:p w14:paraId="00100BAC" w14:textId="00100BE4">
            <w:pPr>
              <w:pStyle w:val="Normal"/>
              <w:jc w:val="left"/>
            </w:pPr>
            <w:r>
              <w:t xml:space="preserve">Women in total workforce</w:t>
            </w:r>
          </w:p>
        </w:tc>
        <w:tc>
          <w:tcPr>
            <w:vAlign w:val="center"/>
            <w:tcBorders>
              <w:top w:val="single" w:sz="4" w:space="0" w:color="auto"/>
              <w:left w:val="single" w:sz="4" w:space="0" w:color="auto"/>
              <w:bottom w:val="single" w:sz="4" w:space="0" w:color="auto"/>
              <w:right w:val="single" w:sz="4" w:space="0" w:color="auto"/>
            </w:tcBorders>
          </w:tcPr>
          <w:p w14:paraId="00100BAE" w14:textId="00100BE5">
            <w:pPr>
              <w:pStyle w:val="Normal"/>
              <w:jc w:val="left"/>
            </w:pPr>
            <w:r>
              <w:t xml:space="preserve">37.8%</w:t>
            </w:r>
          </w:p>
        </w:tc>
        <w:tc>
          <w:tcPr>
            <w:vAlign w:val="center"/>
            <w:tcBorders>
              <w:top w:val="single" w:sz="4" w:space="0" w:color="auto"/>
              <w:left w:val="single" w:sz="4" w:space="0" w:color="auto"/>
              <w:bottom w:val="single" w:sz="4" w:space="0" w:color="auto"/>
              <w:right w:val="single" w:sz="4" w:space="0" w:color="auto"/>
            </w:tcBorders>
          </w:tcPr>
          <w:p w14:paraId="00100BB0" w14:textId="00100BE6">
            <w:pPr>
              <w:pStyle w:val="Normal"/>
              <w:jc w:val="left"/>
            </w:pPr>
            <w:r>
              <w:t xml:space="preserve">36.4%</w:t>
            </w:r>
          </w:p>
        </w:tc>
        <w:tc>
          <w:tcPr>
            <w:vAlign w:val="center"/>
            <w:tcBorders>
              <w:top w:val="single" w:sz="4" w:space="0" w:color="auto"/>
              <w:left w:val="single" w:sz="4" w:space="0" w:color="auto"/>
              <w:bottom w:val="single" w:sz="4" w:space="0" w:color="auto"/>
              <w:right w:val="single" w:sz="4" w:space="0" w:color="auto"/>
            </w:tcBorders>
          </w:tcPr>
          <w:p w14:paraId="00100BB2" w14:textId="00100BE7">
            <w:pPr>
              <w:pStyle w:val="Normal"/>
              <w:jc w:val="left"/>
            </w:pPr>
            <w:r>
              <w:t xml:space="preserve">+1.4 ppt</w:t>
            </w:r>
          </w:p>
        </w:tc>
      </w:tr>
      <w:tr>
        <w:tc>
          <w:tcPr>
            <w:vAlign w:val="center"/>
            <w:tcBorders>
              <w:top w:val="single" w:sz="4" w:space="0" w:color="auto"/>
              <w:left w:val="single" w:sz="4" w:space="0" w:color="auto"/>
              <w:bottom w:val="single" w:sz="4" w:space="0" w:color="auto"/>
              <w:right w:val="single" w:sz="4" w:space="0" w:color="auto"/>
            </w:tcBorders>
          </w:tcPr>
          <w:p w14:paraId="00100BB4" w14:textId="00100BE8">
            <w:pPr>
              <w:pStyle w:val="Normal"/>
              <w:jc w:val="left"/>
            </w:pPr>
            <w:r>
              <w:t xml:space="preserve">Women in management roles</w:t>
            </w:r>
          </w:p>
        </w:tc>
        <w:tc>
          <w:tcPr>
            <w:vAlign w:val="center"/>
            <w:tcBorders>
              <w:top w:val="single" w:sz="4" w:space="0" w:color="auto"/>
              <w:left w:val="single" w:sz="4" w:space="0" w:color="auto"/>
              <w:bottom w:val="single" w:sz="4" w:space="0" w:color="auto"/>
              <w:right w:val="single" w:sz="4" w:space="0" w:color="auto"/>
            </w:tcBorders>
          </w:tcPr>
          <w:p w14:paraId="00100BB6" w14:textId="00100BE9">
            <w:pPr>
              <w:pStyle w:val="Normal"/>
              <w:jc w:val="left"/>
            </w:pPr>
            <w:r>
              <w:t xml:space="preserve">31.2%</w:t>
            </w:r>
          </w:p>
        </w:tc>
        <w:tc>
          <w:tcPr>
            <w:vAlign w:val="center"/>
            <w:tcBorders>
              <w:top w:val="single" w:sz="4" w:space="0" w:color="auto"/>
              <w:left w:val="single" w:sz="4" w:space="0" w:color="auto"/>
              <w:bottom w:val="single" w:sz="4" w:space="0" w:color="auto"/>
              <w:right w:val="single" w:sz="4" w:space="0" w:color="auto"/>
            </w:tcBorders>
          </w:tcPr>
          <w:p w14:paraId="00100BB8" w14:textId="00100BEA">
            <w:pPr>
              <w:pStyle w:val="Normal"/>
              <w:jc w:val="left"/>
            </w:pPr>
            <w:r>
              <w:t xml:space="preserve">28.9%</w:t>
            </w:r>
          </w:p>
        </w:tc>
        <w:tc>
          <w:tcPr>
            <w:vAlign w:val="center"/>
            <w:tcBorders>
              <w:top w:val="single" w:sz="4" w:space="0" w:color="auto"/>
              <w:left w:val="single" w:sz="4" w:space="0" w:color="auto"/>
              <w:bottom w:val="single" w:sz="4" w:space="0" w:color="auto"/>
              <w:right w:val="single" w:sz="4" w:space="0" w:color="auto"/>
            </w:tcBorders>
          </w:tcPr>
          <w:p w14:paraId="00100BBA" w14:textId="00100BEB">
            <w:pPr>
              <w:pStyle w:val="Normal"/>
              <w:jc w:val="left"/>
            </w:pPr>
            <w:r>
              <w:t xml:space="preserve">+2.3 ppt</w:t>
            </w:r>
          </w:p>
        </w:tc>
      </w:tr>
      <w:tr>
        <w:tc>
          <w:tcPr>
            <w:vAlign w:val="center"/>
            <w:tcBorders>
              <w:top w:val="single" w:sz="4" w:space="0" w:color="auto"/>
              <w:left w:val="single" w:sz="4" w:space="0" w:color="auto"/>
              <w:bottom w:val="single" w:sz="4" w:space="0" w:color="auto"/>
              <w:right w:val="single" w:sz="4" w:space="0" w:color="auto"/>
            </w:tcBorders>
          </w:tcPr>
          <w:p w14:paraId="00100BBC" w14:textId="00100BEC">
            <w:pPr>
              <w:pStyle w:val="Normal"/>
              <w:jc w:val="left"/>
            </w:pPr>
            <w:r>
              <w:t xml:space="preserve">Training hours per employee</w:t>
            </w:r>
          </w:p>
        </w:tc>
        <w:tc>
          <w:tcPr>
            <w:vAlign w:val="center"/>
            <w:tcBorders>
              <w:top w:val="single" w:sz="4" w:space="0" w:color="auto"/>
              <w:left w:val="single" w:sz="4" w:space="0" w:color="auto"/>
              <w:bottom w:val="single" w:sz="4" w:space="0" w:color="auto"/>
              <w:right w:val="single" w:sz="4" w:space="0" w:color="auto"/>
            </w:tcBorders>
          </w:tcPr>
          <w:p w14:paraId="00100BBE" w14:textId="00100BED">
            <w:pPr>
              <w:pStyle w:val="Normal"/>
              <w:jc w:val="left"/>
            </w:pPr>
            <w:r>
              <w:t xml:space="preserve">22.6</w:t>
            </w:r>
          </w:p>
        </w:tc>
        <w:tc>
          <w:tcPr>
            <w:vAlign w:val="center"/>
            <w:tcBorders>
              <w:top w:val="single" w:sz="4" w:space="0" w:color="auto"/>
              <w:left w:val="single" w:sz="4" w:space="0" w:color="auto"/>
              <w:bottom w:val="single" w:sz="4" w:space="0" w:color="auto"/>
              <w:right w:val="single" w:sz="4" w:space="0" w:color="auto"/>
            </w:tcBorders>
          </w:tcPr>
          <w:p w14:paraId="00100BC0" w14:textId="00100BEE">
            <w:pPr>
              <w:pStyle w:val="Normal"/>
              <w:jc w:val="left"/>
            </w:pPr>
            <w:r>
              <w:t xml:space="preserve">18.9</w:t>
            </w:r>
          </w:p>
        </w:tc>
        <w:tc>
          <w:tcPr>
            <w:vAlign w:val="center"/>
            <w:tcBorders>
              <w:top w:val="single" w:sz="4" w:space="0" w:color="auto"/>
              <w:left w:val="single" w:sz="4" w:space="0" w:color="auto"/>
              <w:bottom w:val="single" w:sz="4" w:space="0" w:color="auto"/>
              <w:right w:val="single" w:sz="4" w:space="0" w:color="auto"/>
            </w:tcBorders>
          </w:tcPr>
          <w:p w14:paraId="00100BC2" w14:textId="00100BEF">
            <w:pPr>
              <w:pStyle w:val="Normal"/>
              <w:jc w:val="left"/>
            </w:pPr>
            <w:r>
              <w:t xml:space="preserve">+19.6%</w:t>
            </w:r>
          </w:p>
        </w:tc>
      </w:tr>
      <w:tr>
        <w:tc>
          <w:tcPr>
            <w:vAlign w:val="center"/>
            <w:tcBorders>
              <w:top w:val="single" w:sz="4" w:space="0" w:color="auto"/>
              <w:left w:val="single" w:sz="4" w:space="0" w:color="auto"/>
              <w:bottom w:val="single" w:sz="4" w:space="0" w:color="auto"/>
              <w:right w:val="single" w:sz="4" w:space="0" w:color="auto"/>
            </w:tcBorders>
          </w:tcPr>
          <w:p w14:paraId="00100BC4" w14:textId="00100BF0">
            <w:pPr>
              <w:pStyle w:val="Normal"/>
              <w:jc w:val="left"/>
            </w:pPr>
            <w:r>
              <w:t xml:space="preserve">Voluntary turnover</w:t>
            </w:r>
          </w:p>
        </w:tc>
        <w:tc>
          <w:tcPr>
            <w:vAlign w:val="center"/>
            <w:tcBorders>
              <w:top w:val="single" w:sz="4" w:space="0" w:color="auto"/>
              <w:left w:val="single" w:sz="4" w:space="0" w:color="auto"/>
              <w:bottom w:val="single" w:sz="4" w:space="0" w:color="auto"/>
              <w:right w:val="single" w:sz="4" w:space="0" w:color="auto"/>
            </w:tcBorders>
          </w:tcPr>
          <w:p w14:paraId="00100BC6" w14:textId="00100BF1">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BC8" w14:textId="00100BF2">
            <w:pPr>
              <w:pStyle w:val="Normal"/>
              <w:jc w:val="left"/>
            </w:pPr>
            <w:r>
              <w:t xml:space="preserve">12.7%</w:t>
            </w:r>
          </w:p>
        </w:tc>
        <w:tc>
          <w:tcPr>
            <w:vAlign w:val="center"/>
            <w:tcBorders>
              <w:top w:val="single" w:sz="4" w:space="0" w:color="auto"/>
              <w:left w:val="single" w:sz="4" w:space="0" w:color="auto"/>
              <w:bottom w:val="single" w:sz="4" w:space="0" w:color="auto"/>
              <w:right w:val="single" w:sz="4" w:space="0" w:color="auto"/>
            </w:tcBorders>
          </w:tcPr>
          <w:p w14:paraId="00100BCA" w14:textId="00100BF3">
            <w:pPr>
              <w:pStyle w:val="Normal"/>
              <w:jc w:val="left"/>
            </w:pPr>
            <w:r>
              <w:t xml:space="preserve">-1.3 ppt</w:t>
            </w:r>
          </w:p>
        </w:tc>
      </w:tr>
      <w:tr>
        <w:tc>
          <w:tcPr>
            <w:vAlign w:val="center"/>
            <w:tcBorders>
              <w:top w:val="single" w:sz="4" w:space="0" w:color="auto"/>
              <w:left w:val="single" w:sz="4" w:space="0" w:color="auto"/>
              <w:bottom w:val="single" w:sz="4" w:space="0" w:color="auto"/>
              <w:right w:val="single" w:sz="4" w:space="0" w:color="auto"/>
            </w:tcBorders>
          </w:tcPr>
          <w:p w14:paraId="00100BCC" w14:textId="00100BF4">
            <w:pPr>
              <w:pStyle w:val="Normal"/>
              <w:jc w:val="left"/>
            </w:pPr>
            <w:r>
              <w:t xml:space="preserve">Lost-time injury rate</w:t>
            </w:r>
          </w:p>
        </w:tc>
        <w:tc>
          <w:tcPr>
            <w:vAlign w:val="center"/>
            <w:tcBorders>
              <w:top w:val="single" w:sz="4" w:space="0" w:color="auto"/>
              <w:left w:val="single" w:sz="4" w:space="0" w:color="auto"/>
              <w:bottom w:val="single" w:sz="4" w:space="0" w:color="auto"/>
              <w:right w:val="single" w:sz="4" w:space="0" w:color="auto"/>
            </w:tcBorders>
          </w:tcPr>
          <w:p w14:paraId="00100BCE" w14:textId="00100BF5">
            <w:pPr>
              <w:pStyle w:val="Normal"/>
              <w:jc w:val="left"/>
            </w:pPr>
            <w:r>
              <w:t xml:space="preserve">0.78</w:t>
            </w:r>
          </w:p>
        </w:tc>
        <w:tc>
          <w:tcPr>
            <w:vAlign w:val="center"/>
            <w:tcBorders>
              <w:top w:val="single" w:sz="4" w:space="0" w:color="auto"/>
              <w:left w:val="single" w:sz="4" w:space="0" w:color="auto"/>
              <w:bottom w:val="single" w:sz="4" w:space="0" w:color="auto"/>
              <w:right w:val="single" w:sz="4" w:space="0" w:color="auto"/>
            </w:tcBorders>
          </w:tcPr>
          <w:p w14:paraId="00100BD0" w14:textId="00100BF6">
            <w:pPr>
              <w:pStyle w:val="Normal"/>
              <w:jc w:val="left"/>
            </w:pPr>
            <w:r>
              <w:t xml:space="preserve">0.91</w:t>
            </w:r>
          </w:p>
        </w:tc>
        <w:tc>
          <w:tcPr>
            <w:vAlign w:val="center"/>
            <w:tcBorders>
              <w:top w:val="single" w:sz="4" w:space="0" w:color="auto"/>
              <w:left w:val="single" w:sz="4" w:space="0" w:color="auto"/>
              <w:bottom w:val="single" w:sz="4" w:space="0" w:color="auto"/>
              <w:right w:val="single" w:sz="4" w:space="0" w:color="auto"/>
            </w:tcBorders>
          </w:tcPr>
          <w:p w14:paraId="00100BD2" w14:textId="00100BF7">
            <w:pPr>
              <w:pStyle w:val="Normal"/>
              <w:jc w:val="left"/>
            </w:pPr>
            <w:r>
              <w:t xml:space="preserve">-14.3%</w:t>
            </w:r>
          </w:p>
        </w:tc>
      </w:tr>
      <w:tr>
        <w:tc>
          <w:tcPr>
            <w:vAlign w:val="center"/>
            <w:tcBorders>
              <w:top w:val="single" w:sz="4" w:space="0" w:color="auto"/>
              <w:left w:val="single" w:sz="4" w:space="0" w:color="auto"/>
              <w:bottom w:val="single" w:sz="4" w:space="0" w:color="auto"/>
              <w:right w:val="single" w:sz="4" w:space="0" w:color="auto"/>
            </w:tcBorders>
          </w:tcPr>
          <w:p w14:paraId="00100BD4" w14:textId="00100BF8">
            <w:pPr>
              <w:pStyle w:val="Normal"/>
              <w:jc w:val="left"/>
            </w:pPr>
            <w:r>
              <w:t xml:space="preserve">Employee engagement participation</w:t>
            </w:r>
          </w:p>
        </w:tc>
        <w:tc>
          <w:tcPr>
            <w:vAlign w:val="center"/>
            <w:tcBorders>
              <w:top w:val="single" w:sz="4" w:space="0" w:color="auto"/>
              <w:left w:val="single" w:sz="4" w:space="0" w:color="auto"/>
              <w:bottom w:val="single" w:sz="4" w:space="0" w:color="auto"/>
              <w:right w:val="single" w:sz="4" w:space="0" w:color="auto"/>
            </w:tcBorders>
          </w:tcPr>
          <w:p w14:paraId="00100BD6" w14:textId="00100BF9">
            <w:pPr>
              <w:pStyle w:val="Normal"/>
              <w:jc w:val="left"/>
            </w:pPr>
            <w:r>
              <w:t xml:space="preserve">84%</w:t>
            </w:r>
          </w:p>
        </w:tc>
        <w:tc>
          <w:tcPr>
            <w:vAlign w:val="center"/>
            <w:tcBorders>
              <w:top w:val="single" w:sz="4" w:space="0" w:color="auto"/>
              <w:left w:val="single" w:sz="4" w:space="0" w:color="auto"/>
              <w:bottom w:val="single" w:sz="4" w:space="0" w:color="auto"/>
              <w:right w:val="single" w:sz="4" w:space="0" w:color="auto"/>
            </w:tcBorders>
          </w:tcPr>
          <w:p w14:paraId="00100BD8" w14:textId="00100BFA">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0BDA" w14:textId="00100BFB">
            <w:pPr>
              <w:pStyle w:val="Normal"/>
              <w:jc w:val="left"/>
            </w:pPr>
            <w:r>
              <w:t xml:space="preserve">+3 ppt</w:t>
            </w:r>
          </w:p>
        </w:tc>
      </w:tr>
    </w:tbl>
    <w:p w14:paraId="00100BFC" w14:textId="00100BFD">
      <w:pPr>
        <w:pStyle w:val="Normal"/>
        <w:jc w:val="left"/>
      </w:pPr>
      <w:r>
        <w:t xml:space="preserve">Table 12 Workforce metrics summary</w:t>
      </w:r>
    </w:p>
    <w:p w14:paraId="00100BFE" w14:textId="00100BFF">
      <w:pPr>
        <w:pStyle w:val="Heading3a"/>
        <w:jc w:val="left"/>
      </w:pPr>
      <w:r>
        <w:t xml:space="preserve">Safety Performance</w:t>
      </w:r>
    </w:p>
    <w:p w14:paraId="00100C00" w14:textId="00100C01">
      <w:pPr>
        <w:pStyle w:val="Normal"/>
        <w:jc w:val="left"/>
      </w:pPr>
      <w:r>
        <w:t xml:space="preserve">Safety performance improved during the year, with the Group’s lost-time injury rate decreasing to 0.78 from 0.91 in the prior year. The improvement reflected tighter operational discipline in higher-risk activities across Infrastructure and Industrial operations, where most recordable incidents historically occur. Management continued to focus on hazard identification before work begins, site-level leadership walks, contractor induction controls, and more consistent reporting of near misses. These actions helped reduce both incident frequency and the severity of events requiring time away from work.</w:t>
      </w:r>
    </w:p>
    <w:p w14:paraId="00100C02" w14:textId="00100C03">
      <w:pPr>
        <w:pStyle w:val="Normal"/>
        <w:jc w:val="left"/>
      </w:pPr>
      <w:r>
        <w:t xml:space="preserve">Performance was not uniform across all locations. A small number of sites experienced recurring manual-handling and vehicle-interface incidents, particularly during periods of elevated throughput and peak maintenance activity. In response, Rivermark Group expanded task-specific risk reviews, refreshed frontline supervisor training, and introduced targeted interventions in lifting practices, traffic segregation, and permit-to-work compliance. Digital reporting tools also shortened the time between event notification and corrective action closure, improving learning transfer across business units.</w:t>
      </w:r>
    </w:p>
    <w:p w14:paraId="00100C04" w14:textId="00100C05">
      <w:pPr>
        <w:pStyle w:val="Normal"/>
        <w:jc w:val="left"/>
      </w:pPr>
      <w:r>
        <w:t xml:space="preserve">While the trend is encouraging, management does not regard the current outcome as a stable endpoint. The priority remains to build a stronger prevention culture rather than rely on lagging indicators alone. For the coming year, the Group will continue to track critical risk controls, training completion, and corrective action closure rates alongside injury metrics, with the aim of sustaining lower incident levels as activity volumes grow.</w:t>
      </w:r>
    </w:p>
    <w:p w14:paraId="00100C06" w14:textId="00100C07">
      <w:pPr>
        <w:pStyle w:val="Normal"/>
        <w:jc w:val="left"/>
      </w:pPr>
      <w:r>
        <w:drawing>
          <wp:inline distT="0" distB="0" distL="0" distR="0">
            <wp:extent cx="4680000" cy="2520000"/>
            <wp:effectExtent l="0" t="0" r="0" b="0"/>
            <wp:docPr id="24" name="Fig-C08b1-1.png" descr=""/>
            <wp:cNvGraphicFramePr>
              <a:graphicFrameLocks noChangeAspect="1"/>
            </wp:cNvGraphicFramePr>
            <a:graphic>
              <a:graphicData uri="http://schemas.openxmlformats.org/drawingml/2006/picture">
                <pic:pic>
                  <pic:nvPicPr>
                    <pic:cNvPr id="24" name="Fig-C08b1-1.png"/>
                    <pic:cNvPicPr/>
                  </pic:nvPicPr>
                  <pic:blipFill>
                    <a:blip r:embed="Ra55a31966b8443e0" cstate="print"/>
                    <a:stretch>
                      <a:fillRect/>
                    </a:stretch>
                  </pic:blipFill>
                  <pic:spPr>
                    <a:xfrm>
                      <a:off x="0" y="0"/>
                      <a:ext cx="4320000" cy="2880000"/>
                    </a:xfrm>
                    <a:prstGeom prst="rect">
                      <a:avLst/>
                    </a:prstGeom>
                  </pic:spPr>
                </pic:pic>
              </a:graphicData>
            </a:graphic>
          </wp:inline>
        </w:drawing>
      </w:r>
    </w:p>
    <w:p w14:paraId="00100C08" w14:textId="00100C09">
      <w:pPr>
        <w:pStyle w:val="Normal"/>
        <w:jc w:val="left"/>
      </w:pPr>
      <w:r>
        <w:t xml:space="preserve">Figure 19 Safety trend chart: lost-time injury rate and recordable incident trend, 2022–2024</w:t>
      </w:r>
    </w:p>
    <w:p w14:paraId="00100C0A" w14:textId="00100C0B">
      <w:pPr>
        <w:pStyle w:val="Heading3a"/>
        <w:jc w:val="left"/>
      </w:pPr>
      <w:r>
        <w:t xml:space="preserve">Workforce Development</w:t>
      </w:r>
    </w:p>
    <w:p w14:paraId="00100C0C" w14:textId="00100C0D">
      <w:pPr>
        <w:pStyle w:val="Normal"/>
        <w:jc w:val="left"/>
      </w:pPr>
      <w:r>
        <w:t xml:space="preserve">Rivermark Group continued to strengthen workforce capability while improving representation across key talent groups. Training hours per employee rose meaningfully during the year as the Group expanded technical certification, supervisory development, cyber awareness, and commercial capability programs. Investment was directed not only toward formal learning modules but also toward on-the-job coaching, cross-functional projects, and internal mobility pathways designed to build deeper bench strength in operational and customer-facing roles.</w:t>
      </w:r>
    </w:p>
    <w:p w14:paraId="00100C0E" w14:textId="00100C0F">
      <w:pPr>
        <w:pStyle w:val="Normal"/>
        <w:jc w:val="left"/>
      </w:pPr>
      <w:r>
        <w:t xml:space="preserve">Progress on inclusion was also evident in both hiring and promotion outcomes. Women represented 37.8% of the total workforce at year end and 31.2% of management roles, reflecting a broader recruitment slate, more structured succession planning, and stronger sponsorship for emerging leaders. Several business units introduced balanced shortlists for critical vacancies and reviewed advancement patterns to address role-specific bottlenecks. These actions were supported by local inclusion forums and line-manager guidance on fair selection and performance assessment.</w:t>
      </w:r>
    </w:p>
    <w:p w14:paraId="00100C10" w14:textId="00100C11">
      <w:pPr>
        <w:pStyle w:val="Normal"/>
        <w:jc w:val="left"/>
      </w:pPr>
      <w:r>
        <w:t xml:space="preserve">Retention improved modestly, with voluntary turnover declining from the prior year despite continued competition for digital, engineering, and frontline technical talent. Management attributes this to clearer career pathways, more regular development conversations, and targeted retention measures in hard-to-fill positions. Although progress remains uneven by geography and discipline, the overall direction indicates that capability building and inclusion initiatives are becoming more embedded in operating practice rather than remaining stand-alone human resources programs.</w:t>
      </w:r>
    </w:p>
    <w:p w14:paraId="00100C12" w14:textId="00100C13">
      <w:pPr>
        <w:pStyle w:val="Normal"/>
        <w:jc w:val="left"/>
      </w:pPr>
      <w:r>
        <w:t xml:space="preserve">Capability building during the year focused on the practical skills required for execution of the Group’s strategy. In operations, training emphasized supervisor effectiveness, maintenance planning, quality control, and safe work execution. In customer and commercial teams, the Group expanded programs on solution selling, account planning, and pricing discipline. Digital Services functions received additional support in product management, data governance, and platform reliability, while central functions completed refreshed modules covering ethics, internal controls, and risk ownership.</w:t>
      </w:r>
    </w:p>
    <w:p w14:paraId="00100C14" w14:textId="00100C15">
      <w:pPr>
        <w:pStyle w:val="Normal"/>
        <w:jc w:val="left"/>
      </w:pPr>
      <w:r>
        <w:t xml:space="preserve">The Group also broadened the channels through which employees develop. Rivermark Academy added blended learning pathways that combine classroom sessions, short digital modules, and project-based assignments. Early-career employees were given more access to rotational placements, and experienced specialists were used more systematically as internal faculty. In several businesses, capability matrices were linked to role profiles so that employees and managers could identify concrete development gaps and sequence training more effectively.</w:t>
      </w:r>
    </w:p>
    <w:p w14:paraId="00100C16" w14:textId="00100C17">
      <w:pPr>
        <w:pStyle w:val="Normal"/>
        <w:jc w:val="left"/>
      </w:pPr>
      <w:r>
        <w:t xml:space="preserve">A further priority was leadership pipeline depth. The Group identified critical roles below executive level and created focused succession plans supported by mentoring, stretch assignments, and quarterly talent reviews. These measures are intended to reduce dependence on external hiring for key technical and managerial positions. While the benefits will emerge over multiple reporting periods, management believes the year’s actions have established a more disciplined framework for matching workforce capability with future operating and growth requirements.</w:t>
      </w:r>
    </w:p>
    <w:p w14:paraId="00100C18" w14:textId="00100C19">
      <w:pPr>
        <w:pStyle w:val="Heading2a"/>
        <w:jc w:val="left"/>
      </w:pPr>
      <w:r>
        <w:t xml:space="preserve">Environmental Progress</w:t>
      </w:r>
    </w:p>
    <w:p w14:paraId="00100C1A" w14:textId="00100C1B">
      <w:pPr>
        <w:pStyle w:val="Normal"/>
        <w:jc w:val="left"/>
      </w:pPr>
      <w:r>
        <w:t xml:space="preserve">Environmental performance remained a central management priority as Rivermark Group balanced growth, network utilization, and compliance obligations across diverse operating environments. During the year, the Group continued to improve the quality of environmental data capture, particularly for energy use, fuel consumption, and waste streams at larger operating sites. This allowed management to track performance with greater consistency and to direct improvement efforts toward facilities and activities with the highest environmental intensity.</w:t>
      </w:r>
    </w:p>
    <w:p w14:paraId="00100C1C" w14:textId="00100C1D">
      <w:pPr>
        <w:pStyle w:val="Normal"/>
        <w:jc w:val="left"/>
      </w:pPr>
      <w:r>
        <w:t xml:space="preserve">Progress was most visible in climate and energy management, where site actions on electricity efficiency, fleet routing, equipment utilization, and preventive maintenance helped moderate the increase in total energy demand despite higher activity in several businesses. Capital spending on lower-energy equipment and facility upgrades also contributed to performance, although the pace of benefit varied by segment and by the age of the installed asset base. In parallel, procurement teams increased the share of renewable electricity arrangements in selected locations where suitable commercial terms and grid availability supported implementation.</w:t>
      </w:r>
    </w:p>
    <w:p w14:paraId="00100C1E" w14:textId="00100C1F">
      <w:pPr>
        <w:pStyle w:val="Normal"/>
        <w:jc w:val="left"/>
      </w:pPr>
      <w:r>
        <w:t xml:space="preserve">Environmental management extended beyond emissions. Businesses worked on reducing material losses, improving segregation of operational waste, and strengthening site-level accountability for water use and discharge controls. The Group recognizes that absolute progress will continue to depend on both operational efficiency and portfolio mix, but the year’s results indicate that environmental considerations are becoming more integrated into day-to-day decisions on assets, logistics, sourcing, and maintenance. Management will continue to prioritize measurable actions with clear operational ownership rather than rely solely on long-range commitments.</w:t>
      </w:r>
    </w:p>
    <w:p w14:paraId="00100C20" w14:textId="00100C21">
      <w:pPr>
        <w:pStyle w:val="Heading3a"/>
        <w:jc w:val="left"/>
      </w:pPr>
      <w:r>
        <w:t xml:space="preserve">Climate and Energy</w:t>
      </w:r>
    </w:p>
    <w:p w14:paraId="00100C22" w14:textId="00100C23">
      <w:pPr>
        <w:pStyle w:val="Normal"/>
        <w:jc w:val="left"/>
      </w:pPr>
      <w:r>
        <w:t xml:space="preserve">Rivermark Group’s climate and energy agenda during the year centered on three practical objectives: improving emissions visibility, reducing avoidable energy consumption, and directing capital toward assets with stronger long-term efficiency. Data collection processes were refined across major sites so that electricity, fuel, and fleet usage could be reviewed more regularly at operating and segment level. This produced a clearer baseline for management action and improved comparability between locations with similar activities.</w:t>
      </w:r>
    </w:p>
    <w:p w14:paraId="00100C24" w14:textId="00100C25">
      <w:pPr>
        <w:pStyle w:val="Normal"/>
        <w:jc w:val="left"/>
      </w:pPr>
      <w:r>
        <w:t xml:space="preserve">Scope 1 and Scope 2 emissions remained influenced by the Group’s operating mix, particularly in businesses with transport fleets, energy-intensive equipment, and extended site hours. Even so, several local initiatives delivered measurable gains. Infrastructure operations reduced idle fuel burn through route and dispatch discipline, Industrial sites upgraded selected motors and compressed-air systems, and offices and service locations implemented tighter controls over lighting and HVAC schedules. Renewable electricity sourcing increased in a number of markets, partially offsetting higher demand associated with business growth.</w:t>
      </w:r>
    </w:p>
    <w:p w14:paraId="00100C26" w14:textId="00100C27">
      <w:pPr>
        <w:pStyle w:val="Normal"/>
        <w:jc w:val="left"/>
      </w:pPr>
      <w:r>
        <w:t xml:space="preserve">Energy management is now more closely linked to capital approval and maintenance planning. New equipment proposals are expected to consider lifetime efficiency as well as upfront cost, and major sites review energy performance as part of routine operating cadence. Although the Group remains at an intermediate stage of its transition journey, the year demonstrated that operational improvements, procurement choices, and targeted investment can together support gradual emissions reduction while maintaining service reliability and production capacity.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C28" w14:textId="00100C60">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C2A" w14:textId="00100C61">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C2C" w14:textId="00100C62">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C2E" w14:textId="00100C63">
            <w:pPr>
              <w:pStyle w:val="Normal"/>
              <w:jc w:val="left"/>
            </w:pPr>
            <w:r>
              <w:t xml:space="preserve">2025 Target/Direction</w:t>
            </w:r>
          </w:p>
        </w:tc>
      </w:tr>
      <w:tr>
        <w:tc>
          <w:tcPr>
            <w:vAlign w:val="center"/>
            <w:tcBorders>
              <w:top w:val="single" w:sz="4" w:space="0" w:color="auto"/>
              <w:left w:val="single" w:sz="4" w:space="0" w:color="auto"/>
              <w:bottom w:val="single" w:sz="4" w:space="0" w:color="auto"/>
              <w:right w:val="single" w:sz="4" w:space="0" w:color="auto"/>
            </w:tcBorders>
          </w:tcPr>
          <w:p w14:paraId="00100C30" w14:textId="00100C64">
            <w:pPr>
              <w:pStyle w:val="Normal"/>
              <w:jc w:val="left"/>
            </w:pPr>
            <w:r>
              <w:t xml:space="preserve">Scope 1 emissions (tCO2e)</w:t>
            </w:r>
          </w:p>
        </w:tc>
        <w:tc>
          <w:tcPr>
            <w:vAlign w:val="center"/>
            <w:tcBorders>
              <w:top w:val="single" w:sz="4" w:space="0" w:color="auto"/>
              <w:left w:val="single" w:sz="4" w:space="0" w:color="auto"/>
              <w:bottom w:val="single" w:sz="4" w:space="0" w:color="auto"/>
              <w:right w:val="single" w:sz="4" w:space="0" w:color="auto"/>
            </w:tcBorders>
          </w:tcPr>
          <w:p w14:paraId="00100C32" w14:textId="00100C65">
            <w:pPr>
              <w:pStyle w:val="Normal"/>
              <w:jc w:val="left"/>
            </w:pPr>
            <w:r>
              <w:t xml:space="preserve">182,400</w:t>
            </w:r>
          </w:p>
        </w:tc>
        <w:tc>
          <w:tcPr>
            <w:vAlign w:val="center"/>
            <w:tcBorders>
              <w:top w:val="single" w:sz="4" w:space="0" w:color="auto"/>
              <w:left w:val="single" w:sz="4" w:space="0" w:color="auto"/>
              <w:bottom w:val="single" w:sz="4" w:space="0" w:color="auto"/>
              <w:right w:val="single" w:sz="4" w:space="0" w:color="auto"/>
            </w:tcBorders>
          </w:tcPr>
          <w:p w14:paraId="00100C34" w14:textId="00100C66">
            <w:pPr>
              <w:pStyle w:val="Normal"/>
              <w:jc w:val="left"/>
            </w:pPr>
            <w:r>
              <w:t xml:space="preserve">196,800</w:t>
            </w:r>
          </w:p>
        </w:tc>
        <w:tc>
          <w:tcPr>
            <w:vAlign w:val="center"/>
            <w:tcBorders>
              <w:top w:val="single" w:sz="4" w:space="0" w:color="auto"/>
              <w:left w:val="single" w:sz="4" w:space="0" w:color="auto"/>
              <w:bottom w:val="single" w:sz="4" w:space="0" w:color="auto"/>
              <w:right w:val="single" w:sz="4" w:space="0" w:color="auto"/>
            </w:tcBorders>
          </w:tcPr>
          <w:p w14:paraId="00100C36" w14:textId="00100C67">
            <w:pPr>
              <w:pStyle w:val="Normal"/>
              <w:jc w:val="left"/>
            </w:pPr>
            <w:r>
              <w:t xml:space="preserve">Reduce below 175,000</w:t>
            </w:r>
          </w:p>
        </w:tc>
      </w:tr>
      <w:tr>
        <w:tc>
          <w:tcPr>
            <w:vAlign w:val="center"/>
            <w:tcBorders>
              <w:top w:val="single" w:sz="4" w:space="0" w:color="auto"/>
              <w:left w:val="single" w:sz="4" w:space="0" w:color="auto"/>
              <w:bottom w:val="single" w:sz="4" w:space="0" w:color="auto"/>
              <w:right w:val="single" w:sz="4" w:space="0" w:color="auto"/>
            </w:tcBorders>
          </w:tcPr>
          <w:p w14:paraId="00100C38" w14:textId="00100C68">
            <w:pPr>
              <w:pStyle w:val="Normal"/>
              <w:jc w:val="left"/>
            </w:pPr>
            <w:r>
              <w:t xml:space="preserve">Scope 2 emissions (market-based, tCO2e)</w:t>
            </w:r>
          </w:p>
        </w:tc>
        <w:tc>
          <w:tcPr>
            <w:vAlign w:val="center"/>
            <w:tcBorders>
              <w:top w:val="single" w:sz="4" w:space="0" w:color="auto"/>
              <w:left w:val="single" w:sz="4" w:space="0" w:color="auto"/>
              <w:bottom w:val="single" w:sz="4" w:space="0" w:color="auto"/>
              <w:right w:val="single" w:sz="4" w:space="0" w:color="auto"/>
            </w:tcBorders>
          </w:tcPr>
          <w:p w14:paraId="00100C3A" w14:textId="00100C69">
            <w:pPr>
              <w:pStyle w:val="Normal"/>
              <w:jc w:val="left"/>
            </w:pPr>
            <w:r>
              <w:t xml:space="preserve">94,700</w:t>
            </w:r>
          </w:p>
        </w:tc>
        <w:tc>
          <w:tcPr>
            <w:vAlign w:val="center"/>
            <w:tcBorders>
              <w:top w:val="single" w:sz="4" w:space="0" w:color="auto"/>
              <w:left w:val="single" w:sz="4" w:space="0" w:color="auto"/>
              <w:bottom w:val="single" w:sz="4" w:space="0" w:color="auto"/>
              <w:right w:val="single" w:sz="4" w:space="0" w:color="auto"/>
            </w:tcBorders>
          </w:tcPr>
          <w:p w14:paraId="00100C3C" w14:textId="00100C6A">
            <w:pPr>
              <w:pStyle w:val="Normal"/>
              <w:jc w:val="left"/>
            </w:pPr>
            <w:r>
              <w:t xml:space="preserve">108,900</w:t>
            </w:r>
          </w:p>
        </w:tc>
        <w:tc>
          <w:tcPr>
            <w:vAlign w:val="center"/>
            <w:tcBorders>
              <w:top w:val="single" w:sz="4" w:space="0" w:color="auto"/>
              <w:left w:val="single" w:sz="4" w:space="0" w:color="auto"/>
              <w:bottom w:val="single" w:sz="4" w:space="0" w:color="auto"/>
              <w:right w:val="single" w:sz="4" w:space="0" w:color="auto"/>
            </w:tcBorders>
          </w:tcPr>
          <w:p w14:paraId="00100C3E" w14:textId="00100C6B">
            <w:pPr>
              <w:pStyle w:val="Normal"/>
              <w:jc w:val="left"/>
            </w:pPr>
            <w:r>
              <w:t xml:space="preserve">Reduce below 88,000</w:t>
            </w:r>
          </w:p>
        </w:tc>
      </w:tr>
      <w:tr>
        <w:tc>
          <w:tcPr>
            <w:vAlign w:val="center"/>
            <w:tcBorders>
              <w:top w:val="single" w:sz="4" w:space="0" w:color="auto"/>
              <w:left w:val="single" w:sz="4" w:space="0" w:color="auto"/>
              <w:bottom w:val="single" w:sz="4" w:space="0" w:color="auto"/>
              <w:right w:val="single" w:sz="4" w:space="0" w:color="auto"/>
            </w:tcBorders>
          </w:tcPr>
          <w:p w14:paraId="00100C40" w14:textId="00100C6C">
            <w:pPr>
              <w:pStyle w:val="Normal"/>
              <w:jc w:val="left"/>
            </w:pPr>
            <w:r>
              <w:t xml:space="preserve">Combined Scope 1 and 2 intensity (tCO2e per revenue unit)</w:t>
            </w:r>
          </w:p>
        </w:tc>
        <w:tc>
          <w:tcPr>
            <w:vAlign w:val="center"/>
            <w:tcBorders>
              <w:top w:val="single" w:sz="4" w:space="0" w:color="auto"/>
              <w:left w:val="single" w:sz="4" w:space="0" w:color="auto"/>
              <w:bottom w:val="single" w:sz="4" w:space="0" w:color="auto"/>
              <w:right w:val="single" w:sz="4" w:space="0" w:color="auto"/>
            </w:tcBorders>
          </w:tcPr>
          <w:p w14:paraId="00100C42" w14:textId="00100C6D">
            <w:pPr>
              <w:pStyle w:val="Normal"/>
              <w:jc w:val="left"/>
            </w:pPr>
            <w:r>
              <w:t xml:space="preserve">0.74</w:t>
            </w:r>
          </w:p>
        </w:tc>
        <w:tc>
          <w:tcPr>
            <w:vAlign w:val="center"/>
            <w:tcBorders>
              <w:top w:val="single" w:sz="4" w:space="0" w:color="auto"/>
              <w:left w:val="single" w:sz="4" w:space="0" w:color="auto"/>
              <w:bottom w:val="single" w:sz="4" w:space="0" w:color="auto"/>
              <w:right w:val="single" w:sz="4" w:space="0" w:color="auto"/>
            </w:tcBorders>
          </w:tcPr>
          <w:p w14:paraId="00100C44" w14:textId="00100C6E">
            <w:pPr>
              <w:pStyle w:val="Normal"/>
              <w:jc w:val="left"/>
            </w:pPr>
            <w:r>
              <w:t xml:space="preserve">0.82</w:t>
            </w:r>
          </w:p>
        </w:tc>
        <w:tc>
          <w:tcPr>
            <w:vAlign w:val="center"/>
            <w:tcBorders>
              <w:top w:val="single" w:sz="4" w:space="0" w:color="auto"/>
              <w:left w:val="single" w:sz="4" w:space="0" w:color="auto"/>
              <w:bottom w:val="single" w:sz="4" w:space="0" w:color="auto"/>
              <w:right w:val="single" w:sz="4" w:space="0" w:color="auto"/>
            </w:tcBorders>
          </w:tcPr>
          <w:p w14:paraId="00100C46" w14:textId="00100C6F">
            <w:pPr>
              <w:pStyle w:val="Normal"/>
              <w:jc w:val="left"/>
            </w:pPr>
            <w:r>
              <w:t xml:space="preserve">Reduce by 8% year on year</w:t>
            </w:r>
          </w:p>
        </w:tc>
      </w:tr>
      <w:tr>
        <w:tc>
          <w:tcPr>
            <w:vAlign w:val="center"/>
            <w:tcBorders>
              <w:top w:val="single" w:sz="4" w:space="0" w:color="auto"/>
              <w:left w:val="single" w:sz="4" w:space="0" w:color="auto"/>
              <w:bottom w:val="single" w:sz="4" w:space="0" w:color="auto"/>
              <w:right w:val="single" w:sz="4" w:space="0" w:color="auto"/>
            </w:tcBorders>
          </w:tcPr>
          <w:p w14:paraId="00100C48" w14:textId="00100C70">
            <w:pPr>
              <w:pStyle w:val="Normal"/>
              <w:jc w:val="left"/>
            </w:pPr>
            <w:r>
              <w:t xml:space="preserve">Energy consumption (MWh)</w:t>
            </w:r>
          </w:p>
        </w:tc>
        <w:tc>
          <w:tcPr>
            <w:vAlign w:val="center"/>
            <w:tcBorders>
              <w:top w:val="single" w:sz="4" w:space="0" w:color="auto"/>
              <w:left w:val="single" w:sz="4" w:space="0" w:color="auto"/>
              <w:bottom w:val="single" w:sz="4" w:space="0" w:color="auto"/>
              <w:right w:val="single" w:sz="4" w:space="0" w:color="auto"/>
            </w:tcBorders>
          </w:tcPr>
          <w:p w14:paraId="00100C4A" w14:textId="00100C71">
            <w:pPr>
              <w:pStyle w:val="Normal"/>
              <w:jc w:val="left"/>
            </w:pPr>
            <w:r>
              <w:t xml:space="preserve">1,284,000</w:t>
            </w:r>
          </w:p>
        </w:tc>
        <w:tc>
          <w:tcPr>
            <w:vAlign w:val="center"/>
            <w:tcBorders>
              <w:top w:val="single" w:sz="4" w:space="0" w:color="auto"/>
              <w:left w:val="single" w:sz="4" w:space="0" w:color="auto"/>
              <w:bottom w:val="single" w:sz="4" w:space="0" w:color="auto"/>
              <w:right w:val="single" w:sz="4" w:space="0" w:color="auto"/>
            </w:tcBorders>
          </w:tcPr>
          <w:p w14:paraId="00100C4C" w14:textId="00100C72">
            <w:pPr>
              <w:pStyle w:val="Normal"/>
              <w:jc w:val="left"/>
            </w:pPr>
            <w:r>
              <w:t xml:space="preserve">1,331,000</w:t>
            </w:r>
          </w:p>
        </w:tc>
        <w:tc>
          <w:tcPr>
            <w:vAlign w:val="center"/>
            <w:tcBorders>
              <w:top w:val="single" w:sz="4" w:space="0" w:color="auto"/>
              <w:left w:val="single" w:sz="4" w:space="0" w:color="auto"/>
              <w:bottom w:val="single" w:sz="4" w:space="0" w:color="auto"/>
              <w:right w:val="single" w:sz="4" w:space="0" w:color="auto"/>
            </w:tcBorders>
          </w:tcPr>
          <w:p w14:paraId="00100C4E" w14:textId="00100C73">
            <w:pPr>
              <w:pStyle w:val="Normal"/>
              <w:jc w:val="left"/>
            </w:pPr>
            <w:r>
              <w:t xml:space="preserve">Improve efficiency and keep below 1,260,000</w:t>
            </w:r>
          </w:p>
        </w:tc>
      </w:tr>
      <w:tr>
        <w:tc>
          <w:tcPr>
            <w:vAlign w:val="center"/>
            <w:tcBorders>
              <w:top w:val="single" w:sz="4" w:space="0" w:color="auto"/>
              <w:left w:val="single" w:sz="4" w:space="0" w:color="auto"/>
              <w:bottom w:val="single" w:sz="4" w:space="0" w:color="auto"/>
              <w:right w:val="single" w:sz="4" w:space="0" w:color="auto"/>
            </w:tcBorders>
          </w:tcPr>
          <w:p w14:paraId="00100C50" w14:textId="00100C74">
            <w:pPr>
              <w:pStyle w:val="Normal"/>
              <w:jc w:val="left"/>
            </w:pPr>
            <w:r>
              <w:t xml:space="preserve">Renewable electricity share (%)</w:t>
            </w:r>
          </w:p>
        </w:tc>
        <w:tc>
          <w:tcPr>
            <w:vAlign w:val="center"/>
            <w:tcBorders>
              <w:top w:val="single" w:sz="4" w:space="0" w:color="auto"/>
              <w:left w:val="single" w:sz="4" w:space="0" w:color="auto"/>
              <w:bottom w:val="single" w:sz="4" w:space="0" w:color="auto"/>
              <w:right w:val="single" w:sz="4" w:space="0" w:color="auto"/>
            </w:tcBorders>
          </w:tcPr>
          <w:p w14:paraId="00100C52" w14:textId="00100C75">
            <w:pPr>
              <w:pStyle w:val="Normal"/>
              <w:jc w:val="left"/>
            </w:pPr>
            <w:r>
              <w:t xml:space="preserve">46%</w:t>
            </w:r>
          </w:p>
        </w:tc>
        <w:tc>
          <w:tcPr>
            <w:vAlign w:val="center"/>
            <w:tcBorders>
              <w:top w:val="single" w:sz="4" w:space="0" w:color="auto"/>
              <w:left w:val="single" w:sz="4" w:space="0" w:color="auto"/>
              <w:bottom w:val="single" w:sz="4" w:space="0" w:color="auto"/>
              <w:right w:val="single" w:sz="4" w:space="0" w:color="auto"/>
            </w:tcBorders>
          </w:tcPr>
          <w:p w14:paraId="00100C54" w14:textId="00100C76">
            <w:pPr>
              <w:pStyle w:val="Normal"/>
              <w:jc w:val="left"/>
            </w:pPr>
            <w:r>
              <w:t xml:space="preserve">39%</w:t>
            </w:r>
          </w:p>
        </w:tc>
        <w:tc>
          <w:tcPr>
            <w:vAlign w:val="center"/>
            <w:tcBorders>
              <w:top w:val="single" w:sz="4" w:space="0" w:color="auto"/>
              <w:left w:val="single" w:sz="4" w:space="0" w:color="auto"/>
              <w:bottom w:val="single" w:sz="4" w:space="0" w:color="auto"/>
              <w:right w:val="single" w:sz="4" w:space="0" w:color="auto"/>
            </w:tcBorders>
          </w:tcPr>
          <w:p w14:paraId="00100C56" w14:textId="00100C77">
            <w:pPr>
              <w:pStyle w:val="Normal"/>
              <w:jc w:val="left"/>
            </w:pPr>
            <w:r>
              <w:t xml:space="preserve">Exceed 50%</w:t>
            </w:r>
          </w:p>
        </w:tc>
      </w:tr>
      <w:tr>
        <w:tc>
          <w:tcPr>
            <w:vAlign w:val="center"/>
            <w:tcBorders>
              <w:top w:val="single" w:sz="4" w:space="0" w:color="auto"/>
              <w:left w:val="single" w:sz="4" w:space="0" w:color="auto"/>
              <w:bottom w:val="single" w:sz="4" w:space="0" w:color="auto"/>
              <w:right w:val="single" w:sz="4" w:space="0" w:color="auto"/>
            </w:tcBorders>
          </w:tcPr>
          <w:p w14:paraId="00100C58" w14:textId="00100C78">
            <w:pPr>
              <w:pStyle w:val="Normal"/>
              <w:jc w:val="left"/>
            </w:pPr>
            <w:r>
              <w:t xml:space="preserve">Sites with energy management plans (%)</w:t>
            </w:r>
          </w:p>
        </w:tc>
        <w:tc>
          <w:tcPr>
            <w:vAlign w:val="center"/>
            <w:tcBorders>
              <w:top w:val="single" w:sz="4" w:space="0" w:color="auto"/>
              <w:left w:val="single" w:sz="4" w:space="0" w:color="auto"/>
              <w:bottom w:val="single" w:sz="4" w:space="0" w:color="auto"/>
              <w:right w:val="single" w:sz="4" w:space="0" w:color="auto"/>
            </w:tcBorders>
          </w:tcPr>
          <w:p w14:paraId="00100C5A" w14:textId="00100C79">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0C5C" w14:textId="00100C7A">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0C5E" w14:textId="00100C7B">
            <w:pPr>
              <w:pStyle w:val="Normal"/>
              <w:jc w:val="left"/>
            </w:pPr>
            <w:r>
              <w:t xml:space="preserve">Reach 90%</w:t>
            </w:r>
          </w:p>
        </w:tc>
      </w:tr>
    </w:tbl>
    <w:p w14:paraId="00100C7C" w14:textId="00100C7D">
      <w:pPr>
        <w:pStyle w:val="Normal"/>
        <w:jc w:val="left"/>
      </w:pPr>
      <w:r>
        <w:t xml:space="preserve">Table 18 Climate and energy performance data and targets</w:t>
      </w:r>
    </w:p>
    <w:p w14:paraId="00100C7E" w14:textId="00100C7F">
      <w:pPr>
        <w:pStyle w:val="Normal"/>
        <w:jc w:val="left"/>
      </w:pPr>
      <w:r>
        <w:drawing>
          <wp:inline distT="0" distB="0" distL="0" distR="0">
            <wp:extent cx="3960000" cy="2520000"/>
            <wp:effectExtent l="0" t="0" r="0" b="0"/>
            <wp:docPr id="25" name="Fig-C08c1-1.png" descr=""/>
            <wp:cNvGraphicFramePr>
              <a:graphicFrameLocks noChangeAspect="1"/>
            </wp:cNvGraphicFramePr>
            <a:graphic>
              <a:graphicData uri="http://schemas.openxmlformats.org/drawingml/2006/picture">
                <pic:pic>
                  <pic:nvPicPr>
                    <pic:cNvPr id="25" name="Fig-C08c1-1.png"/>
                    <pic:cNvPicPr/>
                  </pic:nvPicPr>
                  <pic:blipFill>
                    <a:blip r:embed="R96642f6f6dcc4b97" cstate="print"/>
                    <a:stretch>
                      <a:fillRect/>
                    </a:stretch>
                  </pic:blipFill>
                  <pic:spPr>
                    <a:xfrm>
                      <a:off x="0" y="0"/>
                      <a:ext cx="4320000" cy="2880000"/>
                    </a:xfrm>
                    <a:prstGeom prst="rect">
                      <a:avLst/>
                    </a:prstGeom>
                  </pic:spPr>
                </pic:pic>
              </a:graphicData>
            </a:graphic>
          </wp:inline>
        </w:drawing>
      </w:r>
    </w:p>
    <w:p w14:paraId="00100C80" w14:textId="00100C81">
      <w:pPr>
        <w:pStyle w:val="Normal"/>
        <w:jc w:val="left"/>
      </w:pPr>
      <w:r>
        <w:t xml:space="preserve">Figure 16 Trend in Scope 1 and Scope 2 emissions and energy consumption, 2022–2024</w:t>
      </w:r>
    </w:p>
    <w:p w14:paraId="00100C82" w14:textId="00100C84">
      <w:pPr>
        <w:pStyle w:val="Normal"/>
        <w:jc w:val="left"/>
      </w:pPr>
      <w:r>
        <w:t xml:space="preserve">Source:</w:t>
      </w:r>
      <w:r>
        <w:t xml:space="preserve"> Rivermark Group environmental reporting system. Scope 2 is presented on a market-based basis; energy data covers controlled operating sites and excludes immaterial leased offices.</w:t>
      </w:r>
    </w:p>
    <w:p w14:paraId="00100C85" w14:textId="00100C86">
      <w:pPr>
        <w:pStyle w:val="Heading3a"/>
        <w:jc w:val="left"/>
      </w:pPr>
      <w:r>
        <w:t xml:space="preserve">Resources and Waste</w:t>
      </w:r>
    </w:p>
    <w:p w14:paraId="00100C87" w14:textId="00100C88">
      <w:pPr>
        <w:pStyle w:val="Normal"/>
        <w:jc w:val="left"/>
      </w:pPr>
      <w:r>
        <w:t xml:space="preserve">Rivermark Group continued to tighten resource controls during the year, with particular attention to water use in the Infrastructure and Industrial segments and packaging and returns management in Consumer operations. Total water withdrawal declined modestly as site teams improved metering, repaired legacy losses, and adjusted cleaning and cooling cycles at higher-use facilities. The largest gains came from three production campuses where closed-loop reuse projects reduced freshwater intake while maintaining process stability. In parallel, several distribution sites introduced stricter monitoring of washdown practices and landscaping consumption, which helped lower seasonal peaks in municipal water demand.</w:t>
      </w:r>
    </w:p>
    <w:p w14:paraId="00100C89" w14:textId="00100C8A">
      <w:pPr>
        <w:pStyle w:val="Normal"/>
        <w:jc w:val="left"/>
      </w:pPr>
      <w:r>
        <w:t xml:space="preserve">Waste performance improved in both absolute and operational terms. Total waste generated was broadly stable despite growth in activity, indicating that waste intensity fell across the portfolio. Hazardous waste remained concentrated in selected industrial processes and maintenance activities, but tighter segregation controls and contractor reviews reduced disposal errors and improved traceability. Non-hazardous waste management benefited from better handling of pallets, films, metals, and process scrap, allowing more material to move into recovery channels rather than landfill. The remaining pressure points were mixed waste streams at older sites and uneven local recycling infrastructure in a small number of markets. Overall, the year’s results show that resource efficiency is becoming more embedded in routine site management, though further investment in measurement and waste-stream redesign will be needed to deliver the next stage of improvement.</w:t>
      </w:r>
    </w:p>
    <w:p w14:paraId="00100C8B" w14:textId="00100C8C">
      <w:pPr>
        <w:pStyle w:val="Normal"/>
        <w:jc w:val="left"/>
      </w:pPr>
      <w:r>
        <w:t xml:space="preserve">Recycling progress was driven less by one-off clean-up activity and more by practical operating changes. Site leaders standardized segregation signage, introduced clearer container layouts, and tied waste reviews to monthly operational meetings. In Consumer operations, packaging redesign reduced hard-to-recycle components in selected product lines and expanded the use of mono-material formats. In Industrial facilities, scrap recovery agreements were renegotiated to improve collection frequency and reporting visibility, while Infrastructure teams increased reuse of construction-related materials where specifications permitted. These measures improved recovery rates and reduced avoidable disposal costs, even where external collection markets remained volatile.</w:t>
      </w:r>
    </w:p>
    <w:p w14:paraId="00100C8D" w14:textId="00100C8E">
      <w:pPr>
        <w:pStyle w:val="Normal"/>
        <w:jc w:val="left"/>
      </w:pPr>
      <w:r>
        <w:t xml:space="preserve">The next phase of action is focused on consistency and data quality. Management has prioritized fuller site-level tracking of water intensity, landfill diversion, and by-product recovery so that underperforming locations can be identified earlier. Capital requests for compactors, balers, water recirculation equipment, and storage upgrades are being screened alongside expected payback and compliance benefit. Supplier engagement is also expanding, particularly in packaging inputs and service contracts, because upstream design choices often determine downstream waste outcomes. Rivermark Group’s objective is to move from basic compliance and disposal control toward a more circular operating model in which material efficiency, reuse, and recovery are considered at the point of design, procurement, and process planning.</w:t>
      </w:r>
    </w:p>
    <w:p w14:paraId="0010167D" w14:textId="0010167E">
      <w:pPr>
        <w:pStyle w:val="Normal"/>
        <w:jc w:val="left"/>
        <w:sectPr>
          <w:type w:val="nextPage"/>
          <w:pgSz w:w="11906" w:h="16838"/>
          <w:pgMar w:top="1440" w:right="1440" w:bottom="1440" w:left="1440" w:header="1440" w:footer="1440" w:gutter="0"/>
          <w:cols w:space="720" w:num="1"/>
        </w:sectPr>
      </w:pPr>
    </w:p>
    <w:p w14:paraId="00100C93" w14:textId="00100C94">
      <w:pPr>
        <w:pStyle w:val="Heading1a"/>
        <w:jc w:val="left"/>
      </w:pPr>
      <w:r>
        <w:t xml:space="preserve">Financial Statements</w:t>
      </w:r>
    </w:p>
    <w:p w14:paraId="00100C95" w14:textId="00100C96">
      <w:pPr>
        <w:pStyle w:val="Normal"/>
        <w:jc w:val="left"/>
      </w:pPr>
      <w:r>
        <w:t xml:space="preserve">The following section presents the consolidated primary financial statements of Rivermark Group for the year ended 31 December. These statements translate the operating developments described in the review chapters into a formal financial record of revenue, profit, assets, liabilities, equity and cash flows. Read together, they show not only the scale of the Group’s activity during the year, but also the quality of earnings, the strength of the balance sheet and the degree of cash generation supporting future investment.</w:t>
      </w:r>
    </w:p>
    <w:p w14:paraId="00100C97" w14:textId="00100C98">
      <w:pPr>
        <w:pStyle w:val="Normal"/>
        <w:jc w:val="left"/>
      </w:pPr>
      <w:r>
        <w:t xml:space="preserve">The statements have been prepared on a consolidated basis to reflect the financial position and performance of Rivermark Group as a single economic entity. They are organized to provide a clear progression from performance to position and then to liquidity. The statement of performance sets out the year’s revenue and expenses and the resulting profit attributable to shareholders. The statement of financial position summarizes the resources controlled by the Group and the obligations it must meet at the reporting date. The cash flow statement then explains how accounting profit was converted into operating cash, investing outflows and financing movements.</w:t>
      </w:r>
    </w:p>
    <w:p w14:paraId="00100C99" w14:textId="00100C9A">
      <w:pPr>
        <w:pStyle w:val="Normal"/>
        <w:jc w:val="left"/>
      </w:pPr>
      <w:r>
        <w:t xml:space="preserve">These primary statements should be read alongside the accompanying notes, which provide the accounting policies, judgments, reconciliations and supporting schedules necessary for a full understanding of the reported numbers. Taken as a whole, they provide the formal foundation for assessing Rivermark Group’s financial resilience, capital discipline and capacity for continued growth.</w:t>
      </w:r>
    </w:p>
    <w:p w14:paraId="00100C9B" w14:textId="00100C9C">
      <w:pPr>
        <w:pStyle w:val="Heading2a"/>
        <w:jc w:val="left"/>
      </w:pPr>
      <w:r>
        <w:t xml:space="preserve">Statements of Performance</w:t>
      </w:r>
    </w:p>
    <w:p w14:paraId="00100C9D" w14:textId="00100C9E">
      <w:pPr>
        <w:pStyle w:val="Normal"/>
        <w:jc w:val="left"/>
      </w:pPr>
      <w:r>
        <w:t xml:space="preserve">This section sets out the statements that explain how Rivermark Group performed financially over the reporting year. The focus is on earnings generated from operations, the cost base required to support those activities, and the profit retained after financing and tax effects. In annual reporting, these statements perform an important interpretive role: they show whether top-line growth translated into margin, whether cost pressures were absorbed or passed through, and whether reported profit reflects sustainable operating conditions.</w:t>
      </w:r>
    </w:p>
    <w:p w14:paraId="00100C9F" w14:textId="00100CA0">
      <w:pPr>
        <w:pStyle w:val="Normal"/>
        <w:jc w:val="left"/>
      </w:pPr>
      <w:r>
        <w:t xml:space="preserve">The income statement provides the principal measure of annual financial performance. It captures revenue earned across the Group’s businesses, the direct and indirect expenses incurred to generate that revenue, and the resulting operating and net profit outcomes. The statement of comprehensive income complements this view by identifying items recognized outside profit or loss, including selected valuation and translation movements that affect total equity but do not arise through ordinary trading performance.</w:t>
      </w:r>
    </w:p>
    <w:p w14:paraId="00100CA1" w14:textId="00100CA2">
      <w:pPr>
        <w:pStyle w:val="Normal"/>
        <w:jc w:val="left"/>
      </w:pPr>
      <w:r>
        <w:t xml:space="preserve">Together, the performance statements offer a structured view of the year’s financial outcome. They allow shareholders and other readers to distinguish recurring operating results from broader accounting movements and to compare the current period with prior-year performance on a consistent basis. As a result, they form the essential starting point for evaluating profitability, return potential and the earnings capacity of Rivermark Group.</w:t>
      </w:r>
    </w:p>
    <w:p w14:paraId="00100CA3" w14:textId="00100CA4">
      <w:pPr>
        <w:pStyle w:val="Heading3a"/>
        <w:jc w:val="left"/>
      </w:pPr>
      <w:r>
        <w:t xml:space="preserve">Income Statement</w:t>
      </w:r>
    </w:p>
    <w:p w14:paraId="00100CA5" w14:textId="00100CA6">
      <w:pPr>
        <w:pStyle w:val="Normal"/>
        <w:jc w:val="left"/>
      </w:pPr>
      <w:r>
        <w:t xml:space="preserve">Consolidated income statement for the year ended 31 December.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CA7" w14:textId="00100CF5">
            <w:pPr>
              <w:pStyle w:val="Normal"/>
              <w:jc w:val="left"/>
            </w:pPr>
            <w:r>
              <w:t xml:space="preserve">US$ million</w:t>
            </w:r>
          </w:p>
        </w:tc>
        <w:tc>
          <w:tcPr>
            <w:vAlign w:val="center"/>
            <w:tcBorders>
              <w:top w:val="single" w:sz="4" w:space="0" w:color="auto"/>
              <w:left w:val="single" w:sz="4" w:space="0" w:color="auto"/>
              <w:bottom w:val="single" w:sz="4" w:space="0" w:color="auto"/>
              <w:right w:val="single" w:sz="4" w:space="0" w:color="auto"/>
            </w:tcBorders>
          </w:tcPr>
          <w:p w14:paraId="00100CA9" w14:textId="00100CF6">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CAB" w14:textId="00100CF7">
            <w:pPr>
              <w:pStyle w:val="Normal"/>
              <w:jc w:val="left"/>
            </w:pPr>
            <w:r>
              <w:t xml:space="preserve">2023</w:t>
            </w:r>
          </w:p>
        </w:tc>
      </w:tr>
      <w:tr>
        <w:tc>
          <w:tcPr>
            <w:vAlign w:val="center"/>
            <w:tcBorders>
              <w:top w:val="single" w:sz="4" w:space="0" w:color="auto"/>
              <w:left w:val="single" w:sz="4" w:space="0" w:color="auto"/>
              <w:bottom w:val="single" w:sz="4" w:space="0" w:color="auto"/>
              <w:right w:val="single" w:sz="4" w:space="0" w:color="auto"/>
            </w:tcBorders>
          </w:tcPr>
          <w:p w14:paraId="00100CAD" w14:textId="00100CF8">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CAF" w14:textId="00100CF9">
            <w:pPr>
              <w:pStyle w:val="Normal"/>
              <w:jc w:val="left"/>
            </w:pPr>
            <w:r>
              <w:t xml:space="preserve">4,862.4</w:t>
            </w:r>
          </w:p>
        </w:tc>
        <w:tc>
          <w:tcPr>
            <w:vAlign w:val="center"/>
            <w:tcBorders>
              <w:top w:val="single" w:sz="4" w:space="0" w:color="auto"/>
              <w:left w:val="single" w:sz="4" w:space="0" w:color="auto"/>
              <w:bottom w:val="single" w:sz="4" w:space="0" w:color="auto"/>
              <w:right w:val="single" w:sz="4" w:space="0" w:color="auto"/>
            </w:tcBorders>
          </w:tcPr>
          <w:p w14:paraId="00100CB1" w14:textId="00100CFA">
            <w:pPr>
              <w:pStyle w:val="Normal"/>
              <w:jc w:val="left"/>
            </w:pPr>
            <w:r>
              <w:t xml:space="preserve">4,511.8</w:t>
            </w:r>
          </w:p>
        </w:tc>
      </w:tr>
      <w:tr>
        <w:tc>
          <w:tcPr>
            <w:vAlign w:val="center"/>
            <w:tcBorders>
              <w:top w:val="single" w:sz="4" w:space="0" w:color="auto"/>
              <w:left w:val="single" w:sz="4" w:space="0" w:color="auto"/>
              <w:bottom w:val="single" w:sz="4" w:space="0" w:color="auto"/>
              <w:right w:val="single" w:sz="4" w:space="0" w:color="auto"/>
            </w:tcBorders>
          </w:tcPr>
          <w:p w14:paraId="00100CB3" w14:textId="00100CFB">
            <w:pPr>
              <w:pStyle w:val="Normal"/>
              <w:jc w:val="left"/>
            </w:pPr>
            <w:r>
              <w:t xml:space="preserve">Cost of sales</w:t>
            </w:r>
          </w:p>
        </w:tc>
        <w:tc>
          <w:tcPr>
            <w:vAlign w:val="center"/>
            <w:tcBorders>
              <w:top w:val="single" w:sz="4" w:space="0" w:color="auto"/>
              <w:left w:val="single" w:sz="4" w:space="0" w:color="auto"/>
              <w:bottom w:val="single" w:sz="4" w:space="0" w:color="auto"/>
              <w:right w:val="single" w:sz="4" w:space="0" w:color="auto"/>
            </w:tcBorders>
          </w:tcPr>
          <w:p w14:paraId="00100CB5" w14:textId="00100CFC">
            <w:pPr>
              <w:pStyle w:val="Normal"/>
              <w:jc w:val="left"/>
            </w:pPr>
            <w:r>
              <w:t xml:space="preserve">(3,621.7)</w:t>
            </w:r>
          </w:p>
        </w:tc>
        <w:tc>
          <w:tcPr>
            <w:vAlign w:val="center"/>
            <w:tcBorders>
              <w:top w:val="single" w:sz="4" w:space="0" w:color="auto"/>
              <w:left w:val="single" w:sz="4" w:space="0" w:color="auto"/>
              <w:bottom w:val="single" w:sz="4" w:space="0" w:color="auto"/>
              <w:right w:val="single" w:sz="4" w:space="0" w:color="auto"/>
            </w:tcBorders>
          </w:tcPr>
          <w:p w14:paraId="00100CB7" w14:textId="00100CFD">
            <w:pPr>
              <w:pStyle w:val="Normal"/>
              <w:jc w:val="left"/>
            </w:pPr>
            <w:r>
              <w:t xml:space="preserve">(3,401.2)</w:t>
            </w:r>
          </w:p>
        </w:tc>
      </w:tr>
      <w:tr>
        <w:tc>
          <w:tcPr>
            <w:vAlign w:val="center"/>
            <w:tcBorders>
              <w:top w:val="single" w:sz="4" w:space="0" w:color="auto"/>
              <w:left w:val="single" w:sz="4" w:space="0" w:color="auto"/>
              <w:bottom w:val="single" w:sz="4" w:space="0" w:color="auto"/>
              <w:right w:val="single" w:sz="4" w:space="0" w:color="auto"/>
            </w:tcBorders>
          </w:tcPr>
          <w:p w14:paraId="00100CB9" w14:textId="00100CFE">
            <w:pPr>
              <w:pStyle w:val="Normal"/>
              <w:jc w:val="left"/>
            </w:pPr>
            <w:r>
              <w:t xml:space="preserve">Gross profit</w:t>
            </w:r>
          </w:p>
        </w:tc>
        <w:tc>
          <w:tcPr>
            <w:vAlign w:val="center"/>
            <w:tcBorders>
              <w:top w:val="single" w:sz="4" w:space="0" w:color="auto"/>
              <w:left w:val="single" w:sz="4" w:space="0" w:color="auto"/>
              <w:bottom w:val="single" w:sz="4" w:space="0" w:color="auto"/>
              <w:right w:val="single" w:sz="4" w:space="0" w:color="auto"/>
            </w:tcBorders>
          </w:tcPr>
          <w:p w14:paraId="00100CBB" w14:textId="00100CFF">
            <w:pPr>
              <w:pStyle w:val="Normal"/>
              <w:jc w:val="left"/>
            </w:pPr>
            <w:r>
              <w:t xml:space="preserve">1,240.7</w:t>
            </w:r>
          </w:p>
        </w:tc>
        <w:tc>
          <w:tcPr>
            <w:vAlign w:val="center"/>
            <w:tcBorders>
              <w:top w:val="single" w:sz="4" w:space="0" w:color="auto"/>
              <w:left w:val="single" w:sz="4" w:space="0" w:color="auto"/>
              <w:bottom w:val="single" w:sz="4" w:space="0" w:color="auto"/>
              <w:right w:val="single" w:sz="4" w:space="0" w:color="auto"/>
            </w:tcBorders>
          </w:tcPr>
          <w:p w14:paraId="00100CBD" w14:textId="00100D00">
            <w:pPr>
              <w:pStyle w:val="Normal"/>
              <w:jc w:val="left"/>
            </w:pPr>
            <w:r>
              <w:t xml:space="preserve">1,110.6</w:t>
            </w:r>
          </w:p>
        </w:tc>
      </w:tr>
      <w:tr>
        <w:tc>
          <w:tcPr>
            <w:vAlign w:val="center"/>
            <w:tcBorders>
              <w:top w:val="single" w:sz="4" w:space="0" w:color="auto"/>
              <w:left w:val="single" w:sz="4" w:space="0" w:color="auto"/>
              <w:bottom w:val="single" w:sz="4" w:space="0" w:color="auto"/>
              <w:right w:val="single" w:sz="4" w:space="0" w:color="auto"/>
            </w:tcBorders>
          </w:tcPr>
          <w:p w14:paraId="00100CBF" w14:textId="00100D01">
            <w:pPr>
              <w:pStyle w:val="Normal"/>
              <w:jc w:val="left"/>
            </w:pPr>
            <w:r>
              <w:t xml:space="preserve">Selling and administrative expenses</w:t>
            </w:r>
          </w:p>
        </w:tc>
        <w:tc>
          <w:tcPr>
            <w:vAlign w:val="center"/>
            <w:tcBorders>
              <w:top w:val="single" w:sz="4" w:space="0" w:color="auto"/>
              <w:left w:val="single" w:sz="4" w:space="0" w:color="auto"/>
              <w:bottom w:val="single" w:sz="4" w:space="0" w:color="auto"/>
              <w:right w:val="single" w:sz="4" w:space="0" w:color="auto"/>
            </w:tcBorders>
          </w:tcPr>
          <w:p w14:paraId="00100CC1" w14:textId="00100D02">
            <w:pPr>
              <w:pStyle w:val="Normal"/>
              <w:jc w:val="left"/>
            </w:pPr>
            <w:r>
              <w:t xml:space="preserve">(742.9)</w:t>
            </w:r>
          </w:p>
        </w:tc>
        <w:tc>
          <w:tcPr>
            <w:vAlign w:val="center"/>
            <w:tcBorders>
              <w:top w:val="single" w:sz="4" w:space="0" w:color="auto"/>
              <w:left w:val="single" w:sz="4" w:space="0" w:color="auto"/>
              <w:bottom w:val="single" w:sz="4" w:space="0" w:color="auto"/>
              <w:right w:val="single" w:sz="4" w:space="0" w:color="auto"/>
            </w:tcBorders>
          </w:tcPr>
          <w:p w14:paraId="00100CC3" w14:textId="00100D03">
            <w:pPr>
              <w:pStyle w:val="Normal"/>
              <w:jc w:val="left"/>
            </w:pPr>
            <w:r>
              <w:t xml:space="preserve">(698.4)</w:t>
            </w:r>
          </w:p>
        </w:tc>
      </w:tr>
      <w:tr>
        <w:tc>
          <w:tcPr>
            <w:vAlign w:val="center"/>
            <w:tcBorders>
              <w:top w:val="single" w:sz="4" w:space="0" w:color="auto"/>
              <w:left w:val="single" w:sz="4" w:space="0" w:color="auto"/>
              <w:bottom w:val="single" w:sz="4" w:space="0" w:color="auto"/>
              <w:right w:val="single" w:sz="4" w:space="0" w:color="auto"/>
            </w:tcBorders>
          </w:tcPr>
          <w:p w14:paraId="00100CC5" w14:textId="00100D04">
            <w:pPr>
              <w:pStyle w:val="Normal"/>
              <w:jc w:val="left"/>
            </w:pPr>
            <w:r>
              <w:t xml:space="preserve">Other operating income</w:t>
            </w:r>
          </w:p>
        </w:tc>
        <w:tc>
          <w:tcPr>
            <w:vAlign w:val="center"/>
            <w:tcBorders>
              <w:top w:val="single" w:sz="4" w:space="0" w:color="auto"/>
              <w:left w:val="single" w:sz="4" w:space="0" w:color="auto"/>
              <w:bottom w:val="single" w:sz="4" w:space="0" w:color="auto"/>
              <w:right w:val="single" w:sz="4" w:space="0" w:color="auto"/>
            </w:tcBorders>
          </w:tcPr>
          <w:p w14:paraId="00100CC7" w14:textId="00100D05">
            <w:pPr>
              <w:pStyle w:val="Normal"/>
              <w:jc w:val="left"/>
            </w:pPr>
            <w:r>
              <w:t xml:space="preserve">36.8</w:t>
            </w:r>
          </w:p>
        </w:tc>
        <w:tc>
          <w:tcPr>
            <w:vAlign w:val="center"/>
            <w:tcBorders>
              <w:top w:val="single" w:sz="4" w:space="0" w:color="auto"/>
              <w:left w:val="single" w:sz="4" w:space="0" w:color="auto"/>
              <w:bottom w:val="single" w:sz="4" w:space="0" w:color="auto"/>
              <w:right w:val="single" w:sz="4" w:space="0" w:color="auto"/>
            </w:tcBorders>
          </w:tcPr>
          <w:p w14:paraId="00100CC9" w14:textId="00100D06">
            <w:pPr>
              <w:pStyle w:val="Normal"/>
              <w:jc w:val="left"/>
            </w:pPr>
            <w:r>
              <w:t xml:space="preserve">24.1</w:t>
            </w:r>
          </w:p>
        </w:tc>
      </w:tr>
      <w:tr>
        <w:tc>
          <w:tcPr>
            <w:vAlign w:val="center"/>
            <w:tcBorders>
              <w:top w:val="single" w:sz="4" w:space="0" w:color="auto"/>
              <w:left w:val="single" w:sz="4" w:space="0" w:color="auto"/>
              <w:bottom w:val="single" w:sz="4" w:space="0" w:color="auto"/>
              <w:right w:val="single" w:sz="4" w:space="0" w:color="auto"/>
            </w:tcBorders>
          </w:tcPr>
          <w:p w14:paraId="00100CCB" w14:textId="00100D07">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CCD" w14:textId="00100D08">
            <w:pPr>
              <w:pStyle w:val="Normal"/>
              <w:jc w:val="left"/>
            </w:pPr>
            <w:r>
              <w:t xml:space="preserve">534.6</w:t>
            </w:r>
          </w:p>
        </w:tc>
        <w:tc>
          <w:tcPr>
            <w:vAlign w:val="center"/>
            <w:tcBorders>
              <w:top w:val="single" w:sz="4" w:space="0" w:color="auto"/>
              <w:left w:val="single" w:sz="4" w:space="0" w:color="auto"/>
              <w:bottom w:val="single" w:sz="4" w:space="0" w:color="auto"/>
              <w:right w:val="single" w:sz="4" w:space="0" w:color="auto"/>
            </w:tcBorders>
          </w:tcPr>
          <w:p w14:paraId="00100CCF" w14:textId="00100D09">
            <w:pPr>
              <w:pStyle w:val="Normal"/>
              <w:jc w:val="left"/>
            </w:pPr>
            <w:r>
              <w:t xml:space="preserve">436.3</w:t>
            </w:r>
          </w:p>
        </w:tc>
      </w:tr>
      <w:tr>
        <w:tc>
          <w:tcPr>
            <w:vAlign w:val="center"/>
            <w:tcBorders>
              <w:top w:val="single" w:sz="4" w:space="0" w:color="auto"/>
              <w:left w:val="single" w:sz="4" w:space="0" w:color="auto"/>
              <w:bottom w:val="single" w:sz="4" w:space="0" w:color="auto"/>
              <w:right w:val="single" w:sz="4" w:space="0" w:color="auto"/>
            </w:tcBorders>
          </w:tcPr>
          <w:p w14:paraId="00100CD1" w14:textId="00100D0A">
            <w:pPr>
              <w:pStyle w:val="Normal"/>
              <w:jc w:val="left"/>
            </w:pPr>
            <w:r>
              <w:t xml:space="preserve">Net finance costs</w:t>
            </w:r>
          </w:p>
        </w:tc>
        <w:tc>
          <w:tcPr>
            <w:vAlign w:val="center"/>
            <w:tcBorders>
              <w:top w:val="single" w:sz="4" w:space="0" w:color="auto"/>
              <w:left w:val="single" w:sz="4" w:space="0" w:color="auto"/>
              <w:bottom w:val="single" w:sz="4" w:space="0" w:color="auto"/>
              <w:right w:val="single" w:sz="4" w:space="0" w:color="auto"/>
            </w:tcBorders>
          </w:tcPr>
          <w:p w14:paraId="00100CD3" w14:textId="00100D0B">
            <w:pPr>
              <w:pStyle w:val="Normal"/>
              <w:jc w:val="left"/>
            </w:pPr>
            <w:r>
              <w:t xml:space="preserve">(78.5)</w:t>
            </w:r>
          </w:p>
        </w:tc>
        <w:tc>
          <w:tcPr>
            <w:vAlign w:val="center"/>
            <w:tcBorders>
              <w:top w:val="single" w:sz="4" w:space="0" w:color="auto"/>
              <w:left w:val="single" w:sz="4" w:space="0" w:color="auto"/>
              <w:bottom w:val="single" w:sz="4" w:space="0" w:color="auto"/>
              <w:right w:val="single" w:sz="4" w:space="0" w:color="auto"/>
            </w:tcBorders>
          </w:tcPr>
          <w:p w14:paraId="00100CD5" w14:textId="00100D0C">
            <w:pPr>
              <w:pStyle w:val="Normal"/>
              <w:jc w:val="left"/>
            </w:pPr>
            <w:r>
              <w:t xml:space="preserve">(69.2)</w:t>
            </w:r>
          </w:p>
        </w:tc>
      </w:tr>
      <w:tr>
        <w:tc>
          <w:tcPr>
            <w:vAlign w:val="center"/>
            <w:tcBorders>
              <w:top w:val="single" w:sz="4" w:space="0" w:color="auto"/>
              <w:left w:val="single" w:sz="4" w:space="0" w:color="auto"/>
              <w:bottom w:val="single" w:sz="4" w:space="0" w:color="auto"/>
              <w:right w:val="single" w:sz="4" w:space="0" w:color="auto"/>
            </w:tcBorders>
          </w:tcPr>
          <w:p w14:paraId="00100CD7" w14:textId="00100D0D">
            <w:pPr>
              <w:pStyle w:val="Normal"/>
              <w:jc w:val="left"/>
            </w:pPr>
            <w:r>
              <w:t xml:space="preserve">Profit before tax</w:t>
            </w:r>
          </w:p>
        </w:tc>
        <w:tc>
          <w:tcPr>
            <w:vAlign w:val="center"/>
            <w:tcBorders>
              <w:top w:val="single" w:sz="4" w:space="0" w:color="auto"/>
              <w:left w:val="single" w:sz="4" w:space="0" w:color="auto"/>
              <w:bottom w:val="single" w:sz="4" w:space="0" w:color="auto"/>
              <w:right w:val="single" w:sz="4" w:space="0" w:color="auto"/>
            </w:tcBorders>
          </w:tcPr>
          <w:p w14:paraId="00100CD9" w14:textId="00100D0E">
            <w:pPr>
              <w:pStyle w:val="Normal"/>
              <w:jc w:val="left"/>
            </w:pPr>
            <w:r>
              <w:t xml:space="preserve">456.1</w:t>
            </w:r>
          </w:p>
        </w:tc>
        <w:tc>
          <w:tcPr>
            <w:vAlign w:val="center"/>
            <w:tcBorders>
              <w:top w:val="single" w:sz="4" w:space="0" w:color="auto"/>
              <w:left w:val="single" w:sz="4" w:space="0" w:color="auto"/>
              <w:bottom w:val="single" w:sz="4" w:space="0" w:color="auto"/>
              <w:right w:val="single" w:sz="4" w:space="0" w:color="auto"/>
            </w:tcBorders>
          </w:tcPr>
          <w:p w14:paraId="00100CDB" w14:textId="00100D0F">
            <w:pPr>
              <w:pStyle w:val="Normal"/>
              <w:jc w:val="left"/>
            </w:pPr>
            <w:r>
              <w:t xml:space="preserve">367.1</w:t>
            </w:r>
          </w:p>
        </w:tc>
      </w:tr>
      <w:tr>
        <w:tc>
          <w:tcPr>
            <w:vAlign w:val="center"/>
            <w:tcBorders>
              <w:top w:val="single" w:sz="4" w:space="0" w:color="auto"/>
              <w:left w:val="single" w:sz="4" w:space="0" w:color="auto"/>
              <w:bottom w:val="single" w:sz="4" w:space="0" w:color="auto"/>
              <w:right w:val="single" w:sz="4" w:space="0" w:color="auto"/>
            </w:tcBorders>
          </w:tcPr>
          <w:p w14:paraId="00100CDD" w14:textId="00100D10">
            <w:pPr>
              <w:pStyle w:val="Normal"/>
              <w:jc w:val="left"/>
            </w:pPr>
            <w:r>
              <w:t xml:space="preserve">Income tax expense</w:t>
            </w:r>
          </w:p>
        </w:tc>
        <w:tc>
          <w:tcPr>
            <w:vAlign w:val="center"/>
            <w:tcBorders>
              <w:top w:val="single" w:sz="4" w:space="0" w:color="auto"/>
              <w:left w:val="single" w:sz="4" w:space="0" w:color="auto"/>
              <w:bottom w:val="single" w:sz="4" w:space="0" w:color="auto"/>
              <w:right w:val="single" w:sz="4" w:space="0" w:color="auto"/>
            </w:tcBorders>
          </w:tcPr>
          <w:p w14:paraId="00100CDF" w14:textId="00100D11">
            <w:pPr>
              <w:pStyle w:val="Normal"/>
              <w:jc w:val="left"/>
            </w:pPr>
            <w:r>
              <w:t xml:space="preserve">(118.9)</w:t>
            </w:r>
          </w:p>
        </w:tc>
        <w:tc>
          <w:tcPr>
            <w:vAlign w:val="center"/>
            <w:tcBorders>
              <w:top w:val="single" w:sz="4" w:space="0" w:color="auto"/>
              <w:left w:val="single" w:sz="4" w:space="0" w:color="auto"/>
              <w:bottom w:val="single" w:sz="4" w:space="0" w:color="auto"/>
              <w:right w:val="single" w:sz="4" w:space="0" w:color="auto"/>
            </w:tcBorders>
          </w:tcPr>
          <w:p w14:paraId="00100CE1" w14:textId="00100D12">
            <w:pPr>
              <w:pStyle w:val="Normal"/>
              <w:jc w:val="left"/>
            </w:pPr>
            <w:r>
              <w:t xml:space="preserve">(97.4)</w:t>
            </w:r>
          </w:p>
        </w:tc>
      </w:tr>
      <w:tr>
        <w:tc>
          <w:tcPr>
            <w:vAlign w:val="center"/>
            <w:tcBorders>
              <w:top w:val="single" w:sz="4" w:space="0" w:color="auto"/>
              <w:left w:val="single" w:sz="4" w:space="0" w:color="auto"/>
              <w:bottom w:val="single" w:sz="4" w:space="0" w:color="auto"/>
              <w:right w:val="single" w:sz="4" w:space="0" w:color="auto"/>
            </w:tcBorders>
          </w:tcPr>
          <w:p w14:paraId="00100CE3" w14:textId="00100D13">
            <w:pPr>
              <w:pStyle w:val="Normal"/>
              <w:jc w:val="left"/>
            </w:pPr>
            <w:r>
              <w:t xml:space="preserve">Profit for the year</w:t>
            </w:r>
          </w:p>
        </w:tc>
        <w:tc>
          <w:tcPr>
            <w:vAlign w:val="center"/>
            <w:tcBorders>
              <w:top w:val="single" w:sz="4" w:space="0" w:color="auto"/>
              <w:left w:val="single" w:sz="4" w:space="0" w:color="auto"/>
              <w:bottom w:val="single" w:sz="4" w:space="0" w:color="auto"/>
              <w:right w:val="single" w:sz="4" w:space="0" w:color="auto"/>
            </w:tcBorders>
          </w:tcPr>
          <w:p w14:paraId="00100CE5" w14:textId="00100D14">
            <w:pPr>
              <w:pStyle w:val="Normal"/>
              <w:jc w:val="left"/>
            </w:pPr>
            <w:r>
              <w:t xml:space="preserve">337.2</w:t>
            </w:r>
          </w:p>
        </w:tc>
        <w:tc>
          <w:tcPr>
            <w:vAlign w:val="center"/>
            <w:tcBorders>
              <w:top w:val="single" w:sz="4" w:space="0" w:color="auto"/>
              <w:left w:val="single" w:sz="4" w:space="0" w:color="auto"/>
              <w:bottom w:val="single" w:sz="4" w:space="0" w:color="auto"/>
              <w:right w:val="single" w:sz="4" w:space="0" w:color="auto"/>
            </w:tcBorders>
          </w:tcPr>
          <w:p w14:paraId="00100CE7" w14:textId="00100D15">
            <w:pPr>
              <w:pStyle w:val="Normal"/>
              <w:jc w:val="left"/>
            </w:pPr>
            <w:r>
              <w:t xml:space="preserve">269.7</w:t>
            </w:r>
          </w:p>
        </w:tc>
      </w:tr>
      <w:tr>
        <w:tc>
          <w:tcPr>
            <w:vAlign w:val="center"/>
            <w:tcBorders>
              <w:top w:val="single" w:sz="4" w:space="0" w:color="auto"/>
              <w:left w:val="single" w:sz="4" w:space="0" w:color="auto"/>
              <w:bottom w:val="single" w:sz="4" w:space="0" w:color="auto"/>
              <w:right w:val="single" w:sz="4" w:space="0" w:color="auto"/>
            </w:tcBorders>
          </w:tcPr>
          <w:p w14:paraId="00100CE9" w14:textId="00100D16">
            <w:pPr>
              <w:pStyle w:val="Normal"/>
              <w:jc w:val="left"/>
            </w:pPr>
            <w:r>
              <w:t xml:space="preserve">Attributable to owners of Rivermark Group</w:t>
            </w:r>
          </w:p>
        </w:tc>
        <w:tc>
          <w:tcPr>
            <w:vAlign w:val="center"/>
            <w:tcBorders>
              <w:top w:val="single" w:sz="4" w:space="0" w:color="auto"/>
              <w:left w:val="single" w:sz="4" w:space="0" w:color="auto"/>
              <w:bottom w:val="single" w:sz="4" w:space="0" w:color="auto"/>
              <w:right w:val="single" w:sz="4" w:space="0" w:color="auto"/>
            </w:tcBorders>
          </w:tcPr>
          <w:p w14:paraId="00100CEB" w14:textId="00100D17">
            <w:pPr>
              <w:pStyle w:val="Normal"/>
              <w:jc w:val="left"/>
            </w:pPr>
            <w:r>
              <w:t xml:space="preserve">321.4</w:t>
            </w:r>
          </w:p>
        </w:tc>
        <w:tc>
          <w:tcPr>
            <w:vAlign w:val="center"/>
            <w:tcBorders>
              <w:top w:val="single" w:sz="4" w:space="0" w:color="auto"/>
              <w:left w:val="single" w:sz="4" w:space="0" w:color="auto"/>
              <w:bottom w:val="single" w:sz="4" w:space="0" w:color="auto"/>
              <w:right w:val="single" w:sz="4" w:space="0" w:color="auto"/>
            </w:tcBorders>
          </w:tcPr>
          <w:p w14:paraId="00100CED" w14:textId="00100D18">
            <w:pPr>
              <w:pStyle w:val="Normal"/>
              <w:jc w:val="left"/>
            </w:pPr>
            <w:r>
              <w:t xml:space="preserve">255.8</w:t>
            </w:r>
          </w:p>
        </w:tc>
      </w:tr>
      <w:tr>
        <w:tc>
          <w:tcPr>
            <w:vAlign w:val="center"/>
            <w:tcBorders>
              <w:top w:val="single" w:sz="4" w:space="0" w:color="auto"/>
              <w:left w:val="single" w:sz="4" w:space="0" w:color="auto"/>
              <w:bottom w:val="single" w:sz="4" w:space="0" w:color="auto"/>
              <w:right w:val="single" w:sz="4" w:space="0" w:color="auto"/>
            </w:tcBorders>
          </w:tcPr>
          <w:p w14:paraId="00100CEF" w14:textId="00100D19">
            <w:pPr>
              <w:pStyle w:val="Normal"/>
              <w:jc w:val="left"/>
            </w:pPr>
            <w:r>
              <w:t xml:space="preserve">Attributable to non-controlling interests</w:t>
            </w:r>
          </w:p>
        </w:tc>
        <w:tc>
          <w:tcPr>
            <w:vAlign w:val="center"/>
            <w:tcBorders>
              <w:top w:val="single" w:sz="4" w:space="0" w:color="auto"/>
              <w:left w:val="single" w:sz="4" w:space="0" w:color="auto"/>
              <w:bottom w:val="single" w:sz="4" w:space="0" w:color="auto"/>
              <w:right w:val="single" w:sz="4" w:space="0" w:color="auto"/>
            </w:tcBorders>
          </w:tcPr>
          <w:p w14:paraId="00100CF1" w14:textId="00100D1A">
            <w:pPr>
              <w:pStyle w:val="Normal"/>
              <w:jc w:val="left"/>
            </w:pPr>
            <w:r>
              <w:t xml:space="preserve">15.8</w:t>
            </w:r>
          </w:p>
        </w:tc>
        <w:tc>
          <w:tcPr>
            <w:vAlign w:val="center"/>
            <w:tcBorders>
              <w:top w:val="single" w:sz="4" w:space="0" w:color="auto"/>
              <w:left w:val="single" w:sz="4" w:space="0" w:color="auto"/>
              <w:bottom w:val="single" w:sz="4" w:space="0" w:color="auto"/>
              <w:right w:val="single" w:sz="4" w:space="0" w:color="auto"/>
            </w:tcBorders>
          </w:tcPr>
          <w:p w14:paraId="00100CF3" w14:textId="00100D1B">
            <w:pPr>
              <w:pStyle w:val="Normal"/>
              <w:jc w:val="left"/>
            </w:pPr>
            <w:r>
              <w:t xml:space="preserve">13.9</w:t>
            </w:r>
          </w:p>
        </w:tc>
      </w:tr>
    </w:tbl>
    <w:p w14:paraId="00100D1C" w14:textId="00100D1D">
      <w:pPr>
        <w:pStyle w:val="Normal"/>
        <w:jc w:val="left"/>
      </w:pPr>
      <w:r>
        <w:t xml:space="preserve">Table 14 Consolidated income statement</w:t>
      </w:r>
    </w:p>
    <w:p w14:paraId="00100D1E" w14:textId="00100D1F">
      <w:pPr>
        <w:pStyle w:val="Heading3a"/>
        <w:jc w:val="left"/>
      </w:pPr>
      <w:r>
        <w:t xml:space="preserve">Comprehensive Income</w:t>
      </w:r>
    </w:p>
    <w:p w14:paraId="00100D20" w14:textId="00100D22">
      <w:pPr>
        <w:pStyle w:val="Normal"/>
        <w:jc w:val="left"/>
      </w:pPr>
      <w:r>
        <w:t xml:space="preserve">Other comprehensive income comprises items that are recognized outside profit for the year but still affect total comprehensive income and accumulated reserves. In Rivermark Group, the principal components were foreign currency translation differences on overseas operations, fair value movements on cash flow hedging instruments, and actuarial remeasurements on defined benefit obligations. Translation movements arise when the results and net assets of non-dollar operations are converted into the Group presentation currency; these changes can be significant even when the underlying local-currency performance is stable. Hedging movements reflect the effective portion of derivative contracts used to manage commodity, interest rate, or foreign exchange exposures, while pension remeasurements capture changes in assumptions such as discount rates and long-term benefit obligations. Note 1 applies to amounts that are recognized in OCI and may subsequently be reclassified to profit or loss, whereas remeasurements on defined benefit plans are not recycled through earnings after initial recognition.</w:t>
      </w:r>
      <w:r>
        <w:t xml:space="preserve">¹</w:t>
      </w:r>
    </w:p>
    <w:p w14:paraId="00100D23" w14:textId="00100D24">
      <w:pPr>
        <w:pStyle w:val="Normal"/>
        <w:jc w:val="left"/>
      </w:pPr>
      <w:r>
        <w:t xml:space="preserve">The comprehensive income statement provides the bridge between current-year earnings and movements recorded directly in equity. Profit for the year is the starting point, after which OCI items are added or deducted to arrive at total comprehensive income. That total is then allocated between owners of Rivermark Group and non-controlling interests in the same way as profit attribution. In practical terms, this statement explains why closing reserves may change even when no dividend, share issue, or major acquisition has occurred.</w:t>
      </w:r>
    </w:p>
    <w:p w14:paraId="00100D25" w14:textId="00100D26">
      <w:pPr>
        <w:pStyle w:val="Normal"/>
        <w:jc w:val="left"/>
      </w:pPr>
      <w:r>
        <w:t xml:space="preserve">For Rivermark Group, the most visible equity effects during the year arose from translation reserve movements linked to the Group’s regional footprint and from hedge reserve changes associated with financing and procurement programs. These items did not alter operating profit, but they did affect the carrying amount of equity and therefore influenced net asset trends and reserve balances reported in the statement of changes in equity. The OCI presentation is intended to separate underlying trading performance from valuation and reserve movements so that users can distinguish between earnings generated by operations and broader remeasurement effects recorded under the applicable accounting framework.</w:t>
      </w:r>
    </w:p>
    <w:p w14:paraId="00100D27" w14:textId="00100D28">
      <w:pPr>
        <w:pStyle w:val="Heading2a"/>
        <w:jc w:val="left"/>
      </w:pPr>
      <w:r>
        <w:t xml:space="preserve">Statements of Position</w:t>
      </w:r>
    </w:p>
    <w:p w14:paraId="00100D29" w14:textId="00100D2A">
      <w:pPr>
        <w:pStyle w:val="Normal"/>
        <w:jc w:val="left"/>
      </w:pPr>
      <w:r>
        <w:t xml:space="preserve">The statements of position present Rivermark Group’s financial standing at the reporting date and provide the balance sheet context for the year’s income and cash flow performance. They show how the Group’s asset base is funded through equity, borrowings, lease obligations, trade liabilities, and other long- and short-term obligations. In a year marked by continued investment in capacity, digital systems, and selected portfolio development, the balance sheet is particularly important in assessing the resilience of the Group’s capital structure and its ability to support future growth.</w:t>
      </w:r>
    </w:p>
    <w:p w14:paraId="00100D2B" w14:textId="00100D2C">
      <w:pPr>
        <w:pStyle w:val="Normal"/>
        <w:jc w:val="left"/>
      </w:pPr>
      <w:r>
        <w:t xml:space="preserve">Management reviews the statement of financial position with a focus on asset quality, liquidity, leverage, and working capital discipline. Non-current assets reflect the scale of the operating platform, including property, plant and equipment, right-of-use assets, and intangible assets arising from technology and customer relationships. Current balances indicate how efficiently the Group converts revenue into cash, especially through the management of inventories, receivables, and payables. On the funding side, the mix of equity and debt is monitored against internal leverage thresholds and external covenant requirements. Together, these statements provide the foundation for evaluating solvency, financial flexibility, and the sustainability of Rivermark Group’s investment program.</w:t>
      </w:r>
    </w:p>
    <w:p w14:paraId="00100D2D" w14:textId="00100D2E">
      <w:pPr>
        <w:pStyle w:val="Heading3a"/>
        <w:jc w:val="left"/>
      </w:pPr>
      <w:r>
        <w:t xml:space="preserve">Balance Sheet</w:t>
      </w:r>
    </w:p>
    <w:p w14:paraId="00100D2F" w14:textId="00100D30">
      <w:pPr>
        <w:pStyle w:val="Normal"/>
        <w:jc w:val="left"/>
      </w:pPr>
      <w:r>
        <w:t xml:space="preserve">The consolidated balance sheet as at 31 December 2024 is set out below.</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D31" w14:textId="00100E39">
            <w:pPr>
              <w:pStyle w:val="Normal"/>
              <w:jc w:val="left"/>
            </w:pPr>
            <w:r>
              <w:t xml:space="preserve">US$ million</w:t>
            </w:r>
          </w:p>
        </w:tc>
        <w:tc>
          <w:tcPr>
            <w:vAlign w:val="center"/>
            <w:tcBorders>
              <w:top w:val="single" w:sz="4" w:space="0" w:color="auto"/>
              <w:left w:val="single" w:sz="4" w:space="0" w:color="auto"/>
              <w:bottom w:val="single" w:sz="4" w:space="0" w:color="auto"/>
              <w:right w:val="single" w:sz="4" w:space="0" w:color="auto"/>
            </w:tcBorders>
          </w:tcPr>
          <w:p w14:paraId="00100D33" w14:textId="00100E3A">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D35" w14:textId="00100E3B">
            <w:pPr>
              <w:pStyle w:val="Normal"/>
              <w:jc w:val="left"/>
            </w:pPr>
            <w:r>
              <w:t xml:space="preserve">2023</w:t>
            </w:r>
          </w:p>
        </w:tc>
      </w:tr>
      <w:tr>
        <w:tc>
          <w:tcPr>
            <w:vAlign w:val="center"/>
            <w:tcBorders>
              <w:top w:val="single" w:sz="4" w:space="0" w:color="auto"/>
              <w:left w:val="single" w:sz="4" w:space="0" w:color="auto"/>
              <w:bottom w:val="single" w:sz="4" w:space="0" w:color="auto"/>
              <w:right w:val="single" w:sz="4" w:space="0" w:color="auto"/>
            </w:tcBorders>
          </w:tcPr>
          <w:p w14:paraId="00100D37" w14:textId="00100E3C">
            <w:pPr>
              <w:pStyle w:val="Normal"/>
              <w:jc w:val="left"/>
            </w:pPr>
            <w:r>
              <w:t xml:space="preserve">Non-current assets</w:t>
            </w:r>
          </w:p>
        </w:tc>
        <w:tc>
          <w:tcPr>
            <w:vAlign w:val="center"/>
            <w:tcBorders>
              <w:top w:val="single" w:sz="4" w:space="0" w:color="auto"/>
              <w:left w:val="single" w:sz="4" w:space="0" w:color="auto"/>
              <w:bottom w:val="single" w:sz="4" w:space="0" w:color="auto"/>
              <w:right w:val="single" w:sz="4" w:space="0" w:color="auto"/>
            </w:tcBorders>
          </w:tcPr>
          <w:p w14:paraId="00100D39" w14:textId="00100E3D">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D3B" w14:textId="00100E3E">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D3D" w14:textId="00100E3F">
            <w:pPr>
              <w:pStyle w:val="Normal"/>
              <w:jc w:val="left"/>
            </w:pPr>
            <w:r>
              <w:t xml:space="preserve">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0D3F" w14:textId="00100E40">
            <w:pPr>
              <w:pStyle w:val="Normal"/>
              <w:jc w:val="left"/>
            </w:pPr>
            <w:r>
              <w:t xml:space="preserve">1,248.6</w:t>
            </w:r>
          </w:p>
        </w:tc>
        <w:tc>
          <w:tcPr>
            <w:vAlign w:val="center"/>
            <w:tcBorders>
              <w:top w:val="single" w:sz="4" w:space="0" w:color="auto"/>
              <w:left w:val="single" w:sz="4" w:space="0" w:color="auto"/>
              <w:bottom w:val="single" w:sz="4" w:space="0" w:color="auto"/>
              <w:right w:val="single" w:sz="4" w:space="0" w:color="auto"/>
            </w:tcBorders>
          </w:tcPr>
          <w:p w14:paraId="00100D41" w14:textId="00100E41">
            <w:pPr>
              <w:pStyle w:val="Normal"/>
              <w:jc w:val="left"/>
            </w:pPr>
            <w:r>
              <w:t xml:space="preserve">1,183.9</w:t>
            </w:r>
          </w:p>
        </w:tc>
      </w:tr>
      <w:tr>
        <w:tc>
          <w:tcPr>
            <w:vAlign w:val="center"/>
            <w:tcBorders>
              <w:top w:val="single" w:sz="4" w:space="0" w:color="auto"/>
              <w:left w:val="single" w:sz="4" w:space="0" w:color="auto"/>
              <w:bottom w:val="single" w:sz="4" w:space="0" w:color="auto"/>
              <w:right w:val="single" w:sz="4" w:space="0" w:color="auto"/>
            </w:tcBorders>
          </w:tcPr>
          <w:p w14:paraId="00100D43" w14:textId="00100E42">
            <w:pPr>
              <w:pStyle w:val="Normal"/>
              <w:jc w:val="left"/>
            </w:pPr>
            <w:r>
              <w:t xml:space="preserve">Right-of-use assets</w:t>
            </w:r>
          </w:p>
        </w:tc>
        <w:tc>
          <w:tcPr>
            <w:vAlign w:val="center"/>
            <w:tcBorders>
              <w:top w:val="single" w:sz="4" w:space="0" w:color="auto"/>
              <w:left w:val="single" w:sz="4" w:space="0" w:color="auto"/>
              <w:bottom w:val="single" w:sz="4" w:space="0" w:color="auto"/>
              <w:right w:val="single" w:sz="4" w:space="0" w:color="auto"/>
            </w:tcBorders>
          </w:tcPr>
          <w:p w14:paraId="00100D45" w14:textId="00100E43">
            <w:pPr>
              <w:pStyle w:val="Normal"/>
              <w:jc w:val="left"/>
            </w:pPr>
            <w:r>
              <w:t xml:space="preserve">126.4</w:t>
            </w:r>
          </w:p>
        </w:tc>
        <w:tc>
          <w:tcPr>
            <w:vAlign w:val="center"/>
            <w:tcBorders>
              <w:top w:val="single" w:sz="4" w:space="0" w:color="auto"/>
              <w:left w:val="single" w:sz="4" w:space="0" w:color="auto"/>
              <w:bottom w:val="single" w:sz="4" w:space="0" w:color="auto"/>
              <w:right w:val="single" w:sz="4" w:space="0" w:color="auto"/>
            </w:tcBorders>
          </w:tcPr>
          <w:p w14:paraId="00100D47" w14:textId="00100E44">
            <w:pPr>
              <w:pStyle w:val="Normal"/>
              <w:jc w:val="left"/>
            </w:pPr>
            <w:r>
              <w:t xml:space="preserve">118.7</w:t>
            </w:r>
          </w:p>
        </w:tc>
      </w:tr>
      <w:tr>
        <w:tc>
          <w:tcPr>
            <w:vAlign w:val="center"/>
            <w:tcBorders>
              <w:top w:val="single" w:sz="4" w:space="0" w:color="auto"/>
              <w:left w:val="single" w:sz="4" w:space="0" w:color="auto"/>
              <w:bottom w:val="single" w:sz="4" w:space="0" w:color="auto"/>
              <w:right w:val="single" w:sz="4" w:space="0" w:color="auto"/>
            </w:tcBorders>
          </w:tcPr>
          <w:p w14:paraId="00100D49" w14:textId="00100E45">
            <w:pPr>
              <w:pStyle w:val="Normal"/>
              <w:jc w:val="left"/>
            </w:pPr>
            <w:r>
              <w:t xml:space="preserve">Goodwill</w:t>
            </w:r>
          </w:p>
        </w:tc>
        <w:tc>
          <w:tcPr>
            <w:vAlign w:val="center"/>
            <w:tcBorders>
              <w:top w:val="single" w:sz="4" w:space="0" w:color="auto"/>
              <w:left w:val="single" w:sz="4" w:space="0" w:color="auto"/>
              <w:bottom w:val="single" w:sz="4" w:space="0" w:color="auto"/>
              <w:right w:val="single" w:sz="4" w:space="0" w:color="auto"/>
            </w:tcBorders>
          </w:tcPr>
          <w:p w14:paraId="00100D4B" w14:textId="00100E46">
            <w:pPr>
              <w:pStyle w:val="Normal"/>
              <w:jc w:val="left"/>
            </w:pPr>
            <w:r>
              <w:t xml:space="preserve">542.1</w:t>
            </w:r>
          </w:p>
        </w:tc>
        <w:tc>
          <w:tcPr>
            <w:vAlign w:val="center"/>
            <w:tcBorders>
              <w:top w:val="single" w:sz="4" w:space="0" w:color="auto"/>
              <w:left w:val="single" w:sz="4" w:space="0" w:color="auto"/>
              <w:bottom w:val="single" w:sz="4" w:space="0" w:color="auto"/>
              <w:right w:val="single" w:sz="4" w:space="0" w:color="auto"/>
            </w:tcBorders>
          </w:tcPr>
          <w:p w14:paraId="00100D4D" w14:textId="00100E47">
            <w:pPr>
              <w:pStyle w:val="Normal"/>
              <w:jc w:val="left"/>
            </w:pPr>
            <w:r>
              <w:t xml:space="preserve">528.4</w:t>
            </w:r>
          </w:p>
        </w:tc>
      </w:tr>
      <w:tr>
        <w:tc>
          <w:tcPr>
            <w:vAlign w:val="center"/>
            <w:tcBorders>
              <w:top w:val="single" w:sz="4" w:space="0" w:color="auto"/>
              <w:left w:val="single" w:sz="4" w:space="0" w:color="auto"/>
              <w:bottom w:val="single" w:sz="4" w:space="0" w:color="auto"/>
              <w:right w:val="single" w:sz="4" w:space="0" w:color="auto"/>
            </w:tcBorders>
          </w:tcPr>
          <w:p w14:paraId="00100D4F" w14:textId="00100E48">
            <w:pPr>
              <w:pStyle w:val="Normal"/>
              <w:jc w:val="left"/>
            </w:pPr>
            <w:r>
              <w:t xml:space="preserve">Other intangible assets</w:t>
            </w:r>
          </w:p>
        </w:tc>
        <w:tc>
          <w:tcPr>
            <w:vAlign w:val="center"/>
            <w:tcBorders>
              <w:top w:val="single" w:sz="4" w:space="0" w:color="auto"/>
              <w:left w:val="single" w:sz="4" w:space="0" w:color="auto"/>
              <w:bottom w:val="single" w:sz="4" w:space="0" w:color="auto"/>
              <w:right w:val="single" w:sz="4" w:space="0" w:color="auto"/>
            </w:tcBorders>
          </w:tcPr>
          <w:p w14:paraId="00100D51" w14:textId="00100E49">
            <w:pPr>
              <w:pStyle w:val="Normal"/>
              <w:jc w:val="left"/>
            </w:pPr>
            <w:r>
              <w:t xml:space="preserve">214.7</w:t>
            </w:r>
          </w:p>
        </w:tc>
        <w:tc>
          <w:tcPr>
            <w:vAlign w:val="center"/>
            <w:tcBorders>
              <w:top w:val="single" w:sz="4" w:space="0" w:color="auto"/>
              <w:left w:val="single" w:sz="4" w:space="0" w:color="auto"/>
              <w:bottom w:val="single" w:sz="4" w:space="0" w:color="auto"/>
              <w:right w:val="single" w:sz="4" w:space="0" w:color="auto"/>
            </w:tcBorders>
          </w:tcPr>
          <w:p w14:paraId="00100D53" w14:textId="00100E4A">
            <w:pPr>
              <w:pStyle w:val="Normal"/>
              <w:jc w:val="left"/>
            </w:pPr>
            <w:r>
              <w:t xml:space="preserve">201.5</w:t>
            </w:r>
          </w:p>
        </w:tc>
      </w:tr>
      <w:tr>
        <w:tc>
          <w:tcPr>
            <w:vAlign w:val="center"/>
            <w:tcBorders>
              <w:top w:val="single" w:sz="4" w:space="0" w:color="auto"/>
              <w:left w:val="single" w:sz="4" w:space="0" w:color="auto"/>
              <w:bottom w:val="single" w:sz="4" w:space="0" w:color="auto"/>
              <w:right w:val="single" w:sz="4" w:space="0" w:color="auto"/>
            </w:tcBorders>
          </w:tcPr>
          <w:p w14:paraId="00100D55" w14:textId="00100E4B">
            <w:pPr>
              <w:pStyle w:val="Normal"/>
              <w:jc w:val="left"/>
            </w:pPr>
            <w:r>
              <w:t xml:space="preserve">Deferred tax assets</w:t>
            </w:r>
          </w:p>
        </w:tc>
        <w:tc>
          <w:tcPr>
            <w:vAlign w:val="center"/>
            <w:tcBorders>
              <w:top w:val="single" w:sz="4" w:space="0" w:color="auto"/>
              <w:left w:val="single" w:sz="4" w:space="0" w:color="auto"/>
              <w:bottom w:val="single" w:sz="4" w:space="0" w:color="auto"/>
              <w:right w:val="single" w:sz="4" w:space="0" w:color="auto"/>
            </w:tcBorders>
          </w:tcPr>
          <w:p w14:paraId="00100D57" w14:textId="00100E4C">
            <w:pPr>
              <w:pStyle w:val="Normal"/>
              <w:jc w:val="left"/>
            </w:pPr>
            <w:r>
              <w:t xml:space="preserve">46.8</w:t>
            </w:r>
          </w:p>
        </w:tc>
        <w:tc>
          <w:tcPr>
            <w:vAlign w:val="center"/>
            <w:tcBorders>
              <w:top w:val="single" w:sz="4" w:space="0" w:color="auto"/>
              <w:left w:val="single" w:sz="4" w:space="0" w:color="auto"/>
              <w:bottom w:val="single" w:sz="4" w:space="0" w:color="auto"/>
              <w:right w:val="single" w:sz="4" w:space="0" w:color="auto"/>
            </w:tcBorders>
          </w:tcPr>
          <w:p w14:paraId="00100D59" w14:textId="00100E4D">
            <w:pPr>
              <w:pStyle w:val="Normal"/>
              <w:jc w:val="left"/>
            </w:pPr>
            <w:r>
              <w:t xml:space="preserve">41.2</w:t>
            </w:r>
          </w:p>
        </w:tc>
      </w:tr>
      <w:tr>
        <w:tc>
          <w:tcPr>
            <w:vAlign w:val="center"/>
            <w:tcBorders>
              <w:top w:val="single" w:sz="4" w:space="0" w:color="auto"/>
              <w:left w:val="single" w:sz="4" w:space="0" w:color="auto"/>
              <w:bottom w:val="single" w:sz="4" w:space="0" w:color="auto"/>
              <w:right w:val="single" w:sz="4" w:space="0" w:color="auto"/>
            </w:tcBorders>
          </w:tcPr>
          <w:p w14:paraId="00100D5B" w14:textId="00100E4E">
            <w:pPr>
              <w:pStyle w:val="Normal"/>
              <w:jc w:val="left"/>
            </w:pPr>
            <w:r>
              <w:t xml:space="preserve">Other non-current assets</w:t>
            </w:r>
          </w:p>
        </w:tc>
        <w:tc>
          <w:tcPr>
            <w:vAlign w:val="center"/>
            <w:tcBorders>
              <w:top w:val="single" w:sz="4" w:space="0" w:color="auto"/>
              <w:left w:val="single" w:sz="4" w:space="0" w:color="auto"/>
              <w:bottom w:val="single" w:sz="4" w:space="0" w:color="auto"/>
              <w:right w:val="single" w:sz="4" w:space="0" w:color="auto"/>
            </w:tcBorders>
          </w:tcPr>
          <w:p w14:paraId="00100D5D" w14:textId="00100E4F">
            <w:pPr>
              <w:pStyle w:val="Normal"/>
              <w:jc w:val="left"/>
            </w:pPr>
            <w:r>
              <w:t xml:space="preserve">38.5</w:t>
            </w:r>
          </w:p>
        </w:tc>
        <w:tc>
          <w:tcPr>
            <w:vAlign w:val="center"/>
            <w:tcBorders>
              <w:top w:val="single" w:sz="4" w:space="0" w:color="auto"/>
              <w:left w:val="single" w:sz="4" w:space="0" w:color="auto"/>
              <w:bottom w:val="single" w:sz="4" w:space="0" w:color="auto"/>
              <w:right w:val="single" w:sz="4" w:space="0" w:color="auto"/>
            </w:tcBorders>
          </w:tcPr>
          <w:p w14:paraId="00100D5F" w14:textId="00100E50">
            <w:pPr>
              <w:pStyle w:val="Normal"/>
              <w:jc w:val="left"/>
            </w:pPr>
            <w:r>
              <w:t xml:space="preserve">35.9</w:t>
            </w:r>
          </w:p>
        </w:tc>
      </w:tr>
      <w:tr>
        <w:tc>
          <w:tcPr>
            <w:vAlign w:val="center"/>
            <w:tcBorders>
              <w:top w:val="single" w:sz="4" w:space="0" w:color="auto"/>
              <w:left w:val="single" w:sz="4" w:space="0" w:color="auto"/>
              <w:bottom w:val="single" w:sz="4" w:space="0" w:color="auto"/>
              <w:right w:val="single" w:sz="4" w:space="0" w:color="auto"/>
            </w:tcBorders>
          </w:tcPr>
          <w:p w14:paraId="00100D61" w14:textId="00100E51">
            <w:pPr>
              <w:pStyle w:val="Normal"/>
              <w:jc w:val="left"/>
            </w:pPr>
            <w:r>
              <w:t xml:space="preserve">Total non-current assets</w:t>
            </w:r>
          </w:p>
        </w:tc>
        <w:tc>
          <w:tcPr>
            <w:vAlign w:val="center"/>
            <w:tcBorders>
              <w:top w:val="single" w:sz="4" w:space="0" w:color="auto"/>
              <w:left w:val="single" w:sz="4" w:space="0" w:color="auto"/>
              <w:bottom w:val="single" w:sz="4" w:space="0" w:color="auto"/>
              <w:right w:val="single" w:sz="4" w:space="0" w:color="auto"/>
            </w:tcBorders>
          </w:tcPr>
          <w:p w14:paraId="00100D63" w14:textId="00100E52">
            <w:pPr>
              <w:pStyle w:val="Normal"/>
              <w:jc w:val="left"/>
            </w:pPr>
            <w:r>
              <w:t xml:space="preserve">2,217.1</w:t>
            </w:r>
          </w:p>
        </w:tc>
        <w:tc>
          <w:tcPr>
            <w:vAlign w:val="center"/>
            <w:tcBorders>
              <w:top w:val="single" w:sz="4" w:space="0" w:color="auto"/>
              <w:left w:val="single" w:sz="4" w:space="0" w:color="auto"/>
              <w:bottom w:val="single" w:sz="4" w:space="0" w:color="auto"/>
              <w:right w:val="single" w:sz="4" w:space="0" w:color="auto"/>
            </w:tcBorders>
          </w:tcPr>
          <w:p w14:paraId="00100D65" w14:textId="00100E53">
            <w:pPr>
              <w:pStyle w:val="Normal"/>
              <w:jc w:val="left"/>
            </w:pPr>
            <w:r>
              <w:t xml:space="preserve">2,109.6</w:t>
            </w:r>
          </w:p>
        </w:tc>
      </w:tr>
      <w:tr>
        <w:tc>
          <w:tcPr>
            <w:vAlign w:val="center"/>
            <w:tcBorders>
              <w:top w:val="single" w:sz="4" w:space="0" w:color="auto"/>
              <w:left w:val="single" w:sz="4" w:space="0" w:color="auto"/>
              <w:bottom w:val="single" w:sz="4" w:space="0" w:color="auto"/>
              <w:right w:val="single" w:sz="4" w:space="0" w:color="auto"/>
            </w:tcBorders>
          </w:tcPr>
          <w:p w14:paraId="00100D67" w14:textId="00100E54">
            <w:pPr>
              <w:pStyle w:val="Normal"/>
              <w:jc w:val="left"/>
            </w:pPr>
            <w:r>
              <w:t xml:space="preserve">Current assets</w:t>
            </w:r>
          </w:p>
        </w:tc>
        <w:tc>
          <w:tcPr>
            <w:vAlign w:val="center"/>
            <w:tcBorders>
              <w:top w:val="single" w:sz="4" w:space="0" w:color="auto"/>
              <w:left w:val="single" w:sz="4" w:space="0" w:color="auto"/>
              <w:bottom w:val="single" w:sz="4" w:space="0" w:color="auto"/>
              <w:right w:val="single" w:sz="4" w:space="0" w:color="auto"/>
            </w:tcBorders>
          </w:tcPr>
          <w:p w14:paraId="00100D69" w14:textId="00100E55">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D6B" w14:textId="00100E56">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D6D" w14:textId="00100E57">
            <w:pPr>
              <w:pStyle w:val="Normal"/>
              <w:jc w:val="left"/>
            </w:pPr>
            <w:r>
              <w:t xml:space="preserve">Inventories</w:t>
            </w:r>
          </w:p>
        </w:tc>
        <w:tc>
          <w:tcPr>
            <w:vAlign w:val="center"/>
            <w:tcBorders>
              <w:top w:val="single" w:sz="4" w:space="0" w:color="auto"/>
              <w:left w:val="single" w:sz="4" w:space="0" w:color="auto"/>
              <w:bottom w:val="single" w:sz="4" w:space="0" w:color="auto"/>
              <w:right w:val="single" w:sz="4" w:space="0" w:color="auto"/>
            </w:tcBorders>
          </w:tcPr>
          <w:p w14:paraId="00100D6F" w14:textId="00100E58">
            <w:pPr>
              <w:pStyle w:val="Normal"/>
              <w:jc w:val="left"/>
            </w:pPr>
            <w:r>
              <w:t xml:space="preserve">286.3</w:t>
            </w:r>
          </w:p>
        </w:tc>
        <w:tc>
          <w:tcPr>
            <w:vAlign w:val="center"/>
            <w:tcBorders>
              <w:top w:val="single" w:sz="4" w:space="0" w:color="auto"/>
              <w:left w:val="single" w:sz="4" w:space="0" w:color="auto"/>
              <w:bottom w:val="single" w:sz="4" w:space="0" w:color="auto"/>
              <w:right w:val="single" w:sz="4" w:space="0" w:color="auto"/>
            </w:tcBorders>
          </w:tcPr>
          <w:p w14:paraId="00100D71" w14:textId="00100E59">
            <w:pPr>
              <w:pStyle w:val="Normal"/>
              <w:jc w:val="left"/>
            </w:pPr>
            <w:r>
              <w:t xml:space="preserve">274.8</w:t>
            </w:r>
          </w:p>
        </w:tc>
      </w:tr>
      <w:tr>
        <w:tc>
          <w:tcPr>
            <w:vAlign w:val="center"/>
            <w:tcBorders>
              <w:top w:val="single" w:sz="4" w:space="0" w:color="auto"/>
              <w:left w:val="single" w:sz="4" w:space="0" w:color="auto"/>
              <w:bottom w:val="single" w:sz="4" w:space="0" w:color="auto"/>
              <w:right w:val="single" w:sz="4" w:space="0" w:color="auto"/>
            </w:tcBorders>
          </w:tcPr>
          <w:p w14:paraId="00100D73" w14:textId="00100E5A">
            <w:pPr>
              <w:pStyle w:val="Normal"/>
              <w:jc w:val="left"/>
            </w:pPr>
            <w:r>
              <w:t xml:space="preserve">Trade and other receivables</w:t>
            </w:r>
          </w:p>
        </w:tc>
        <w:tc>
          <w:tcPr>
            <w:vAlign w:val="center"/>
            <w:tcBorders>
              <w:top w:val="single" w:sz="4" w:space="0" w:color="auto"/>
              <w:left w:val="single" w:sz="4" w:space="0" w:color="auto"/>
              <w:bottom w:val="single" w:sz="4" w:space="0" w:color="auto"/>
              <w:right w:val="single" w:sz="4" w:space="0" w:color="auto"/>
            </w:tcBorders>
          </w:tcPr>
          <w:p w14:paraId="00100D75" w14:textId="00100E5B">
            <w:pPr>
              <w:pStyle w:val="Normal"/>
              <w:jc w:val="left"/>
            </w:pPr>
            <w:r>
              <w:t xml:space="preserve">418.9</w:t>
            </w:r>
          </w:p>
        </w:tc>
        <w:tc>
          <w:tcPr>
            <w:vAlign w:val="center"/>
            <w:tcBorders>
              <w:top w:val="single" w:sz="4" w:space="0" w:color="auto"/>
              <w:left w:val="single" w:sz="4" w:space="0" w:color="auto"/>
              <w:bottom w:val="single" w:sz="4" w:space="0" w:color="auto"/>
              <w:right w:val="single" w:sz="4" w:space="0" w:color="auto"/>
            </w:tcBorders>
          </w:tcPr>
          <w:p w14:paraId="00100D77" w14:textId="00100E5C">
            <w:pPr>
              <w:pStyle w:val="Normal"/>
              <w:jc w:val="left"/>
            </w:pPr>
            <w:r>
              <w:t xml:space="preserve">396.4</w:t>
            </w:r>
          </w:p>
        </w:tc>
      </w:tr>
      <w:tr>
        <w:tc>
          <w:tcPr>
            <w:vAlign w:val="center"/>
            <w:tcBorders>
              <w:top w:val="single" w:sz="4" w:space="0" w:color="auto"/>
              <w:left w:val="single" w:sz="4" w:space="0" w:color="auto"/>
              <w:bottom w:val="single" w:sz="4" w:space="0" w:color="auto"/>
              <w:right w:val="single" w:sz="4" w:space="0" w:color="auto"/>
            </w:tcBorders>
          </w:tcPr>
          <w:p w14:paraId="00100D79" w14:textId="00100E5D">
            <w:pPr>
              <w:pStyle w:val="Normal"/>
              <w:jc w:val="left"/>
            </w:pPr>
            <w:r>
              <w:t xml:space="preserve">Contract assets</w:t>
            </w:r>
          </w:p>
        </w:tc>
        <w:tc>
          <w:tcPr>
            <w:vAlign w:val="center"/>
            <w:tcBorders>
              <w:top w:val="single" w:sz="4" w:space="0" w:color="auto"/>
              <w:left w:val="single" w:sz="4" w:space="0" w:color="auto"/>
              <w:bottom w:val="single" w:sz="4" w:space="0" w:color="auto"/>
              <w:right w:val="single" w:sz="4" w:space="0" w:color="auto"/>
            </w:tcBorders>
          </w:tcPr>
          <w:p w14:paraId="00100D7B" w14:textId="00100E5E">
            <w:pPr>
              <w:pStyle w:val="Normal"/>
              <w:jc w:val="left"/>
            </w:pPr>
            <w:r>
              <w:t xml:space="preserve">72.6</w:t>
            </w:r>
          </w:p>
        </w:tc>
        <w:tc>
          <w:tcPr>
            <w:vAlign w:val="center"/>
            <w:tcBorders>
              <w:top w:val="single" w:sz="4" w:space="0" w:color="auto"/>
              <w:left w:val="single" w:sz="4" w:space="0" w:color="auto"/>
              <w:bottom w:val="single" w:sz="4" w:space="0" w:color="auto"/>
              <w:right w:val="single" w:sz="4" w:space="0" w:color="auto"/>
            </w:tcBorders>
          </w:tcPr>
          <w:p w14:paraId="00100D7D" w14:textId="00100E5F">
            <w:pPr>
              <w:pStyle w:val="Normal"/>
              <w:jc w:val="left"/>
            </w:pPr>
            <w:r>
              <w:t xml:space="preserve">65.1</w:t>
            </w:r>
          </w:p>
        </w:tc>
      </w:tr>
      <w:tr>
        <w:tc>
          <w:tcPr>
            <w:vAlign w:val="center"/>
            <w:tcBorders>
              <w:top w:val="single" w:sz="4" w:space="0" w:color="auto"/>
              <w:left w:val="single" w:sz="4" w:space="0" w:color="auto"/>
              <w:bottom w:val="single" w:sz="4" w:space="0" w:color="auto"/>
              <w:right w:val="single" w:sz="4" w:space="0" w:color="auto"/>
            </w:tcBorders>
          </w:tcPr>
          <w:p w14:paraId="00100D7F" w14:textId="00100E60">
            <w:pPr>
              <w:pStyle w:val="Normal"/>
              <w:jc w:val="left"/>
            </w:pPr>
            <w:r>
              <w:t xml:space="preserve">Cash and cash equivalents</w:t>
            </w:r>
          </w:p>
        </w:tc>
        <w:tc>
          <w:tcPr>
            <w:vAlign w:val="center"/>
            <w:tcBorders>
              <w:top w:val="single" w:sz="4" w:space="0" w:color="auto"/>
              <w:left w:val="single" w:sz="4" w:space="0" w:color="auto"/>
              <w:bottom w:val="single" w:sz="4" w:space="0" w:color="auto"/>
              <w:right w:val="single" w:sz="4" w:space="0" w:color="auto"/>
            </w:tcBorders>
          </w:tcPr>
          <w:p w14:paraId="00100D81" w14:textId="00100E61">
            <w:pPr>
              <w:pStyle w:val="Normal"/>
              <w:jc w:val="left"/>
            </w:pPr>
            <w:r>
              <w:t xml:space="preserve">231.7</w:t>
            </w:r>
          </w:p>
        </w:tc>
        <w:tc>
          <w:tcPr>
            <w:vAlign w:val="center"/>
            <w:tcBorders>
              <w:top w:val="single" w:sz="4" w:space="0" w:color="auto"/>
              <w:left w:val="single" w:sz="4" w:space="0" w:color="auto"/>
              <w:bottom w:val="single" w:sz="4" w:space="0" w:color="auto"/>
              <w:right w:val="single" w:sz="4" w:space="0" w:color="auto"/>
            </w:tcBorders>
          </w:tcPr>
          <w:p w14:paraId="00100D83" w14:textId="00100E62">
            <w:pPr>
              <w:pStyle w:val="Normal"/>
              <w:jc w:val="left"/>
            </w:pPr>
            <w:r>
              <w:t xml:space="preserve">208.5</w:t>
            </w:r>
          </w:p>
        </w:tc>
      </w:tr>
      <w:tr>
        <w:tc>
          <w:tcPr>
            <w:vAlign w:val="center"/>
            <w:tcBorders>
              <w:top w:val="single" w:sz="4" w:space="0" w:color="auto"/>
              <w:left w:val="single" w:sz="4" w:space="0" w:color="auto"/>
              <w:bottom w:val="single" w:sz="4" w:space="0" w:color="auto"/>
              <w:right w:val="single" w:sz="4" w:space="0" w:color="auto"/>
            </w:tcBorders>
          </w:tcPr>
          <w:p w14:paraId="00100D85" w14:textId="00100E63">
            <w:pPr>
              <w:pStyle w:val="Normal"/>
              <w:jc w:val="left"/>
            </w:pPr>
            <w:r>
              <w:t xml:space="preserve">Other current assets</w:t>
            </w:r>
          </w:p>
        </w:tc>
        <w:tc>
          <w:tcPr>
            <w:vAlign w:val="center"/>
            <w:tcBorders>
              <w:top w:val="single" w:sz="4" w:space="0" w:color="auto"/>
              <w:left w:val="single" w:sz="4" w:space="0" w:color="auto"/>
              <w:bottom w:val="single" w:sz="4" w:space="0" w:color="auto"/>
              <w:right w:val="single" w:sz="4" w:space="0" w:color="auto"/>
            </w:tcBorders>
          </w:tcPr>
          <w:p w14:paraId="00100D87" w14:textId="00100E64">
            <w:pPr>
              <w:pStyle w:val="Normal"/>
              <w:jc w:val="left"/>
            </w:pPr>
            <w:r>
              <w:t xml:space="preserve">54.2</w:t>
            </w:r>
          </w:p>
        </w:tc>
        <w:tc>
          <w:tcPr>
            <w:vAlign w:val="center"/>
            <w:tcBorders>
              <w:top w:val="single" w:sz="4" w:space="0" w:color="auto"/>
              <w:left w:val="single" w:sz="4" w:space="0" w:color="auto"/>
              <w:bottom w:val="single" w:sz="4" w:space="0" w:color="auto"/>
              <w:right w:val="single" w:sz="4" w:space="0" w:color="auto"/>
            </w:tcBorders>
          </w:tcPr>
          <w:p w14:paraId="00100D89" w14:textId="00100E65">
            <w:pPr>
              <w:pStyle w:val="Normal"/>
              <w:jc w:val="left"/>
            </w:pPr>
            <w:r>
              <w:t xml:space="preserve">49.7</w:t>
            </w:r>
          </w:p>
        </w:tc>
      </w:tr>
      <w:tr>
        <w:tc>
          <w:tcPr>
            <w:vAlign w:val="center"/>
            <w:tcBorders>
              <w:top w:val="single" w:sz="4" w:space="0" w:color="auto"/>
              <w:left w:val="single" w:sz="4" w:space="0" w:color="auto"/>
              <w:bottom w:val="single" w:sz="4" w:space="0" w:color="auto"/>
              <w:right w:val="single" w:sz="4" w:space="0" w:color="auto"/>
            </w:tcBorders>
          </w:tcPr>
          <w:p w14:paraId="00100D8B" w14:textId="00100E66">
            <w:pPr>
              <w:pStyle w:val="Normal"/>
              <w:jc w:val="left"/>
            </w:pPr>
            <w:r>
              <w:t xml:space="preserve">Total current assets</w:t>
            </w:r>
          </w:p>
        </w:tc>
        <w:tc>
          <w:tcPr>
            <w:vAlign w:val="center"/>
            <w:tcBorders>
              <w:top w:val="single" w:sz="4" w:space="0" w:color="auto"/>
              <w:left w:val="single" w:sz="4" w:space="0" w:color="auto"/>
              <w:bottom w:val="single" w:sz="4" w:space="0" w:color="auto"/>
              <w:right w:val="single" w:sz="4" w:space="0" w:color="auto"/>
            </w:tcBorders>
          </w:tcPr>
          <w:p w14:paraId="00100D8D" w14:textId="00100E67">
            <w:pPr>
              <w:pStyle w:val="Normal"/>
              <w:jc w:val="left"/>
            </w:pPr>
            <w:r>
              <w:t xml:space="preserve">1,063.7</w:t>
            </w:r>
          </w:p>
        </w:tc>
        <w:tc>
          <w:tcPr>
            <w:vAlign w:val="center"/>
            <w:tcBorders>
              <w:top w:val="single" w:sz="4" w:space="0" w:color="auto"/>
              <w:left w:val="single" w:sz="4" w:space="0" w:color="auto"/>
              <w:bottom w:val="single" w:sz="4" w:space="0" w:color="auto"/>
              <w:right w:val="single" w:sz="4" w:space="0" w:color="auto"/>
            </w:tcBorders>
          </w:tcPr>
          <w:p w14:paraId="00100D8F" w14:textId="00100E68">
            <w:pPr>
              <w:pStyle w:val="Normal"/>
              <w:jc w:val="left"/>
            </w:pPr>
            <w:r>
              <w:t xml:space="preserve">994.5</w:t>
            </w:r>
          </w:p>
        </w:tc>
      </w:tr>
      <w:tr>
        <w:tc>
          <w:tcPr>
            <w:vAlign w:val="center"/>
            <w:tcBorders>
              <w:top w:val="single" w:sz="4" w:space="0" w:color="auto"/>
              <w:left w:val="single" w:sz="4" w:space="0" w:color="auto"/>
              <w:bottom w:val="single" w:sz="4" w:space="0" w:color="auto"/>
              <w:right w:val="single" w:sz="4" w:space="0" w:color="auto"/>
            </w:tcBorders>
          </w:tcPr>
          <w:p w14:paraId="00100D91" w14:textId="00100E69">
            <w:pPr>
              <w:pStyle w:val="Normal"/>
              <w:jc w:val="left"/>
            </w:pPr>
            <w:r>
              <w:t xml:space="preserve">Total assets</w:t>
            </w:r>
          </w:p>
        </w:tc>
        <w:tc>
          <w:tcPr>
            <w:vAlign w:val="center"/>
            <w:tcBorders>
              <w:top w:val="single" w:sz="4" w:space="0" w:color="auto"/>
              <w:left w:val="single" w:sz="4" w:space="0" w:color="auto"/>
              <w:bottom w:val="single" w:sz="4" w:space="0" w:color="auto"/>
              <w:right w:val="single" w:sz="4" w:space="0" w:color="auto"/>
            </w:tcBorders>
          </w:tcPr>
          <w:p w14:paraId="00100D93" w14:textId="00100E6A">
            <w:pPr>
              <w:pStyle w:val="Normal"/>
              <w:jc w:val="left"/>
            </w:pPr>
            <w:r>
              <w:t xml:space="preserve">3,280.8</w:t>
            </w:r>
          </w:p>
        </w:tc>
        <w:tc>
          <w:tcPr>
            <w:vAlign w:val="center"/>
            <w:tcBorders>
              <w:top w:val="single" w:sz="4" w:space="0" w:color="auto"/>
              <w:left w:val="single" w:sz="4" w:space="0" w:color="auto"/>
              <w:bottom w:val="single" w:sz="4" w:space="0" w:color="auto"/>
              <w:right w:val="single" w:sz="4" w:space="0" w:color="auto"/>
            </w:tcBorders>
          </w:tcPr>
          <w:p w14:paraId="00100D95" w14:textId="00100E6B">
            <w:pPr>
              <w:pStyle w:val="Normal"/>
              <w:jc w:val="left"/>
            </w:pPr>
            <w:r>
              <w:t xml:space="preserve">3,104.1</w:t>
            </w:r>
          </w:p>
        </w:tc>
      </w:tr>
      <w:tr>
        <w:tc>
          <w:tcPr>
            <w:vAlign w:val="center"/>
            <w:tcBorders>
              <w:top w:val="single" w:sz="4" w:space="0" w:color="auto"/>
              <w:left w:val="single" w:sz="4" w:space="0" w:color="auto"/>
              <w:bottom w:val="single" w:sz="4" w:space="0" w:color="auto"/>
              <w:right w:val="single" w:sz="4" w:space="0" w:color="auto"/>
            </w:tcBorders>
          </w:tcPr>
          <w:p w14:paraId="00100D97" w14:textId="00100E6C">
            <w:pPr>
              <w:pStyle w:val="Normal"/>
              <w:jc w:val="left"/>
            </w:pPr>
            <w:r>
              <w:t xml:space="preserve">Equity</w:t>
            </w:r>
          </w:p>
        </w:tc>
        <w:tc>
          <w:tcPr>
            <w:vAlign w:val="center"/>
            <w:tcBorders>
              <w:top w:val="single" w:sz="4" w:space="0" w:color="auto"/>
              <w:left w:val="single" w:sz="4" w:space="0" w:color="auto"/>
              <w:bottom w:val="single" w:sz="4" w:space="0" w:color="auto"/>
              <w:right w:val="single" w:sz="4" w:space="0" w:color="auto"/>
            </w:tcBorders>
          </w:tcPr>
          <w:p w14:paraId="00100D99" w14:textId="00100E6D">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D9B" w14:textId="00100E6E">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D9D" w14:textId="00100E6F">
            <w:pPr>
              <w:pStyle w:val="Normal"/>
              <w:jc w:val="left"/>
            </w:pPr>
            <w:r>
              <w:t xml:space="preserve">Share capital</w:t>
            </w:r>
          </w:p>
        </w:tc>
        <w:tc>
          <w:tcPr>
            <w:vAlign w:val="center"/>
            <w:tcBorders>
              <w:top w:val="single" w:sz="4" w:space="0" w:color="auto"/>
              <w:left w:val="single" w:sz="4" w:space="0" w:color="auto"/>
              <w:bottom w:val="single" w:sz="4" w:space="0" w:color="auto"/>
              <w:right w:val="single" w:sz="4" w:space="0" w:color="auto"/>
            </w:tcBorders>
          </w:tcPr>
          <w:p w14:paraId="00100D9F" w14:textId="00100E70">
            <w:pPr>
              <w:pStyle w:val="Normal"/>
              <w:jc w:val="left"/>
            </w:pPr>
            <w:r>
              <w:t xml:space="preserve">412.0</w:t>
            </w:r>
          </w:p>
        </w:tc>
        <w:tc>
          <w:tcPr>
            <w:vAlign w:val="center"/>
            <w:tcBorders>
              <w:top w:val="single" w:sz="4" w:space="0" w:color="auto"/>
              <w:left w:val="single" w:sz="4" w:space="0" w:color="auto"/>
              <w:bottom w:val="single" w:sz="4" w:space="0" w:color="auto"/>
              <w:right w:val="single" w:sz="4" w:space="0" w:color="auto"/>
            </w:tcBorders>
          </w:tcPr>
          <w:p w14:paraId="00100DA1" w14:textId="00100E71">
            <w:pPr>
              <w:pStyle w:val="Normal"/>
              <w:jc w:val="left"/>
            </w:pPr>
            <w:r>
              <w:t xml:space="preserve">412.0</w:t>
            </w:r>
          </w:p>
        </w:tc>
      </w:tr>
      <w:tr>
        <w:tc>
          <w:tcPr>
            <w:vAlign w:val="center"/>
            <w:tcBorders>
              <w:top w:val="single" w:sz="4" w:space="0" w:color="auto"/>
              <w:left w:val="single" w:sz="4" w:space="0" w:color="auto"/>
              <w:bottom w:val="single" w:sz="4" w:space="0" w:color="auto"/>
              <w:right w:val="single" w:sz="4" w:space="0" w:color="auto"/>
            </w:tcBorders>
          </w:tcPr>
          <w:p w14:paraId="00100DA3" w14:textId="00100E72">
            <w:pPr>
              <w:pStyle w:val="Normal"/>
              <w:jc w:val="left"/>
            </w:pPr>
            <w:r>
              <w:t xml:space="preserve">Share premium</w:t>
            </w:r>
          </w:p>
        </w:tc>
        <w:tc>
          <w:tcPr>
            <w:vAlign w:val="center"/>
            <w:tcBorders>
              <w:top w:val="single" w:sz="4" w:space="0" w:color="auto"/>
              <w:left w:val="single" w:sz="4" w:space="0" w:color="auto"/>
              <w:bottom w:val="single" w:sz="4" w:space="0" w:color="auto"/>
              <w:right w:val="single" w:sz="4" w:space="0" w:color="auto"/>
            </w:tcBorders>
          </w:tcPr>
          <w:p w14:paraId="00100DA5" w14:textId="00100E73">
            <w:pPr>
              <w:pStyle w:val="Normal"/>
              <w:jc w:val="left"/>
            </w:pPr>
            <w:r>
              <w:t xml:space="preserve">168.4</w:t>
            </w:r>
          </w:p>
        </w:tc>
        <w:tc>
          <w:tcPr>
            <w:vAlign w:val="center"/>
            <w:tcBorders>
              <w:top w:val="single" w:sz="4" w:space="0" w:color="auto"/>
              <w:left w:val="single" w:sz="4" w:space="0" w:color="auto"/>
              <w:bottom w:val="single" w:sz="4" w:space="0" w:color="auto"/>
              <w:right w:val="single" w:sz="4" w:space="0" w:color="auto"/>
            </w:tcBorders>
          </w:tcPr>
          <w:p w14:paraId="00100DA7" w14:textId="00100E74">
            <w:pPr>
              <w:pStyle w:val="Normal"/>
              <w:jc w:val="left"/>
            </w:pPr>
            <w:r>
              <w:t xml:space="preserve">168.4</w:t>
            </w:r>
          </w:p>
        </w:tc>
      </w:tr>
      <w:tr>
        <w:tc>
          <w:tcPr>
            <w:vAlign w:val="center"/>
            <w:tcBorders>
              <w:top w:val="single" w:sz="4" w:space="0" w:color="auto"/>
              <w:left w:val="single" w:sz="4" w:space="0" w:color="auto"/>
              <w:bottom w:val="single" w:sz="4" w:space="0" w:color="auto"/>
              <w:right w:val="single" w:sz="4" w:space="0" w:color="auto"/>
            </w:tcBorders>
          </w:tcPr>
          <w:p w14:paraId="00100DA9" w14:textId="00100E75">
            <w:pPr>
              <w:pStyle w:val="Normal"/>
              <w:jc w:val="left"/>
            </w:pPr>
            <w:r>
              <w:t xml:space="preserve">Retained earnings</w:t>
            </w:r>
          </w:p>
        </w:tc>
        <w:tc>
          <w:tcPr>
            <w:vAlign w:val="center"/>
            <w:tcBorders>
              <w:top w:val="single" w:sz="4" w:space="0" w:color="auto"/>
              <w:left w:val="single" w:sz="4" w:space="0" w:color="auto"/>
              <w:bottom w:val="single" w:sz="4" w:space="0" w:color="auto"/>
              <w:right w:val="single" w:sz="4" w:space="0" w:color="auto"/>
            </w:tcBorders>
          </w:tcPr>
          <w:p w14:paraId="00100DAB" w14:textId="00100E76">
            <w:pPr>
              <w:pStyle w:val="Normal"/>
              <w:jc w:val="left"/>
            </w:pPr>
            <w:r>
              <w:t xml:space="preserve">801.6</w:t>
            </w:r>
          </w:p>
        </w:tc>
        <w:tc>
          <w:tcPr>
            <w:vAlign w:val="center"/>
            <w:tcBorders>
              <w:top w:val="single" w:sz="4" w:space="0" w:color="auto"/>
              <w:left w:val="single" w:sz="4" w:space="0" w:color="auto"/>
              <w:bottom w:val="single" w:sz="4" w:space="0" w:color="auto"/>
              <w:right w:val="single" w:sz="4" w:space="0" w:color="auto"/>
            </w:tcBorders>
          </w:tcPr>
          <w:p w14:paraId="00100DAD" w14:textId="00100E77">
            <w:pPr>
              <w:pStyle w:val="Normal"/>
              <w:jc w:val="left"/>
            </w:pPr>
            <w:r>
              <w:t xml:space="preserve">708.9</w:t>
            </w:r>
          </w:p>
        </w:tc>
      </w:tr>
      <w:tr>
        <w:tc>
          <w:tcPr>
            <w:vAlign w:val="center"/>
            <w:tcBorders>
              <w:top w:val="single" w:sz="4" w:space="0" w:color="auto"/>
              <w:left w:val="single" w:sz="4" w:space="0" w:color="auto"/>
              <w:bottom w:val="single" w:sz="4" w:space="0" w:color="auto"/>
              <w:right w:val="single" w:sz="4" w:space="0" w:color="auto"/>
            </w:tcBorders>
          </w:tcPr>
          <w:p w14:paraId="00100DAF" w14:textId="00100E78">
            <w:pPr>
              <w:pStyle w:val="Normal"/>
              <w:jc w:val="left"/>
            </w:pPr>
            <w:r>
              <w:t xml:space="preserve">Other reserves</w:t>
            </w:r>
          </w:p>
        </w:tc>
        <w:tc>
          <w:tcPr>
            <w:vAlign w:val="center"/>
            <w:tcBorders>
              <w:top w:val="single" w:sz="4" w:space="0" w:color="auto"/>
              <w:left w:val="single" w:sz="4" w:space="0" w:color="auto"/>
              <w:bottom w:val="single" w:sz="4" w:space="0" w:color="auto"/>
              <w:right w:val="single" w:sz="4" w:space="0" w:color="auto"/>
            </w:tcBorders>
          </w:tcPr>
          <w:p w14:paraId="00100DB1" w14:textId="00100E79">
            <w:pPr>
              <w:pStyle w:val="Normal"/>
              <w:jc w:val="left"/>
            </w:pPr>
            <w:r>
              <w:t xml:space="preserve">96.3</w:t>
            </w:r>
          </w:p>
        </w:tc>
        <w:tc>
          <w:tcPr>
            <w:vAlign w:val="center"/>
            <w:tcBorders>
              <w:top w:val="single" w:sz="4" w:space="0" w:color="auto"/>
              <w:left w:val="single" w:sz="4" w:space="0" w:color="auto"/>
              <w:bottom w:val="single" w:sz="4" w:space="0" w:color="auto"/>
              <w:right w:val="single" w:sz="4" w:space="0" w:color="auto"/>
            </w:tcBorders>
          </w:tcPr>
          <w:p w14:paraId="00100DB3" w14:textId="00100E7A">
            <w:pPr>
              <w:pStyle w:val="Normal"/>
              <w:jc w:val="left"/>
            </w:pPr>
            <w:r>
              <w:t xml:space="preserve">82.7</w:t>
            </w:r>
          </w:p>
        </w:tc>
      </w:tr>
      <w:tr>
        <w:tc>
          <w:tcPr>
            <w:vAlign w:val="center"/>
            <w:tcBorders>
              <w:top w:val="single" w:sz="4" w:space="0" w:color="auto"/>
              <w:left w:val="single" w:sz="4" w:space="0" w:color="auto"/>
              <w:bottom w:val="single" w:sz="4" w:space="0" w:color="auto"/>
              <w:right w:val="single" w:sz="4" w:space="0" w:color="auto"/>
            </w:tcBorders>
          </w:tcPr>
          <w:p w14:paraId="00100DB5" w14:textId="00100E7B">
            <w:pPr>
              <w:pStyle w:val="Normal"/>
              <w:jc w:val="left"/>
            </w:pPr>
            <w:r>
              <w:t xml:space="preserve">Equity attributable to owners of Rivermark Group</w:t>
            </w:r>
          </w:p>
        </w:tc>
        <w:tc>
          <w:tcPr>
            <w:vAlign w:val="center"/>
            <w:tcBorders>
              <w:top w:val="single" w:sz="4" w:space="0" w:color="auto"/>
              <w:left w:val="single" w:sz="4" w:space="0" w:color="auto"/>
              <w:bottom w:val="single" w:sz="4" w:space="0" w:color="auto"/>
              <w:right w:val="single" w:sz="4" w:space="0" w:color="auto"/>
            </w:tcBorders>
          </w:tcPr>
          <w:p w14:paraId="00100DB7" w14:textId="00100E7C">
            <w:pPr>
              <w:pStyle w:val="Normal"/>
              <w:jc w:val="left"/>
            </w:pPr>
            <w:r>
              <w:t xml:space="preserve">1,478.3</w:t>
            </w:r>
          </w:p>
        </w:tc>
        <w:tc>
          <w:tcPr>
            <w:vAlign w:val="center"/>
            <w:tcBorders>
              <w:top w:val="single" w:sz="4" w:space="0" w:color="auto"/>
              <w:left w:val="single" w:sz="4" w:space="0" w:color="auto"/>
              <w:bottom w:val="single" w:sz="4" w:space="0" w:color="auto"/>
              <w:right w:val="single" w:sz="4" w:space="0" w:color="auto"/>
            </w:tcBorders>
          </w:tcPr>
          <w:p w14:paraId="00100DB9" w14:textId="00100E7D">
            <w:pPr>
              <w:pStyle w:val="Normal"/>
              <w:jc w:val="left"/>
            </w:pPr>
            <w:r>
              <w:t xml:space="preserve">1,372.0</w:t>
            </w:r>
          </w:p>
        </w:tc>
      </w:tr>
      <w:tr>
        <w:tc>
          <w:tcPr>
            <w:vAlign w:val="center"/>
            <w:tcBorders>
              <w:top w:val="single" w:sz="4" w:space="0" w:color="auto"/>
              <w:left w:val="single" w:sz="4" w:space="0" w:color="auto"/>
              <w:bottom w:val="single" w:sz="4" w:space="0" w:color="auto"/>
              <w:right w:val="single" w:sz="4" w:space="0" w:color="auto"/>
            </w:tcBorders>
          </w:tcPr>
          <w:p w14:paraId="00100DBB" w14:textId="00100E7E">
            <w:pPr>
              <w:pStyle w:val="Normal"/>
              <w:jc w:val="left"/>
            </w:pPr>
            <w:r>
              <w:t xml:space="preserve">Non-controlling interests</w:t>
            </w:r>
          </w:p>
        </w:tc>
        <w:tc>
          <w:tcPr>
            <w:vAlign w:val="center"/>
            <w:tcBorders>
              <w:top w:val="single" w:sz="4" w:space="0" w:color="auto"/>
              <w:left w:val="single" w:sz="4" w:space="0" w:color="auto"/>
              <w:bottom w:val="single" w:sz="4" w:space="0" w:color="auto"/>
              <w:right w:val="single" w:sz="4" w:space="0" w:color="auto"/>
            </w:tcBorders>
          </w:tcPr>
          <w:p w14:paraId="00100DBD" w14:textId="00100E7F">
            <w:pPr>
              <w:pStyle w:val="Normal"/>
              <w:jc w:val="left"/>
            </w:pPr>
            <w:r>
              <w:t xml:space="preserve">74.6</w:t>
            </w:r>
          </w:p>
        </w:tc>
        <w:tc>
          <w:tcPr>
            <w:vAlign w:val="center"/>
            <w:tcBorders>
              <w:top w:val="single" w:sz="4" w:space="0" w:color="auto"/>
              <w:left w:val="single" w:sz="4" w:space="0" w:color="auto"/>
              <w:bottom w:val="single" w:sz="4" w:space="0" w:color="auto"/>
              <w:right w:val="single" w:sz="4" w:space="0" w:color="auto"/>
            </w:tcBorders>
          </w:tcPr>
          <w:p w14:paraId="00100DBF" w14:textId="00100E80">
            <w:pPr>
              <w:pStyle w:val="Normal"/>
              <w:jc w:val="left"/>
            </w:pPr>
            <w:r>
              <w:t xml:space="preserve">69.1</w:t>
            </w:r>
          </w:p>
        </w:tc>
      </w:tr>
      <w:tr>
        <w:tc>
          <w:tcPr>
            <w:vAlign w:val="center"/>
            <w:tcBorders>
              <w:top w:val="single" w:sz="4" w:space="0" w:color="auto"/>
              <w:left w:val="single" w:sz="4" w:space="0" w:color="auto"/>
              <w:bottom w:val="single" w:sz="4" w:space="0" w:color="auto"/>
              <w:right w:val="single" w:sz="4" w:space="0" w:color="auto"/>
            </w:tcBorders>
          </w:tcPr>
          <w:p w14:paraId="00100DC1" w14:textId="00100E81">
            <w:pPr>
              <w:pStyle w:val="Normal"/>
              <w:jc w:val="left"/>
            </w:pPr>
            <w:r>
              <w:t xml:space="preserve">Total equity</w:t>
            </w:r>
          </w:p>
        </w:tc>
        <w:tc>
          <w:tcPr>
            <w:vAlign w:val="center"/>
            <w:tcBorders>
              <w:top w:val="single" w:sz="4" w:space="0" w:color="auto"/>
              <w:left w:val="single" w:sz="4" w:space="0" w:color="auto"/>
              <w:bottom w:val="single" w:sz="4" w:space="0" w:color="auto"/>
              <w:right w:val="single" w:sz="4" w:space="0" w:color="auto"/>
            </w:tcBorders>
          </w:tcPr>
          <w:p w14:paraId="00100DC3" w14:textId="00100E82">
            <w:pPr>
              <w:pStyle w:val="Normal"/>
              <w:jc w:val="left"/>
            </w:pPr>
            <w:r>
              <w:t xml:space="preserve">1,552.9</w:t>
            </w:r>
          </w:p>
        </w:tc>
        <w:tc>
          <w:tcPr>
            <w:vAlign w:val="center"/>
            <w:tcBorders>
              <w:top w:val="single" w:sz="4" w:space="0" w:color="auto"/>
              <w:left w:val="single" w:sz="4" w:space="0" w:color="auto"/>
              <w:bottom w:val="single" w:sz="4" w:space="0" w:color="auto"/>
              <w:right w:val="single" w:sz="4" w:space="0" w:color="auto"/>
            </w:tcBorders>
          </w:tcPr>
          <w:p w14:paraId="00100DC5" w14:textId="00100E83">
            <w:pPr>
              <w:pStyle w:val="Normal"/>
              <w:jc w:val="left"/>
            </w:pPr>
            <w:r>
              <w:t xml:space="preserve">1,441.1</w:t>
            </w:r>
          </w:p>
        </w:tc>
      </w:tr>
      <w:tr>
        <w:tc>
          <w:tcPr>
            <w:vAlign w:val="center"/>
            <w:tcBorders>
              <w:top w:val="single" w:sz="4" w:space="0" w:color="auto"/>
              <w:left w:val="single" w:sz="4" w:space="0" w:color="auto"/>
              <w:bottom w:val="single" w:sz="4" w:space="0" w:color="auto"/>
              <w:right w:val="single" w:sz="4" w:space="0" w:color="auto"/>
            </w:tcBorders>
          </w:tcPr>
          <w:p w14:paraId="00100DC7" w14:textId="00100E84">
            <w:pPr>
              <w:pStyle w:val="Normal"/>
              <w:jc w:val="left"/>
            </w:pPr>
            <w:r>
              <w:t xml:space="preserve">Non-current liabilities</w:t>
            </w:r>
          </w:p>
        </w:tc>
        <w:tc>
          <w:tcPr>
            <w:vAlign w:val="center"/>
            <w:tcBorders>
              <w:top w:val="single" w:sz="4" w:space="0" w:color="auto"/>
              <w:left w:val="single" w:sz="4" w:space="0" w:color="auto"/>
              <w:bottom w:val="single" w:sz="4" w:space="0" w:color="auto"/>
              <w:right w:val="single" w:sz="4" w:space="0" w:color="auto"/>
            </w:tcBorders>
          </w:tcPr>
          <w:p w14:paraId="00100DC9" w14:textId="00100E85">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DCB" w14:textId="00100E86">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DCD" w14:textId="00100E87">
            <w:pPr>
              <w:pStyle w:val="Normal"/>
              <w:jc w:val="left"/>
            </w:pPr>
            <w:r>
              <w:t xml:space="preserve">Borrowings</w:t>
            </w:r>
          </w:p>
        </w:tc>
        <w:tc>
          <w:tcPr>
            <w:vAlign w:val="center"/>
            <w:tcBorders>
              <w:top w:val="single" w:sz="4" w:space="0" w:color="auto"/>
              <w:left w:val="single" w:sz="4" w:space="0" w:color="auto"/>
              <w:bottom w:val="single" w:sz="4" w:space="0" w:color="auto"/>
              <w:right w:val="single" w:sz="4" w:space="0" w:color="auto"/>
            </w:tcBorders>
          </w:tcPr>
          <w:p w14:paraId="00100DCF" w14:textId="00100E88">
            <w:pPr>
              <w:pStyle w:val="Normal"/>
              <w:jc w:val="left"/>
            </w:pPr>
            <w:r>
              <w:t xml:space="preserve">684.2</w:t>
            </w:r>
          </w:p>
        </w:tc>
        <w:tc>
          <w:tcPr>
            <w:vAlign w:val="center"/>
            <w:tcBorders>
              <w:top w:val="single" w:sz="4" w:space="0" w:color="auto"/>
              <w:left w:val="single" w:sz="4" w:space="0" w:color="auto"/>
              <w:bottom w:val="single" w:sz="4" w:space="0" w:color="auto"/>
              <w:right w:val="single" w:sz="4" w:space="0" w:color="auto"/>
            </w:tcBorders>
          </w:tcPr>
          <w:p w14:paraId="00100DD1" w14:textId="00100E89">
            <w:pPr>
              <w:pStyle w:val="Normal"/>
              <w:jc w:val="left"/>
            </w:pPr>
            <w:r>
              <w:t xml:space="preserve">702.8</w:t>
            </w:r>
          </w:p>
        </w:tc>
      </w:tr>
      <w:tr>
        <w:tc>
          <w:tcPr>
            <w:vAlign w:val="center"/>
            <w:tcBorders>
              <w:top w:val="single" w:sz="4" w:space="0" w:color="auto"/>
              <w:left w:val="single" w:sz="4" w:space="0" w:color="auto"/>
              <w:bottom w:val="single" w:sz="4" w:space="0" w:color="auto"/>
              <w:right w:val="single" w:sz="4" w:space="0" w:color="auto"/>
            </w:tcBorders>
          </w:tcPr>
          <w:p w14:paraId="00100DD3" w14:textId="00100E8A">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0DD5" w14:textId="00100E8B">
            <w:pPr>
              <w:pStyle w:val="Normal"/>
              <w:jc w:val="left"/>
            </w:pPr>
            <w:r>
              <w:t xml:space="preserve">94.5</w:t>
            </w:r>
          </w:p>
        </w:tc>
        <w:tc>
          <w:tcPr>
            <w:vAlign w:val="center"/>
            <w:tcBorders>
              <w:top w:val="single" w:sz="4" w:space="0" w:color="auto"/>
              <w:left w:val="single" w:sz="4" w:space="0" w:color="auto"/>
              <w:bottom w:val="single" w:sz="4" w:space="0" w:color="auto"/>
              <w:right w:val="single" w:sz="4" w:space="0" w:color="auto"/>
            </w:tcBorders>
          </w:tcPr>
          <w:p w14:paraId="00100DD7" w14:textId="00100E8C">
            <w:pPr>
              <w:pStyle w:val="Normal"/>
              <w:jc w:val="left"/>
            </w:pPr>
            <w:r>
              <w:t xml:space="preserve">88.1</w:t>
            </w:r>
          </w:p>
        </w:tc>
      </w:tr>
      <w:tr>
        <w:tc>
          <w:tcPr>
            <w:vAlign w:val="center"/>
            <w:tcBorders>
              <w:top w:val="single" w:sz="4" w:space="0" w:color="auto"/>
              <w:left w:val="single" w:sz="4" w:space="0" w:color="auto"/>
              <w:bottom w:val="single" w:sz="4" w:space="0" w:color="auto"/>
              <w:right w:val="single" w:sz="4" w:space="0" w:color="auto"/>
            </w:tcBorders>
          </w:tcPr>
          <w:p w14:paraId="00100DD9" w14:textId="00100E8D">
            <w:pPr>
              <w:pStyle w:val="Normal"/>
              <w:jc w:val="left"/>
            </w:pPr>
            <w:r>
              <w:t xml:space="preserve">Deferred tax liabilities</w:t>
            </w:r>
          </w:p>
        </w:tc>
        <w:tc>
          <w:tcPr>
            <w:vAlign w:val="center"/>
            <w:tcBorders>
              <w:top w:val="single" w:sz="4" w:space="0" w:color="auto"/>
              <w:left w:val="single" w:sz="4" w:space="0" w:color="auto"/>
              <w:bottom w:val="single" w:sz="4" w:space="0" w:color="auto"/>
              <w:right w:val="single" w:sz="4" w:space="0" w:color="auto"/>
            </w:tcBorders>
          </w:tcPr>
          <w:p w14:paraId="00100DDB" w14:textId="00100E8E">
            <w:pPr>
              <w:pStyle w:val="Normal"/>
              <w:jc w:val="left"/>
            </w:pPr>
            <w:r>
              <w:t xml:space="preserve">71.3</w:t>
            </w:r>
          </w:p>
        </w:tc>
        <w:tc>
          <w:tcPr>
            <w:vAlign w:val="center"/>
            <w:tcBorders>
              <w:top w:val="single" w:sz="4" w:space="0" w:color="auto"/>
              <w:left w:val="single" w:sz="4" w:space="0" w:color="auto"/>
              <w:bottom w:val="single" w:sz="4" w:space="0" w:color="auto"/>
              <w:right w:val="single" w:sz="4" w:space="0" w:color="auto"/>
            </w:tcBorders>
          </w:tcPr>
          <w:p w14:paraId="00100DDD" w14:textId="00100E8F">
            <w:pPr>
              <w:pStyle w:val="Normal"/>
              <w:jc w:val="left"/>
            </w:pPr>
            <w:r>
              <w:t xml:space="preserve">66.9</w:t>
            </w:r>
          </w:p>
        </w:tc>
      </w:tr>
      <w:tr>
        <w:tc>
          <w:tcPr>
            <w:vAlign w:val="center"/>
            <w:tcBorders>
              <w:top w:val="single" w:sz="4" w:space="0" w:color="auto"/>
              <w:left w:val="single" w:sz="4" w:space="0" w:color="auto"/>
              <w:bottom w:val="single" w:sz="4" w:space="0" w:color="auto"/>
              <w:right w:val="single" w:sz="4" w:space="0" w:color="auto"/>
            </w:tcBorders>
          </w:tcPr>
          <w:p w14:paraId="00100DDF" w14:textId="00100E90">
            <w:pPr>
              <w:pStyle w:val="Normal"/>
              <w:jc w:val="left"/>
            </w:pPr>
            <w:r>
              <w:t xml:space="preserve">Retirement benefit obligations</w:t>
            </w:r>
          </w:p>
        </w:tc>
        <w:tc>
          <w:tcPr>
            <w:vAlign w:val="center"/>
            <w:tcBorders>
              <w:top w:val="single" w:sz="4" w:space="0" w:color="auto"/>
              <w:left w:val="single" w:sz="4" w:space="0" w:color="auto"/>
              <w:bottom w:val="single" w:sz="4" w:space="0" w:color="auto"/>
              <w:right w:val="single" w:sz="4" w:space="0" w:color="auto"/>
            </w:tcBorders>
          </w:tcPr>
          <w:p w14:paraId="00100DE1" w14:textId="00100E91">
            <w:pPr>
              <w:pStyle w:val="Normal"/>
              <w:jc w:val="left"/>
            </w:pPr>
            <w:r>
              <w:t xml:space="preserve">52.7</w:t>
            </w:r>
          </w:p>
        </w:tc>
        <w:tc>
          <w:tcPr>
            <w:vAlign w:val="center"/>
            <w:tcBorders>
              <w:top w:val="single" w:sz="4" w:space="0" w:color="auto"/>
              <w:left w:val="single" w:sz="4" w:space="0" w:color="auto"/>
              <w:bottom w:val="single" w:sz="4" w:space="0" w:color="auto"/>
              <w:right w:val="single" w:sz="4" w:space="0" w:color="auto"/>
            </w:tcBorders>
          </w:tcPr>
          <w:p w14:paraId="00100DE3" w14:textId="00100E92">
            <w:pPr>
              <w:pStyle w:val="Normal"/>
              <w:jc w:val="left"/>
            </w:pPr>
            <w:r>
              <w:t xml:space="preserve">55.4</w:t>
            </w:r>
          </w:p>
        </w:tc>
      </w:tr>
      <w:tr>
        <w:tc>
          <w:tcPr>
            <w:vAlign w:val="center"/>
            <w:tcBorders>
              <w:top w:val="single" w:sz="4" w:space="0" w:color="auto"/>
              <w:left w:val="single" w:sz="4" w:space="0" w:color="auto"/>
              <w:bottom w:val="single" w:sz="4" w:space="0" w:color="auto"/>
              <w:right w:val="single" w:sz="4" w:space="0" w:color="auto"/>
            </w:tcBorders>
          </w:tcPr>
          <w:p w14:paraId="00100DE5" w14:textId="00100E93">
            <w:pPr>
              <w:pStyle w:val="Normal"/>
              <w:jc w:val="left"/>
            </w:pPr>
            <w:r>
              <w:t xml:space="preserve">Provisions</w:t>
            </w:r>
          </w:p>
        </w:tc>
        <w:tc>
          <w:tcPr>
            <w:vAlign w:val="center"/>
            <w:tcBorders>
              <w:top w:val="single" w:sz="4" w:space="0" w:color="auto"/>
              <w:left w:val="single" w:sz="4" w:space="0" w:color="auto"/>
              <w:bottom w:val="single" w:sz="4" w:space="0" w:color="auto"/>
              <w:right w:val="single" w:sz="4" w:space="0" w:color="auto"/>
            </w:tcBorders>
          </w:tcPr>
          <w:p w14:paraId="00100DE7" w14:textId="00100E94">
            <w:pPr>
              <w:pStyle w:val="Normal"/>
              <w:jc w:val="left"/>
            </w:pPr>
            <w:r>
              <w:t xml:space="preserve">39.8</w:t>
            </w:r>
          </w:p>
        </w:tc>
        <w:tc>
          <w:tcPr>
            <w:vAlign w:val="center"/>
            <w:tcBorders>
              <w:top w:val="single" w:sz="4" w:space="0" w:color="auto"/>
              <w:left w:val="single" w:sz="4" w:space="0" w:color="auto"/>
              <w:bottom w:val="single" w:sz="4" w:space="0" w:color="auto"/>
              <w:right w:val="single" w:sz="4" w:space="0" w:color="auto"/>
            </w:tcBorders>
          </w:tcPr>
          <w:p w14:paraId="00100DE9" w14:textId="00100E95">
            <w:pPr>
              <w:pStyle w:val="Normal"/>
              <w:jc w:val="left"/>
            </w:pPr>
            <w:r>
              <w:t xml:space="preserve">34.6</w:t>
            </w:r>
          </w:p>
        </w:tc>
      </w:tr>
      <w:tr>
        <w:tc>
          <w:tcPr>
            <w:vAlign w:val="center"/>
            <w:tcBorders>
              <w:top w:val="single" w:sz="4" w:space="0" w:color="auto"/>
              <w:left w:val="single" w:sz="4" w:space="0" w:color="auto"/>
              <w:bottom w:val="single" w:sz="4" w:space="0" w:color="auto"/>
              <w:right w:val="single" w:sz="4" w:space="0" w:color="auto"/>
            </w:tcBorders>
          </w:tcPr>
          <w:p w14:paraId="00100DEB" w14:textId="00100E96">
            <w:pPr>
              <w:pStyle w:val="Normal"/>
              <w:jc w:val="left"/>
            </w:pPr>
            <w:r>
              <w:t xml:space="preserve">Other non-current liabilities</w:t>
            </w:r>
          </w:p>
        </w:tc>
        <w:tc>
          <w:tcPr>
            <w:vAlign w:val="center"/>
            <w:tcBorders>
              <w:top w:val="single" w:sz="4" w:space="0" w:color="auto"/>
              <w:left w:val="single" w:sz="4" w:space="0" w:color="auto"/>
              <w:bottom w:val="single" w:sz="4" w:space="0" w:color="auto"/>
              <w:right w:val="single" w:sz="4" w:space="0" w:color="auto"/>
            </w:tcBorders>
          </w:tcPr>
          <w:p w14:paraId="00100DED" w14:textId="00100E97">
            <w:pPr>
              <w:pStyle w:val="Normal"/>
              <w:jc w:val="left"/>
            </w:pPr>
            <w:r>
              <w:t xml:space="preserve">28.9</w:t>
            </w:r>
          </w:p>
        </w:tc>
        <w:tc>
          <w:tcPr>
            <w:vAlign w:val="center"/>
            <w:tcBorders>
              <w:top w:val="single" w:sz="4" w:space="0" w:color="auto"/>
              <w:left w:val="single" w:sz="4" w:space="0" w:color="auto"/>
              <w:bottom w:val="single" w:sz="4" w:space="0" w:color="auto"/>
              <w:right w:val="single" w:sz="4" w:space="0" w:color="auto"/>
            </w:tcBorders>
          </w:tcPr>
          <w:p w14:paraId="00100DEF" w14:textId="00100E98">
            <w:pPr>
              <w:pStyle w:val="Normal"/>
              <w:jc w:val="left"/>
            </w:pPr>
            <w:r>
              <w:t xml:space="preserve">25.2</w:t>
            </w:r>
          </w:p>
        </w:tc>
      </w:tr>
      <w:tr>
        <w:tc>
          <w:tcPr>
            <w:vAlign w:val="center"/>
            <w:tcBorders>
              <w:top w:val="single" w:sz="4" w:space="0" w:color="auto"/>
              <w:left w:val="single" w:sz="4" w:space="0" w:color="auto"/>
              <w:bottom w:val="single" w:sz="4" w:space="0" w:color="auto"/>
              <w:right w:val="single" w:sz="4" w:space="0" w:color="auto"/>
            </w:tcBorders>
          </w:tcPr>
          <w:p w14:paraId="00100DF1" w14:textId="00100E99">
            <w:pPr>
              <w:pStyle w:val="Normal"/>
              <w:jc w:val="left"/>
            </w:pPr>
            <w:r>
              <w:t xml:space="preserve">Total non-current liabilities</w:t>
            </w:r>
          </w:p>
        </w:tc>
        <w:tc>
          <w:tcPr>
            <w:vAlign w:val="center"/>
            <w:tcBorders>
              <w:top w:val="single" w:sz="4" w:space="0" w:color="auto"/>
              <w:left w:val="single" w:sz="4" w:space="0" w:color="auto"/>
              <w:bottom w:val="single" w:sz="4" w:space="0" w:color="auto"/>
              <w:right w:val="single" w:sz="4" w:space="0" w:color="auto"/>
            </w:tcBorders>
          </w:tcPr>
          <w:p w14:paraId="00100DF3" w14:textId="00100E9A">
            <w:pPr>
              <w:pStyle w:val="Normal"/>
              <w:jc w:val="left"/>
            </w:pPr>
            <w:r>
              <w:t xml:space="preserve">971.4</w:t>
            </w:r>
          </w:p>
        </w:tc>
        <w:tc>
          <w:tcPr>
            <w:vAlign w:val="center"/>
            <w:tcBorders>
              <w:top w:val="single" w:sz="4" w:space="0" w:color="auto"/>
              <w:left w:val="single" w:sz="4" w:space="0" w:color="auto"/>
              <w:bottom w:val="single" w:sz="4" w:space="0" w:color="auto"/>
              <w:right w:val="single" w:sz="4" w:space="0" w:color="auto"/>
            </w:tcBorders>
          </w:tcPr>
          <w:p w14:paraId="00100DF5" w14:textId="00100E9B">
            <w:pPr>
              <w:pStyle w:val="Normal"/>
              <w:jc w:val="left"/>
            </w:pPr>
            <w:r>
              <w:t xml:space="preserve">973.0</w:t>
            </w:r>
          </w:p>
        </w:tc>
      </w:tr>
      <w:tr>
        <w:tc>
          <w:tcPr>
            <w:vAlign w:val="center"/>
            <w:tcBorders>
              <w:top w:val="single" w:sz="4" w:space="0" w:color="auto"/>
              <w:left w:val="single" w:sz="4" w:space="0" w:color="auto"/>
              <w:bottom w:val="single" w:sz="4" w:space="0" w:color="auto"/>
              <w:right w:val="single" w:sz="4" w:space="0" w:color="auto"/>
            </w:tcBorders>
          </w:tcPr>
          <w:p w14:paraId="00100DF7" w14:textId="00100E9C">
            <w:pPr>
              <w:pStyle w:val="Normal"/>
              <w:jc w:val="left"/>
            </w:pPr>
            <w:r>
              <w:t xml:space="preserve">Current liabilities</w:t>
            </w:r>
          </w:p>
        </w:tc>
        <w:tc>
          <w:tcPr>
            <w:vAlign w:val="center"/>
            <w:tcBorders>
              <w:top w:val="single" w:sz="4" w:space="0" w:color="auto"/>
              <w:left w:val="single" w:sz="4" w:space="0" w:color="auto"/>
              <w:bottom w:val="single" w:sz="4" w:space="0" w:color="auto"/>
              <w:right w:val="single" w:sz="4" w:space="0" w:color="auto"/>
            </w:tcBorders>
          </w:tcPr>
          <w:p w14:paraId="00100DF9" w14:textId="00100E9D">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DFB" w14:textId="00100E9E">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DFD" w14:textId="00100E9F">
            <w:pPr>
              <w:pStyle w:val="Normal"/>
              <w:jc w:val="left"/>
            </w:pPr>
            <w:r>
              <w:t xml:space="preserve">Trade and other payables</w:t>
            </w:r>
          </w:p>
        </w:tc>
        <w:tc>
          <w:tcPr>
            <w:vAlign w:val="center"/>
            <w:tcBorders>
              <w:top w:val="single" w:sz="4" w:space="0" w:color="auto"/>
              <w:left w:val="single" w:sz="4" w:space="0" w:color="auto"/>
              <w:bottom w:val="single" w:sz="4" w:space="0" w:color="auto"/>
              <w:right w:val="single" w:sz="4" w:space="0" w:color="auto"/>
            </w:tcBorders>
          </w:tcPr>
          <w:p w14:paraId="00100DFF" w14:textId="00100EA0">
            <w:pPr>
              <w:pStyle w:val="Normal"/>
              <w:jc w:val="left"/>
            </w:pPr>
            <w:r>
              <w:t xml:space="preserve">453.8</w:t>
            </w:r>
          </w:p>
        </w:tc>
        <w:tc>
          <w:tcPr>
            <w:vAlign w:val="center"/>
            <w:tcBorders>
              <w:top w:val="single" w:sz="4" w:space="0" w:color="auto"/>
              <w:left w:val="single" w:sz="4" w:space="0" w:color="auto"/>
              <w:bottom w:val="single" w:sz="4" w:space="0" w:color="auto"/>
              <w:right w:val="single" w:sz="4" w:space="0" w:color="auto"/>
            </w:tcBorders>
          </w:tcPr>
          <w:p w14:paraId="00100E01" w14:textId="00100EA1">
            <w:pPr>
              <w:pStyle w:val="Normal"/>
              <w:jc w:val="left"/>
            </w:pPr>
            <w:r>
              <w:t xml:space="preserve">429.6</w:t>
            </w:r>
          </w:p>
        </w:tc>
      </w:tr>
      <w:tr>
        <w:tc>
          <w:tcPr>
            <w:vAlign w:val="center"/>
            <w:tcBorders>
              <w:top w:val="single" w:sz="4" w:space="0" w:color="auto"/>
              <w:left w:val="single" w:sz="4" w:space="0" w:color="auto"/>
              <w:bottom w:val="single" w:sz="4" w:space="0" w:color="auto"/>
              <w:right w:val="single" w:sz="4" w:space="0" w:color="auto"/>
            </w:tcBorders>
          </w:tcPr>
          <w:p w14:paraId="00100E03" w14:textId="00100EA2">
            <w:pPr>
              <w:pStyle w:val="Normal"/>
              <w:jc w:val="left"/>
            </w:pPr>
            <w:r>
              <w:t xml:space="preserve">Contract liabilities</w:t>
            </w:r>
          </w:p>
        </w:tc>
        <w:tc>
          <w:tcPr>
            <w:vAlign w:val="center"/>
            <w:tcBorders>
              <w:top w:val="single" w:sz="4" w:space="0" w:color="auto"/>
              <w:left w:val="single" w:sz="4" w:space="0" w:color="auto"/>
              <w:bottom w:val="single" w:sz="4" w:space="0" w:color="auto"/>
              <w:right w:val="single" w:sz="4" w:space="0" w:color="auto"/>
            </w:tcBorders>
          </w:tcPr>
          <w:p w14:paraId="00100E05" w14:textId="00100EA3">
            <w:pPr>
              <w:pStyle w:val="Normal"/>
              <w:jc w:val="left"/>
            </w:pPr>
            <w:r>
              <w:t xml:space="preserve">81.2</w:t>
            </w:r>
          </w:p>
        </w:tc>
        <w:tc>
          <w:tcPr>
            <w:vAlign w:val="center"/>
            <w:tcBorders>
              <w:top w:val="single" w:sz="4" w:space="0" w:color="auto"/>
              <w:left w:val="single" w:sz="4" w:space="0" w:color="auto"/>
              <w:bottom w:val="single" w:sz="4" w:space="0" w:color="auto"/>
              <w:right w:val="single" w:sz="4" w:space="0" w:color="auto"/>
            </w:tcBorders>
          </w:tcPr>
          <w:p w14:paraId="00100E07" w14:textId="00100EA4">
            <w:pPr>
              <w:pStyle w:val="Normal"/>
              <w:jc w:val="left"/>
            </w:pPr>
            <w:r>
              <w:t xml:space="preserve">74.5</w:t>
            </w:r>
          </w:p>
        </w:tc>
      </w:tr>
      <w:tr>
        <w:tc>
          <w:tcPr>
            <w:vAlign w:val="center"/>
            <w:tcBorders>
              <w:top w:val="single" w:sz="4" w:space="0" w:color="auto"/>
              <w:left w:val="single" w:sz="4" w:space="0" w:color="auto"/>
              <w:bottom w:val="single" w:sz="4" w:space="0" w:color="auto"/>
              <w:right w:val="single" w:sz="4" w:space="0" w:color="auto"/>
            </w:tcBorders>
          </w:tcPr>
          <w:p w14:paraId="00100E09" w14:textId="00100EA5">
            <w:pPr>
              <w:pStyle w:val="Normal"/>
              <w:jc w:val="left"/>
            </w:pPr>
            <w:r>
              <w:t xml:space="preserve">Current tax liabilities</w:t>
            </w:r>
          </w:p>
        </w:tc>
        <w:tc>
          <w:tcPr>
            <w:vAlign w:val="center"/>
            <w:tcBorders>
              <w:top w:val="single" w:sz="4" w:space="0" w:color="auto"/>
              <w:left w:val="single" w:sz="4" w:space="0" w:color="auto"/>
              <w:bottom w:val="single" w:sz="4" w:space="0" w:color="auto"/>
              <w:right w:val="single" w:sz="4" w:space="0" w:color="auto"/>
            </w:tcBorders>
          </w:tcPr>
          <w:p w14:paraId="00100E0B" w14:textId="00100EA6">
            <w:pPr>
              <w:pStyle w:val="Normal"/>
              <w:jc w:val="left"/>
            </w:pPr>
            <w:r>
              <w:t xml:space="preserve">36.7</w:t>
            </w:r>
          </w:p>
        </w:tc>
        <w:tc>
          <w:tcPr>
            <w:vAlign w:val="center"/>
            <w:tcBorders>
              <w:top w:val="single" w:sz="4" w:space="0" w:color="auto"/>
              <w:left w:val="single" w:sz="4" w:space="0" w:color="auto"/>
              <w:bottom w:val="single" w:sz="4" w:space="0" w:color="auto"/>
              <w:right w:val="single" w:sz="4" w:space="0" w:color="auto"/>
            </w:tcBorders>
          </w:tcPr>
          <w:p w14:paraId="00100E0D" w14:textId="00100EA7">
            <w:pPr>
              <w:pStyle w:val="Normal"/>
              <w:jc w:val="left"/>
            </w:pPr>
            <w:r>
              <w:t xml:space="preserve">31.4</w:t>
            </w:r>
          </w:p>
        </w:tc>
      </w:tr>
      <w:tr>
        <w:tc>
          <w:tcPr>
            <w:vAlign w:val="center"/>
            <w:tcBorders>
              <w:top w:val="single" w:sz="4" w:space="0" w:color="auto"/>
              <w:left w:val="single" w:sz="4" w:space="0" w:color="auto"/>
              <w:bottom w:val="single" w:sz="4" w:space="0" w:color="auto"/>
              <w:right w:val="single" w:sz="4" w:space="0" w:color="auto"/>
            </w:tcBorders>
          </w:tcPr>
          <w:p w14:paraId="00100E0F" w14:textId="00100EA8">
            <w:pPr>
              <w:pStyle w:val="Normal"/>
              <w:jc w:val="left"/>
            </w:pPr>
            <w:r>
              <w:t xml:space="preserve">Borrowings</w:t>
            </w:r>
          </w:p>
        </w:tc>
        <w:tc>
          <w:tcPr>
            <w:vAlign w:val="center"/>
            <w:tcBorders>
              <w:top w:val="single" w:sz="4" w:space="0" w:color="auto"/>
              <w:left w:val="single" w:sz="4" w:space="0" w:color="auto"/>
              <w:bottom w:val="single" w:sz="4" w:space="0" w:color="auto"/>
              <w:right w:val="single" w:sz="4" w:space="0" w:color="auto"/>
            </w:tcBorders>
          </w:tcPr>
          <w:p w14:paraId="00100E11" w14:textId="00100EA9">
            <w:pPr>
              <w:pStyle w:val="Normal"/>
              <w:jc w:val="left"/>
            </w:pPr>
            <w:r>
              <w:t xml:space="preserve">118.6</w:t>
            </w:r>
          </w:p>
        </w:tc>
        <w:tc>
          <w:tcPr>
            <w:vAlign w:val="center"/>
            <w:tcBorders>
              <w:top w:val="single" w:sz="4" w:space="0" w:color="auto"/>
              <w:left w:val="single" w:sz="4" w:space="0" w:color="auto"/>
              <w:bottom w:val="single" w:sz="4" w:space="0" w:color="auto"/>
              <w:right w:val="single" w:sz="4" w:space="0" w:color="auto"/>
            </w:tcBorders>
          </w:tcPr>
          <w:p w14:paraId="00100E13" w14:textId="00100EAA">
            <w:pPr>
              <w:pStyle w:val="Normal"/>
              <w:jc w:val="left"/>
            </w:pPr>
            <w:r>
              <w:t xml:space="preserve">102.3</w:t>
            </w:r>
          </w:p>
        </w:tc>
      </w:tr>
      <w:tr>
        <w:tc>
          <w:tcPr>
            <w:vAlign w:val="center"/>
            <w:tcBorders>
              <w:top w:val="single" w:sz="4" w:space="0" w:color="auto"/>
              <w:left w:val="single" w:sz="4" w:space="0" w:color="auto"/>
              <w:bottom w:val="single" w:sz="4" w:space="0" w:color="auto"/>
              <w:right w:val="single" w:sz="4" w:space="0" w:color="auto"/>
            </w:tcBorders>
          </w:tcPr>
          <w:p w14:paraId="00100E15" w14:textId="00100EAB">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0E17" w14:textId="00100EAC">
            <w:pPr>
              <w:pStyle w:val="Normal"/>
              <w:jc w:val="left"/>
            </w:pPr>
            <w:r>
              <w:t xml:space="preserve">24.9</w:t>
            </w:r>
          </w:p>
        </w:tc>
        <w:tc>
          <w:tcPr>
            <w:vAlign w:val="center"/>
            <w:tcBorders>
              <w:top w:val="single" w:sz="4" w:space="0" w:color="auto"/>
              <w:left w:val="single" w:sz="4" w:space="0" w:color="auto"/>
              <w:bottom w:val="single" w:sz="4" w:space="0" w:color="auto"/>
              <w:right w:val="single" w:sz="4" w:space="0" w:color="auto"/>
            </w:tcBorders>
          </w:tcPr>
          <w:p w14:paraId="00100E19" w14:textId="00100EAD">
            <w:pPr>
              <w:pStyle w:val="Normal"/>
              <w:jc w:val="left"/>
            </w:pPr>
            <w:r>
              <w:t xml:space="preserve">22.8</w:t>
            </w:r>
          </w:p>
        </w:tc>
      </w:tr>
      <w:tr>
        <w:tc>
          <w:tcPr>
            <w:vAlign w:val="center"/>
            <w:tcBorders>
              <w:top w:val="single" w:sz="4" w:space="0" w:color="auto"/>
              <w:left w:val="single" w:sz="4" w:space="0" w:color="auto"/>
              <w:bottom w:val="single" w:sz="4" w:space="0" w:color="auto"/>
              <w:right w:val="single" w:sz="4" w:space="0" w:color="auto"/>
            </w:tcBorders>
          </w:tcPr>
          <w:p w14:paraId="00100E1B" w14:textId="00100EAE">
            <w:pPr>
              <w:pStyle w:val="Normal"/>
              <w:jc w:val="left"/>
            </w:pPr>
            <w:r>
              <w:t xml:space="preserve">Provisions</w:t>
            </w:r>
          </w:p>
        </w:tc>
        <w:tc>
          <w:tcPr>
            <w:vAlign w:val="center"/>
            <w:tcBorders>
              <w:top w:val="single" w:sz="4" w:space="0" w:color="auto"/>
              <w:left w:val="single" w:sz="4" w:space="0" w:color="auto"/>
              <w:bottom w:val="single" w:sz="4" w:space="0" w:color="auto"/>
              <w:right w:val="single" w:sz="4" w:space="0" w:color="auto"/>
            </w:tcBorders>
          </w:tcPr>
          <w:p w14:paraId="00100E1D" w14:textId="00100EAF">
            <w:pPr>
              <w:pStyle w:val="Normal"/>
              <w:jc w:val="left"/>
            </w:pPr>
            <w:r>
              <w:t xml:space="preserve">18.4</w:t>
            </w:r>
          </w:p>
        </w:tc>
        <w:tc>
          <w:tcPr>
            <w:vAlign w:val="center"/>
            <w:tcBorders>
              <w:top w:val="single" w:sz="4" w:space="0" w:color="auto"/>
              <w:left w:val="single" w:sz="4" w:space="0" w:color="auto"/>
              <w:bottom w:val="single" w:sz="4" w:space="0" w:color="auto"/>
              <w:right w:val="single" w:sz="4" w:space="0" w:color="auto"/>
            </w:tcBorders>
          </w:tcPr>
          <w:p w14:paraId="00100E1F" w14:textId="00100EB0">
            <w:pPr>
              <w:pStyle w:val="Normal"/>
              <w:jc w:val="left"/>
            </w:pPr>
            <w:r>
              <w:t xml:space="preserve">16.7</w:t>
            </w:r>
          </w:p>
        </w:tc>
      </w:tr>
      <w:tr>
        <w:tc>
          <w:tcPr>
            <w:vAlign w:val="center"/>
            <w:tcBorders>
              <w:top w:val="single" w:sz="4" w:space="0" w:color="auto"/>
              <w:left w:val="single" w:sz="4" w:space="0" w:color="auto"/>
              <w:bottom w:val="single" w:sz="4" w:space="0" w:color="auto"/>
              <w:right w:val="single" w:sz="4" w:space="0" w:color="auto"/>
            </w:tcBorders>
          </w:tcPr>
          <w:p w14:paraId="00100E21" w14:textId="00100EB1">
            <w:pPr>
              <w:pStyle w:val="Normal"/>
              <w:jc w:val="left"/>
            </w:pPr>
            <w:r>
              <w:t xml:space="preserve">Other current liabilities</w:t>
            </w:r>
          </w:p>
        </w:tc>
        <w:tc>
          <w:tcPr>
            <w:vAlign w:val="center"/>
            <w:tcBorders>
              <w:top w:val="single" w:sz="4" w:space="0" w:color="auto"/>
              <w:left w:val="single" w:sz="4" w:space="0" w:color="auto"/>
              <w:bottom w:val="single" w:sz="4" w:space="0" w:color="auto"/>
              <w:right w:val="single" w:sz="4" w:space="0" w:color="auto"/>
            </w:tcBorders>
          </w:tcPr>
          <w:p w14:paraId="00100E23" w14:textId="00100EB2">
            <w:pPr>
              <w:pStyle w:val="Normal"/>
              <w:jc w:val="left"/>
            </w:pPr>
            <w:r>
              <w:t xml:space="preserve">22.9</w:t>
            </w:r>
          </w:p>
        </w:tc>
        <w:tc>
          <w:tcPr>
            <w:vAlign w:val="center"/>
            <w:tcBorders>
              <w:top w:val="single" w:sz="4" w:space="0" w:color="auto"/>
              <w:left w:val="single" w:sz="4" w:space="0" w:color="auto"/>
              <w:bottom w:val="single" w:sz="4" w:space="0" w:color="auto"/>
              <w:right w:val="single" w:sz="4" w:space="0" w:color="auto"/>
            </w:tcBorders>
          </w:tcPr>
          <w:p w14:paraId="00100E25" w14:textId="00100EB3">
            <w:pPr>
              <w:pStyle w:val="Normal"/>
              <w:jc w:val="left"/>
            </w:pPr>
            <w:r>
              <w:t xml:space="preserve">12.7</w:t>
            </w:r>
          </w:p>
        </w:tc>
      </w:tr>
      <w:tr>
        <w:tc>
          <w:tcPr>
            <w:vAlign w:val="center"/>
            <w:tcBorders>
              <w:top w:val="single" w:sz="4" w:space="0" w:color="auto"/>
              <w:left w:val="single" w:sz="4" w:space="0" w:color="auto"/>
              <w:bottom w:val="single" w:sz="4" w:space="0" w:color="auto"/>
              <w:right w:val="single" w:sz="4" w:space="0" w:color="auto"/>
            </w:tcBorders>
          </w:tcPr>
          <w:p w14:paraId="00100E27" w14:textId="00100EB4">
            <w:pPr>
              <w:pStyle w:val="Normal"/>
              <w:jc w:val="left"/>
            </w:pPr>
            <w:r>
              <w:t xml:space="preserve">Total current liabilities</w:t>
            </w:r>
          </w:p>
        </w:tc>
        <w:tc>
          <w:tcPr>
            <w:vAlign w:val="center"/>
            <w:tcBorders>
              <w:top w:val="single" w:sz="4" w:space="0" w:color="auto"/>
              <w:left w:val="single" w:sz="4" w:space="0" w:color="auto"/>
              <w:bottom w:val="single" w:sz="4" w:space="0" w:color="auto"/>
              <w:right w:val="single" w:sz="4" w:space="0" w:color="auto"/>
            </w:tcBorders>
          </w:tcPr>
          <w:p w14:paraId="00100E29" w14:textId="00100EB5">
            <w:pPr>
              <w:pStyle w:val="Normal"/>
              <w:jc w:val="left"/>
            </w:pPr>
            <w:r>
              <w:t xml:space="preserve">756.5</w:t>
            </w:r>
          </w:p>
        </w:tc>
        <w:tc>
          <w:tcPr>
            <w:vAlign w:val="center"/>
            <w:tcBorders>
              <w:top w:val="single" w:sz="4" w:space="0" w:color="auto"/>
              <w:left w:val="single" w:sz="4" w:space="0" w:color="auto"/>
              <w:bottom w:val="single" w:sz="4" w:space="0" w:color="auto"/>
              <w:right w:val="single" w:sz="4" w:space="0" w:color="auto"/>
            </w:tcBorders>
          </w:tcPr>
          <w:p w14:paraId="00100E2B" w14:textId="00100EB6">
            <w:pPr>
              <w:pStyle w:val="Normal"/>
              <w:jc w:val="left"/>
            </w:pPr>
            <w:r>
              <w:t xml:space="preserve">690.0</w:t>
            </w:r>
          </w:p>
        </w:tc>
      </w:tr>
      <w:tr>
        <w:tc>
          <w:tcPr>
            <w:vAlign w:val="center"/>
            <w:tcBorders>
              <w:top w:val="single" w:sz="4" w:space="0" w:color="auto"/>
              <w:left w:val="single" w:sz="4" w:space="0" w:color="auto"/>
              <w:bottom w:val="single" w:sz="4" w:space="0" w:color="auto"/>
              <w:right w:val="single" w:sz="4" w:space="0" w:color="auto"/>
            </w:tcBorders>
          </w:tcPr>
          <w:p w14:paraId="00100E2D" w14:textId="00100EB7">
            <w:pPr>
              <w:pStyle w:val="Normal"/>
              <w:jc w:val="left"/>
            </w:pPr>
            <w:r>
              <w:t xml:space="preserve">Total liabilities</w:t>
            </w:r>
          </w:p>
        </w:tc>
        <w:tc>
          <w:tcPr>
            <w:vAlign w:val="center"/>
            <w:tcBorders>
              <w:top w:val="single" w:sz="4" w:space="0" w:color="auto"/>
              <w:left w:val="single" w:sz="4" w:space="0" w:color="auto"/>
              <w:bottom w:val="single" w:sz="4" w:space="0" w:color="auto"/>
              <w:right w:val="single" w:sz="4" w:space="0" w:color="auto"/>
            </w:tcBorders>
          </w:tcPr>
          <w:p w14:paraId="00100E2F" w14:textId="00100EB8">
            <w:pPr>
              <w:pStyle w:val="Normal"/>
              <w:jc w:val="left"/>
            </w:pPr>
            <w:r>
              <w:t xml:space="preserve">1,727.9</w:t>
            </w:r>
          </w:p>
        </w:tc>
        <w:tc>
          <w:tcPr>
            <w:vAlign w:val="center"/>
            <w:tcBorders>
              <w:top w:val="single" w:sz="4" w:space="0" w:color="auto"/>
              <w:left w:val="single" w:sz="4" w:space="0" w:color="auto"/>
              <w:bottom w:val="single" w:sz="4" w:space="0" w:color="auto"/>
              <w:right w:val="single" w:sz="4" w:space="0" w:color="auto"/>
            </w:tcBorders>
          </w:tcPr>
          <w:p w14:paraId="00100E31" w14:textId="00100EB9">
            <w:pPr>
              <w:pStyle w:val="Normal"/>
              <w:jc w:val="left"/>
            </w:pPr>
            <w:r>
              <w:t xml:space="preserve">1,663.0</w:t>
            </w:r>
          </w:p>
        </w:tc>
      </w:tr>
      <w:tr>
        <w:tc>
          <w:tcPr>
            <w:vAlign w:val="center"/>
            <w:tcBorders>
              <w:top w:val="single" w:sz="4" w:space="0" w:color="auto"/>
              <w:left w:val="single" w:sz="4" w:space="0" w:color="auto"/>
              <w:bottom w:val="single" w:sz="4" w:space="0" w:color="auto"/>
              <w:right w:val="single" w:sz="4" w:space="0" w:color="auto"/>
            </w:tcBorders>
          </w:tcPr>
          <w:p w14:paraId="00100E33" w14:textId="00100EBA">
            <w:pPr>
              <w:pStyle w:val="Normal"/>
              <w:jc w:val="left"/>
            </w:pPr>
            <w:r>
              <w:t xml:space="preserve">Total equity and liabilities</w:t>
            </w:r>
          </w:p>
        </w:tc>
        <w:tc>
          <w:tcPr>
            <w:vAlign w:val="center"/>
            <w:tcBorders>
              <w:top w:val="single" w:sz="4" w:space="0" w:color="auto"/>
              <w:left w:val="single" w:sz="4" w:space="0" w:color="auto"/>
              <w:bottom w:val="single" w:sz="4" w:space="0" w:color="auto"/>
              <w:right w:val="single" w:sz="4" w:space="0" w:color="auto"/>
            </w:tcBorders>
          </w:tcPr>
          <w:p w14:paraId="00100E35" w14:textId="00100EBB">
            <w:pPr>
              <w:pStyle w:val="Normal"/>
              <w:jc w:val="left"/>
            </w:pPr>
            <w:r>
              <w:t xml:space="preserve">3,280.8</w:t>
            </w:r>
          </w:p>
        </w:tc>
        <w:tc>
          <w:tcPr>
            <w:vAlign w:val="center"/>
            <w:tcBorders>
              <w:top w:val="single" w:sz="4" w:space="0" w:color="auto"/>
              <w:left w:val="single" w:sz="4" w:space="0" w:color="auto"/>
              <w:bottom w:val="single" w:sz="4" w:space="0" w:color="auto"/>
              <w:right w:val="single" w:sz="4" w:space="0" w:color="auto"/>
            </w:tcBorders>
          </w:tcPr>
          <w:p w14:paraId="00100E37" w14:textId="00100EBC">
            <w:pPr>
              <w:pStyle w:val="Normal"/>
              <w:jc w:val="left"/>
            </w:pPr>
            <w:r>
              <w:t xml:space="preserve">3,104.1</w:t>
            </w:r>
          </w:p>
        </w:tc>
      </w:tr>
    </w:tbl>
    <w:p w14:paraId="00100EBD" w14:textId="00100EBE">
      <w:pPr>
        <w:pStyle w:val="Normal"/>
        <w:jc w:val="left"/>
      </w:pPr>
      <w:r>
        <w:t xml:space="preserve">Table 14 Consolidated balance sheet</w:t>
      </w:r>
    </w:p>
    <w:p w14:paraId="00100EBF" w14:textId="00100EC0">
      <w:pPr>
        <w:pStyle w:val="Heading3a"/>
        <w:jc w:val="left"/>
      </w:pPr>
      <w:r>
        <w:t xml:space="preserve">Changes in Equity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038"/>
        <w:gridCol w:w="1038"/>
        <w:gridCol w:w="1038"/>
        <w:gridCol w:w="1038"/>
        <w:gridCol w:w="1038"/>
        <w:gridCol w:w="1038"/>
        <w:gridCol w:w="1038"/>
        <w:gridCol w:w="1038"/>
      </w:tblGrid>
      <w:tr>
        <w:trPr>
          <w:tblHeader/>
        </w:trPr>
        <w:tc>
          <w:tcPr>
            <w:vAlign w:val="center"/>
            <w:tcBorders>
              <w:top w:val="single" w:sz="4" w:space="0" w:color="auto"/>
              <w:left w:val="single" w:sz="4" w:space="0" w:color="auto"/>
              <w:bottom w:val="single" w:sz="4" w:space="0" w:color="auto"/>
              <w:right w:val="single" w:sz="4" w:space="0" w:color="auto"/>
            </w:tcBorders>
          </w:tcPr>
          <w:p w14:paraId="00100EC1" w14:textId="00100F81">
            <w:pPr>
              <w:pStyle w:val="Normal"/>
              <w:jc w:val="left"/>
            </w:pPr>
            <w:r>
              <w:t xml:space="preserve">US$ million</w:t>
            </w:r>
          </w:p>
        </w:tc>
        <w:tc>
          <w:tcPr>
            <w:vAlign w:val="center"/>
            <w:tcBorders>
              <w:top w:val="single" w:sz="4" w:space="0" w:color="auto"/>
              <w:left w:val="single" w:sz="4" w:space="0" w:color="auto"/>
              <w:bottom w:val="single" w:sz="4" w:space="0" w:color="auto"/>
              <w:right w:val="single" w:sz="4" w:space="0" w:color="auto"/>
            </w:tcBorders>
          </w:tcPr>
          <w:p w14:paraId="00100EC3" w14:textId="00100F82">
            <w:pPr>
              <w:pStyle w:val="Normal"/>
              <w:jc w:val="left"/>
            </w:pPr>
            <w:r>
              <w:t xml:space="preserve">Share capital</w:t>
            </w:r>
          </w:p>
        </w:tc>
        <w:tc>
          <w:tcPr>
            <w:vAlign w:val="center"/>
            <w:tcBorders>
              <w:top w:val="single" w:sz="4" w:space="0" w:color="auto"/>
              <w:left w:val="single" w:sz="4" w:space="0" w:color="auto"/>
              <w:bottom w:val="single" w:sz="4" w:space="0" w:color="auto"/>
              <w:right w:val="single" w:sz="4" w:space="0" w:color="auto"/>
            </w:tcBorders>
          </w:tcPr>
          <w:p w14:paraId="00100EC5" w14:textId="00100F83">
            <w:pPr>
              <w:pStyle w:val="Normal"/>
              <w:jc w:val="left"/>
            </w:pPr>
            <w:r>
              <w:t xml:space="preserve">Share premium</w:t>
            </w:r>
          </w:p>
        </w:tc>
        <w:tc>
          <w:tcPr>
            <w:vAlign w:val="center"/>
            <w:tcBorders>
              <w:top w:val="single" w:sz="4" w:space="0" w:color="auto"/>
              <w:left w:val="single" w:sz="4" w:space="0" w:color="auto"/>
              <w:bottom w:val="single" w:sz="4" w:space="0" w:color="auto"/>
              <w:right w:val="single" w:sz="4" w:space="0" w:color="auto"/>
            </w:tcBorders>
          </w:tcPr>
          <w:p w14:paraId="00100EC7" w14:textId="00100F84">
            <w:pPr>
              <w:pStyle w:val="Normal"/>
              <w:jc w:val="left"/>
            </w:pPr>
            <w:r>
              <w:t xml:space="preserve">Other reserves</w:t>
            </w:r>
          </w:p>
        </w:tc>
        <w:tc>
          <w:tcPr>
            <w:vAlign w:val="center"/>
            <w:tcBorders>
              <w:top w:val="single" w:sz="4" w:space="0" w:color="auto"/>
              <w:left w:val="single" w:sz="4" w:space="0" w:color="auto"/>
              <w:bottom w:val="single" w:sz="4" w:space="0" w:color="auto"/>
              <w:right w:val="single" w:sz="4" w:space="0" w:color="auto"/>
            </w:tcBorders>
          </w:tcPr>
          <w:p w14:paraId="00100EC9" w14:textId="00100F85">
            <w:pPr>
              <w:pStyle w:val="Normal"/>
              <w:jc w:val="left"/>
            </w:pPr>
            <w:r>
              <w:t xml:space="preserve">Retained earnings</w:t>
            </w:r>
          </w:p>
        </w:tc>
        <w:tc>
          <w:tcPr>
            <w:vAlign w:val="center"/>
            <w:tcBorders>
              <w:top w:val="single" w:sz="4" w:space="0" w:color="auto"/>
              <w:left w:val="single" w:sz="4" w:space="0" w:color="auto"/>
              <w:bottom w:val="single" w:sz="4" w:space="0" w:color="auto"/>
              <w:right w:val="single" w:sz="4" w:space="0" w:color="auto"/>
            </w:tcBorders>
          </w:tcPr>
          <w:p w14:paraId="00100ECB" w14:textId="00100F86">
            <w:pPr>
              <w:pStyle w:val="Normal"/>
              <w:jc w:val="left"/>
            </w:pPr>
            <w:r>
              <w:t xml:space="preserve">Owners of Rivermark Group</w:t>
            </w:r>
          </w:p>
        </w:tc>
        <w:tc>
          <w:tcPr>
            <w:vAlign w:val="center"/>
            <w:tcBorders>
              <w:top w:val="single" w:sz="4" w:space="0" w:color="auto"/>
              <w:left w:val="single" w:sz="4" w:space="0" w:color="auto"/>
              <w:bottom w:val="single" w:sz="4" w:space="0" w:color="auto"/>
              <w:right w:val="single" w:sz="4" w:space="0" w:color="auto"/>
            </w:tcBorders>
          </w:tcPr>
          <w:p w14:paraId="00100ECD" w14:textId="00100F87">
            <w:pPr>
              <w:pStyle w:val="Normal"/>
              <w:jc w:val="left"/>
            </w:pPr>
            <w:r>
              <w:t xml:space="preserve">Non-controlling interests</w:t>
            </w:r>
          </w:p>
        </w:tc>
        <w:tc>
          <w:tcPr>
            <w:vAlign w:val="center"/>
            <w:tcBorders>
              <w:top w:val="single" w:sz="4" w:space="0" w:color="auto"/>
              <w:left w:val="single" w:sz="4" w:space="0" w:color="auto"/>
              <w:bottom w:val="single" w:sz="4" w:space="0" w:color="auto"/>
              <w:right w:val="single" w:sz="4" w:space="0" w:color="auto"/>
            </w:tcBorders>
          </w:tcPr>
          <w:p w14:paraId="00100ECF" w14:textId="00100F88">
            <w:pPr>
              <w:pStyle w:val="Normal"/>
              <w:jc w:val="left"/>
            </w:pPr>
            <w:r>
              <w:t xml:space="preserve">Total equity</w:t>
            </w:r>
          </w:p>
        </w:tc>
      </w:tr>
      <w:tr>
        <w:tc>
          <w:tcPr>
            <w:vAlign w:val="center"/>
            <w:tcBorders>
              <w:top w:val="single" w:sz="4" w:space="0" w:color="auto"/>
              <w:left w:val="single" w:sz="4" w:space="0" w:color="auto"/>
              <w:bottom w:val="single" w:sz="4" w:space="0" w:color="auto"/>
              <w:right w:val="single" w:sz="4" w:space="0" w:color="auto"/>
            </w:tcBorders>
          </w:tcPr>
          <w:p w14:paraId="00100ED1" w14:textId="00100F89">
            <w:pPr>
              <w:pStyle w:val="Normal"/>
              <w:jc w:val="left"/>
            </w:pPr>
            <w:r>
              <w:t xml:space="preserve">Balance at 1 January 2023</w:t>
            </w:r>
          </w:p>
        </w:tc>
        <w:tc>
          <w:tcPr>
            <w:vAlign w:val="center"/>
            <w:tcBorders>
              <w:top w:val="single" w:sz="4" w:space="0" w:color="auto"/>
              <w:left w:val="single" w:sz="4" w:space="0" w:color="auto"/>
              <w:bottom w:val="single" w:sz="4" w:space="0" w:color="auto"/>
              <w:right w:val="single" w:sz="4" w:space="0" w:color="auto"/>
            </w:tcBorders>
          </w:tcPr>
          <w:p w14:paraId="00100ED3" w14:textId="00100F8A">
            <w:pPr>
              <w:pStyle w:val="Normal"/>
              <w:jc w:val="left"/>
            </w:pPr>
            <w:r>
              <w:t xml:space="preserve">412.0</w:t>
            </w:r>
          </w:p>
        </w:tc>
        <w:tc>
          <w:tcPr>
            <w:vAlign w:val="center"/>
            <w:tcBorders>
              <w:top w:val="single" w:sz="4" w:space="0" w:color="auto"/>
              <w:left w:val="single" w:sz="4" w:space="0" w:color="auto"/>
              <w:bottom w:val="single" w:sz="4" w:space="0" w:color="auto"/>
              <w:right w:val="single" w:sz="4" w:space="0" w:color="auto"/>
            </w:tcBorders>
          </w:tcPr>
          <w:p w14:paraId="00100ED5" w14:textId="00100F8B">
            <w:pPr>
              <w:pStyle w:val="Normal"/>
              <w:jc w:val="left"/>
            </w:pPr>
            <w:r>
              <w:t xml:space="preserve">168.4</w:t>
            </w:r>
          </w:p>
        </w:tc>
        <w:tc>
          <w:tcPr>
            <w:vAlign w:val="center"/>
            <w:tcBorders>
              <w:top w:val="single" w:sz="4" w:space="0" w:color="auto"/>
              <w:left w:val="single" w:sz="4" w:space="0" w:color="auto"/>
              <w:bottom w:val="single" w:sz="4" w:space="0" w:color="auto"/>
              <w:right w:val="single" w:sz="4" w:space="0" w:color="auto"/>
            </w:tcBorders>
          </w:tcPr>
          <w:p w14:paraId="00100ED7" w14:textId="00100F8C">
            <w:pPr>
              <w:pStyle w:val="Normal"/>
              <w:jc w:val="left"/>
            </w:pPr>
            <w:r>
              <w:t xml:space="preserve">71.5</w:t>
            </w:r>
          </w:p>
        </w:tc>
        <w:tc>
          <w:tcPr>
            <w:vAlign w:val="center"/>
            <w:tcBorders>
              <w:top w:val="single" w:sz="4" w:space="0" w:color="auto"/>
              <w:left w:val="single" w:sz="4" w:space="0" w:color="auto"/>
              <w:bottom w:val="single" w:sz="4" w:space="0" w:color="auto"/>
              <w:right w:val="single" w:sz="4" w:space="0" w:color="auto"/>
            </w:tcBorders>
          </w:tcPr>
          <w:p w14:paraId="00100ED9" w14:textId="00100F8D">
            <w:pPr>
              <w:pStyle w:val="Normal"/>
              <w:jc w:val="left"/>
            </w:pPr>
            <w:r>
              <w:t xml:space="preserve">640.2</w:t>
            </w:r>
          </w:p>
        </w:tc>
        <w:tc>
          <w:tcPr>
            <w:vAlign w:val="center"/>
            <w:tcBorders>
              <w:top w:val="single" w:sz="4" w:space="0" w:color="auto"/>
              <w:left w:val="single" w:sz="4" w:space="0" w:color="auto"/>
              <w:bottom w:val="single" w:sz="4" w:space="0" w:color="auto"/>
              <w:right w:val="single" w:sz="4" w:space="0" w:color="auto"/>
            </w:tcBorders>
          </w:tcPr>
          <w:p w14:paraId="00100EDB" w14:textId="00100F8E">
            <w:pPr>
              <w:pStyle w:val="Normal"/>
              <w:jc w:val="left"/>
            </w:pPr>
            <w:r>
              <w:t xml:space="preserve">1,292.1</w:t>
            </w:r>
          </w:p>
        </w:tc>
        <w:tc>
          <w:tcPr>
            <w:vAlign w:val="center"/>
            <w:tcBorders>
              <w:top w:val="single" w:sz="4" w:space="0" w:color="auto"/>
              <w:left w:val="single" w:sz="4" w:space="0" w:color="auto"/>
              <w:bottom w:val="single" w:sz="4" w:space="0" w:color="auto"/>
              <w:right w:val="single" w:sz="4" w:space="0" w:color="auto"/>
            </w:tcBorders>
          </w:tcPr>
          <w:p w14:paraId="00100EDD" w14:textId="00100F8F">
            <w:pPr>
              <w:pStyle w:val="Normal"/>
              <w:jc w:val="left"/>
            </w:pPr>
            <w:r>
              <w:t xml:space="preserve">64.8</w:t>
            </w:r>
          </w:p>
        </w:tc>
        <w:tc>
          <w:tcPr>
            <w:vAlign w:val="center"/>
            <w:tcBorders>
              <w:top w:val="single" w:sz="4" w:space="0" w:color="auto"/>
              <w:left w:val="single" w:sz="4" w:space="0" w:color="auto"/>
              <w:bottom w:val="single" w:sz="4" w:space="0" w:color="auto"/>
              <w:right w:val="single" w:sz="4" w:space="0" w:color="auto"/>
            </w:tcBorders>
          </w:tcPr>
          <w:p w14:paraId="00100EDF" w14:textId="00100F90">
            <w:pPr>
              <w:pStyle w:val="Normal"/>
              <w:jc w:val="left"/>
            </w:pPr>
            <w:r>
              <w:t xml:space="preserve">1,356.9</w:t>
            </w:r>
          </w:p>
        </w:tc>
      </w:tr>
      <w:tr>
        <w:tc>
          <w:tcPr>
            <w:vAlign w:val="center"/>
            <w:tcBorders>
              <w:top w:val="single" w:sz="4" w:space="0" w:color="auto"/>
              <w:left w:val="single" w:sz="4" w:space="0" w:color="auto"/>
              <w:bottom w:val="single" w:sz="4" w:space="0" w:color="auto"/>
              <w:right w:val="single" w:sz="4" w:space="0" w:color="auto"/>
            </w:tcBorders>
          </w:tcPr>
          <w:p w14:paraId="00100EE1" w14:textId="00100F91">
            <w:pPr>
              <w:pStyle w:val="Normal"/>
              <w:jc w:val="left"/>
            </w:pPr>
            <w:r>
              <w:t xml:space="preserve">Profit for the year</w:t>
            </w:r>
          </w:p>
        </w:tc>
        <w:tc>
          <w:tcPr>
            <w:vAlign w:val="center"/>
            <w:tcBorders>
              <w:top w:val="single" w:sz="4" w:space="0" w:color="auto"/>
              <w:left w:val="single" w:sz="4" w:space="0" w:color="auto"/>
              <w:bottom w:val="single" w:sz="4" w:space="0" w:color="auto"/>
              <w:right w:val="single" w:sz="4" w:space="0" w:color="auto"/>
            </w:tcBorders>
          </w:tcPr>
          <w:p w14:paraId="00100EE3" w14:textId="00100F92">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E5" w14:textId="00100F93">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E7" w14:textId="00100F94">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E9" w14:textId="00100F95">
            <w:pPr>
              <w:pStyle w:val="Normal"/>
              <w:jc w:val="left"/>
            </w:pPr>
            <w:r>
              <w:t xml:space="preserve">98.7</w:t>
            </w:r>
          </w:p>
        </w:tc>
        <w:tc>
          <w:tcPr>
            <w:vAlign w:val="center"/>
            <w:tcBorders>
              <w:top w:val="single" w:sz="4" w:space="0" w:color="auto"/>
              <w:left w:val="single" w:sz="4" w:space="0" w:color="auto"/>
              <w:bottom w:val="single" w:sz="4" w:space="0" w:color="auto"/>
              <w:right w:val="single" w:sz="4" w:space="0" w:color="auto"/>
            </w:tcBorders>
          </w:tcPr>
          <w:p w14:paraId="00100EEB" w14:textId="00100F96">
            <w:pPr>
              <w:pStyle w:val="Normal"/>
              <w:jc w:val="left"/>
            </w:pPr>
            <w:r>
              <w:t xml:space="preserve">98.7</w:t>
            </w:r>
          </w:p>
        </w:tc>
        <w:tc>
          <w:tcPr>
            <w:vAlign w:val="center"/>
            <w:tcBorders>
              <w:top w:val="single" w:sz="4" w:space="0" w:color="auto"/>
              <w:left w:val="single" w:sz="4" w:space="0" w:color="auto"/>
              <w:bottom w:val="single" w:sz="4" w:space="0" w:color="auto"/>
              <w:right w:val="single" w:sz="4" w:space="0" w:color="auto"/>
            </w:tcBorders>
          </w:tcPr>
          <w:p w14:paraId="00100EED" w14:textId="00100F97">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0EEF" w14:textId="00100F98">
            <w:pPr>
              <w:pStyle w:val="Normal"/>
              <w:jc w:val="left"/>
            </w:pPr>
            <w:r>
              <w:t xml:space="preserve">106.6</w:t>
            </w:r>
          </w:p>
        </w:tc>
      </w:tr>
      <w:tr>
        <w:tc>
          <w:tcPr>
            <w:vAlign w:val="center"/>
            <w:tcBorders>
              <w:top w:val="single" w:sz="4" w:space="0" w:color="auto"/>
              <w:left w:val="single" w:sz="4" w:space="0" w:color="auto"/>
              <w:bottom w:val="single" w:sz="4" w:space="0" w:color="auto"/>
              <w:right w:val="single" w:sz="4" w:space="0" w:color="auto"/>
            </w:tcBorders>
          </w:tcPr>
          <w:p w14:paraId="00100EF1" w14:textId="00100F99">
            <w:pPr>
              <w:pStyle w:val="Normal"/>
              <w:jc w:val="left"/>
            </w:pPr>
            <w:r>
              <w:t xml:space="preserve">Other comprehensive income</w:t>
            </w:r>
          </w:p>
        </w:tc>
        <w:tc>
          <w:tcPr>
            <w:vAlign w:val="center"/>
            <w:tcBorders>
              <w:top w:val="single" w:sz="4" w:space="0" w:color="auto"/>
              <w:left w:val="single" w:sz="4" w:space="0" w:color="auto"/>
              <w:bottom w:val="single" w:sz="4" w:space="0" w:color="auto"/>
              <w:right w:val="single" w:sz="4" w:space="0" w:color="auto"/>
            </w:tcBorders>
          </w:tcPr>
          <w:p w14:paraId="00100EF3" w14:textId="00100F9A">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F5" w14:textId="00100F9B">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F7" w14:textId="00100F9C">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0EF9" w14:textId="00100F9D">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EFB" w14:textId="00100F9E">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0EFD" w14:textId="00100F9F">
            <w:pPr>
              <w:pStyle w:val="Normal"/>
              <w:jc w:val="left"/>
            </w:pPr>
            <w:r>
              <w:t xml:space="preserve">0.5</w:t>
            </w:r>
          </w:p>
        </w:tc>
        <w:tc>
          <w:tcPr>
            <w:vAlign w:val="center"/>
            <w:tcBorders>
              <w:top w:val="single" w:sz="4" w:space="0" w:color="auto"/>
              <w:left w:val="single" w:sz="4" w:space="0" w:color="auto"/>
              <w:bottom w:val="single" w:sz="4" w:space="0" w:color="auto"/>
              <w:right w:val="single" w:sz="4" w:space="0" w:color="auto"/>
            </w:tcBorders>
          </w:tcPr>
          <w:p w14:paraId="00100EFF" w14:textId="00100FA0">
            <w:pPr>
              <w:pStyle w:val="Normal"/>
              <w:jc w:val="left"/>
            </w:pPr>
            <w:r>
              <w:t xml:space="preserve">11.7</w:t>
            </w:r>
          </w:p>
        </w:tc>
      </w:tr>
      <w:tr>
        <w:tc>
          <w:tcPr>
            <w:vAlign w:val="center"/>
            <w:tcBorders>
              <w:top w:val="single" w:sz="4" w:space="0" w:color="auto"/>
              <w:left w:val="single" w:sz="4" w:space="0" w:color="auto"/>
              <w:bottom w:val="single" w:sz="4" w:space="0" w:color="auto"/>
              <w:right w:val="single" w:sz="4" w:space="0" w:color="auto"/>
            </w:tcBorders>
          </w:tcPr>
          <w:p w14:paraId="00100F01" w14:textId="00100FA1">
            <w:pPr>
              <w:pStyle w:val="Normal"/>
              <w:jc w:val="left"/>
            </w:pPr>
            <w:r>
              <w:t xml:space="preserve">Dividends paid</w:t>
            </w:r>
          </w:p>
        </w:tc>
        <w:tc>
          <w:tcPr>
            <w:vAlign w:val="center"/>
            <w:tcBorders>
              <w:top w:val="single" w:sz="4" w:space="0" w:color="auto"/>
              <w:left w:val="single" w:sz="4" w:space="0" w:color="auto"/>
              <w:bottom w:val="single" w:sz="4" w:space="0" w:color="auto"/>
              <w:right w:val="single" w:sz="4" w:space="0" w:color="auto"/>
            </w:tcBorders>
          </w:tcPr>
          <w:p w14:paraId="00100F03" w14:textId="00100FA2">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05" w14:textId="00100FA3">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07" w14:textId="00100FA4">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09" w14:textId="00100FA5">
            <w:pPr>
              <w:pStyle w:val="Normal"/>
              <w:jc w:val="left"/>
            </w:pPr>
            <w:r>
              <w:t xml:space="preserve">(24.6)</w:t>
            </w:r>
          </w:p>
        </w:tc>
        <w:tc>
          <w:tcPr>
            <w:vAlign w:val="center"/>
            <w:tcBorders>
              <w:top w:val="single" w:sz="4" w:space="0" w:color="auto"/>
              <w:left w:val="single" w:sz="4" w:space="0" w:color="auto"/>
              <w:bottom w:val="single" w:sz="4" w:space="0" w:color="auto"/>
              <w:right w:val="single" w:sz="4" w:space="0" w:color="auto"/>
            </w:tcBorders>
          </w:tcPr>
          <w:p w14:paraId="00100F0B" w14:textId="00100FA6">
            <w:pPr>
              <w:pStyle w:val="Normal"/>
              <w:jc w:val="left"/>
            </w:pPr>
            <w:r>
              <w:t xml:space="preserve">(24.6)</w:t>
            </w:r>
          </w:p>
        </w:tc>
        <w:tc>
          <w:tcPr>
            <w:vAlign w:val="center"/>
            <w:tcBorders>
              <w:top w:val="single" w:sz="4" w:space="0" w:color="auto"/>
              <w:left w:val="single" w:sz="4" w:space="0" w:color="auto"/>
              <w:bottom w:val="single" w:sz="4" w:space="0" w:color="auto"/>
              <w:right w:val="single" w:sz="4" w:space="0" w:color="auto"/>
            </w:tcBorders>
          </w:tcPr>
          <w:p w14:paraId="00100F0D" w14:textId="00100FA7">
            <w:pPr>
              <w:pStyle w:val="Normal"/>
              <w:jc w:val="left"/>
            </w:pPr>
            <w:r>
              <w:t xml:space="preserve">(3.1)</w:t>
            </w:r>
          </w:p>
        </w:tc>
        <w:tc>
          <w:tcPr>
            <w:vAlign w:val="center"/>
            <w:tcBorders>
              <w:top w:val="single" w:sz="4" w:space="0" w:color="auto"/>
              <w:left w:val="single" w:sz="4" w:space="0" w:color="auto"/>
              <w:bottom w:val="single" w:sz="4" w:space="0" w:color="auto"/>
              <w:right w:val="single" w:sz="4" w:space="0" w:color="auto"/>
            </w:tcBorders>
          </w:tcPr>
          <w:p w14:paraId="00100F0F" w14:textId="00100FA8">
            <w:pPr>
              <w:pStyle w:val="Normal"/>
              <w:jc w:val="left"/>
            </w:pPr>
            <w:r>
              <w:t xml:space="preserve">(27.7)</w:t>
            </w:r>
          </w:p>
        </w:tc>
      </w:tr>
      <w:tr>
        <w:tc>
          <w:tcPr>
            <w:vAlign w:val="center"/>
            <w:tcBorders>
              <w:top w:val="single" w:sz="4" w:space="0" w:color="auto"/>
              <w:left w:val="single" w:sz="4" w:space="0" w:color="auto"/>
              <w:bottom w:val="single" w:sz="4" w:space="0" w:color="auto"/>
              <w:right w:val="single" w:sz="4" w:space="0" w:color="auto"/>
            </w:tcBorders>
          </w:tcPr>
          <w:p w14:paraId="00100F11" w14:textId="00100FA9">
            <w:pPr>
              <w:pStyle w:val="Normal"/>
              <w:jc w:val="left"/>
            </w:pPr>
            <w:r>
              <w:t xml:space="preserve">Share-based payment and other movements</w:t>
            </w:r>
          </w:p>
        </w:tc>
        <w:tc>
          <w:tcPr>
            <w:vAlign w:val="center"/>
            <w:tcBorders>
              <w:top w:val="single" w:sz="4" w:space="0" w:color="auto"/>
              <w:left w:val="single" w:sz="4" w:space="0" w:color="auto"/>
              <w:bottom w:val="single" w:sz="4" w:space="0" w:color="auto"/>
              <w:right w:val="single" w:sz="4" w:space="0" w:color="auto"/>
            </w:tcBorders>
          </w:tcPr>
          <w:p w14:paraId="00100F13" w14:textId="00100FAA">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15" w14:textId="00100FAB">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17" w14:textId="00100FAC">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19" w14:textId="00100FAD">
            <w:pPr>
              <w:pStyle w:val="Normal"/>
              <w:jc w:val="left"/>
            </w:pPr>
            <w:r>
              <w:t xml:space="preserve">(5.4)</w:t>
            </w:r>
          </w:p>
        </w:tc>
        <w:tc>
          <w:tcPr>
            <w:vAlign w:val="center"/>
            <w:tcBorders>
              <w:top w:val="single" w:sz="4" w:space="0" w:color="auto"/>
              <w:left w:val="single" w:sz="4" w:space="0" w:color="auto"/>
              <w:bottom w:val="single" w:sz="4" w:space="0" w:color="auto"/>
              <w:right w:val="single" w:sz="4" w:space="0" w:color="auto"/>
            </w:tcBorders>
          </w:tcPr>
          <w:p w14:paraId="00100F1B" w14:textId="00100FAE">
            <w:pPr>
              <w:pStyle w:val="Normal"/>
              <w:jc w:val="left"/>
            </w:pPr>
            <w:r>
              <w:t xml:space="preserve">(5.4)</w:t>
            </w:r>
          </w:p>
        </w:tc>
        <w:tc>
          <w:tcPr>
            <w:vAlign w:val="center"/>
            <w:tcBorders>
              <w:top w:val="single" w:sz="4" w:space="0" w:color="auto"/>
              <w:left w:val="single" w:sz="4" w:space="0" w:color="auto"/>
              <w:bottom w:val="single" w:sz="4" w:space="0" w:color="auto"/>
              <w:right w:val="single" w:sz="4" w:space="0" w:color="auto"/>
            </w:tcBorders>
          </w:tcPr>
          <w:p w14:paraId="00100F1D" w14:textId="00100FAF">
            <w:pPr>
              <w:pStyle w:val="Normal"/>
              <w:jc w:val="left"/>
            </w:pPr>
            <w:r>
              <w:t xml:space="preserve">(1.0)</w:t>
            </w:r>
          </w:p>
        </w:tc>
        <w:tc>
          <w:tcPr>
            <w:vAlign w:val="center"/>
            <w:tcBorders>
              <w:top w:val="single" w:sz="4" w:space="0" w:color="auto"/>
              <w:left w:val="single" w:sz="4" w:space="0" w:color="auto"/>
              <w:bottom w:val="single" w:sz="4" w:space="0" w:color="auto"/>
              <w:right w:val="single" w:sz="4" w:space="0" w:color="auto"/>
            </w:tcBorders>
          </w:tcPr>
          <w:p w14:paraId="00100F1F" w14:textId="00100FB0">
            <w:pPr>
              <w:pStyle w:val="Normal"/>
              <w:jc w:val="left"/>
            </w:pPr>
            <w:r>
              <w:t xml:space="preserve">(6.4)</w:t>
            </w:r>
          </w:p>
        </w:tc>
      </w:tr>
      <w:tr>
        <w:tc>
          <w:tcPr>
            <w:vAlign w:val="center"/>
            <w:tcBorders>
              <w:top w:val="single" w:sz="4" w:space="0" w:color="auto"/>
              <w:left w:val="single" w:sz="4" w:space="0" w:color="auto"/>
              <w:bottom w:val="single" w:sz="4" w:space="0" w:color="auto"/>
              <w:right w:val="single" w:sz="4" w:space="0" w:color="auto"/>
            </w:tcBorders>
          </w:tcPr>
          <w:p w14:paraId="00100F21" w14:textId="00100FB1">
            <w:pPr>
              <w:pStyle w:val="Normal"/>
              <w:jc w:val="left"/>
            </w:pPr>
            <w:r>
              <w:t xml:space="preserve">Balance at 31 December 2023</w:t>
            </w:r>
          </w:p>
        </w:tc>
        <w:tc>
          <w:tcPr>
            <w:vAlign w:val="center"/>
            <w:tcBorders>
              <w:top w:val="single" w:sz="4" w:space="0" w:color="auto"/>
              <w:left w:val="single" w:sz="4" w:space="0" w:color="auto"/>
              <w:bottom w:val="single" w:sz="4" w:space="0" w:color="auto"/>
              <w:right w:val="single" w:sz="4" w:space="0" w:color="auto"/>
            </w:tcBorders>
          </w:tcPr>
          <w:p w14:paraId="00100F23" w14:textId="00100FB2">
            <w:pPr>
              <w:pStyle w:val="Normal"/>
              <w:jc w:val="left"/>
            </w:pPr>
            <w:r>
              <w:t xml:space="preserve">412.0</w:t>
            </w:r>
          </w:p>
        </w:tc>
        <w:tc>
          <w:tcPr>
            <w:vAlign w:val="center"/>
            <w:tcBorders>
              <w:top w:val="single" w:sz="4" w:space="0" w:color="auto"/>
              <w:left w:val="single" w:sz="4" w:space="0" w:color="auto"/>
              <w:bottom w:val="single" w:sz="4" w:space="0" w:color="auto"/>
              <w:right w:val="single" w:sz="4" w:space="0" w:color="auto"/>
            </w:tcBorders>
          </w:tcPr>
          <w:p w14:paraId="00100F25" w14:textId="00100FB3">
            <w:pPr>
              <w:pStyle w:val="Normal"/>
              <w:jc w:val="left"/>
            </w:pPr>
            <w:r>
              <w:t xml:space="preserve">168.4</w:t>
            </w:r>
          </w:p>
        </w:tc>
        <w:tc>
          <w:tcPr>
            <w:vAlign w:val="center"/>
            <w:tcBorders>
              <w:top w:val="single" w:sz="4" w:space="0" w:color="auto"/>
              <w:left w:val="single" w:sz="4" w:space="0" w:color="auto"/>
              <w:bottom w:val="single" w:sz="4" w:space="0" w:color="auto"/>
              <w:right w:val="single" w:sz="4" w:space="0" w:color="auto"/>
            </w:tcBorders>
          </w:tcPr>
          <w:p w14:paraId="00100F27" w14:textId="00100FB4">
            <w:pPr>
              <w:pStyle w:val="Normal"/>
              <w:jc w:val="left"/>
            </w:pPr>
            <w:r>
              <w:t xml:space="preserve">82.7</w:t>
            </w:r>
          </w:p>
        </w:tc>
        <w:tc>
          <w:tcPr>
            <w:vAlign w:val="center"/>
            <w:tcBorders>
              <w:top w:val="single" w:sz="4" w:space="0" w:color="auto"/>
              <w:left w:val="single" w:sz="4" w:space="0" w:color="auto"/>
              <w:bottom w:val="single" w:sz="4" w:space="0" w:color="auto"/>
              <w:right w:val="single" w:sz="4" w:space="0" w:color="auto"/>
            </w:tcBorders>
          </w:tcPr>
          <w:p w14:paraId="00100F29" w14:textId="00100FB5">
            <w:pPr>
              <w:pStyle w:val="Normal"/>
              <w:jc w:val="left"/>
            </w:pPr>
            <w:r>
              <w:t xml:space="preserve">708.9</w:t>
            </w:r>
          </w:p>
        </w:tc>
        <w:tc>
          <w:tcPr>
            <w:vAlign w:val="center"/>
            <w:tcBorders>
              <w:top w:val="single" w:sz="4" w:space="0" w:color="auto"/>
              <w:left w:val="single" w:sz="4" w:space="0" w:color="auto"/>
              <w:bottom w:val="single" w:sz="4" w:space="0" w:color="auto"/>
              <w:right w:val="single" w:sz="4" w:space="0" w:color="auto"/>
            </w:tcBorders>
          </w:tcPr>
          <w:p w14:paraId="00100F2B" w14:textId="00100FB6">
            <w:pPr>
              <w:pStyle w:val="Normal"/>
              <w:jc w:val="left"/>
            </w:pPr>
            <w:r>
              <w:t xml:space="preserve">1,372.0</w:t>
            </w:r>
          </w:p>
        </w:tc>
        <w:tc>
          <w:tcPr>
            <w:vAlign w:val="center"/>
            <w:tcBorders>
              <w:top w:val="single" w:sz="4" w:space="0" w:color="auto"/>
              <w:left w:val="single" w:sz="4" w:space="0" w:color="auto"/>
              <w:bottom w:val="single" w:sz="4" w:space="0" w:color="auto"/>
              <w:right w:val="single" w:sz="4" w:space="0" w:color="auto"/>
            </w:tcBorders>
          </w:tcPr>
          <w:p w14:paraId="00100F2D" w14:textId="00100FB7">
            <w:pPr>
              <w:pStyle w:val="Normal"/>
              <w:jc w:val="left"/>
            </w:pPr>
            <w:r>
              <w:t xml:space="preserve">69.1</w:t>
            </w:r>
          </w:p>
        </w:tc>
        <w:tc>
          <w:tcPr>
            <w:vAlign w:val="center"/>
            <w:tcBorders>
              <w:top w:val="single" w:sz="4" w:space="0" w:color="auto"/>
              <w:left w:val="single" w:sz="4" w:space="0" w:color="auto"/>
              <w:bottom w:val="single" w:sz="4" w:space="0" w:color="auto"/>
              <w:right w:val="single" w:sz="4" w:space="0" w:color="auto"/>
            </w:tcBorders>
          </w:tcPr>
          <w:p w14:paraId="00100F2F" w14:textId="00100FB8">
            <w:pPr>
              <w:pStyle w:val="Normal"/>
              <w:jc w:val="left"/>
            </w:pPr>
            <w:r>
              <w:t xml:space="preserve">1,441.1</w:t>
            </w:r>
          </w:p>
        </w:tc>
      </w:tr>
      <w:tr>
        <w:tc>
          <w:tcPr>
            <w:vAlign w:val="center"/>
            <w:tcBorders>
              <w:top w:val="single" w:sz="4" w:space="0" w:color="auto"/>
              <w:left w:val="single" w:sz="4" w:space="0" w:color="auto"/>
              <w:bottom w:val="single" w:sz="4" w:space="0" w:color="auto"/>
              <w:right w:val="single" w:sz="4" w:space="0" w:color="auto"/>
            </w:tcBorders>
          </w:tcPr>
          <w:p w14:paraId="00100F31" w14:textId="00100FB9">
            <w:pPr>
              <w:pStyle w:val="Normal"/>
              <w:jc w:val="left"/>
            </w:pPr>
            <w:r>
              <w:t xml:space="preserve">Profit for the year</w:t>
            </w:r>
          </w:p>
        </w:tc>
        <w:tc>
          <w:tcPr>
            <w:vAlign w:val="center"/>
            <w:tcBorders>
              <w:top w:val="single" w:sz="4" w:space="0" w:color="auto"/>
              <w:left w:val="single" w:sz="4" w:space="0" w:color="auto"/>
              <w:bottom w:val="single" w:sz="4" w:space="0" w:color="auto"/>
              <w:right w:val="single" w:sz="4" w:space="0" w:color="auto"/>
            </w:tcBorders>
          </w:tcPr>
          <w:p w14:paraId="00100F33" w14:textId="00100FBA">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35" w14:textId="00100FBB">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37" w14:textId="00100FBC">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39" w14:textId="00100FBD">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F3B" w14:textId="00100FBE">
            <w:pPr>
              <w:pStyle w:val="Normal"/>
              <w:jc w:val="left"/>
            </w:pPr>
            <w:r>
              <w:t xml:space="preserve">124.8</w:t>
            </w:r>
          </w:p>
        </w:tc>
        <w:tc>
          <w:tcPr>
            <w:vAlign w:val="center"/>
            <w:tcBorders>
              <w:top w:val="single" w:sz="4" w:space="0" w:color="auto"/>
              <w:left w:val="single" w:sz="4" w:space="0" w:color="auto"/>
              <w:bottom w:val="single" w:sz="4" w:space="0" w:color="auto"/>
              <w:right w:val="single" w:sz="4" w:space="0" w:color="auto"/>
            </w:tcBorders>
          </w:tcPr>
          <w:p w14:paraId="00100F3D" w14:textId="00100FBF">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F3F" w14:textId="00100FC0">
            <w:pPr>
              <w:pStyle w:val="Normal"/>
              <w:jc w:val="left"/>
            </w:pPr>
            <w:r>
              <w:t xml:space="preserve">133.4</w:t>
            </w:r>
          </w:p>
        </w:tc>
      </w:tr>
      <w:tr>
        <w:tc>
          <w:tcPr>
            <w:vAlign w:val="center"/>
            <w:tcBorders>
              <w:top w:val="single" w:sz="4" w:space="0" w:color="auto"/>
              <w:left w:val="single" w:sz="4" w:space="0" w:color="auto"/>
              <w:bottom w:val="single" w:sz="4" w:space="0" w:color="auto"/>
              <w:right w:val="single" w:sz="4" w:space="0" w:color="auto"/>
            </w:tcBorders>
          </w:tcPr>
          <w:p w14:paraId="00100F41" w14:textId="00100FC1">
            <w:pPr>
              <w:pStyle w:val="Normal"/>
              <w:jc w:val="left"/>
            </w:pPr>
            <w:r>
              <w:t xml:space="preserve">Other comprehensive income</w:t>
            </w:r>
          </w:p>
        </w:tc>
        <w:tc>
          <w:tcPr>
            <w:vAlign w:val="center"/>
            <w:tcBorders>
              <w:top w:val="single" w:sz="4" w:space="0" w:color="auto"/>
              <w:left w:val="single" w:sz="4" w:space="0" w:color="auto"/>
              <w:bottom w:val="single" w:sz="4" w:space="0" w:color="auto"/>
              <w:right w:val="single" w:sz="4" w:space="0" w:color="auto"/>
            </w:tcBorders>
          </w:tcPr>
          <w:p w14:paraId="00100F43" w14:textId="00100FC2">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45" w14:textId="00100FC3">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47" w14:textId="00100FC4">
            <w:pPr>
              <w:pStyle w:val="Normal"/>
              <w:jc w:val="left"/>
            </w:pPr>
            <w:r>
              <w:t xml:space="preserve">13.6</w:t>
            </w:r>
          </w:p>
        </w:tc>
        <w:tc>
          <w:tcPr>
            <w:vAlign w:val="center"/>
            <w:tcBorders>
              <w:top w:val="single" w:sz="4" w:space="0" w:color="auto"/>
              <w:left w:val="single" w:sz="4" w:space="0" w:color="auto"/>
              <w:bottom w:val="single" w:sz="4" w:space="0" w:color="auto"/>
              <w:right w:val="single" w:sz="4" w:space="0" w:color="auto"/>
            </w:tcBorders>
          </w:tcPr>
          <w:p w14:paraId="00100F49" w14:textId="00100FC5">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4B" w14:textId="00100FC6">
            <w:pPr>
              <w:pStyle w:val="Normal"/>
              <w:jc w:val="left"/>
            </w:pPr>
            <w:r>
              <w:t xml:space="preserve">13.6</w:t>
            </w:r>
          </w:p>
        </w:tc>
        <w:tc>
          <w:tcPr>
            <w:vAlign w:val="center"/>
            <w:tcBorders>
              <w:top w:val="single" w:sz="4" w:space="0" w:color="auto"/>
              <w:left w:val="single" w:sz="4" w:space="0" w:color="auto"/>
              <w:bottom w:val="single" w:sz="4" w:space="0" w:color="auto"/>
              <w:right w:val="single" w:sz="4" w:space="0" w:color="auto"/>
            </w:tcBorders>
          </w:tcPr>
          <w:p w14:paraId="00100F4D" w14:textId="00100FC7">
            <w:pPr>
              <w:pStyle w:val="Normal"/>
              <w:jc w:val="left"/>
            </w:pPr>
            <w:r>
              <w:t xml:space="preserve">0.7</w:t>
            </w:r>
          </w:p>
        </w:tc>
        <w:tc>
          <w:tcPr>
            <w:vAlign w:val="center"/>
            <w:tcBorders>
              <w:top w:val="single" w:sz="4" w:space="0" w:color="auto"/>
              <w:left w:val="single" w:sz="4" w:space="0" w:color="auto"/>
              <w:bottom w:val="single" w:sz="4" w:space="0" w:color="auto"/>
              <w:right w:val="single" w:sz="4" w:space="0" w:color="auto"/>
            </w:tcBorders>
          </w:tcPr>
          <w:p w14:paraId="00100F4F" w14:textId="00100FC8">
            <w:pPr>
              <w:pStyle w:val="Normal"/>
              <w:jc w:val="left"/>
            </w:pPr>
            <w:r>
              <w:t xml:space="preserve">14.3</w:t>
            </w:r>
          </w:p>
        </w:tc>
      </w:tr>
      <w:tr>
        <w:tc>
          <w:tcPr>
            <w:vAlign w:val="center"/>
            <w:tcBorders>
              <w:top w:val="single" w:sz="4" w:space="0" w:color="auto"/>
              <w:left w:val="single" w:sz="4" w:space="0" w:color="auto"/>
              <w:bottom w:val="single" w:sz="4" w:space="0" w:color="auto"/>
              <w:right w:val="single" w:sz="4" w:space="0" w:color="auto"/>
            </w:tcBorders>
          </w:tcPr>
          <w:p w14:paraId="00100F51" w14:textId="00100FC9">
            <w:pPr>
              <w:pStyle w:val="Normal"/>
              <w:jc w:val="left"/>
            </w:pPr>
            <w:r>
              <w:t xml:space="preserve">Dividends paid</w:t>
            </w:r>
          </w:p>
        </w:tc>
        <w:tc>
          <w:tcPr>
            <w:vAlign w:val="center"/>
            <w:tcBorders>
              <w:top w:val="single" w:sz="4" w:space="0" w:color="auto"/>
              <w:left w:val="single" w:sz="4" w:space="0" w:color="auto"/>
              <w:bottom w:val="single" w:sz="4" w:space="0" w:color="auto"/>
              <w:right w:val="single" w:sz="4" w:space="0" w:color="auto"/>
            </w:tcBorders>
          </w:tcPr>
          <w:p w14:paraId="00100F53" w14:textId="00100FCA">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55" w14:textId="00100FCB">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57" w14:textId="00100FCC">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59" w14:textId="00100FCD">
            <w:pPr>
              <w:pStyle w:val="Normal"/>
              <w:jc w:val="left"/>
            </w:pPr>
            <w:r>
              <w:t xml:space="preserve">(28.5)</w:t>
            </w:r>
          </w:p>
        </w:tc>
        <w:tc>
          <w:tcPr>
            <w:vAlign w:val="center"/>
            <w:tcBorders>
              <w:top w:val="single" w:sz="4" w:space="0" w:color="auto"/>
              <w:left w:val="single" w:sz="4" w:space="0" w:color="auto"/>
              <w:bottom w:val="single" w:sz="4" w:space="0" w:color="auto"/>
              <w:right w:val="single" w:sz="4" w:space="0" w:color="auto"/>
            </w:tcBorders>
          </w:tcPr>
          <w:p w14:paraId="00100F5B" w14:textId="00100FCE">
            <w:pPr>
              <w:pStyle w:val="Normal"/>
              <w:jc w:val="left"/>
            </w:pPr>
            <w:r>
              <w:t xml:space="preserve">(28.5)</w:t>
            </w:r>
          </w:p>
        </w:tc>
        <w:tc>
          <w:tcPr>
            <w:vAlign w:val="center"/>
            <w:tcBorders>
              <w:top w:val="single" w:sz="4" w:space="0" w:color="auto"/>
              <w:left w:val="single" w:sz="4" w:space="0" w:color="auto"/>
              <w:bottom w:val="single" w:sz="4" w:space="0" w:color="auto"/>
              <w:right w:val="single" w:sz="4" w:space="0" w:color="auto"/>
            </w:tcBorders>
          </w:tcPr>
          <w:p w14:paraId="00100F5D" w14:textId="00100FCF">
            <w:pPr>
              <w:pStyle w:val="Normal"/>
              <w:jc w:val="left"/>
            </w:pPr>
            <w:r>
              <w:t xml:space="preserve">(2.9)</w:t>
            </w:r>
          </w:p>
        </w:tc>
        <w:tc>
          <w:tcPr>
            <w:vAlign w:val="center"/>
            <w:tcBorders>
              <w:top w:val="single" w:sz="4" w:space="0" w:color="auto"/>
              <w:left w:val="single" w:sz="4" w:space="0" w:color="auto"/>
              <w:bottom w:val="single" w:sz="4" w:space="0" w:color="auto"/>
              <w:right w:val="single" w:sz="4" w:space="0" w:color="auto"/>
            </w:tcBorders>
          </w:tcPr>
          <w:p w14:paraId="00100F5F" w14:textId="00100FD0">
            <w:pPr>
              <w:pStyle w:val="Normal"/>
              <w:jc w:val="left"/>
            </w:pPr>
            <w:r>
              <w:t xml:space="preserve">(31.4)</w:t>
            </w:r>
          </w:p>
        </w:tc>
      </w:tr>
      <w:tr>
        <w:tc>
          <w:tcPr>
            <w:vAlign w:val="center"/>
            <w:tcBorders>
              <w:top w:val="single" w:sz="4" w:space="0" w:color="auto"/>
              <w:left w:val="single" w:sz="4" w:space="0" w:color="auto"/>
              <w:bottom w:val="single" w:sz="4" w:space="0" w:color="auto"/>
              <w:right w:val="single" w:sz="4" w:space="0" w:color="auto"/>
            </w:tcBorders>
          </w:tcPr>
          <w:p w14:paraId="00100F61" w14:textId="00100FD1">
            <w:pPr>
              <w:pStyle w:val="Normal"/>
              <w:jc w:val="left"/>
            </w:pPr>
            <w:r>
              <w:t xml:space="preserve">Share-based payment and other movements</w:t>
            </w:r>
          </w:p>
        </w:tc>
        <w:tc>
          <w:tcPr>
            <w:vAlign w:val="center"/>
            <w:tcBorders>
              <w:top w:val="single" w:sz="4" w:space="0" w:color="auto"/>
              <w:left w:val="single" w:sz="4" w:space="0" w:color="auto"/>
              <w:bottom w:val="single" w:sz="4" w:space="0" w:color="auto"/>
              <w:right w:val="single" w:sz="4" w:space="0" w:color="auto"/>
            </w:tcBorders>
          </w:tcPr>
          <w:p w14:paraId="00100F63" w14:textId="00100FD2">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65" w14:textId="00100FD3">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67" w14:textId="00100FD4">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F69" w14:textId="00100FD5">
            <w:pPr>
              <w:pStyle w:val="Normal"/>
              <w:jc w:val="left"/>
            </w:pPr>
            <w:r>
              <w:t xml:space="preserve">(3.6)</w:t>
            </w:r>
          </w:p>
        </w:tc>
        <w:tc>
          <w:tcPr>
            <w:vAlign w:val="center"/>
            <w:tcBorders>
              <w:top w:val="single" w:sz="4" w:space="0" w:color="auto"/>
              <w:left w:val="single" w:sz="4" w:space="0" w:color="auto"/>
              <w:bottom w:val="single" w:sz="4" w:space="0" w:color="auto"/>
              <w:right w:val="single" w:sz="4" w:space="0" w:color="auto"/>
            </w:tcBorders>
          </w:tcPr>
          <w:p w14:paraId="00100F6B" w14:textId="00100FD6">
            <w:pPr>
              <w:pStyle w:val="Normal"/>
              <w:jc w:val="left"/>
            </w:pPr>
            <w:r>
              <w:t xml:space="preserve">(3.6)</w:t>
            </w:r>
          </w:p>
        </w:tc>
        <w:tc>
          <w:tcPr>
            <w:vAlign w:val="center"/>
            <w:tcBorders>
              <w:top w:val="single" w:sz="4" w:space="0" w:color="auto"/>
              <w:left w:val="single" w:sz="4" w:space="0" w:color="auto"/>
              <w:bottom w:val="single" w:sz="4" w:space="0" w:color="auto"/>
              <w:right w:val="single" w:sz="4" w:space="0" w:color="auto"/>
            </w:tcBorders>
          </w:tcPr>
          <w:p w14:paraId="00100F6D" w14:textId="00100FD7">
            <w:pPr>
              <w:pStyle w:val="Normal"/>
              <w:jc w:val="left"/>
            </w:pPr>
            <w:r>
              <w:t xml:space="preserve">(0.9)</w:t>
            </w:r>
          </w:p>
        </w:tc>
        <w:tc>
          <w:tcPr>
            <w:vAlign w:val="center"/>
            <w:tcBorders>
              <w:top w:val="single" w:sz="4" w:space="0" w:color="auto"/>
              <w:left w:val="single" w:sz="4" w:space="0" w:color="auto"/>
              <w:bottom w:val="single" w:sz="4" w:space="0" w:color="auto"/>
              <w:right w:val="single" w:sz="4" w:space="0" w:color="auto"/>
            </w:tcBorders>
          </w:tcPr>
          <w:p w14:paraId="00100F6F" w14:textId="00100FD8">
            <w:pPr>
              <w:pStyle w:val="Normal"/>
              <w:jc w:val="left"/>
            </w:pPr>
            <w:r>
              <w:t xml:space="preserve">(4.5)</w:t>
            </w:r>
          </w:p>
        </w:tc>
      </w:tr>
      <w:tr>
        <w:tc>
          <w:tcPr>
            <w:vAlign w:val="center"/>
            <w:tcBorders>
              <w:top w:val="single" w:sz="4" w:space="0" w:color="auto"/>
              <w:left w:val="single" w:sz="4" w:space="0" w:color="auto"/>
              <w:bottom w:val="single" w:sz="4" w:space="0" w:color="auto"/>
              <w:right w:val="single" w:sz="4" w:space="0" w:color="auto"/>
            </w:tcBorders>
          </w:tcPr>
          <w:p w14:paraId="00100F71" w14:textId="00100FD9">
            <w:pPr>
              <w:pStyle w:val="Normal"/>
              <w:jc w:val="left"/>
            </w:pPr>
            <w:r>
              <w:t xml:space="preserve">Balance at 31 December 2024</w:t>
            </w:r>
          </w:p>
        </w:tc>
        <w:tc>
          <w:tcPr>
            <w:vAlign w:val="center"/>
            <w:tcBorders>
              <w:top w:val="single" w:sz="4" w:space="0" w:color="auto"/>
              <w:left w:val="single" w:sz="4" w:space="0" w:color="auto"/>
              <w:bottom w:val="single" w:sz="4" w:space="0" w:color="auto"/>
              <w:right w:val="single" w:sz="4" w:space="0" w:color="auto"/>
            </w:tcBorders>
          </w:tcPr>
          <w:p w14:paraId="00100F73" w14:textId="00100FDA">
            <w:pPr>
              <w:pStyle w:val="Normal"/>
              <w:jc w:val="left"/>
            </w:pPr>
            <w:r>
              <w:t xml:space="preserve">412.0</w:t>
            </w:r>
          </w:p>
        </w:tc>
        <w:tc>
          <w:tcPr>
            <w:vAlign w:val="center"/>
            <w:tcBorders>
              <w:top w:val="single" w:sz="4" w:space="0" w:color="auto"/>
              <w:left w:val="single" w:sz="4" w:space="0" w:color="auto"/>
              <w:bottom w:val="single" w:sz="4" w:space="0" w:color="auto"/>
              <w:right w:val="single" w:sz="4" w:space="0" w:color="auto"/>
            </w:tcBorders>
          </w:tcPr>
          <w:p w14:paraId="00100F75" w14:textId="00100FDB">
            <w:pPr>
              <w:pStyle w:val="Normal"/>
              <w:jc w:val="left"/>
            </w:pPr>
            <w:r>
              <w:t xml:space="preserve">168.4</w:t>
            </w:r>
          </w:p>
        </w:tc>
        <w:tc>
          <w:tcPr>
            <w:vAlign w:val="center"/>
            <w:tcBorders>
              <w:top w:val="single" w:sz="4" w:space="0" w:color="auto"/>
              <w:left w:val="single" w:sz="4" w:space="0" w:color="auto"/>
              <w:bottom w:val="single" w:sz="4" w:space="0" w:color="auto"/>
              <w:right w:val="single" w:sz="4" w:space="0" w:color="auto"/>
            </w:tcBorders>
          </w:tcPr>
          <w:p w14:paraId="00100F77" w14:textId="00100FDC">
            <w:pPr>
              <w:pStyle w:val="Normal"/>
              <w:jc w:val="left"/>
            </w:pPr>
            <w:r>
              <w:t xml:space="preserve">96.3</w:t>
            </w:r>
          </w:p>
        </w:tc>
        <w:tc>
          <w:tcPr>
            <w:vAlign w:val="center"/>
            <w:tcBorders>
              <w:top w:val="single" w:sz="4" w:space="0" w:color="auto"/>
              <w:left w:val="single" w:sz="4" w:space="0" w:color="auto"/>
              <w:bottom w:val="single" w:sz="4" w:space="0" w:color="auto"/>
              <w:right w:val="single" w:sz="4" w:space="0" w:color="auto"/>
            </w:tcBorders>
          </w:tcPr>
          <w:p w14:paraId="00100F79" w14:textId="00100FDD">
            <w:pPr>
              <w:pStyle w:val="Normal"/>
              <w:jc w:val="left"/>
            </w:pPr>
            <w:r>
              <w:t xml:space="preserve">801.6</w:t>
            </w:r>
          </w:p>
        </w:tc>
        <w:tc>
          <w:tcPr>
            <w:vAlign w:val="center"/>
            <w:tcBorders>
              <w:top w:val="single" w:sz="4" w:space="0" w:color="auto"/>
              <w:left w:val="single" w:sz="4" w:space="0" w:color="auto"/>
              <w:bottom w:val="single" w:sz="4" w:space="0" w:color="auto"/>
              <w:right w:val="single" w:sz="4" w:space="0" w:color="auto"/>
            </w:tcBorders>
          </w:tcPr>
          <w:p w14:paraId="00100F7B" w14:textId="00100FDE">
            <w:pPr>
              <w:pStyle w:val="Normal"/>
              <w:jc w:val="left"/>
            </w:pPr>
            <w:r>
              <w:t xml:space="preserve">1,478.3</w:t>
            </w:r>
          </w:p>
        </w:tc>
        <w:tc>
          <w:tcPr>
            <w:vAlign w:val="center"/>
            <w:tcBorders>
              <w:top w:val="single" w:sz="4" w:space="0" w:color="auto"/>
              <w:left w:val="single" w:sz="4" w:space="0" w:color="auto"/>
              <w:bottom w:val="single" w:sz="4" w:space="0" w:color="auto"/>
              <w:right w:val="single" w:sz="4" w:space="0" w:color="auto"/>
            </w:tcBorders>
          </w:tcPr>
          <w:p w14:paraId="00100F7D" w14:textId="00100FDF">
            <w:pPr>
              <w:pStyle w:val="Normal"/>
              <w:jc w:val="left"/>
            </w:pPr>
            <w:r>
              <w:t xml:space="preserve">74.6</w:t>
            </w:r>
          </w:p>
        </w:tc>
        <w:tc>
          <w:tcPr>
            <w:vAlign w:val="center"/>
            <w:tcBorders>
              <w:top w:val="single" w:sz="4" w:space="0" w:color="auto"/>
              <w:left w:val="single" w:sz="4" w:space="0" w:color="auto"/>
              <w:bottom w:val="single" w:sz="4" w:space="0" w:color="auto"/>
              <w:right w:val="single" w:sz="4" w:space="0" w:color="auto"/>
            </w:tcBorders>
          </w:tcPr>
          <w:p w14:paraId="00100F7F" w14:textId="00100FE0">
            <w:pPr>
              <w:pStyle w:val="Normal"/>
              <w:jc w:val="left"/>
            </w:pPr>
            <w:r>
              <w:t xml:space="preserve">1,552.9</w:t>
            </w:r>
          </w:p>
        </w:tc>
      </w:tr>
    </w:tbl>
    <w:p w14:paraId="00100FE1" w14:textId="00100FE2">
      <w:pPr>
        <w:pStyle w:val="Normal"/>
        <w:jc w:val="left"/>
      </w:pPr>
      <w:r>
        <w:t xml:space="preserve">Table 15 Consolidated statement of changes in equity</w:t>
      </w:r>
    </w:p>
    <w:p w14:paraId="00100FE3" w14:textId="00100FE4">
      <w:pPr>
        <w:pStyle w:val="Heading2a"/>
        <w:jc w:val="left"/>
      </w:pPr>
      <w:r>
        <w:t xml:space="preserve">Cash Flow Statement</w:t>
      </w:r>
    </w:p>
    <w:p w14:paraId="00100FE5" w14:textId="00100FE6">
      <w:pPr>
        <w:pStyle w:val="Normal"/>
        <w:jc w:val="left"/>
      </w:pPr>
      <w:r>
        <w:t xml:space="preserve">The consolidated cash flow statement presents how Rivermark Group generated and used cash during the year across operating, investing and financing activities. It is intended to complement the income statement and balance sheet by showing the timing and quality of cash generation, with particular emphasis on operating cash conversion, capital expenditure discipline and funding movements. Management uses this statement to assess the Group’s ability to fund day-to-day operations, maintain and expand capacity, service borrowings and support shareholder distributions without compromising liquidity resilience.</w:t>
      </w:r>
    </w:p>
    <w:p w14:paraId="00100FE7" w14:textId="00100FE8">
      <w:pPr>
        <w:pStyle w:val="Normal"/>
        <w:jc w:val="left"/>
      </w:pPr>
      <w:r>
        <w:t xml:space="preserve">Cash flows are prepared on a consolidated basis for entities controlled by the Group for the reporting period. Operating cash flows reflect cash receipts from customers and cash paid to suppliers, employees, tax authorities and other operating counterparties, adjusted for non-cash accounting items through the reconciliation from profit before tax to net cash generated from operations. Investing cash flows principally include expenditure on property, plant and equipment, software and other intangible assets, together with proceeds from asset disposals and selective portfolio transactions. Financing cash flows include movements in borrowings, lease liabilities, interest-bearing instruments and dividends.</w:t>
      </w:r>
    </w:p>
    <w:p w14:paraId="00100FE9" w14:textId="00100FEA">
      <w:pPr>
        <w:pStyle w:val="Normal"/>
        <w:jc w:val="left"/>
      </w:pPr>
      <w:r>
        <w:t xml:space="preserve">Taken together, the statement provides a disciplined view of whether reported earnings translated into cash, whether investment levels were aligned with strategic priorities, and whether the Group closed the year with adequate headroom to support its operating plan.</w:t>
      </w:r>
    </w:p>
    <w:p w14:paraId="00100FEB" w14:textId="00100FEC">
      <w:pPr>
        <w:pStyle w:val="Heading3a"/>
        <w:jc w:val="left"/>
      </w:pPr>
      <w:r>
        <w:t xml:space="preserve">Operating and Investing</w:t>
      </w:r>
    </w:p>
    <w:p w14:paraId="00100FED" w14:textId="00100FEE">
      <w:pPr>
        <w:pStyle w:val="Normal"/>
        <w:jc w:val="left"/>
      </w:pPr>
      <w:r>
        <w:t xml:space="preserve">Consolidated statement of cash flows for the year ended 31 December 2025</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FEF" w14:textId="0010109D">
            <w:pPr>
              <w:pStyle w:val="Normal"/>
              <w:jc w:val="left"/>
            </w:pPr>
            <w:r>
              <w:t xml:space="preserve">USD million</w:t>
            </w:r>
          </w:p>
        </w:tc>
        <w:tc>
          <w:tcPr>
            <w:vAlign w:val="center"/>
            <w:tcBorders>
              <w:top w:val="single" w:sz="4" w:space="0" w:color="auto"/>
              <w:left w:val="single" w:sz="4" w:space="0" w:color="auto"/>
              <w:bottom w:val="single" w:sz="4" w:space="0" w:color="auto"/>
              <w:right w:val="single" w:sz="4" w:space="0" w:color="auto"/>
            </w:tcBorders>
          </w:tcPr>
          <w:p w14:paraId="00100FF1" w14:textId="0010109E">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FF3" w14:textId="0010109F">
            <w:pPr>
              <w:pStyle w:val="Normal"/>
              <w:jc w:val="left"/>
            </w:pPr>
            <w:r>
              <w:t xml:space="preserve">2023</w:t>
            </w:r>
          </w:p>
        </w:tc>
      </w:tr>
      <w:tr>
        <w:tc>
          <w:tcPr>
            <w:vAlign w:val="center"/>
            <w:tcBorders>
              <w:top w:val="single" w:sz="4" w:space="0" w:color="auto"/>
              <w:left w:val="single" w:sz="4" w:space="0" w:color="auto"/>
              <w:bottom w:val="single" w:sz="4" w:space="0" w:color="auto"/>
              <w:right w:val="single" w:sz="4" w:space="0" w:color="auto"/>
            </w:tcBorders>
          </w:tcPr>
          <w:p w14:paraId="00100FF5" w14:textId="001010A0">
            <w:pPr>
              <w:pStyle w:val="Normal"/>
              <w:jc w:val="left"/>
            </w:pPr>
            <w:r>
              <w:t xml:space="preserve">Cash flows from operating activities</w:t>
            </w:r>
          </w:p>
        </w:tc>
        <w:tc>
          <w:tcPr>
            <w:vAlign w:val="center"/>
            <w:tcBorders>
              <w:top w:val="single" w:sz="4" w:space="0" w:color="auto"/>
              <w:left w:val="single" w:sz="4" w:space="0" w:color="auto"/>
              <w:bottom w:val="single" w:sz="4" w:space="0" w:color="auto"/>
              <w:right w:val="single" w:sz="4" w:space="0" w:color="auto"/>
            </w:tcBorders>
          </w:tcPr>
          <w:p w14:paraId="00100FF7" w14:textId="001010A1">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FF9" w14:textId="001010A2">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0FFB" w14:textId="001010A3">
            <w:pPr>
              <w:pStyle w:val="Normal"/>
              <w:jc w:val="left"/>
            </w:pPr>
            <w:r>
              <w:t xml:space="preserve">Profit before tax</w:t>
            </w:r>
          </w:p>
        </w:tc>
        <w:tc>
          <w:tcPr>
            <w:vAlign w:val="center"/>
            <w:tcBorders>
              <w:top w:val="single" w:sz="4" w:space="0" w:color="auto"/>
              <w:left w:val="single" w:sz="4" w:space="0" w:color="auto"/>
              <w:bottom w:val="single" w:sz="4" w:space="0" w:color="auto"/>
              <w:right w:val="single" w:sz="4" w:space="0" w:color="auto"/>
            </w:tcBorders>
          </w:tcPr>
          <w:p w14:paraId="00100FFD" w14:textId="001010A4">
            <w:pPr>
              <w:pStyle w:val="Normal"/>
              <w:jc w:val="left"/>
            </w:pPr>
            <w:r>
              <w:t xml:space="preserve">412.6</w:t>
            </w:r>
          </w:p>
        </w:tc>
        <w:tc>
          <w:tcPr>
            <w:vAlign w:val="center"/>
            <w:tcBorders>
              <w:top w:val="single" w:sz="4" w:space="0" w:color="auto"/>
              <w:left w:val="single" w:sz="4" w:space="0" w:color="auto"/>
              <w:bottom w:val="single" w:sz="4" w:space="0" w:color="auto"/>
              <w:right w:val="single" w:sz="4" w:space="0" w:color="auto"/>
            </w:tcBorders>
          </w:tcPr>
          <w:p w14:paraId="00100FFF" w14:textId="001010A5">
            <w:pPr>
              <w:pStyle w:val="Normal"/>
              <w:jc w:val="left"/>
            </w:pPr>
            <w:r>
              <w:t xml:space="preserve">368.4</w:t>
            </w:r>
          </w:p>
        </w:tc>
      </w:tr>
      <w:tr>
        <w:tc>
          <w:tcPr>
            <w:vAlign w:val="center"/>
            <w:tcBorders>
              <w:top w:val="single" w:sz="4" w:space="0" w:color="auto"/>
              <w:left w:val="single" w:sz="4" w:space="0" w:color="auto"/>
              <w:bottom w:val="single" w:sz="4" w:space="0" w:color="auto"/>
              <w:right w:val="single" w:sz="4" w:space="0" w:color="auto"/>
            </w:tcBorders>
          </w:tcPr>
          <w:p w14:paraId="00101001" w14:textId="001010A6">
            <w:pPr>
              <w:pStyle w:val="Normal"/>
              <w:jc w:val="left"/>
            </w:pPr>
            <w:r>
              <w:t xml:space="preserve">Depreciation, amortization and impairment</w:t>
            </w:r>
          </w:p>
        </w:tc>
        <w:tc>
          <w:tcPr>
            <w:vAlign w:val="center"/>
            <w:tcBorders>
              <w:top w:val="single" w:sz="4" w:space="0" w:color="auto"/>
              <w:left w:val="single" w:sz="4" w:space="0" w:color="auto"/>
              <w:bottom w:val="single" w:sz="4" w:space="0" w:color="auto"/>
              <w:right w:val="single" w:sz="4" w:space="0" w:color="auto"/>
            </w:tcBorders>
          </w:tcPr>
          <w:p w14:paraId="00101003" w14:textId="001010A7">
            <w:pPr>
              <w:pStyle w:val="Normal"/>
              <w:jc w:val="left"/>
            </w:pPr>
            <w:r>
              <w:t xml:space="preserve">186.9</w:t>
            </w:r>
          </w:p>
        </w:tc>
        <w:tc>
          <w:tcPr>
            <w:vAlign w:val="center"/>
            <w:tcBorders>
              <w:top w:val="single" w:sz="4" w:space="0" w:color="auto"/>
              <w:left w:val="single" w:sz="4" w:space="0" w:color="auto"/>
              <w:bottom w:val="single" w:sz="4" w:space="0" w:color="auto"/>
              <w:right w:val="single" w:sz="4" w:space="0" w:color="auto"/>
            </w:tcBorders>
          </w:tcPr>
          <w:p w14:paraId="00101005" w14:textId="001010A8">
            <w:pPr>
              <w:pStyle w:val="Normal"/>
              <w:jc w:val="left"/>
            </w:pPr>
            <w:r>
              <w:t xml:space="preserve">171.2</w:t>
            </w:r>
          </w:p>
        </w:tc>
      </w:tr>
      <w:tr>
        <w:tc>
          <w:tcPr>
            <w:vAlign w:val="center"/>
            <w:tcBorders>
              <w:top w:val="single" w:sz="4" w:space="0" w:color="auto"/>
              <w:left w:val="single" w:sz="4" w:space="0" w:color="auto"/>
              <w:bottom w:val="single" w:sz="4" w:space="0" w:color="auto"/>
              <w:right w:val="single" w:sz="4" w:space="0" w:color="auto"/>
            </w:tcBorders>
          </w:tcPr>
          <w:p w14:paraId="00101007" w14:textId="001010A9">
            <w:pPr>
              <w:pStyle w:val="Normal"/>
              <w:jc w:val="left"/>
            </w:pPr>
            <w:r>
              <w:t xml:space="preserve">Net finance costs</w:t>
            </w:r>
          </w:p>
        </w:tc>
        <w:tc>
          <w:tcPr>
            <w:vAlign w:val="center"/>
            <w:tcBorders>
              <w:top w:val="single" w:sz="4" w:space="0" w:color="auto"/>
              <w:left w:val="single" w:sz="4" w:space="0" w:color="auto"/>
              <w:bottom w:val="single" w:sz="4" w:space="0" w:color="auto"/>
              <w:right w:val="single" w:sz="4" w:space="0" w:color="auto"/>
            </w:tcBorders>
          </w:tcPr>
          <w:p w14:paraId="00101009" w14:textId="001010AA">
            <w:pPr>
              <w:pStyle w:val="Normal"/>
              <w:jc w:val="left"/>
            </w:pPr>
            <w:r>
              <w:t xml:space="preserve">41.8</w:t>
            </w:r>
          </w:p>
        </w:tc>
        <w:tc>
          <w:tcPr>
            <w:vAlign w:val="center"/>
            <w:tcBorders>
              <w:top w:val="single" w:sz="4" w:space="0" w:color="auto"/>
              <w:left w:val="single" w:sz="4" w:space="0" w:color="auto"/>
              <w:bottom w:val="single" w:sz="4" w:space="0" w:color="auto"/>
              <w:right w:val="single" w:sz="4" w:space="0" w:color="auto"/>
            </w:tcBorders>
          </w:tcPr>
          <w:p w14:paraId="0010100B" w14:textId="001010AB">
            <w:pPr>
              <w:pStyle w:val="Normal"/>
              <w:jc w:val="left"/>
            </w:pPr>
            <w:r>
              <w:t xml:space="preserve">38.7</w:t>
            </w:r>
          </w:p>
        </w:tc>
      </w:tr>
      <w:tr>
        <w:tc>
          <w:tcPr>
            <w:vAlign w:val="center"/>
            <w:tcBorders>
              <w:top w:val="single" w:sz="4" w:space="0" w:color="auto"/>
              <w:left w:val="single" w:sz="4" w:space="0" w:color="auto"/>
              <w:bottom w:val="single" w:sz="4" w:space="0" w:color="auto"/>
              <w:right w:val="single" w:sz="4" w:space="0" w:color="auto"/>
            </w:tcBorders>
          </w:tcPr>
          <w:p w14:paraId="0010100D" w14:textId="001010AC">
            <w:pPr>
              <w:pStyle w:val="Normal"/>
              <w:jc w:val="left"/>
            </w:pPr>
            <w:r>
              <w:t xml:space="preserve">Share of results of associates</w:t>
            </w:r>
          </w:p>
        </w:tc>
        <w:tc>
          <w:tcPr>
            <w:vAlign w:val="center"/>
            <w:tcBorders>
              <w:top w:val="single" w:sz="4" w:space="0" w:color="auto"/>
              <w:left w:val="single" w:sz="4" w:space="0" w:color="auto"/>
              <w:bottom w:val="single" w:sz="4" w:space="0" w:color="auto"/>
              <w:right w:val="single" w:sz="4" w:space="0" w:color="auto"/>
            </w:tcBorders>
          </w:tcPr>
          <w:p w14:paraId="0010100F" w14:textId="001010AD">
            <w:pPr>
              <w:pStyle w:val="Normal"/>
              <w:jc w:val="left"/>
            </w:pPr>
            <w:r>
              <w:t xml:space="preserve">(6.4)</w:t>
            </w:r>
          </w:p>
        </w:tc>
        <w:tc>
          <w:tcPr>
            <w:vAlign w:val="center"/>
            <w:tcBorders>
              <w:top w:val="single" w:sz="4" w:space="0" w:color="auto"/>
              <w:left w:val="single" w:sz="4" w:space="0" w:color="auto"/>
              <w:bottom w:val="single" w:sz="4" w:space="0" w:color="auto"/>
              <w:right w:val="single" w:sz="4" w:space="0" w:color="auto"/>
            </w:tcBorders>
          </w:tcPr>
          <w:p w14:paraId="00101011" w14:textId="001010AE">
            <w:pPr>
              <w:pStyle w:val="Normal"/>
              <w:jc w:val="left"/>
            </w:pPr>
            <w:r>
              <w:t xml:space="preserve">(5.8)</w:t>
            </w:r>
          </w:p>
        </w:tc>
      </w:tr>
      <w:tr>
        <w:tc>
          <w:tcPr>
            <w:vAlign w:val="center"/>
            <w:tcBorders>
              <w:top w:val="single" w:sz="4" w:space="0" w:color="auto"/>
              <w:left w:val="single" w:sz="4" w:space="0" w:color="auto"/>
              <w:bottom w:val="single" w:sz="4" w:space="0" w:color="auto"/>
              <w:right w:val="single" w:sz="4" w:space="0" w:color="auto"/>
            </w:tcBorders>
          </w:tcPr>
          <w:p w14:paraId="00101013" w14:textId="001010AF">
            <w:pPr>
              <w:pStyle w:val="Normal"/>
              <w:jc w:val="left"/>
            </w:pPr>
            <w:r>
              <w:t xml:space="preserve">Other non-cash items</w:t>
            </w:r>
          </w:p>
        </w:tc>
        <w:tc>
          <w:tcPr>
            <w:vAlign w:val="center"/>
            <w:tcBorders>
              <w:top w:val="single" w:sz="4" w:space="0" w:color="auto"/>
              <w:left w:val="single" w:sz="4" w:space="0" w:color="auto"/>
              <w:bottom w:val="single" w:sz="4" w:space="0" w:color="auto"/>
              <w:right w:val="single" w:sz="4" w:space="0" w:color="auto"/>
            </w:tcBorders>
          </w:tcPr>
          <w:p w14:paraId="00101015" w14:textId="001010B0">
            <w:pPr>
              <w:pStyle w:val="Normal"/>
              <w:jc w:val="left"/>
            </w:pPr>
            <w:r>
              <w:t xml:space="preserve">22.7</w:t>
            </w:r>
          </w:p>
        </w:tc>
        <w:tc>
          <w:tcPr>
            <w:vAlign w:val="center"/>
            <w:tcBorders>
              <w:top w:val="single" w:sz="4" w:space="0" w:color="auto"/>
              <w:left w:val="single" w:sz="4" w:space="0" w:color="auto"/>
              <w:bottom w:val="single" w:sz="4" w:space="0" w:color="auto"/>
              <w:right w:val="single" w:sz="4" w:space="0" w:color="auto"/>
            </w:tcBorders>
          </w:tcPr>
          <w:p w14:paraId="00101017" w14:textId="001010B1">
            <w:pPr>
              <w:pStyle w:val="Normal"/>
              <w:jc w:val="left"/>
            </w:pPr>
            <w:r>
              <w:t xml:space="preserve">18.5</w:t>
            </w:r>
          </w:p>
        </w:tc>
      </w:tr>
      <w:tr>
        <w:tc>
          <w:tcPr>
            <w:vAlign w:val="center"/>
            <w:tcBorders>
              <w:top w:val="single" w:sz="4" w:space="0" w:color="auto"/>
              <w:left w:val="single" w:sz="4" w:space="0" w:color="auto"/>
              <w:bottom w:val="single" w:sz="4" w:space="0" w:color="auto"/>
              <w:right w:val="single" w:sz="4" w:space="0" w:color="auto"/>
            </w:tcBorders>
          </w:tcPr>
          <w:p w14:paraId="00101019" w14:textId="001010B2">
            <w:pPr>
              <w:pStyle w:val="Normal"/>
              <w:jc w:val="left"/>
            </w:pPr>
            <w:r>
              <w:t xml:space="preserve">Changes in working capital</w:t>
            </w:r>
          </w:p>
        </w:tc>
        <w:tc>
          <w:tcPr>
            <w:vAlign w:val="center"/>
            <w:tcBorders>
              <w:top w:val="single" w:sz="4" w:space="0" w:color="auto"/>
              <w:left w:val="single" w:sz="4" w:space="0" w:color="auto"/>
              <w:bottom w:val="single" w:sz="4" w:space="0" w:color="auto"/>
              <w:right w:val="single" w:sz="4" w:space="0" w:color="auto"/>
            </w:tcBorders>
          </w:tcPr>
          <w:p w14:paraId="0010101B" w14:textId="001010B3">
            <w:pPr>
              <w:pStyle w:val="Normal"/>
              <w:jc w:val="left"/>
            </w:pPr>
            <w:r>
              <w:t xml:space="preserve">(54.3)</w:t>
            </w:r>
          </w:p>
        </w:tc>
        <w:tc>
          <w:tcPr>
            <w:vAlign w:val="center"/>
            <w:tcBorders>
              <w:top w:val="single" w:sz="4" w:space="0" w:color="auto"/>
              <w:left w:val="single" w:sz="4" w:space="0" w:color="auto"/>
              <w:bottom w:val="single" w:sz="4" w:space="0" w:color="auto"/>
              <w:right w:val="single" w:sz="4" w:space="0" w:color="auto"/>
            </w:tcBorders>
          </w:tcPr>
          <w:p w14:paraId="0010101D" w14:textId="001010B4">
            <w:pPr>
              <w:pStyle w:val="Normal"/>
              <w:jc w:val="left"/>
            </w:pPr>
            <w:r>
              <w:t xml:space="preserve">(21.6)</w:t>
            </w:r>
          </w:p>
        </w:tc>
      </w:tr>
      <w:tr>
        <w:tc>
          <w:tcPr>
            <w:vAlign w:val="center"/>
            <w:tcBorders>
              <w:top w:val="single" w:sz="4" w:space="0" w:color="auto"/>
              <w:left w:val="single" w:sz="4" w:space="0" w:color="auto"/>
              <w:bottom w:val="single" w:sz="4" w:space="0" w:color="auto"/>
              <w:right w:val="single" w:sz="4" w:space="0" w:color="auto"/>
            </w:tcBorders>
          </w:tcPr>
          <w:p w14:paraId="0010101F" w14:textId="001010B5">
            <w:pPr>
              <w:pStyle w:val="Normal"/>
              <w:jc w:val="left"/>
            </w:pPr>
            <w:r>
              <w:t xml:space="preserve">Income taxes paid</w:t>
            </w:r>
          </w:p>
        </w:tc>
        <w:tc>
          <w:tcPr>
            <w:vAlign w:val="center"/>
            <w:tcBorders>
              <w:top w:val="single" w:sz="4" w:space="0" w:color="auto"/>
              <w:left w:val="single" w:sz="4" w:space="0" w:color="auto"/>
              <w:bottom w:val="single" w:sz="4" w:space="0" w:color="auto"/>
              <w:right w:val="single" w:sz="4" w:space="0" w:color="auto"/>
            </w:tcBorders>
          </w:tcPr>
          <w:p w14:paraId="00101021" w14:textId="001010B6">
            <w:pPr>
              <w:pStyle w:val="Normal"/>
              <w:jc w:val="left"/>
            </w:pPr>
            <w:r>
              <w:t xml:space="preserve">(79.5)</w:t>
            </w:r>
          </w:p>
        </w:tc>
        <w:tc>
          <w:tcPr>
            <w:vAlign w:val="center"/>
            <w:tcBorders>
              <w:top w:val="single" w:sz="4" w:space="0" w:color="auto"/>
              <w:left w:val="single" w:sz="4" w:space="0" w:color="auto"/>
              <w:bottom w:val="single" w:sz="4" w:space="0" w:color="auto"/>
              <w:right w:val="single" w:sz="4" w:space="0" w:color="auto"/>
            </w:tcBorders>
          </w:tcPr>
          <w:p w14:paraId="00101023" w14:textId="001010B7">
            <w:pPr>
              <w:pStyle w:val="Normal"/>
              <w:jc w:val="left"/>
            </w:pPr>
            <w:r>
              <w:t xml:space="preserve">(70.9)</w:t>
            </w:r>
          </w:p>
        </w:tc>
      </w:tr>
      <w:tr>
        <w:tc>
          <w:tcPr>
            <w:vAlign w:val="center"/>
            <w:tcBorders>
              <w:top w:val="single" w:sz="4" w:space="0" w:color="auto"/>
              <w:left w:val="single" w:sz="4" w:space="0" w:color="auto"/>
              <w:bottom w:val="single" w:sz="4" w:space="0" w:color="auto"/>
              <w:right w:val="single" w:sz="4" w:space="0" w:color="auto"/>
            </w:tcBorders>
          </w:tcPr>
          <w:p w14:paraId="00101025" w14:textId="001010B8">
            <w:pPr>
              <w:pStyle w:val="Normal"/>
              <w:jc w:val="left"/>
            </w:pPr>
            <w:r>
              <w:t xml:space="preserve">Net cash generated from operating activities</w:t>
            </w:r>
          </w:p>
        </w:tc>
        <w:tc>
          <w:tcPr>
            <w:vAlign w:val="center"/>
            <w:tcBorders>
              <w:top w:val="single" w:sz="4" w:space="0" w:color="auto"/>
              <w:left w:val="single" w:sz="4" w:space="0" w:color="auto"/>
              <w:bottom w:val="single" w:sz="4" w:space="0" w:color="auto"/>
              <w:right w:val="single" w:sz="4" w:space="0" w:color="auto"/>
            </w:tcBorders>
          </w:tcPr>
          <w:p w14:paraId="00101027" w14:textId="001010B9">
            <w:pPr>
              <w:pStyle w:val="Normal"/>
              <w:jc w:val="left"/>
            </w:pPr>
            <w:r>
              <w:t xml:space="preserve">523.8</w:t>
            </w:r>
          </w:p>
        </w:tc>
        <w:tc>
          <w:tcPr>
            <w:vAlign w:val="center"/>
            <w:tcBorders>
              <w:top w:val="single" w:sz="4" w:space="0" w:color="auto"/>
              <w:left w:val="single" w:sz="4" w:space="0" w:color="auto"/>
              <w:bottom w:val="single" w:sz="4" w:space="0" w:color="auto"/>
              <w:right w:val="single" w:sz="4" w:space="0" w:color="auto"/>
            </w:tcBorders>
          </w:tcPr>
          <w:p w14:paraId="00101029" w14:textId="001010BA">
            <w:pPr>
              <w:pStyle w:val="Normal"/>
              <w:jc w:val="left"/>
            </w:pPr>
            <w:r>
              <w:t xml:space="preserve">498.5</w:t>
            </w:r>
          </w:p>
        </w:tc>
      </w:tr>
      <w:tr>
        <w:tc>
          <w:tcPr>
            <w:vAlign w:val="center"/>
            <w:tcBorders>
              <w:top w:val="single" w:sz="4" w:space="0" w:color="auto"/>
              <w:left w:val="single" w:sz="4" w:space="0" w:color="auto"/>
              <w:bottom w:val="single" w:sz="4" w:space="0" w:color="auto"/>
              <w:right w:val="single" w:sz="4" w:space="0" w:color="auto"/>
            </w:tcBorders>
          </w:tcPr>
          <w:p w14:paraId="0010102B" w14:textId="001010BB">
            <w:pPr>
              <w:pStyle w:val="Normal"/>
              <w:jc w:val="left"/>
            </w:pPr>
            <w:r>
              <w:t xml:space="preserve">Cash flows from investing activities</w:t>
            </w:r>
          </w:p>
        </w:tc>
        <w:tc>
          <w:tcPr>
            <w:vAlign w:val="center"/>
            <w:tcBorders>
              <w:top w:val="single" w:sz="4" w:space="0" w:color="auto"/>
              <w:left w:val="single" w:sz="4" w:space="0" w:color="auto"/>
              <w:bottom w:val="single" w:sz="4" w:space="0" w:color="auto"/>
              <w:right w:val="single" w:sz="4" w:space="0" w:color="auto"/>
            </w:tcBorders>
          </w:tcPr>
          <w:p w14:paraId="0010102D" w14:textId="001010BC">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102F" w14:textId="001010BD">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1031" w14:textId="001010BE">
            <w:pPr>
              <w:pStyle w:val="Normal"/>
              <w:jc w:val="left"/>
            </w:pPr>
            <w:r>
              <w:t xml:space="preserve">Purchase of 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1033" w14:textId="001010BF">
            <w:pPr>
              <w:pStyle w:val="Normal"/>
              <w:jc w:val="left"/>
            </w:pPr>
            <w:r>
              <w:t xml:space="preserve">(214.7)</w:t>
            </w:r>
          </w:p>
        </w:tc>
        <w:tc>
          <w:tcPr>
            <w:vAlign w:val="center"/>
            <w:tcBorders>
              <w:top w:val="single" w:sz="4" w:space="0" w:color="auto"/>
              <w:left w:val="single" w:sz="4" w:space="0" w:color="auto"/>
              <w:bottom w:val="single" w:sz="4" w:space="0" w:color="auto"/>
              <w:right w:val="single" w:sz="4" w:space="0" w:color="auto"/>
            </w:tcBorders>
          </w:tcPr>
          <w:p w14:paraId="00101035" w14:textId="001010C0">
            <w:pPr>
              <w:pStyle w:val="Normal"/>
              <w:jc w:val="left"/>
            </w:pPr>
            <w:r>
              <w:t xml:space="preserve">(196.1)</w:t>
            </w:r>
          </w:p>
        </w:tc>
      </w:tr>
      <w:tr>
        <w:tc>
          <w:tcPr>
            <w:vAlign w:val="center"/>
            <w:tcBorders>
              <w:top w:val="single" w:sz="4" w:space="0" w:color="auto"/>
              <w:left w:val="single" w:sz="4" w:space="0" w:color="auto"/>
              <w:bottom w:val="single" w:sz="4" w:space="0" w:color="auto"/>
              <w:right w:val="single" w:sz="4" w:space="0" w:color="auto"/>
            </w:tcBorders>
          </w:tcPr>
          <w:p w14:paraId="00101037" w14:textId="001010C1">
            <w:pPr>
              <w:pStyle w:val="Normal"/>
              <w:jc w:val="left"/>
            </w:pPr>
            <w:r>
              <w:t xml:space="preserve">Purchase of intangible assets</w:t>
            </w:r>
          </w:p>
        </w:tc>
        <w:tc>
          <w:tcPr>
            <w:vAlign w:val="center"/>
            <w:tcBorders>
              <w:top w:val="single" w:sz="4" w:space="0" w:color="auto"/>
              <w:left w:val="single" w:sz="4" w:space="0" w:color="auto"/>
              <w:bottom w:val="single" w:sz="4" w:space="0" w:color="auto"/>
              <w:right w:val="single" w:sz="4" w:space="0" w:color="auto"/>
            </w:tcBorders>
          </w:tcPr>
          <w:p w14:paraId="00101039" w14:textId="001010C2">
            <w:pPr>
              <w:pStyle w:val="Normal"/>
              <w:jc w:val="left"/>
            </w:pPr>
            <w:r>
              <w:t xml:space="preserve">(48.6)</w:t>
            </w:r>
          </w:p>
        </w:tc>
        <w:tc>
          <w:tcPr>
            <w:vAlign w:val="center"/>
            <w:tcBorders>
              <w:top w:val="single" w:sz="4" w:space="0" w:color="auto"/>
              <w:left w:val="single" w:sz="4" w:space="0" w:color="auto"/>
              <w:bottom w:val="single" w:sz="4" w:space="0" w:color="auto"/>
              <w:right w:val="single" w:sz="4" w:space="0" w:color="auto"/>
            </w:tcBorders>
          </w:tcPr>
          <w:p w14:paraId="0010103B" w14:textId="001010C3">
            <w:pPr>
              <w:pStyle w:val="Normal"/>
              <w:jc w:val="left"/>
            </w:pPr>
            <w:r>
              <w:t xml:space="preserve">(39.4)</w:t>
            </w:r>
          </w:p>
        </w:tc>
      </w:tr>
      <w:tr>
        <w:tc>
          <w:tcPr>
            <w:vAlign w:val="center"/>
            <w:tcBorders>
              <w:top w:val="single" w:sz="4" w:space="0" w:color="auto"/>
              <w:left w:val="single" w:sz="4" w:space="0" w:color="auto"/>
              <w:bottom w:val="single" w:sz="4" w:space="0" w:color="auto"/>
              <w:right w:val="single" w:sz="4" w:space="0" w:color="auto"/>
            </w:tcBorders>
          </w:tcPr>
          <w:p w14:paraId="0010103D" w14:textId="001010C4">
            <w:pPr>
              <w:pStyle w:val="Normal"/>
              <w:jc w:val="left"/>
            </w:pPr>
            <w:r>
              <w:t xml:space="preserve">Acquisition of subsidiaries, net of cash acquired</w:t>
            </w:r>
          </w:p>
        </w:tc>
        <w:tc>
          <w:tcPr>
            <w:vAlign w:val="center"/>
            <w:tcBorders>
              <w:top w:val="single" w:sz="4" w:space="0" w:color="auto"/>
              <w:left w:val="single" w:sz="4" w:space="0" w:color="auto"/>
              <w:bottom w:val="single" w:sz="4" w:space="0" w:color="auto"/>
              <w:right w:val="single" w:sz="4" w:space="0" w:color="auto"/>
            </w:tcBorders>
          </w:tcPr>
          <w:p w14:paraId="0010103F" w14:textId="001010C5">
            <w:pPr>
              <w:pStyle w:val="Normal"/>
              <w:jc w:val="left"/>
            </w:pPr>
            <w:r>
              <w:t xml:space="preserve">(32.5)</w:t>
            </w:r>
          </w:p>
        </w:tc>
        <w:tc>
          <w:tcPr>
            <w:vAlign w:val="center"/>
            <w:tcBorders>
              <w:top w:val="single" w:sz="4" w:space="0" w:color="auto"/>
              <w:left w:val="single" w:sz="4" w:space="0" w:color="auto"/>
              <w:bottom w:val="single" w:sz="4" w:space="0" w:color="auto"/>
              <w:right w:val="single" w:sz="4" w:space="0" w:color="auto"/>
            </w:tcBorders>
          </w:tcPr>
          <w:p w14:paraId="00101041" w14:textId="001010C6">
            <w:pPr>
              <w:pStyle w:val="Normal"/>
              <w:jc w:val="left"/>
            </w:pPr>
            <w:r>
              <w:t xml:space="preserve">(18.0)</w:t>
            </w:r>
          </w:p>
        </w:tc>
      </w:tr>
      <w:tr>
        <w:tc>
          <w:tcPr>
            <w:vAlign w:val="center"/>
            <w:tcBorders>
              <w:top w:val="single" w:sz="4" w:space="0" w:color="auto"/>
              <w:left w:val="single" w:sz="4" w:space="0" w:color="auto"/>
              <w:bottom w:val="single" w:sz="4" w:space="0" w:color="auto"/>
              <w:right w:val="single" w:sz="4" w:space="0" w:color="auto"/>
            </w:tcBorders>
          </w:tcPr>
          <w:p w14:paraId="00101043" w14:textId="001010C7">
            <w:pPr>
              <w:pStyle w:val="Normal"/>
              <w:jc w:val="left"/>
            </w:pPr>
            <w:r>
              <w:t xml:space="preserve">Proceeds from disposal of assets and businesses</w:t>
            </w:r>
          </w:p>
        </w:tc>
        <w:tc>
          <w:tcPr>
            <w:vAlign w:val="center"/>
            <w:tcBorders>
              <w:top w:val="single" w:sz="4" w:space="0" w:color="auto"/>
              <w:left w:val="single" w:sz="4" w:space="0" w:color="auto"/>
              <w:bottom w:val="single" w:sz="4" w:space="0" w:color="auto"/>
              <w:right w:val="single" w:sz="4" w:space="0" w:color="auto"/>
            </w:tcBorders>
          </w:tcPr>
          <w:p w14:paraId="00101045" w14:textId="001010C8">
            <w:pPr>
              <w:pStyle w:val="Normal"/>
              <w:jc w:val="left"/>
            </w:pPr>
            <w:r>
              <w:t xml:space="preserve">27.3</w:t>
            </w:r>
          </w:p>
        </w:tc>
        <w:tc>
          <w:tcPr>
            <w:vAlign w:val="center"/>
            <w:tcBorders>
              <w:top w:val="single" w:sz="4" w:space="0" w:color="auto"/>
              <w:left w:val="single" w:sz="4" w:space="0" w:color="auto"/>
              <w:bottom w:val="single" w:sz="4" w:space="0" w:color="auto"/>
              <w:right w:val="single" w:sz="4" w:space="0" w:color="auto"/>
            </w:tcBorders>
          </w:tcPr>
          <w:p w14:paraId="00101047" w14:textId="001010C9">
            <w:pPr>
              <w:pStyle w:val="Normal"/>
              <w:jc w:val="left"/>
            </w:pPr>
            <w:r>
              <w:t xml:space="preserve">14.9</w:t>
            </w:r>
          </w:p>
        </w:tc>
      </w:tr>
      <w:tr>
        <w:tc>
          <w:tcPr>
            <w:vAlign w:val="center"/>
            <w:tcBorders>
              <w:top w:val="single" w:sz="4" w:space="0" w:color="auto"/>
              <w:left w:val="single" w:sz="4" w:space="0" w:color="auto"/>
              <w:bottom w:val="single" w:sz="4" w:space="0" w:color="auto"/>
              <w:right w:val="single" w:sz="4" w:space="0" w:color="auto"/>
            </w:tcBorders>
          </w:tcPr>
          <w:p w14:paraId="00101049" w14:textId="001010CA">
            <w:pPr>
              <w:pStyle w:val="Normal"/>
              <w:jc w:val="left"/>
            </w:pPr>
            <w:r>
              <w:t xml:space="preserve">Interest received</w:t>
            </w:r>
          </w:p>
        </w:tc>
        <w:tc>
          <w:tcPr>
            <w:vAlign w:val="center"/>
            <w:tcBorders>
              <w:top w:val="single" w:sz="4" w:space="0" w:color="auto"/>
              <w:left w:val="single" w:sz="4" w:space="0" w:color="auto"/>
              <w:bottom w:val="single" w:sz="4" w:space="0" w:color="auto"/>
              <w:right w:val="single" w:sz="4" w:space="0" w:color="auto"/>
            </w:tcBorders>
          </w:tcPr>
          <w:p w14:paraId="0010104B" w14:textId="001010CB">
            <w:pPr>
              <w:pStyle w:val="Normal"/>
              <w:jc w:val="left"/>
            </w:pPr>
            <w:r>
              <w:t xml:space="preserve">5.6</w:t>
            </w:r>
          </w:p>
        </w:tc>
        <w:tc>
          <w:tcPr>
            <w:vAlign w:val="center"/>
            <w:tcBorders>
              <w:top w:val="single" w:sz="4" w:space="0" w:color="auto"/>
              <w:left w:val="single" w:sz="4" w:space="0" w:color="auto"/>
              <w:bottom w:val="single" w:sz="4" w:space="0" w:color="auto"/>
              <w:right w:val="single" w:sz="4" w:space="0" w:color="auto"/>
            </w:tcBorders>
          </w:tcPr>
          <w:p w14:paraId="0010104D" w14:textId="001010CC">
            <w:pPr>
              <w:pStyle w:val="Normal"/>
              <w:jc w:val="left"/>
            </w:pPr>
            <w:r>
              <w:t xml:space="preserve">4.8</w:t>
            </w:r>
          </w:p>
        </w:tc>
      </w:tr>
      <w:tr>
        <w:tc>
          <w:tcPr>
            <w:vAlign w:val="center"/>
            <w:tcBorders>
              <w:top w:val="single" w:sz="4" w:space="0" w:color="auto"/>
              <w:left w:val="single" w:sz="4" w:space="0" w:color="auto"/>
              <w:bottom w:val="single" w:sz="4" w:space="0" w:color="auto"/>
              <w:right w:val="single" w:sz="4" w:space="0" w:color="auto"/>
            </w:tcBorders>
          </w:tcPr>
          <w:p w14:paraId="0010104F" w14:textId="001010CD">
            <w:pPr>
              <w:pStyle w:val="Normal"/>
              <w:jc w:val="left"/>
            </w:pPr>
            <w:r>
              <w:t xml:space="preserve">Net cash used in investing activities</w:t>
            </w:r>
          </w:p>
        </w:tc>
        <w:tc>
          <w:tcPr>
            <w:vAlign w:val="center"/>
            <w:tcBorders>
              <w:top w:val="single" w:sz="4" w:space="0" w:color="auto"/>
              <w:left w:val="single" w:sz="4" w:space="0" w:color="auto"/>
              <w:bottom w:val="single" w:sz="4" w:space="0" w:color="auto"/>
              <w:right w:val="single" w:sz="4" w:space="0" w:color="auto"/>
            </w:tcBorders>
          </w:tcPr>
          <w:p w14:paraId="00101051" w14:textId="001010CE">
            <w:pPr>
              <w:pStyle w:val="Normal"/>
              <w:jc w:val="left"/>
            </w:pPr>
            <w:r>
              <w:t xml:space="preserve">(262.9)</w:t>
            </w:r>
          </w:p>
        </w:tc>
        <w:tc>
          <w:tcPr>
            <w:vAlign w:val="center"/>
            <w:tcBorders>
              <w:top w:val="single" w:sz="4" w:space="0" w:color="auto"/>
              <w:left w:val="single" w:sz="4" w:space="0" w:color="auto"/>
              <w:bottom w:val="single" w:sz="4" w:space="0" w:color="auto"/>
              <w:right w:val="single" w:sz="4" w:space="0" w:color="auto"/>
            </w:tcBorders>
          </w:tcPr>
          <w:p w14:paraId="00101053" w14:textId="001010CF">
            <w:pPr>
              <w:pStyle w:val="Normal"/>
              <w:jc w:val="left"/>
            </w:pPr>
            <w:r>
              <w:t xml:space="preserve">(233.8)</w:t>
            </w:r>
          </w:p>
        </w:tc>
      </w:tr>
      <w:tr>
        <w:tc>
          <w:tcPr>
            <w:vAlign w:val="center"/>
            <w:tcBorders>
              <w:top w:val="single" w:sz="4" w:space="0" w:color="auto"/>
              <w:left w:val="single" w:sz="4" w:space="0" w:color="auto"/>
              <w:bottom w:val="single" w:sz="4" w:space="0" w:color="auto"/>
              <w:right w:val="single" w:sz="4" w:space="0" w:color="auto"/>
            </w:tcBorders>
          </w:tcPr>
          <w:p w14:paraId="00101055" w14:textId="001010D0">
            <w:pPr>
              <w:pStyle w:val="Normal"/>
              <w:jc w:val="left"/>
            </w:pPr>
            <w:r>
              <w:t xml:space="preserve">Cash flows from financing activities</w:t>
            </w:r>
          </w:p>
        </w:tc>
        <w:tc>
          <w:tcPr>
            <w:vAlign w:val="center"/>
            <w:tcBorders>
              <w:top w:val="single" w:sz="4" w:space="0" w:color="auto"/>
              <w:left w:val="single" w:sz="4" w:space="0" w:color="auto"/>
              <w:bottom w:val="single" w:sz="4" w:space="0" w:color="auto"/>
              <w:right w:val="single" w:sz="4" w:space="0" w:color="auto"/>
            </w:tcBorders>
          </w:tcPr>
          <w:p w14:paraId="00101057" w14:textId="001010D1">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1059" w14:textId="001010D2">
            <w:pPr>
              <w:pStyle w:val="Normal"/>
              <w:jc w:val="left"/>
            </w:pPr>
            <w:r>
              <w:t xml:space="preserve"/>
            </w:r>
          </w:p>
        </w:tc>
      </w:tr>
      <w:tr>
        <w:tc>
          <w:tcPr>
            <w:vAlign w:val="center"/>
            <w:tcBorders>
              <w:top w:val="single" w:sz="4" w:space="0" w:color="auto"/>
              <w:left w:val="single" w:sz="4" w:space="0" w:color="auto"/>
              <w:bottom w:val="single" w:sz="4" w:space="0" w:color="auto"/>
              <w:right w:val="single" w:sz="4" w:space="0" w:color="auto"/>
            </w:tcBorders>
          </w:tcPr>
          <w:p w14:paraId="0010105B" w14:textId="001010D3">
            <w:pPr>
              <w:pStyle w:val="Normal"/>
              <w:jc w:val="left"/>
            </w:pPr>
            <w:r>
              <w:t xml:space="preserve">Proceeds from borrowings</w:t>
            </w:r>
          </w:p>
        </w:tc>
        <w:tc>
          <w:tcPr>
            <w:vAlign w:val="center"/>
            <w:tcBorders>
              <w:top w:val="single" w:sz="4" w:space="0" w:color="auto"/>
              <w:left w:val="single" w:sz="4" w:space="0" w:color="auto"/>
              <w:bottom w:val="single" w:sz="4" w:space="0" w:color="auto"/>
              <w:right w:val="single" w:sz="4" w:space="0" w:color="auto"/>
            </w:tcBorders>
          </w:tcPr>
          <w:p w14:paraId="0010105D" w14:textId="001010D4">
            <w:pPr>
              <w:pStyle w:val="Normal"/>
              <w:jc w:val="left"/>
            </w:pPr>
            <w:r>
              <w:t xml:space="preserve">285.0</w:t>
            </w:r>
          </w:p>
        </w:tc>
        <w:tc>
          <w:tcPr>
            <w:vAlign w:val="center"/>
            <w:tcBorders>
              <w:top w:val="single" w:sz="4" w:space="0" w:color="auto"/>
              <w:left w:val="single" w:sz="4" w:space="0" w:color="auto"/>
              <w:bottom w:val="single" w:sz="4" w:space="0" w:color="auto"/>
              <w:right w:val="single" w:sz="4" w:space="0" w:color="auto"/>
            </w:tcBorders>
          </w:tcPr>
          <w:p w14:paraId="0010105F" w14:textId="001010D5">
            <w:pPr>
              <w:pStyle w:val="Normal"/>
              <w:jc w:val="left"/>
            </w:pPr>
            <w:r>
              <w:t xml:space="preserve">240.0</w:t>
            </w:r>
          </w:p>
        </w:tc>
      </w:tr>
      <w:tr>
        <w:tc>
          <w:tcPr>
            <w:vAlign w:val="center"/>
            <w:tcBorders>
              <w:top w:val="single" w:sz="4" w:space="0" w:color="auto"/>
              <w:left w:val="single" w:sz="4" w:space="0" w:color="auto"/>
              <w:bottom w:val="single" w:sz="4" w:space="0" w:color="auto"/>
              <w:right w:val="single" w:sz="4" w:space="0" w:color="auto"/>
            </w:tcBorders>
          </w:tcPr>
          <w:p w14:paraId="00101061" w14:textId="001010D6">
            <w:pPr>
              <w:pStyle w:val="Normal"/>
              <w:jc w:val="left"/>
            </w:pPr>
            <w:r>
              <w:t xml:space="preserve">Repayment of borrowings</w:t>
            </w:r>
          </w:p>
        </w:tc>
        <w:tc>
          <w:tcPr>
            <w:vAlign w:val="center"/>
            <w:tcBorders>
              <w:top w:val="single" w:sz="4" w:space="0" w:color="auto"/>
              <w:left w:val="single" w:sz="4" w:space="0" w:color="auto"/>
              <w:bottom w:val="single" w:sz="4" w:space="0" w:color="auto"/>
              <w:right w:val="single" w:sz="4" w:space="0" w:color="auto"/>
            </w:tcBorders>
          </w:tcPr>
          <w:p w14:paraId="00101063" w14:textId="001010D7">
            <w:pPr>
              <w:pStyle w:val="Normal"/>
              <w:jc w:val="left"/>
            </w:pPr>
            <w:r>
              <w:t xml:space="preserve">(198.4)</w:t>
            </w:r>
          </w:p>
        </w:tc>
        <w:tc>
          <w:tcPr>
            <w:vAlign w:val="center"/>
            <w:tcBorders>
              <w:top w:val="single" w:sz="4" w:space="0" w:color="auto"/>
              <w:left w:val="single" w:sz="4" w:space="0" w:color="auto"/>
              <w:bottom w:val="single" w:sz="4" w:space="0" w:color="auto"/>
              <w:right w:val="single" w:sz="4" w:space="0" w:color="auto"/>
            </w:tcBorders>
          </w:tcPr>
          <w:p w14:paraId="00101065" w14:textId="001010D8">
            <w:pPr>
              <w:pStyle w:val="Normal"/>
              <w:jc w:val="left"/>
            </w:pPr>
            <w:r>
              <w:t xml:space="preserve">(176.5)</w:t>
            </w:r>
          </w:p>
        </w:tc>
      </w:tr>
      <w:tr>
        <w:tc>
          <w:tcPr>
            <w:vAlign w:val="center"/>
            <w:tcBorders>
              <w:top w:val="single" w:sz="4" w:space="0" w:color="auto"/>
              <w:left w:val="single" w:sz="4" w:space="0" w:color="auto"/>
              <w:bottom w:val="single" w:sz="4" w:space="0" w:color="auto"/>
              <w:right w:val="single" w:sz="4" w:space="0" w:color="auto"/>
            </w:tcBorders>
          </w:tcPr>
          <w:p w14:paraId="00101067" w14:textId="001010D9">
            <w:pPr>
              <w:pStyle w:val="Normal"/>
              <w:jc w:val="left"/>
            </w:pPr>
            <w:r>
              <w:t xml:space="preserve">Lease principal payments</w:t>
            </w:r>
          </w:p>
        </w:tc>
        <w:tc>
          <w:tcPr>
            <w:vAlign w:val="center"/>
            <w:tcBorders>
              <w:top w:val="single" w:sz="4" w:space="0" w:color="auto"/>
              <w:left w:val="single" w:sz="4" w:space="0" w:color="auto"/>
              <w:bottom w:val="single" w:sz="4" w:space="0" w:color="auto"/>
              <w:right w:val="single" w:sz="4" w:space="0" w:color="auto"/>
            </w:tcBorders>
          </w:tcPr>
          <w:p w14:paraId="00101069" w14:textId="001010DA">
            <w:pPr>
              <w:pStyle w:val="Normal"/>
              <w:jc w:val="left"/>
            </w:pPr>
            <w:r>
              <w:t xml:space="preserve">(36.7)</w:t>
            </w:r>
          </w:p>
        </w:tc>
        <w:tc>
          <w:tcPr>
            <w:vAlign w:val="center"/>
            <w:tcBorders>
              <w:top w:val="single" w:sz="4" w:space="0" w:color="auto"/>
              <w:left w:val="single" w:sz="4" w:space="0" w:color="auto"/>
              <w:bottom w:val="single" w:sz="4" w:space="0" w:color="auto"/>
              <w:right w:val="single" w:sz="4" w:space="0" w:color="auto"/>
            </w:tcBorders>
          </w:tcPr>
          <w:p w14:paraId="0010106B" w14:textId="001010DB">
            <w:pPr>
              <w:pStyle w:val="Normal"/>
              <w:jc w:val="left"/>
            </w:pPr>
            <w:r>
              <w:t xml:space="preserve">(33.2)</w:t>
            </w:r>
          </w:p>
        </w:tc>
      </w:tr>
      <w:tr>
        <w:tc>
          <w:tcPr>
            <w:vAlign w:val="center"/>
            <w:tcBorders>
              <w:top w:val="single" w:sz="4" w:space="0" w:color="auto"/>
              <w:left w:val="single" w:sz="4" w:space="0" w:color="auto"/>
              <w:bottom w:val="single" w:sz="4" w:space="0" w:color="auto"/>
              <w:right w:val="single" w:sz="4" w:space="0" w:color="auto"/>
            </w:tcBorders>
          </w:tcPr>
          <w:p w14:paraId="0010106D" w14:textId="001010DC">
            <w:pPr>
              <w:pStyle w:val="Normal"/>
              <w:jc w:val="left"/>
            </w:pPr>
            <w:r>
              <w:t xml:space="preserve">Interest paid</w:t>
            </w:r>
          </w:p>
        </w:tc>
        <w:tc>
          <w:tcPr>
            <w:vAlign w:val="center"/>
            <w:tcBorders>
              <w:top w:val="single" w:sz="4" w:space="0" w:color="auto"/>
              <w:left w:val="single" w:sz="4" w:space="0" w:color="auto"/>
              <w:bottom w:val="single" w:sz="4" w:space="0" w:color="auto"/>
              <w:right w:val="single" w:sz="4" w:space="0" w:color="auto"/>
            </w:tcBorders>
          </w:tcPr>
          <w:p w14:paraId="0010106F" w14:textId="001010DD">
            <w:pPr>
              <w:pStyle w:val="Normal"/>
              <w:jc w:val="left"/>
            </w:pPr>
            <w:r>
              <w:t xml:space="preserve">(44.1)</w:t>
            </w:r>
          </w:p>
        </w:tc>
        <w:tc>
          <w:tcPr>
            <w:vAlign w:val="center"/>
            <w:tcBorders>
              <w:top w:val="single" w:sz="4" w:space="0" w:color="auto"/>
              <w:left w:val="single" w:sz="4" w:space="0" w:color="auto"/>
              <w:bottom w:val="single" w:sz="4" w:space="0" w:color="auto"/>
              <w:right w:val="single" w:sz="4" w:space="0" w:color="auto"/>
            </w:tcBorders>
          </w:tcPr>
          <w:p w14:paraId="00101071" w14:textId="001010DE">
            <w:pPr>
              <w:pStyle w:val="Normal"/>
              <w:jc w:val="left"/>
            </w:pPr>
            <w:r>
              <w:t xml:space="preserve">(40.3)</w:t>
            </w:r>
          </w:p>
        </w:tc>
      </w:tr>
      <w:tr>
        <w:tc>
          <w:tcPr>
            <w:vAlign w:val="center"/>
            <w:tcBorders>
              <w:top w:val="single" w:sz="4" w:space="0" w:color="auto"/>
              <w:left w:val="single" w:sz="4" w:space="0" w:color="auto"/>
              <w:bottom w:val="single" w:sz="4" w:space="0" w:color="auto"/>
              <w:right w:val="single" w:sz="4" w:space="0" w:color="auto"/>
            </w:tcBorders>
          </w:tcPr>
          <w:p w14:paraId="00101073" w14:textId="001010DF">
            <w:pPr>
              <w:pStyle w:val="Normal"/>
              <w:jc w:val="left"/>
            </w:pPr>
            <w:r>
              <w:t xml:space="preserve">Dividends paid to shareholders</w:t>
            </w:r>
          </w:p>
        </w:tc>
        <w:tc>
          <w:tcPr>
            <w:vAlign w:val="center"/>
            <w:tcBorders>
              <w:top w:val="single" w:sz="4" w:space="0" w:color="auto"/>
              <w:left w:val="single" w:sz="4" w:space="0" w:color="auto"/>
              <w:bottom w:val="single" w:sz="4" w:space="0" w:color="auto"/>
              <w:right w:val="single" w:sz="4" w:space="0" w:color="auto"/>
            </w:tcBorders>
          </w:tcPr>
          <w:p w14:paraId="00101075" w14:textId="001010E0">
            <w:pPr>
              <w:pStyle w:val="Normal"/>
              <w:jc w:val="left"/>
            </w:pPr>
            <w:r>
              <w:t xml:space="preserve">(96.5)</w:t>
            </w:r>
          </w:p>
        </w:tc>
        <w:tc>
          <w:tcPr>
            <w:vAlign w:val="center"/>
            <w:tcBorders>
              <w:top w:val="single" w:sz="4" w:space="0" w:color="auto"/>
              <w:left w:val="single" w:sz="4" w:space="0" w:color="auto"/>
              <w:bottom w:val="single" w:sz="4" w:space="0" w:color="auto"/>
              <w:right w:val="single" w:sz="4" w:space="0" w:color="auto"/>
            </w:tcBorders>
          </w:tcPr>
          <w:p w14:paraId="00101077" w14:textId="001010E1">
            <w:pPr>
              <w:pStyle w:val="Normal"/>
              <w:jc w:val="left"/>
            </w:pPr>
            <w:r>
              <w:t xml:space="preserve">(88.0)</w:t>
            </w:r>
          </w:p>
        </w:tc>
      </w:tr>
      <w:tr>
        <w:tc>
          <w:tcPr>
            <w:vAlign w:val="center"/>
            <w:tcBorders>
              <w:top w:val="single" w:sz="4" w:space="0" w:color="auto"/>
              <w:left w:val="single" w:sz="4" w:space="0" w:color="auto"/>
              <w:bottom w:val="single" w:sz="4" w:space="0" w:color="auto"/>
              <w:right w:val="single" w:sz="4" w:space="0" w:color="auto"/>
            </w:tcBorders>
          </w:tcPr>
          <w:p w14:paraId="00101079" w14:textId="001010E2">
            <w:pPr>
              <w:pStyle w:val="Normal"/>
              <w:jc w:val="left"/>
            </w:pPr>
            <w:r>
              <w:t xml:space="preserve">Dividends paid to non-controlling interests</w:t>
            </w:r>
          </w:p>
        </w:tc>
        <w:tc>
          <w:tcPr>
            <w:vAlign w:val="center"/>
            <w:tcBorders>
              <w:top w:val="single" w:sz="4" w:space="0" w:color="auto"/>
              <w:left w:val="single" w:sz="4" w:space="0" w:color="auto"/>
              <w:bottom w:val="single" w:sz="4" w:space="0" w:color="auto"/>
              <w:right w:val="single" w:sz="4" w:space="0" w:color="auto"/>
            </w:tcBorders>
          </w:tcPr>
          <w:p w14:paraId="0010107B" w14:textId="001010E3">
            <w:pPr>
              <w:pStyle w:val="Normal"/>
              <w:jc w:val="left"/>
            </w:pPr>
            <w:r>
              <w:t xml:space="preserve">(12.4)</w:t>
            </w:r>
          </w:p>
        </w:tc>
        <w:tc>
          <w:tcPr>
            <w:vAlign w:val="center"/>
            <w:tcBorders>
              <w:top w:val="single" w:sz="4" w:space="0" w:color="auto"/>
              <w:left w:val="single" w:sz="4" w:space="0" w:color="auto"/>
              <w:bottom w:val="single" w:sz="4" w:space="0" w:color="auto"/>
              <w:right w:val="single" w:sz="4" w:space="0" w:color="auto"/>
            </w:tcBorders>
          </w:tcPr>
          <w:p w14:paraId="0010107D" w14:textId="001010E4">
            <w:pPr>
              <w:pStyle w:val="Normal"/>
              <w:jc w:val="left"/>
            </w:pPr>
            <w:r>
              <w:t xml:space="preserve">(10.7)</w:t>
            </w:r>
          </w:p>
        </w:tc>
      </w:tr>
      <w:tr>
        <w:tc>
          <w:tcPr>
            <w:vAlign w:val="center"/>
            <w:tcBorders>
              <w:top w:val="single" w:sz="4" w:space="0" w:color="auto"/>
              <w:left w:val="single" w:sz="4" w:space="0" w:color="auto"/>
              <w:bottom w:val="single" w:sz="4" w:space="0" w:color="auto"/>
              <w:right w:val="single" w:sz="4" w:space="0" w:color="auto"/>
            </w:tcBorders>
          </w:tcPr>
          <w:p w14:paraId="0010107F" w14:textId="001010E5">
            <w:pPr>
              <w:pStyle w:val="Normal"/>
              <w:jc w:val="left"/>
            </w:pPr>
            <w:r>
              <w:t xml:space="preserve">Net cash used in financing activities</w:t>
            </w:r>
          </w:p>
        </w:tc>
        <w:tc>
          <w:tcPr>
            <w:vAlign w:val="center"/>
            <w:tcBorders>
              <w:top w:val="single" w:sz="4" w:space="0" w:color="auto"/>
              <w:left w:val="single" w:sz="4" w:space="0" w:color="auto"/>
              <w:bottom w:val="single" w:sz="4" w:space="0" w:color="auto"/>
              <w:right w:val="single" w:sz="4" w:space="0" w:color="auto"/>
            </w:tcBorders>
          </w:tcPr>
          <w:p w14:paraId="00101081" w14:textId="001010E6">
            <w:pPr>
              <w:pStyle w:val="Normal"/>
              <w:jc w:val="left"/>
            </w:pPr>
            <w:r>
              <w:t xml:space="preserve">(103.1)</w:t>
            </w:r>
          </w:p>
        </w:tc>
        <w:tc>
          <w:tcPr>
            <w:vAlign w:val="center"/>
            <w:tcBorders>
              <w:top w:val="single" w:sz="4" w:space="0" w:color="auto"/>
              <w:left w:val="single" w:sz="4" w:space="0" w:color="auto"/>
              <w:bottom w:val="single" w:sz="4" w:space="0" w:color="auto"/>
              <w:right w:val="single" w:sz="4" w:space="0" w:color="auto"/>
            </w:tcBorders>
          </w:tcPr>
          <w:p w14:paraId="00101083" w14:textId="001010E7">
            <w:pPr>
              <w:pStyle w:val="Normal"/>
              <w:jc w:val="left"/>
            </w:pPr>
            <w:r>
              <w:t xml:space="preserve">(108.7)</w:t>
            </w:r>
          </w:p>
        </w:tc>
      </w:tr>
      <w:tr>
        <w:tc>
          <w:tcPr>
            <w:vAlign w:val="center"/>
            <w:tcBorders>
              <w:top w:val="single" w:sz="4" w:space="0" w:color="auto"/>
              <w:left w:val="single" w:sz="4" w:space="0" w:color="auto"/>
              <w:bottom w:val="single" w:sz="4" w:space="0" w:color="auto"/>
              <w:right w:val="single" w:sz="4" w:space="0" w:color="auto"/>
            </w:tcBorders>
          </w:tcPr>
          <w:p w14:paraId="00101085" w14:textId="001010E8">
            <w:pPr>
              <w:pStyle w:val="Normal"/>
              <w:jc w:val="left"/>
            </w:pPr>
            <w:r>
              <w:t xml:space="preserve">Net increase in cash and cash equivalents</w:t>
            </w:r>
          </w:p>
        </w:tc>
        <w:tc>
          <w:tcPr>
            <w:vAlign w:val="center"/>
            <w:tcBorders>
              <w:top w:val="single" w:sz="4" w:space="0" w:color="auto"/>
              <w:left w:val="single" w:sz="4" w:space="0" w:color="auto"/>
              <w:bottom w:val="single" w:sz="4" w:space="0" w:color="auto"/>
              <w:right w:val="single" w:sz="4" w:space="0" w:color="auto"/>
            </w:tcBorders>
          </w:tcPr>
          <w:p w14:paraId="00101087" w14:textId="001010E9">
            <w:pPr>
              <w:pStyle w:val="Normal"/>
              <w:jc w:val="left"/>
            </w:pPr>
            <w:r>
              <w:t xml:space="preserve">157.8</w:t>
            </w:r>
          </w:p>
        </w:tc>
        <w:tc>
          <w:tcPr>
            <w:vAlign w:val="center"/>
            <w:tcBorders>
              <w:top w:val="single" w:sz="4" w:space="0" w:color="auto"/>
              <w:left w:val="single" w:sz="4" w:space="0" w:color="auto"/>
              <w:bottom w:val="single" w:sz="4" w:space="0" w:color="auto"/>
              <w:right w:val="single" w:sz="4" w:space="0" w:color="auto"/>
            </w:tcBorders>
          </w:tcPr>
          <w:p w14:paraId="00101089" w14:textId="001010EA">
            <w:pPr>
              <w:pStyle w:val="Normal"/>
              <w:jc w:val="left"/>
            </w:pPr>
            <w:r>
              <w:t xml:space="preserve">156.0</w:t>
            </w:r>
          </w:p>
        </w:tc>
      </w:tr>
      <w:tr>
        <w:tc>
          <w:tcPr>
            <w:vAlign w:val="center"/>
            <w:tcBorders>
              <w:top w:val="single" w:sz="4" w:space="0" w:color="auto"/>
              <w:left w:val="single" w:sz="4" w:space="0" w:color="auto"/>
              <w:bottom w:val="single" w:sz="4" w:space="0" w:color="auto"/>
              <w:right w:val="single" w:sz="4" w:space="0" w:color="auto"/>
            </w:tcBorders>
          </w:tcPr>
          <w:p w14:paraId="0010108B" w14:textId="001010EB">
            <w:pPr>
              <w:pStyle w:val="Normal"/>
              <w:jc w:val="left"/>
            </w:pPr>
            <w:r>
              <w:t xml:space="preserve">Cash and cash equivalents at beginning of year</w:t>
            </w:r>
          </w:p>
        </w:tc>
        <w:tc>
          <w:tcPr>
            <w:vAlign w:val="center"/>
            <w:tcBorders>
              <w:top w:val="single" w:sz="4" w:space="0" w:color="auto"/>
              <w:left w:val="single" w:sz="4" w:space="0" w:color="auto"/>
              <w:bottom w:val="single" w:sz="4" w:space="0" w:color="auto"/>
              <w:right w:val="single" w:sz="4" w:space="0" w:color="auto"/>
            </w:tcBorders>
          </w:tcPr>
          <w:p w14:paraId="0010108D" w14:textId="001010EC">
            <w:pPr>
              <w:pStyle w:val="Normal"/>
              <w:jc w:val="left"/>
            </w:pPr>
            <w:r>
              <w:t xml:space="preserve">418.2</w:t>
            </w:r>
          </w:p>
        </w:tc>
        <w:tc>
          <w:tcPr>
            <w:vAlign w:val="center"/>
            <w:tcBorders>
              <w:top w:val="single" w:sz="4" w:space="0" w:color="auto"/>
              <w:left w:val="single" w:sz="4" w:space="0" w:color="auto"/>
              <w:bottom w:val="single" w:sz="4" w:space="0" w:color="auto"/>
              <w:right w:val="single" w:sz="4" w:space="0" w:color="auto"/>
            </w:tcBorders>
          </w:tcPr>
          <w:p w14:paraId="0010108F" w14:textId="001010ED">
            <w:pPr>
              <w:pStyle w:val="Normal"/>
              <w:jc w:val="left"/>
            </w:pPr>
            <w:r>
              <w:t xml:space="preserve">252.6</w:t>
            </w:r>
          </w:p>
        </w:tc>
      </w:tr>
      <w:tr>
        <w:tc>
          <w:tcPr>
            <w:vAlign w:val="center"/>
            <w:tcBorders>
              <w:top w:val="single" w:sz="4" w:space="0" w:color="auto"/>
              <w:left w:val="single" w:sz="4" w:space="0" w:color="auto"/>
              <w:bottom w:val="single" w:sz="4" w:space="0" w:color="auto"/>
              <w:right w:val="single" w:sz="4" w:space="0" w:color="auto"/>
            </w:tcBorders>
          </w:tcPr>
          <w:p w14:paraId="00101091" w14:textId="001010EE">
            <w:pPr>
              <w:pStyle w:val="Normal"/>
              <w:jc w:val="left"/>
            </w:pPr>
            <w:r>
              <w:t xml:space="preserve">Effect of exchange rate changes</w:t>
            </w:r>
          </w:p>
        </w:tc>
        <w:tc>
          <w:tcPr>
            <w:vAlign w:val="center"/>
            <w:tcBorders>
              <w:top w:val="single" w:sz="4" w:space="0" w:color="auto"/>
              <w:left w:val="single" w:sz="4" w:space="0" w:color="auto"/>
              <w:bottom w:val="single" w:sz="4" w:space="0" w:color="auto"/>
              <w:right w:val="single" w:sz="4" w:space="0" w:color="auto"/>
            </w:tcBorders>
          </w:tcPr>
          <w:p w14:paraId="00101093" w14:textId="001010EF">
            <w:pPr>
              <w:pStyle w:val="Normal"/>
              <w:jc w:val="left"/>
            </w:pPr>
            <w:r>
              <w:t xml:space="preserve">(9.4)</w:t>
            </w:r>
          </w:p>
        </w:tc>
        <w:tc>
          <w:tcPr>
            <w:vAlign w:val="center"/>
            <w:tcBorders>
              <w:top w:val="single" w:sz="4" w:space="0" w:color="auto"/>
              <w:left w:val="single" w:sz="4" w:space="0" w:color="auto"/>
              <w:bottom w:val="single" w:sz="4" w:space="0" w:color="auto"/>
              <w:right w:val="single" w:sz="4" w:space="0" w:color="auto"/>
            </w:tcBorders>
          </w:tcPr>
          <w:p w14:paraId="00101095" w14:textId="001010F0">
            <w:pPr>
              <w:pStyle w:val="Normal"/>
              <w:jc w:val="left"/>
            </w:pPr>
            <w:r>
              <w:t xml:space="preserve">9.6</w:t>
            </w:r>
          </w:p>
        </w:tc>
      </w:tr>
      <w:tr>
        <w:tc>
          <w:tcPr>
            <w:vAlign w:val="center"/>
            <w:tcBorders>
              <w:top w:val="single" w:sz="4" w:space="0" w:color="auto"/>
              <w:left w:val="single" w:sz="4" w:space="0" w:color="auto"/>
              <w:bottom w:val="single" w:sz="4" w:space="0" w:color="auto"/>
              <w:right w:val="single" w:sz="4" w:space="0" w:color="auto"/>
            </w:tcBorders>
          </w:tcPr>
          <w:p w14:paraId="00101097" w14:textId="001010F1">
            <w:pPr>
              <w:pStyle w:val="Normal"/>
              <w:jc w:val="left"/>
            </w:pPr>
            <w:r>
              <w:t xml:space="preserve">Cash and cash equivalents at end of year</w:t>
            </w:r>
          </w:p>
        </w:tc>
        <w:tc>
          <w:tcPr>
            <w:vAlign w:val="center"/>
            <w:tcBorders>
              <w:top w:val="single" w:sz="4" w:space="0" w:color="auto"/>
              <w:left w:val="single" w:sz="4" w:space="0" w:color="auto"/>
              <w:bottom w:val="single" w:sz="4" w:space="0" w:color="auto"/>
              <w:right w:val="single" w:sz="4" w:space="0" w:color="auto"/>
            </w:tcBorders>
          </w:tcPr>
          <w:p w14:paraId="00101099" w14:textId="001010F2">
            <w:pPr>
              <w:pStyle w:val="Normal"/>
              <w:jc w:val="left"/>
            </w:pPr>
            <w:r>
              <w:t xml:space="preserve">566.6</w:t>
            </w:r>
          </w:p>
        </w:tc>
        <w:tc>
          <w:tcPr>
            <w:vAlign w:val="center"/>
            <w:tcBorders>
              <w:top w:val="single" w:sz="4" w:space="0" w:color="auto"/>
              <w:left w:val="single" w:sz="4" w:space="0" w:color="auto"/>
              <w:bottom w:val="single" w:sz="4" w:space="0" w:color="auto"/>
              <w:right w:val="single" w:sz="4" w:space="0" w:color="auto"/>
            </w:tcBorders>
          </w:tcPr>
          <w:p w14:paraId="0010109B" w14:textId="001010F3">
            <w:pPr>
              <w:pStyle w:val="Normal"/>
              <w:jc w:val="left"/>
            </w:pPr>
            <w:r>
              <w:t xml:space="preserve">418.2</w:t>
            </w:r>
          </w:p>
        </w:tc>
      </w:tr>
    </w:tbl>
    <w:p w14:paraId="001010F4" w14:textId="001010F5">
      <w:pPr>
        <w:pStyle w:val="Normal"/>
        <w:jc w:val="left"/>
      </w:pPr>
      <w:r>
        <w:t xml:space="preserve">Table 18 Consolidated cash flow statement by activity</w:t>
      </w:r>
    </w:p>
    <w:p w14:paraId="001010F6" w14:textId="001010F7">
      <w:pPr>
        <w:pStyle w:val="Heading3a"/>
        <w:jc w:val="left"/>
      </w:pPr>
      <w:r>
        <w:t xml:space="preserve">Financing Movements</w:t>
      </w:r>
    </w:p>
    <w:p w14:paraId="001010F8" w14:textId="001010F9">
      <w:pPr>
        <w:pStyle w:val="Normal"/>
        <w:jc w:val="left"/>
      </w:pPr>
      <w:r>
        <w:t xml:space="preserve">Financing cash flows in the year reflected a balanced but disciplined funding profile. Rivermark Group drew USD 285.0 million of borrowings, primarily to refinance maturing facilities, support selective capacity investments, and preserve liquidity headroom during periods of uneven regional demand. These inflows were partly offset by USD 198.4 million of debt repayments as the Group continued to reduce short-dated obligations and maintain a staggered maturity profile. Interest paid of USD 44.1 million remained aligned with the higher average debt base and prevailing interest rates, while management continued to favor fixed-rate coverage and committed facilities in core banking lines.</w:t>
      </w:r>
    </w:p>
    <w:p w14:paraId="001010FA" w14:textId="001010FB">
      <w:pPr>
        <w:pStyle w:val="Normal"/>
        <w:jc w:val="left"/>
      </w:pPr>
      <w:r>
        <w:t xml:space="preserve">Other financing outflows were driven by shareholder returns and lease commitments. Dividends paid to shareholders totaled USD 96.5 million, with a further USD 12.4 million distributed to non-controlling interests in partially owned subsidiaries. Lease principal payments of USD 36.7 million mainly related to property, vehicle and equipment contracts supporting operating sites and service networks across the Infrastructure, Industrial and Consumer segments. Taken together, financing activities resulted in a net cash outflow of USD 103.1 million, broadly consistent with the Group's policy of funding investment needs while preserving prudent leverage. The pattern of flows indicates that internally generated operating cash remained the primary source of funding, with external financing used selectively rather than as a substitute for cash generation.</w:t>
      </w:r>
    </w:p>
    <w:p w14:paraId="001010FC" w14:textId="001010FD">
      <w:pPr>
        <w:pStyle w:val="Normal"/>
        <w:jc w:val="left"/>
      </w:pPr>
      <w:r>
        <w:t xml:space="preserve">Debt-related cash movements comprised both new drawings and scheduled repayments. The increase in borrowings was not associated with a material change in funding strategy; rather, it reflected timing differences between refinancing actions, capital expenditure phasing, and acquisition settlement dates. Repayments were directed toward term loans and revolving balances reaching contractual milestones during the year. Management monitors these flows against leverage, interest cover and covenant headroom to ensure that financing activity remains compatible with the Group's medium-term return and resilience objectives.</w:t>
      </w:r>
    </w:p>
    <w:p w14:paraId="001010FE" w14:textId="001010FF">
      <w:pPr>
        <w:pStyle w:val="Normal"/>
        <w:jc w:val="left"/>
      </w:pPr>
      <w:r>
        <w:t xml:space="preserve">Dividend cash flows continued to represent a meaningful but controlled use of capital. The ordinary dividend paid in the year was calibrated to earnings, cash conversion and investment requirements, while payments to non-controlling interests reflected distribution arrangements in segment subsidiaries where local partners retain minority holdings. Lease-related cash outflows remained an embedded feature of the operating model rather than an exceptional item. These payments support warehouses, branch offices, technology equipment, transport assets and certain production facilities. In aggregate, debt service, dividends and lease payments demonstrate the Group's capital allocation sequence: maintain funding capacity, honor shareholder commitments, and meet contractual lease obligations without compromising liquidity available for operations and targeted growth initiatives.</w:t>
      </w:r>
    </w:p>
    <w:p w14:paraId="0010167F" w14:textId="00101680">
      <w:pPr>
        <w:pStyle w:val="Normal"/>
        <w:jc w:val="left"/>
        <w:sectPr>
          <w:type w:val="nextPage"/>
          <w:pgSz w:w="11906" w:h="16838"/>
          <w:pgMar w:top="1440" w:right="1440" w:bottom="1440" w:left="1440" w:header="1440" w:footer="1440" w:gutter="0"/>
          <w:cols w:space="720" w:num="1"/>
        </w:sectPr>
      </w:pPr>
    </w:p>
    <w:p w14:paraId="00101104" w14:textId="00101105">
      <w:pPr>
        <w:pStyle w:val="Heading1a"/>
        <w:jc w:val="left"/>
      </w:pPr>
      <w:r>
        <w:t xml:space="preserve">Notes to Financials</w:t>
      </w:r>
    </w:p>
    <w:p w14:paraId="00101106" w14:textId="00101107">
      <w:pPr>
        <w:pStyle w:val="Normal"/>
        <w:jc w:val="left"/>
      </w:pPr>
      <w:r>
        <w:t xml:space="preserve">These notes form an integral part of the consolidated financial statements of Rivermark Group and should be read together with the primary statements and the operating review. They explain the accounting policies applied by management, the judgments used in preparing reported balances and results, and the schedules that support the line items presented in the statements of performance, position, equity, and cash flow. The note sequence follows the way management reviews the business: reporting basis first, then operating notes, followed by capital, funding, tax, and equity matters.</w:t>
      </w:r>
    </w:p>
    <w:p w14:paraId="00101108" w14:textId="00101109">
      <w:pPr>
        <w:pStyle w:val="Normal"/>
        <w:jc w:val="left"/>
      </w:pPr>
      <w:r>
        <w:t xml:space="preserve">The disclosures are designed to give users a clear bridge from headline reported numbers to the underlying transactions, estimates, and risks that shaped the year’s results. Where relevant, comparative information for the prior year is included on a consistent basis, unless a change in presentation, scope, or policy requires restatement or separate explanation. Amounts are presented in Rivermark Group’s reporting currency and rounded as indicated in the detailed notes. Narrative disclosures accompany the schedules where management believes further context is necessary to understand year-on-year movement, classification decisions, or areas of estimation uncertainty.</w:t>
      </w:r>
    </w:p>
    <w:p w14:paraId="0010110A" w14:textId="0010110B">
      <w:pPr>
        <w:pStyle w:val="Heading2a"/>
        <w:jc w:val="left"/>
      </w:pPr>
      <w:r>
        <w:t xml:space="preserve">Reporting Basis</w:t>
      </w:r>
    </w:p>
    <w:p w14:paraId="0010110C" w14:textId="0010110D">
      <w:pPr>
        <w:pStyle w:val="Normal"/>
        <w:jc w:val="left"/>
      </w:pPr>
      <w:r>
        <w:t xml:space="preserve">The Reporting Basis section describes the principles used to prepare Rivermark Group’s consolidated financial statements and the boundaries within which those principles have been applied. It sets out the underlying measurement approaches, the basis of consolidation, the treatment of significant transactions, and the areas where management judgment had the greatest effect on reported outcomes. This foundation is important because many balances in the statements depend not only on recorded transactions, but also on assumptions about timing, recoverability, control, useful lives, expected credit losses, and future cash generation.</w:t>
      </w:r>
    </w:p>
    <w:p w14:paraId="0010110E" w14:textId="0010110F">
      <w:pPr>
        <w:pStyle w:val="Normal"/>
        <w:jc w:val="left"/>
      </w:pPr>
      <w:r>
        <w:t xml:space="preserve">In preparing the current-year accounts, management applied accounting policies consistently across the Group’s Infrastructure, Industrial, Consumer, and Digital Services segments, while also assessing whether changes in facts and circumstances required updated estimates or revised presentation. Judgments were particularly relevant in defining cash-generating units, evaluating indicators of impairment, determining lease terms, assessing revenue recognition patterns for longer-duration contracts and service arrangements, and establishing provisions where timing or amount remained uncertain. The disclosures in this section therefore serve both as a technical basis for the numbers and as a practical guide to the assumptions that most influence comparability, transparency, and informed reading of the financial statements.</w:t>
      </w:r>
    </w:p>
    <w:p w14:paraId="00101110" w14:textId="00101111">
      <w:pPr>
        <w:pStyle w:val="Heading3a"/>
        <w:jc w:val="left"/>
      </w:pPr>
      <w:r>
        <w:t xml:space="preserve">Accounting Policies</w:t>
      </w:r>
    </w:p>
    <w:p w14:paraId="00101112" w14:textId="00101114">
      <w:pPr>
        <w:pStyle w:val="Normal"/>
        <w:jc w:val="left"/>
      </w:pPr>
      <w:r>
        <w:t xml:space="preserve">Accounting policy framework:</w:t>
      </w:r>
      <w:r>
        <w:t xml:space="preserve"> The consolidated financial statements have been prepared for Rivermark Group and its controlled subsidiaries using policies intended to provide relevance, consistency, and faithful representation of the Group’s financial position, performance, and cash flows. The policies adopted reflect the nature of the Group’s operations across infrastructure services, industrial activities, consumer channels, and digital service platforms, and are applied consistently to similar transactions unless a specific standard requires a different treatment.</w:t>
        <w:br/>
        <w:t xml:space="preserve">The accounting framework covers recognition, measurement, presentation, and disclosure for the principal classes of assets, liabilities, income, and expenses. Policies are selected with reference to the substance of transactions rather than legal form alone, particularly in areas such as revenue arrangements, leases, provisions, business combinations, and financial instruments. Management reviews the policy set annually to confirm that it remains appropriate for the Group’s current business model, reporting structure, and significant sources of estimation uncertainty. Where the application of a policy requires judgment, the corresponding assumptions and sensitivities are disclosed in the relevant note so that users can better assess the effect on reported amounts.</w:t>
      </w:r>
    </w:p>
    <w:p w14:paraId="00101115" w14:textId="00101116">
      <w:pPr>
        <w:pStyle w:val="Normal"/>
        <w:jc w:val="left"/>
      </w:pPr>
      <w:r>
        <w:t xml:space="preserve">During the year, Rivermark Group did not make any fundamental change to the overall accounting basis of the consolidated financial statements, but policy application was refined in selected areas to reflect business developments, improved internal data quality, and the maturing of certain operating processes. These refinements primarily affected the level of disaggregation in supporting disclosures, the alignment of segment note presentation with internal management reporting, and the consistency of judgments used across acquired or newly integrated operations.</w:t>
      </w:r>
    </w:p>
    <w:p w14:paraId="00101117" w14:textId="00101118">
      <w:pPr>
        <w:pStyle w:val="Normal"/>
        <w:jc w:val="left"/>
      </w:pPr>
      <w:r>
        <w:t xml:space="preserve">Where management updated the application of an existing policy, the objective was to improve clarity and comparability rather than to alter the economic substance of reported results. If a presentation change had a material effect on comparatives, prior-period information was reclassified to conform to the current-year format, with no impact on previously reported profit, total equity, or net cash flow unless specifically stated. Management also reassessed significant estimates at the reporting date in light of market conditions, inflationary pressures, contract execution patterns, and digital service usage trends. Such reassessments represent changes in estimate where appropriate and are recognized prospectively in accordance with the applicable standards.</w:t>
      </w:r>
    </w:p>
    <w:p w14:paraId="00101119" w14:textId="0010111A">
      <w:pPr>
        <w:pStyle w:val="Heading4a"/>
        <w:jc w:val="left"/>
      </w:pPr>
      <w:r>
        <w:t xml:space="preserve">Measurement Bases</w:t>
      </w:r>
    </w:p>
    <w:p w14:paraId="0010111B" w14:textId="0010111C">
      <w:pPr>
        <w:pStyle w:val="Normal"/>
        <w:jc w:val="left"/>
      </w:pPr>
      <w:r>
        <w:t xml:space="preserve">The Group uses a mixed-measurement model that combines historical cost with selected fair value and present value techniques where required by the nature of the item being measured. Most property, plant and equipment, right-of-use assets, inventories, and many operating liabilities are recorded initially at cost and subsequently measured under cost-based models, subject to depreciation, amortization, impairment, or reassessment where relevant. By contrast, derivative instruments, certain financial assets, contingent consideration, and particular acquisition-related balances may be measured at fair value either on initial recognition or at each reporting date.</w:t>
      </w:r>
    </w:p>
    <w:p w14:paraId="0010111D" w14:textId="0010111E">
      <w:pPr>
        <w:pStyle w:val="Normal"/>
        <w:jc w:val="left"/>
      </w:pPr>
      <w:r>
        <w:t xml:space="preserve">The choice of measurement basis is linked to how the underlying asset or obligation generates economic value and how management monitors performance. Cost-based measures are generally used where assets are consumed in operations over time and where verifiable transaction pricing provides a stable basis for allocation. Fair value or discounted cash flow approaches are used where current market assumptions, expected settlement amounts, or timing of future cash flows are integral to the balance. In all cases, Rivermark Group seeks to apply measurement methods consistently across comparable items, supported by internal controls over source data, model governance, and review by finance leadership.</w:t>
      </w:r>
    </w:p>
    <w:p w14:paraId="0010111F" w14:textId="00101120">
      <w:pPr>
        <w:pStyle w:val="Heading5"/>
        <w:jc w:val="left"/>
      </w:pPr>
      <w:r>
        <w:t xml:space="preserve">General Bases</w:t>
      </w:r>
    </w:p>
    <w:p w14:paraId="00101121" w14:textId="00101122">
      <w:pPr>
        <w:pStyle w:val="Normal"/>
        <w:jc w:val="left"/>
      </w:pPr>
      <w:r>
        <w:t xml:space="preserve">The consolidated financial statements are prepared on a going concern basis and generally under the historical cost convention, except for items that applicable standards require to be measured on another basis. Revenue is recognized when control of goods or services transfers to the customer in an amount that reflects the consideration the Group expects to receive. Expenses are recognized in the period in which the related economic benefits are consumed or obligations are incurred. Assets and liabilities are classified between current and non-current categories based on expected realization or settlement within twelve months after the reporting date, unless a longer operating cycle is more relevant to the business concerned.</w:t>
      </w:r>
    </w:p>
    <w:p w14:paraId="00101123" w14:textId="00101124">
      <w:pPr>
        <w:pStyle w:val="Normal"/>
        <w:jc w:val="left"/>
      </w:pPr>
      <w:r>
        <w:t xml:space="preserve">Balances are recognized when it is probable that future economic benefits will flow to or from the Group and when the item can be measured reliably. Offsetting is applied only where a legal right of set-off exists and management intends to settle on a net basis or simultaneously. Subsidiaries are consolidated from the date control is obtained until the date control ceases, and intercompany balances, transactions, income, and expenses are eliminated on consolidation. Foreign currency transactions are translated using exchange rates at the transaction date or appropriate approximations, while monetary balances are retranslated at closing rates, with resulting differences recognized in accordance with the nature of the underlying item.</w:t>
      </w:r>
    </w:p>
    <w:p w14:paraId="00101125" w14:textId="00101126">
      <w:pPr>
        <w:pStyle w:val="Normal"/>
        <w:jc w:val="left"/>
      </w:pPr>
      <w:r>
        <w:t xml:space="preserve">The notes have been prepared using the accounting standards, interpretations, and presentation principles adopted by Rivermark Group for the current reporting year. These standards govern both recognition in the primary statements and the supporting disclosures contained in the notes, including revenue disaggregation, segment reporting, impairment assessment, lease accounting, expected credit loss measurement, provision recognition, and the presentation of tax and equity movements. Management applies the standards in a way that reflects the Group’s specific contractual arrangements and operating structures while maintaining comparability across reporting periods.</w:t>
      </w:r>
    </w:p>
    <w:p w14:paraId="00101127" w14:textId="00101128">
      <w:pPr>
        <w:pStyle w:val="Normal"/>
        <w:jc w:val="left"/>
      </w:pPr>
      <w:r>
        <w:t xml:space="preserve">In areas where the standards permit judgment or alternative presentation approaches, Rivermark Group adopts methods that best align with internal decision-making and the informational needs of shareholders, lenders, and other users of the annual report. The detailed note disclosures therefore combine mandatory requirements with entity-specific explanation, particularly where a standard requires significant estimates, sensitivity to assumptions, or reconciliation from opening to closing balances. This approach is intended to ensure that the financial statements remain technically compliant while also being understandable in the context of the Group’s business model and annual performance.</w:t>
      </w:r>
    </w:p>
    <w:p w14:paraId="00101129" w14:textId="0010112A">
      <w:pPr>
        <w:pStyle w:val="Heading5"/>
        <w:jc w:val="left"/>
      </w:pPr>
      <w:r>
        <w:t xml:space="preserve">Critical Estimates</w:t>
      </w:r>
    </w:p>
    <w:p w14:paraId="0010112B" w14:textId="0010112C">
      <w:pPr>
        <w:pStyle w:val="Normal"/>
        <w:jc w:val="left"/>
      </w:pPr>
      <w:r>
        <w:t xml:space="preserve">The preparation of the consolidated financial statements requires management to apply judgments and estimates that affect the reported amounts of assets, liabilities, income and expenses, as well as related disclosures. These estimates are based on historical experience, current operating plans, external market information and assumptions that management believes are reasonable at the reporting date. Because actual outcomes may differ from these assumptions, Rivermark Group reviews significant estimates on an ongoing basis and updates them when facts and circumstances change.</w:t>
      </w:r>
    </w:p>
    <w:p w14:paraId="0010112D" w14:textId="0010112E">
      <w:pPr>
        <w:pStyle w:val="Normal"/>
        <w:jc w:val="left"/>
      </w:pPr>
      <w:r>
        <w:t xml:space="preserve">The areas involving the most significant judgment include the identification of cash-generating units for impairment testing, the assessment of control for consolidation purposes, the determination of whether revenue is recognized over time or at a point in time, and the evaluation of expected credit losses on trade receivables and contract assets. Significant judgment is also applied in determining the lease term for property and equipment arrangements that include extension or termination options, and in assessing whether provisions should be recognized for restructuring, legal matters or onerous contracts.</w:t>
      </w:r>
    </w:p>
    <w:p w14:paraId="0010112F" w14:textId="00101130">
      <w:pPr>
        <w:pStyle w:val="Normal"/>
        <w:jc w:val="left"/>
      </w:pPr>
      <w:r>
        <w:t xml:space="preserve">Management believes that the estimates used are supportable and internally consistent with the Group’s approved budgets and strategic plans. Even so, these judgments remain inherently sensitive to market demand, inflation, discount rates, customer payment behavior and the pace of operational execution.</w:t>
      </w:r>
    </w:p>
    <w:p w14:paraId="00101131" w14:textId="00101132">
      <w:pPr>
        <w:pStyle w:val="Normal"/>
        <w:jc w:val="left"/>
      </w:pPr>
      <w:r>
        <w:t xml:space="preserve">The estimates most sensitive to changes in assumptions relate primarily to impairment testing, deferred tax recognition, useful lives of non-current assets, inventory valuation and long-term contract measurement. For goodwill and indefinite-life intangibles, recoverable amounts are determined using discounted cash flow models that incorporate assumptions on revenue growth, operating margins, terminal growth and weighted average cost of capital. A relatively small movement in discount rates or medium-term margin expectations can reduce headroom in cash-generating units serving cyclical industrial and consumer-facing markets.</w:t>
      </w:r>
    </w:p>
    <w:p w14:paraId="00101133" w14:textId="00101134">
      <w:pPr>
        <w:pStyle w:val="Normal"/>
        <w:jc w:val="left"/>
      </w:pPr>
      <w:r>
        <w:t xml:space="preserve">Deferred tax assets are recognized only to the extent that future taxable profits are considered probable. This assessment depends on forecast earnings by jurisdiction, the reversal profile of temporary differences and the availability of tax planning actions. Inventory provisions are similarly judgmental, particularly where product turnover slows, specifications change or input cost inflation alters the relationship between cost and net realizable value.</w:t>
      </w:r>
    </w:p>
    <w:p w14:paraId="00101135" w14:textId="00101136">
      <w:pPr>
        <w:pStyle w:val="Normal"/>
        <w:jc w:val="left"/>
      </w:pPr>
      <w:r>
        <w:t xml:space="preserve">In addition, the measurement of contract assets, warranty provisions and restructuring liabilities requires assumptions about completion status, claim experience, remediation cost and execution timing. Where relevant, Rivermark Group performs scenario analysis and compares prior-year estimates with actual outcomes to refine future assumptions. These review procedures do not eliminate estimation uncertainty, but they provide a disciplined basis for measuring its likely financial effect.</w:t>
      </w:r>
    </w:p>
    <w:p w14:paraId="00101137" w14:textId="00101138">
      <w:pPr>
        <w:pStyle w:val="Heading4a"/>
        <w:jc w:val="left"/>
      </w:pPr>
      <w:r>
        <w:t xml:space="preserve">New Pronouncements</w:t>
      </w:r>
    </w:p>
    <w:p w14:paraId="00101139" w14:textId="0010113A">
      <w:pPr>
        <w:pStyle w:val="Normal"/>
        <w:jc w:val="left"/>
      </w:pPr>
      <w:r>
        <w:t xml:space="preserve">Pronouncements effective in the current reporting year were assessed at the beginning of the annual cycle and adopted from the mandatory effective date where applicable to Rivermark Group’s transactions and reporting arrangements.</w:t>
      </w:r>
    </w:p>
    <w:p w14:paraId="0010113B" w14:textId="0010113C">
      <w:pPr>
        <w:pStyle w:val="Normal"/>
        <w:jc w:val="left"/>
      </w:pPr>
      <w:r>
        <w:t xml:space="preserve">Interpretations and amendments with limited relevance to the Group’s fact pattern were reviewed formally, documented in the accounting change register and either applied without material effect or noted as not expected to affect recognition and measurement materially.</w:t>
      </w:r>
    </w:p>
    <w:p w14:paraId="0010113D" w14:textId="0010113E">
      <w:pPr>
        <w:pStyle w:val="Normal"/>
        <w:jc w:val="left"/>
      </w:pPr>
      <w:r>
        <w:t xml:space="preserve">Standards not yet effective at the reporting date were evaluated through a staged process covering technical review, gap assessment, system and data implications, draft accounting position papers and implementation timing by business segment.</w:t>
      </w:r>
    </w:p>
    <w:p w14:paraId="0010113F" w14:textId="00101140">
      <w:pPr>
        <w:pStyle w:val="Normal"/>
        <w:jc w:val="left"/>
      </w:pPr>
      <w:r>
        <w:t xml:space="preserve">Where a future requirement may affect disclosures, classifications or data granularity, management has begun preparatory work before the mandatory adoption date so that comparative information, controls and reporting templates can be updated on a timely basis.</w:t>
      </w:r>
    </w:p>
    <w:p w14:paraId="00101141" w14:textId="00101142">
      <w:pPr>
        <w:pStyle w:val="Normal"/>
        <w:jc w:val="left"/>
      </w:pPr>
      <w:r>
        <w:t xml:space="preserve">The Audit Committee receives periodic updates on significant accounting developments, including implementation status, judgments made in transition planning and any areas where the Group expects changes to policy elections, note presentation or process design.</w:t>
      </w:r>
    </w:p>
    <w:p w14:paraId="00101143" w14:textId="00101144">
      <w:pPr>
        <w:pStyle w:val="Normal"/>
        <w:jc w:val="left"/>
      </w:pPr>
      <w:r>
        <w:t xml:space="preserve">Changes in accounting standards do not affect Rivermark Group uniformly. Some pronouncements alter only terminology or disclosure layout, while others require additional data capture, revised contract analysis or broader coordination across finance, tax, treasury, commercial and operational teams. For that reason, the Group evaluates each standard not only for technical compliance but also for its effect on reporting systems, internal controls and management information used in decision-making.</w:t>
      </w:r>
    </w:p>
    <w:p w14:paraId="00101145" w14:textId="00101146">
      <w:pPr>
        <w:pStyle w:val="Normal"/>
        <w:jc w:val="left"/>
      </w:pPr>
      <w:r>
        <w:t xml:space="preserve">The practical implications often arise in three areas. First, classification and presentation changes may require prior-period balances to be regrouped so that trends remain comparable. Second, new measurement rules can affect the timing of profit recognition, impairment charges, lease liabilities or tax balances even when underlying cash flows are unchanged. Third, expanded disclosure requirements may increase the level of segmentation, maturity analysis or sensitivity information expected in the notes.</w:t>
      </w:r>
    </w:p>
    <w:p w14:paraId="00101147" w14:textId="00101148">
      <w:pPr>
        <w:pStyle w:val="Normal"/>
        <w:jc w:val="left"/>
      </w:pPr>
      <w:r>
        <w:t xml:space="preserve">Management’s implementation approach is intended to avoid late-stage adjustments. Early impact assessments are prepared centrally, validated with segment finance teams and supported by targeted process updates where underlying source data are affected. This approach helps ensure that standard changes are reflected consistently across the Group and that stakeholders can understand whether the effect is substantive, presentational or immaterial in the context of the year’s reported results.</w:t>
      </w:r>
    </w:p>
    <w:p w14:paraId="00101149" w14:textId="0010114A">
      <w:pPr>
        <w:pStyle w:val="Heading5"/>
        <w:jc w:val="left"/>
      </w:pPr>
      <w:r>
        <w:t xml:space="preserve">Adopted This Year</w:t>
      </w:r>
    </w:p>
    <w:p w14:paraId="0010114B" w14:textId="0010114C">
      <w:pPr>
        <w:pStyle w:val="Normal"/>
        <w:jc w:val="left"/>
      </w:pPr>
      <w:r>
        <w:t xml:space="preserve">During the current year, Rivermark Group adopted the accounting pronouncements and amendments that became mandatorily effective for the annual reporting period. The newly effective requirements mainly related to narrow-scope amendments affecting disclosure wording, policy clarification and the application of existing recognition principles rather than the introduction of a new primary accounting model. The Group completed its assessment before the start of the reporting cycle and updated internal accounting manuals, reporting instructions and selected note templates accordingly.</w:t>
      </w:r>
    </w:p>
    <w:p w14:paraId="0010114D" w14:textId="0010114E">
      <w:pPr>
        <w:pStyle w:val="Normal"/>
        <w:jc w:val="left"/>
      </w:pPr>
      <w:r>
        <w:t xml:space="preserve">For the majority of the adopted items, the impact on the consolidated financial statements was not material. There was no fundamental change to the basis on which the Group recognizes revenue, measures borrowings, capitalizes leases or consolidates subsidiaries. However, certain note disclosures were refined to improve consistency between segment reporting, critical judgment descriptions and liquidity-related explanations. In a limited number of areas, line-item descriptions were updated to align terminology used in the standards with terminology used in the Group’s external reporting.</w:t>
      </w:r>
    </w:p>
    <w:p w14:paraId="0010114F" w14:textId="00101150">
      <w:pPr>
        <w:pStyle w:val="Normal"/>
        <w:jc w:val="left"/>
      </w:pPr>
      <w:r>
        <w:t xml:space="preserve">Where transition provisions permitted prospective application, the Group applied the amendments from the effective date without restating comparative periods unless restatement was specifically required or considered necessary for clarity. Management does not believe that the standards adopted this year altered the underlying performance trends of the business; their main effect was to reinforce policy consistency and disclosure transparency.</w:t>
      </w:r>
    </w:p>
    <w:p w14:paraId="00101151" w14:textId="00101152">
      <w:pPr>
        <w:pStyle w:val="Normal"/>
        <w:jc w:val="left"/>
      </w:pPr>
      <w:r>
        <w:t xml:space="preserve">The current-year adoptions did not materially change the measurement of the Group’s major classes of assets and liabilities. Property, plant and equipment, right-of-use assets, inventories, trade receivables, borrowings and lease obligations continued to be measured on bases consistent with prior periods, subject to the normal year-end review procedures described elsewhere in these notes. Likewise, revenue recognition patterns across the Infrastructure, Industrial, Consumer and Digital Services segments remained aligned with the underlying transfer of goods or services to customers.</w:t>
      </w:r>
    </w:p>
    <w:p w14:paraId="00101153" w14:textId="00101154">
      <w:pPr>
        <w:pStyle w:val="Normal"/>
        <w:jc w:val="left"/>
      </w:pPr>
      <w:r>
        <w:t xml:space="preserve">The more visible effect of adoption was in presentation. Certain note captions were refined, and some disclosures were regrouped so that policy wording, estimation narratives and quantitative schedules correspond more clearly to the risks and balances discussed in the operating review. Comparative figures were retained on a consistent basis except where a more informative presentation was adopted and the change did not affect totals, subtotals or earnings per share.</w:t>
      </w:r>
    </w:p>
    <w:p w14:paraId="00101155" w14:textId="00101156">
      <w:pPr>
        <w:pStyle w:val="Normal"/>
        <w:jc w:val="left"/>
      </w:pPr>
      <w:r>
        <w:t xml:space="preserve">Rivermark Group also used the annual adoption cycle to strengthen controls around accounting change governance. Technical conclusions were documented, reviewed through the Group finance function and reported to the Audit Committee. This process is intended to ensure that even where an accounting change has little immediate numeric effect, its consequences for interpretation, comparability and disclosure completeness are considered before the financial statements are finalized.</w:t>
      </w:r>
    </w:p>
    <w:p w14:paraId="00101157" w14:textId="00101158">
      <w:pPr>
        <w:pStyle w:val="Heading5"/>
        <w:jc w:val="left"/>
      </w:pPr>
      <w:r>
        <w:t xml:space="preserve">Future Changes</w:t>
      </w:r>
    </w:p>
    <w:p w14:paraId="00101159" w14:textId="0010115A">
      <w:pPr>
        <w:pStyle w:val="Normal"/>
        <w:jc w:val="left"/>
      </w:pPr>
      <w:r>
        <w:t xml:space="preserve">At the reporting date, a number of standards, amendments and interpretations had been issued but were not yet effective for the current annual period. Rivermark Group has not early adopted these requirements unless specifically stated elsewhere in the notes. Each pending change is being reviewed to determine whether it will affect accounting policies, data requirements, judgments, disclosure format or transitional comparatives.</w:t>
      </w:r>
    </w:p>
    <w:p w14:paraId="0010115B" w14:textId="0010115C">
      <w:pPr>
        <w:pStyle w:val="Normal"/>
        <w:jc w:val="left"/>
      </w:pPr>
      <w:r>
        <w:t xml:space="preserve">The Group’s review process distinguishes between pronouncements expected to have no more than a limited disclosure impact and those that could affect recognition, classification or the level at which financial information must be disaggregated. This assessment is performed centrally and then tested with the relevant operating segments, particularly where contractual structures, financing arrangements, technology service models or jurisdiction-specific tax positions may create implementation complexity.</w:t>
      </w:r>
    </w:p>
    <w:p w14:paraId="0010115D" w14:textId="0010115E">
      <w:pPr>
        <w:pStyle w:val="Normal"/>
        <w:jc w:val="left"/>
      </w:pPr>
      <w:r>
        <w:t xml:space="preserve">Based on the work completed to date, management expects most future changes to be manageable within existing reporting frameworks. Even so, final impacts may depend on transaction volumes, business mix and facts in place at the effective date. Accordingly, implementation plans remain subject to refinement as guidance develops, system changes are completed and the Group finalizes its technical interpretation of each requirement.</w:t>
      </w:r>
    </w:p>
    <w:p w14:paraId="0010115F" w14:textId="00101160">
      <w:pPr>
        <w:pStyle w:val="Normal"/>
        <w:jc w:val="left"/>
      </w:pPr>
      <w:r>
        <w:t xml:space="preserve">The principal future impacts, if any, are expected to arise in note disclosure depth, classification judgments and the need for more granular supporting data rather than in a broad restatement of the Group’s financial position or operating result. For example, standards that expand maturity, liquidity, supplier financing, tax or sustainability-linked financing disclosures may require additional reconciliation schedules and narrative explanations even when measurement bases remain unchanged. In operationally diverse groups such as Rivermark Group, this can increase the amount of information collected from business units at period end.</w:t>
      </w:r>
    </w:p>
    <w:p w14:paraId="00101161" w14:textId="00101162">
      <w:pPr>
        <w:pStyle w:val="Normal"/>
        <w:jc w:val="left"/>
      </w:pPr>
      <w:r>
        <w:t xml:space="preserve">Where future pronouncements touch recognition or measurement, the most likely areas of sensitivity are contract assessments, lease-related judgments, financing presentation and tax accounting. The final effect will depend on the form of contracts in force, the timing of renewals, the structure of treasury instruments and the availability of verified data to support any new disclosure or measurement requirement. As a result, management is focusing not only on technical accounting analysis but also on control design, source-system readiness and the quality of underlying documentation.</w:t>
      </w:r>
    </w:p>
    <w:p w14:paraId="00101163" w14:textId="00101164">
      <w:pPr>
        <w:pStyle w:val="Normal"/>
        <w:jc w:val="left"/>
      </w:pPr>
      <w:r>
        <w:t xml:space="preserve">At this stage, Rivermark Group does not expect any pending standard to create a material adverse effect on compliance with debt covenants, dividend capacity or the presentation of segment performance. Updated impact assessments will continue to be performed before each effective date, and any material implementation effect will be disclosed in the period in which the assessment becomes sufficiently certain.</w:t>
      </w:r>
    </w:p>
    <w:p w14:paraId="00101165" w14:textId="00101166">
      <w:pPr>
        <w:pStyle w:val="Heading3a"/>
        <w:jc w:val="left"/>
      </w:pPr>
      <w:r>
        <w:t xml:space="preserve">Scope and Segments</w:t>
      </w:r>
    </w:p>
    <w:p w14:paraId="00101167" w14:textId="00101168">
      <w:pPr>
        <w:pStyle w:val="Normal"/>
        <w:jc w:val="left"/>
      </w:pPr>
      <w:r>
        <w:t xml:space="preserve">These notes explain the basis on which Rivermark Group determines the entities included in the consolidated financial statements and the way operating segments are presented for management and external reporting purposes. The consolidation scope covers Rivermark Group plc and those subsidiaries over which the Group has control at 31 December 2025, together with the results of entities acquired or disposed of during the year from the date control was obtained or until the date control ceased. The reporting perimeter therefore reflects legal ownership, contractual rights, governance arrangements and the practical ability to direct relevant activities and obtain variable returns.</w:t>
      </w:r>
    </w:p>
    <w:p w14:paraId="00101169" w14:textId="0010116A">
      <w:pPr>
        <w:pStyle w:val="Normal"/>
        <w:jc w:val="left"/>
      </w:pPr>
      <w:r>
        <w:t xml:space="preserve">For segment reporting, management continues to organize the business around four reportable segments: Infrastructure, Industrial, Consumer and Digital Services. These segments represent the components reviewed regularly by the Chief Operating Decision Maker when allocating capital, setting performance objectives and assessing returns. Segment disclosures are prepared on the same basis used in internal management reporting, with intersegment trading eliminated on consolidation and corporate items presented separately where they are not directly attributable to segment operations. Changes in the reporting scope during the year were limited and did not alter the identity of the reportable segments, although selected legal entities were integrated, merged or wound down to simplify the operating structure and align the legal perimeter with the underlying business model.</w:t>
      </w:r>
    </w:p>
    <w:p w14:paraId="0010116B" w14:textId="0010116C">
      <w:pPr>
        <w:pStyle w:val="Normal"/>
        <w:jc w:val="left"/>
      </w:pPr>
      <w:r>
        <w:t xml:space="preserve">Table 14 Scope of consolidation and reportable segment schedule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16D" w14:textId="001011C7">
            <w:pPr>
              <w:pStyle w:val="Normal"/>
              <w:jc w:val="left"/>
            </w:pPr>
            <w:r>
              <w:t xml:space="preserve">Entity / group</w:t>
            </w:r>
          </w:p>
        </w:tc>
        <w:tc>
          <w:tcPr>
            <w:vAlign w:val="center"/>
            <w:tcBorders>
              <w:top w:val="single" w:sz="4" w:space="0" w:color="auto"/>
              <w:left w:val="single" w:sz="4" w:space="0" w:color="auto"/>
              <w:bottom w:val="single" w:sz="4" w:space="0" w:color="auto"/>
              <w:right w:val="single" w:sz="4" w:space="0" w:color="auto"/>
            </w:tcBorders>
          </w:tcPr>
          <w:p w14:paraId="0010116F" w14:textId="001011C8">
            <w:pPr>
              <w:pStyle w:val="Normal"/>
              <w:jc w:val="left"/>
            </w:pPr>
            <w:r>
              <w:t xml:space="preserve">Primary activity</w:t>
            </w:r>
          </w:p>
        </w:tc>
        <w:tc>
          <w:tcPr>
            <w:vAlign w:val="center"/>
            <w:tcBorders>
              <w:top w:val="single" w:sz="4" w:space="0" w:color="auto"/>
              <w:left w:val="single" w:sz="4" w:space="0" w:color="auto"/>
              <w:bottom w:val="single" w:sz="4" w:space="0" w:color="auto"/>
              <w:right w:val="single" w:sz="4" w:space="0" w:color="auto"/>
            </w:tcBorders>
          </w:tcPr>
          <w:p w14:paraId="00101171" w14:textId="001011C9">
            <w:pPr>
              <w:pStyle w:val="Normal"/>
              <w:jc w:val="left"/>
            </w:pPr>
            <w:r>
              <w:t xml:space="preserve">Status in 2025</w:t>
            </w:r>
          </w:p>
        </w:tc>
        <w:tc>
          <w:tcPr>
            <w:vAlign w:val="center"/>
            <w:tcBorders>
              <w:top w:val="single" w:sz="4" w:space="0" w:color="auto"/>
              <w:left w:val="single" w:sz="4" w:space="0" w:color="auto"/>
              <w:bottom w:val="single" w:sz="4" w:space="0" w:color="auto"/>
              <w:right w:val="single" w:sz="4" w:space="0" w:color="auto"/>
            </w:tcBorders>
          </w:tcPr>
          <w:p w14:paraId="00101173" w14:textId="001011CA">
            <w:pPr>
              <w:pStyle w:val="Normal"/>
              <w:jc w:val="left"/>
            </w:pPr>
            <w:r>
              <w:t xml:space="preserve">Included from / to</w:t>
            </w:r>
          </w:p>
        </w:tc>
        <w:tc>
          <w:tcPr>
            <w:vAlign w:val="center"/>
            <w:tcBorders>
              <w:top w:val="single" w:sz="4" w:space="0" w:color="auto"/>
              <w:left w:val="single" w:sz="4" w:space="0" w:color="auto"/>
              <w:bottom w:val="single" w:sz="4" w:space="0" w:color="auto"/>
              <w:right w:val="single" w:sz="4" w:space="0" w:color="auto"/>
            </w:tcBorders>
          </w:tcPr>
          <w:p w14:paraId="00101175" w14:textId="001011CB">
            <w:pPr>
              <w:pStyle w:val="Normal"/>
              <w:jc w:val="left"/>
            </w:pPr>
            <w:r>
              <w:t xml:space="preserve">Reportable segment</w:t>
            </w:r>
          </w:p>
        </w:tc>
      </w:tr>
      <w:tr>
        <w:tc>
          <w:tcPr>
            <w:vAlign w:val="top"/>
            <w:tcBorders>
              <w:top w:val="single" w:sz="4" w:space="0" w:color="auto"/>
              <w:left w:val="single" w:sz="4" w:space="0" w:color="auto"/>
              <w:bottom w:val="single" w:sz="4" w:space="0" w:color="auto"/>
              <w:right w:val="single" w:sz="4" w:space="0" w:color="auto"/>
            </w:tcBorders>
          </w:tcPr>
          <w:p w14:paraId="00101177" w14:textId="001011CC">
            <w:pPr>
              <w:pStyle w:val="Normal"/>
              <w:jc w:val="left"/>
            </w:pPr>
            <w:r>
              <w:t xml:space="preserve">Rivermark Group plc</w:t>
            </w:r>
          </w:p>
        </w:tc>
        <w:tc>
          <w:tcPr>
            <w:vAlign w:val="center"/>
            <w:tcBorders>
              <w:top w:val="single" w:sz="4" w:space="0" w:color="auto"/>
              <w:left w:val="single" w:sz="4" w:space="0" w:color="auto"/>
              <w:bottom w:val="single" w:sz="4" w:space="0" w:color="auto"/>
              <w:right w:val="single" w:sz="4" w:space="0" w:color="auto"/>
            </w:tcBorders>
          </w:tcPr>
          <w:p w14:paraId="00101179" w14:textId="001011CD">
            <w:pPr>
              <w:pStyle w:val="Normal"/>
              <w:jc w:val="left"/>
            </w:pPr>
            <w:r>
              <w:t xml:space="preserve">Holding and capital allocation</w:t>
            </w:r>
          </w:p>
        </w:tc>
        <w:tc>
          <w:tcPr>
            <w:vAlign w:val="center"/>
            <w:tcBorders>
              <w:top w:val="single" w:sz="4" w:space="0" w:color="auto"/>
              <w:left w:val="single" w:sz="4" w:space="0" w:color="auto"/>
              <w:bottom w:val="single" w:sz="4" w:space="0" w:color="auto"/>
              <w:right w:val="single" w:sz="4" w:space="0" w:color="auto"/>
            </w:tcBorders>
          </w:tcPr>
          <w:p w14:paraId="0010117B" w14:textId="001011CE">
            <w:pPr>
              <w:pStyle w:val="Normal"/>
              <w:jc w:val="left"/>
            </w:pPr>
            <w:r>
              <w:t xml:space="preserve">Parent company</w:t>
            </w:r>
          </w:p>
        </w:tc>
        <w:tc>
          <w:tcPr>
            <w:vAlign w:val="center"/>
            <w:tcBorders>
              <w:top w:val="single" w:sz="4" w:space="0" w:color="auto"/>
              <w:left w:val="single" w:sz="4" w:space="0" w:color="auto"/>
              <w:bottom w:val="single" w:sz="4" w:space="0" w:color="auto"/>
              <w:right w:val="single" w:sz="4" w:space="0" w:color="auto"/>
            </w:tcBorders>
          </w:tcPr>
          <w:p w14:paraId="0010117D" w14:textId="001011CF">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7F" w14:textId="001011D0">
            <w:pPr>
              <w:pStyle w:val="Normal"/>
              <w:jc w:val="left"/>
            </w:pPr>
            <w:r>
              <w:t xml:space="preserve">Corporate</w:t>
            </w:r>
          </w:p>
        </w:tc>
      </w:tr>
      <w:tr>
        <w:tc>
          <w:tcPr>
            <w:vAlign w:val="top"/>
            <w:tcBorders>
              <w:top w:val="single" w:sz="4" w:space="0" w:color="auto"/>
              <w:left w:val="single" w:sz="4" w:space="0" w:color="auto"/>
              <w:bottom w:val="single" w:sz="4" w:space="0" w:color="auto"/>
              <w:right w:val="single" w:sz="4" w:space="0" w:color="auto"/>
            </w:tcBorders>
          </w:tcPr>
          <w:p w14:paraId="00101181" w14:textId="001011D1">
            <w:pPr>
              <w:pStyle w:val="Normal"/>
              <w:jc w:val="left"/>
            </w:pPr>
            <w:r>
              <w:t xml:space="preserve">Rivermark Infrastructure Holdings Ltd.</w:t>
            </w:r>
          </w:p>
        </w:tc>
        <w:tc>
          <w:tcPr>
            <w:vAlign w:val="center"/>
            <w:tcBorders>
              <w:top w:val="single" w:sz="4" w:space="0" w:color="auto"/>
              <w:left w:val="single" w:sz="4" w:space="0" w:color="auto"/>
              <w:bottom w:val="single" w:sz="4" w:space="0" w:color="auto"/>
              <w:right w:val="single" w:sz="4" w:space="0" w:color="auto"/>
            </w:tcBorders>
          </w:tcPr>
          <w:p w14:paraId="00101183" w14:textId="001011D2">
            <w:pPr>
              <w:pStyle w:val="Normal"/>
              <w:jc w:val="left"/>
            </w:pPr>
            <w:r>
              <w:t xml:space="preserve">Network services and project delivery</w:t>
            </w:r>
          </w:p>
        </w:tc>
        <w:tc>
          <w:tcPr>
            <w:vAlign w:val="center"/>
            <w:tcBorders>
              <w:top w:val="single" w:sz="4" w:space="0" w:color="auto"/>
              <w:left w:val="single" w:sz="4" w:space="0" w:color="auto"/>
              <w:bottom w:val="single" w:sz="4" w:space="0" w:color="auto"/>
              <w:right w:val="single" w:sz="4" w:space="0" w:color="auto"/>
            </w:tcBorders>
          </w:tcPr>
          <w:p w14:paraId="00101185" w14:textId="001011D3">
            <w:pPr>
              <w:pStyle w:val="Normal"/>
              <w:jc w:val="left"/>
            </w:pPr>
            <w:r>
              <w:t xml:space="preserve">Consolidated subsidiary</w:t>
            </w:r>
          </w:p>
        </w:tc>
        <w:tc>
          <w:tcPr>
            <w:vAlign w:val="center"/>
            <w:tcBorders>
              <w:top w:val="single" w:sz="4" w:space="0" w:color="auto"/>
              <w:left w:val="single" w:sz="4" w:space="0" w:color="auto"/>
              <w:bottom w:val="single" w:sz="4" w:space="0" w:color="auto"/>
              <w:right w:val="single" w:sz="4" w:space="0" w:color="auto"/>
            </w:tcBorders>
          </w:tcPr>
          <w:p w14:paraId="00101187" w14:textId="001011D4">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89" w14:textId="001011D5">
            <w:pPr>
              <w:pStyle w:val="Normal"/>
              <w:jc w:val="left"/>
            </w:pPr>
            <w:r>
              <w:t xml:space="preserve">Infrastructure</w:t>
            </w:r>
          </w:p>
        </w:tc>
      </w:tr>
      <w:tr>
        <w:tc>
          <w:tcPr>
            <w:vAlign w:val="top"/>
            <w:tcBorders>
              <w:top w:val="single" w:sz="4" w:space="0" w:color="auto"/>
              <w:left w:val="single" w:sz="4" w:space="0" w:color="auto"/>
              <w:bottom w:val="single" w:sz="4" w:space="0" w:color="auto"/>
              <w:right w:val="single" w:sz="4" w:space="0" w:color="auto"/>
            </w:tcBorders>
          </w:tcPr>
          <w:p w14:paraId="0010118B" w14:textId="001011D6">
            <w:pPr>
              <w:pStyle w:val="Normal"/>
              <w:jc w:val="left"/>
            </w:pPr>
            <w:r>
              <w:t xml:space="preserve">Rivermark Industrial Systems Ltd.</w:t>
            </w:r>
          </w:p>
        </w:tc>
        <w:tc>
          <w:tcPr>
            <w:vAlign w:val="center"/>
            <w:tcBorders>
              <w:top w:val="single" w:sz="4" w:space="0" w:color="auto"/>
              <w:left w:val="single" w:sz="4" w:space="0" w:color="auto"/>
              <w:bottom w:val="single" w:sz="4" w:space="0" w:color="auto"/>
              <w:right w:val="single" w:sz="4" w:space="0" w:color="auto"/>
            </w:tcBorders>
          </w:tcPr>
          <w:p w14:paraId="0010118D" w14:textId="001011D7">
            <w:pPr>
              <w:pStyle w:val="Normal"/>
              <w:jc w:val="left"/>
            </w:pPr>
            <w:r>
              <w:t xml:space="preserve">Industrial products and engineered solutions</w:t>
            </w:r>
          </w:p>
        </w:tc>
        <w:tc>
          <w:tcPr>
            <w:vAlign w:val="center"/>
            <w:tcBorders>
              <w:top w:val="single" w:sz="4" w:space="0" w:color="auto"/>
              <w:left w:val="single" w:sz="4" w:space="0" w:color="auto"/>
              <w:bottom w:val="single" w:sz="4" w:space="0" w:color="auto"/>
              <w:right w:val="single" w:sz="4" w:space="0" w:color="auto"/>
            </w:tcBorders>
          </w:tcPr>
          <w:p w14:paraId="0010118F" w14:textId="001011D8">
            <w:pPr>
              <w:pStyle w:val="Normal"/>
              <w:jc w:val="left"/>
            </w:pPr>
            <w:r>
              <w:t xml:space="preserve">Consolidated subsidiary</w:t>
            </w:r>
          </w:p>
        </w:tc>
        <w:tc>
          <w:tcPr>
            <w:vAlign w:val="center"/>
            <w:tcBorders>
              <w:top w:val="single" w:sz="4" w:space="0" w:color="auto"/>
              <w:left w:val="single" w:sz="4" w:space="0" w:color="auto"/>
              <w:bottom w:val="single" w:sz="4" w:space="0" w:color="auto"/>
              <w:right w:val="single" w:sz="4" w:space="0" w:color="auto"/>
            </w:tcBorders>
          </w:tcPr>
          <w:p w14:paraId="00101191" w14:textId="001011D9">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93" w14:textId="001011DA">
            <w:pPr>
              <w:pStyle w:val="Normal"/>
              <w:jc w:val="left"/>
            </w:pPr>
            <w:r>
              <w:t xml:space="preserve">Industrial</w:t>
            </w:r>
          </w:p>
        </w:tc>
      </w:tr>
      <w:tr>
        <w:tc>
          <w:tcPr>
            <w:vAlign w:val="top"/>
            <w:tcBorders>
              <w:top w:val="single" w:sz="4" w:space="0" w:color="auto"/>
              <w:left w:val="single" w:sz="4" w:space="0" w:color="auto"/>
              <w:bottom w:val="single" w:sz="4" w:space="0" w:color="auto"/>
              <w:right w:val="single" w:sz="4" w:space="0" w:color="auto"/>
            </w:tcBorders>
          </w:tcPr>
          <w:p w14:paraId="00101195" w14:textId="001011DB">
            <w:pPr>
              <w:pStyle w:val="Normal"/>
              <w:jc w:val="left"/>
            </w:pPr>
            <w:r>
              <w:t xml:space="preserve">Rivermark Consumer Brands Ltd.</w:t>
            </w:r>
          </w:p>
        </w:tc>
        <w:tc>
          <w:tcPr>
            <w:vAlign w:val="center"/>
            <w:tcBorders>
              <w:top w:val="single" w:sz="4" w:space="0" w:color="auto"/>
              <w:left w:val="single" w:sz="4" w:space="0" w:color="auto"/>
              <w:bottom w:val="single" w:sz="4" w:space="0" w:color="auto"/>
              <w:right w:val="single" w:sz="4" w:space="0" w:color="auto"/>
            </w:tcBorders>
          </w:tcPr>
          <w:p w14:paraId="00101197" w14:textId="001011DC">
            <w:pPr>
              <w:pStyle w:val="Normal"/>
              <w:jc w:val="left"/>
            </w:pPr>
            <w:r>
              <w:t xml:space="preserve">Consumer products, brand management and channel sales</w:t>
            </w:r>
          </w:p>
        </w:tc>
        <w:tc>
          <w:tcPr>
            <w:vAlign w:val="center"/>
            <w:tcBorders>
              <w:top w:val="single" w:sz="4" w:space="0" w:color="auto"/>
              <w:left w:val="single" w:sz="4" w:space="0" w:color="auto"/>
              <w:bottom w:val="single" w:sz="4" w:space="0" w:color="auto"/>
              <w:right w:val="single" w:sz="4" w:space="0" w:color="auto"/>
            </w:tcBorders>
          </w:tcPr>
          <w:p w14:paraId="00101199" w14:textId="001011DD">
            <w:pPr>
              <w:pStyle w:val="Normal"/>
              <w:jc w:val="left"/>
            </w:pPr>
            <w:r>
              <w:t xml:space="preserve">Consolidated subsidiary</w:t>
            </w:r>
          </w:p>
        </w:tc>
        <w:tc>
          <w:tcPr>
            <w:vAlign w:val="center"/>
            <w:tcBorders>
              <w:top w:val="single" w:sz="4" w:space="0" w:color="auto"/>
              <w:left w:val="single" w:sz="4" w:space="0" w:color="auto"/>
              <w:bottom w:val="single" w:sz="4" w:space="0" w:color="auto"/>
              <w:right w:val="single" w:sz="4" w:space="0" w:color="auto"/>
            </w:tcBorders>
          </w:tcPr>
          <w:p w14:paraId="0010119B" w14:textId="001011DE">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9D" w14:textId="001011DF">
            <w:pPr>
              <w:pStyle w:val="Normal"/>
              <w:jc w:val="left"/>
            </w:pPr>
            <w:r>
              <w:t xml:space="preserve">Consumer</w:t>
            </w:r>
          </w:p>
        </w:tc>
      </w:tr>
      <w:tr>
        <w:tc>
          <w:tcPr>
            <w:vAlign w:val="top"/>
            <w:tcBorders>
              <w:top w:val="single" w:sz="4" w:space="0" w:color="auto"/>
              <w:left w:val="single" w:sz="4" w:space="0" w:color="auto"/>
              <w:bottom w:val="single" w:sz="4" w:space="0" w:color="auto"/>
              <w:right w:val="single" w:sz="4" w:space="0" w:color="auto"/>
            </w:tcBorders>
          </w:tcPr>
          <w:p w14:paraId="0010119F" w14:textId="001011E0">
            <w:pPr>
              <w:pStyle w:val="Normal"/>
              <w:jc w:val="left"/>
            </w:pPr>
            <w:r>
              <w:t xml:space="preserve">Rivermark Digital Services Ltd.</w:t>
            </w:r>
          </w:p>
        </w:tc>
        <w:tc>
          <w:tcPr>
            <w:vAlign w:val="center"/>
            <w:tcBorders>
              <w:top w:val="single" w:sz="4" w:space="0" w:color="auto"/>
              <w:left w:val="single" w:sz="4" w:space="0" w:color="auto"/>
              <w:bottom w:val="single" w:sz="4" w:space="0" w:color="auto"/>
              <w:right w:val="single" w:sz="4" w:space="0" w:color="auto"/>
            </w:tcBorders>
          </w:tcPr>
          <w:p w14:paraId="001011A1" w14:textId="001011E1">
            <w:pPr>
              <w:pStyle w:val="Normal"/>
              <w:jc w:val="left"/>
            </w:pPr>
            <w:r>
              <w:t xml:space="preserve">Software platforms, analytics and support services</w:t>
            </w:r>
          </w:p>
        </w:tc>
        <w:tc>
          <w:tcPr>
            <w:vAlign w:val="center"/>
            <w:tcBorders>
              <w:top w:val="single" w:sz="4" w:space="0" w:color="auto"/>
              <w:left w:val="single" w:sz="4" w:space="0" w:color="auto"/>
              <w:bottom w:val="single" w:sz="4" w:space="0" w:color="auto"/>
              <w:right w:val="single" w:sz="4" w:space="0" w:color="auto"/>
            </w:tcBorders>
          </w:tcPr>
          <w:p w14:paraId="001011A3" w14:textId="001011E2">
            <w:pPr>
              <w:pStyle w:val="Normal"/>
              <w:jc w:val="left"/>
            </w:pPr>
            <w:r>
              <w:t xml:space="preserve">Consolidated subsidiary</w:t>
            </w:r>
          </w:p>
        </w:tc>
        <w:tc>
          <w:tcPr>
            <w:vAlign w:val="center"/>
            <w:tcBorders>
              <w:top w:val="single" w:sz="4" w:space="0" w:color="auto"/>
              <w:left w:val="single" w:sz="4" w:space="0" w:color="auto"/>
              <w:bottom w:val="single" w:sz="4" w:space="0" w:color="auto"/>
              <w:right w:val="single" w:sz="4" w:space="0" w:color="auto"/>
            </w:tcBorders>
          </w:tcPr>
          <w:p w14:paraId="001011A5" w14:textId="001011E3">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A7" w14:textId="001011E4">
            <w:pPr>
              <w:pStyle w:val="Normal"/>
              <w:jc w:val="left"/>
            </w:pPr>
            <w:r>
              <w:t xml:space="preserve">Digital Services</w:t>
            </w:r>
          </w:p>
        </w:tc>
      </w:tr>
      <w:tr>
        <w:tc>
          <w:tcPr>
            <w:vAlign w:val="top"/>
            <w:tcBorders>
              <w:top w:val="single" w:sz="4" w:space="0" w:color="auto"/>
              <w:left w:val="single" w:sz="4" w:space="0" w:color="auto"/>
              <w:bottom w:val="single" w:sz="4" w:space="0" w:color="auto"/>
              <w:right w:val="single" w:sz="4" w:space="0" w:color="auto"/>
            </w:tcBorders>
          </w:tcPr>
          <w:p w14:paraId="001011A9" w14:textId="001011E5">
            <w:pPr>
              <w:pStyle w:val="Normal"/>
              <w:jc w:val="left"/>
            </w:pPr>
            <w:r>
              <w:t xml:space="preserve">North Quay Automation Ltd.</w:t>
            </w:r>
          </w:p>
        </w:tc>
        <w:tc>
          <w:tcPr>
            <w:vAlign w:val="center"/>
            <w:tcBorders>
              <w:top w:val="single" w:sz="4" w:space="0" w:color="auto"/>
              <w:left w:val="single" w:sz="4" w:space="0" w:color="auto"/>
              <w:bottom w:val="single" w:sz="4" w:space="0" w:color="auto"/>
              <w:right w:val="single" w:sz="4" w:space="0" w:color="auto"/>
            </w:tcBorders>
          </w:tcPr>
          <w:p w14:paraId="001011AB" w14:textId="001011E6">
            <w:pPr>
              <w:pStyle w:val="Normal"/>
              <w:jc w:val="left"/>
            </w:pPr>
            <w:r>
              <w:t xml:space="preserve">Factory automation integration</w:t>
            </w:r>
          </w:p>
        </w:tc>
        <w:tc>
          <w:tcPr>
            <w:vAlign w:val="center"/>
            <w:tcBorders>
              <w:top w:val="single" w:sz="4" w:space="0" w:color="auto"/>
              <w:left w:val="single" w:sz="4" w:space="0" w:color="auto"/>
              <w:bottom w:val="single" w:sz="4" w:space="0" w:color="auto"/>
              <w:right w:val="single" w:sz="4" w:space="0" w:color="auto"/>
            </w:tcBorders>
          </w:tcPr>
          <w:p w14:paraId="001011AD" w14:textId="001011E7">
            <w:pPr>
              <w:pStyle w:val="Normal"/>
              <w:jc w:val="left"/>
            </w:pPr>
            <w:r>
              <w:t xml:space="preserve">Acquired during the year</w:t>
            </w:r>
          </w:p>
        </w:tc>
        <w:tc>
          <w:tcPr>
            <w:vAlign w:val="center"/>
            <w:tcBorders>
              <w:top w:val="single" w:sz="4" w:space="0" w:color="auto"/>
              <w:left w:val="single" w:sz="4" w:space="0" w:color="auto"/>
              <w:bottom w:val="single" w:sz="4" w:space="0" w:color="auto"/>
              <w:right w:val="single" w:sz="4" w:space="0" w:color="auto"/>
            </w:tcBorders>
          </w:tcPr>
          <w:p w14:paraId="001011AF" w14:textId="001011E8">
            <w:pPr>
              <w:pStyle w:val="Normal"/>
              <w:jc w:val="left"/>
            </w:pPr>
            <w:r>
              <w:t xml:space="preserve">Included from 1 April 2025</w:t>
            </w:r>
          </w:p>
        </w:tc>
        <w:tc>
          <w:tcPr>
            <w:vAlign w:val="center"/>
            <w:tcBorders>
              <w:top w:val="single" w:sz="4" w:space="0" w:color="auto"/>
              <w:left w:val="single" w:sz="4" w:space="0" w:color="auto"/>
              <w:bottom w:val="single" w:sz="4" w:space="0" w:color="auto"/>
              <w:right w:val="single" w:sz="4" w:space="0" w:color="auto"/>
            </w:tcBorders>
          </w:tcPr>
          <w:p w14:paraId="001011B1" w14:textId="001011E9">
            <w:pPr>
              <w:pStyle w:val="Normal"/>
              <w:jc w:val="left"/>
            </w:pPr>
            <w:r>
              <w:t xml:space="preserve">Industrial</w:t>
            </w:r>
          </w:p>
        </w:tc>
      </w:tr>
      <w:tr>
        <w:tc>
          <w:tcPr>
            <w:vAlign w:val="top"/>
            <w:tcBorders>
              <w:top w:val="single" w:sz="4" w:space="0" w:color="auto"/>
              <w:left w:val="single" w:sz="4" w:space="0" w:color="auto"/>
              <w:bottom w:val="single" w:sz="4" w:space="0" w:color="auto"/>
              <w:right w:val="single" w:sz="4" w:space="0" w:color="auto"/>
            </w:tcBorders>
          </w:tcPr>
          <w:p w14:paraId="001011B3" w14:textId="001011EA">
            <w:pPr>
              <w:pStyle w:val="Normal"/>
              <w:jc w:val="left"/>
            </w:pPr>
            <w:r>
              <w:t xml:space="preserve">Harbor Route Logistics Pty Ltd.</w:t>
            </w:r>
          </w:p>
        </w:tc>
        <w:tc>
          <w:tcPr>
            <w:vAlign w:val="center"/>
            <w:tcBorders>
              <w:top w:val="single" w:sz="4" w:space="0" w:color="auto"/>
              <w:left w:val="single" w:sz="4" w:space="0" w:color="auto"/>
              <w:bottom w:val="single" w:sz="4" w:space="0" w:color="auto"/>
              <w:right w:val="single" w:sz="4" w:space="0" w:color="auto"/>
            </w:tcBorders>
          </w:tcPr>
          <w:p w14:paraId="001011B5" w14:textId="001011EB">
            <w:pPr>
              <w:pStyle w:val="Normal"/>
              <w:jc w:val="left"/>
            </w:pPr>
            <w:r>
              <w:t xml:space="preserve">Regional distribution support</w:t>
            </w:r>
          </w:p>
        </w:tc>
        <w:tc>
          <w:tcPr>
            <w:vAlign w:val="center"/>
            <w:tcBorders>
              <w:top w:val="single" w:sz="4" w:space="0" w:color="auto"/>
              <w:left w:val="single" w:sz="4" w:space="0" w:color="auto"/>
              <w:bottom w:val="single" w:sz="4" w:space="0" w:color="auto"/>
              <w:right w:val="single" w:sz="4" w:space="0" w:color="auto"/>
            </w:tcBorders>
          </w:tcPr>
          <w:p w14:paraId="001011B7" w14:textId="001011EC">
            <w:pPr>
              <w:pStyle w:val="Normal"/>
              <w:jc w:val="left"/>
            </w:pPr>
            <w:r>
              <w:t xml:space="preserve">Disposed during the year</w:t>
            </w:r>
          </w:p>
        </w:tc>
        <w:tc>
          <w:tcPr>
            <w:vAlign w:val="center"/>
            <w:tcBorders>
              <w:top w:val="single" w:sz="4" w:space="0" w:color="auto"/>
              <w:left w:val="single" w:sz="4" w:space="0" w:color="auto"/>
              <w:bottom w:val="single" w:sz="4" w:space="0" w:color="auto"/>
              <w:right w:val="single" w:sz="4" w:space="0" w:color="auto"/>
            </w:tcBorders>
          </w:tcPr>
          <w:p w14:paraId="001011B9" w14:textId="001011ED">
            <w:pPr>
              <w:pStyle w:val="Normal"/>
              <w:jc w:val="left"/>
            </w:pPr>
            <w:r>
              <w:t xml:space="preserve">Included to 30 June 2025</w:t>
            </w:r>
          </w:p>
        </w:tc>
        <w:tc>
          <w:tcPr>
            <w:vAlign w:val="center"/>
            <w:tcBorders>
              <w:top w:val="single" w:sz="4" w:space="0" w:color="auto"/>
              <w:left w:val="single" w:sz="4" w:space="0" w:color="auto"/>
              <w:bottom w:val="single" w:sz="4" w:space="0" w:color="auto"/>
              <w:right w:val="single" w:sz="4" w:space="0" w:color="auto"/>
            </w:tcBorders>
          </w:tcPr>
          <w:p w14:paraId="001011BB" w14:textId="001011EE">
            <w:pPr>
              <w:pStyle w:val="Normal"/>
              <w:jc w:val="left"/>
            </w:pPr>
            <w:r>
              <w:t xml:space="preserve">Infrastructure</w:t>
            </w:r>
          </w:p>
        </w:tc>
      </w:tr>
      <w:tr>
        <w:tc>
          <w:tcPr>
            <w:vAlign w:val="top"/>
            <w:tcBorders>
              <w:top w:val="single" w:sz="4" w:space="0" w:color="auto"/>
              <w:left w:val="single" w:sz="4" w:space="0" w:color="auto"/>
              <w:bottom w:val="single" w:sz="4" w:space="0" w:color="auto"/>
              <w:right w:val="single" w:sz="4" w:space="0" w:color="auto"/>
            </w:tcBorders>
          </w:tcPr>
          <w:p w14:paraId="001011BD" w14:textId="001011EF">
            <w:pPr>
              <w:pStyle w:val="Normal"/>
              <w:jc w:val="left"/>
            </w:pPr>
            <w:r>
              <w:t xml:space="preserve">Rivermark Shared Operations Centre Ltd.</w:t>
            </w:r>
          </w:p>
        </w:tc>
        <w:tc>
          <w:tcPr>
            <w:vAlign w:val="center"/>
            <w:tcBorders>
              <w:top w:val="single" w:sz="4" w:space="0" w:color="auto"/>
              <w:left w:val="single" w:sz="4" w:space="0" w:color="auto"/>
              <w:bottom w:val="single" w:sz="4" w:space="0" w:color="auto"/>
              <w:right w:val="single" w:sz="4" w:space="0" w:color="auto"/>
            </w:tcBorders>
          </w:tcPr>
          <w:p w14:paraId="001011BF" w14:textId="001011F0">
            <w:pPr>
              <w:pStyle w:val="Normal"/>
              <w:jc w:val="left"/>
            </w:pPr>
            <w:r>
              <w:t xml:space="preserve">Procurement, finance and HR services</w:t>
            </w:r>
          </w:p>
        </w:tc>
        <w:tc>
          <w:tcPr>
            <w:vAlign w:val="center"/>
            <w:tcBorders>
              <w:top w:val="single" w:sz="4" w:space="0" w:color="auto"/>
              <w:left w:val="single" w:sz="4" w:space="0" w:color="auto"/>
              <w:bottom w:val="single" w:sz="4" w:space="0" w:color="auto"/>
              <w:right w:val="single" w:sz="4" w:space="0" w:color="auto"/>
            </w:tcBorders>
          </w:tcPr>
          <w:p w14:paraId="001011C1" w14:textId="001011F1">
            <w:pPr>
              <w:pStyle w:val="Normal"/>
              <w:jc w:val="left"/>
            </w:pPr>
            <w:r>
              <w:t xml:space="preserve">Consolidated subsidiary</w:t>
            </w:r>
          </w:p>
        </w:tc>
        <w:tc>
          <w:tcPr>
            <w:vAlign w:val="center"/>
            <w:tcBorders>
              <w:top w:val="single" w:sz="4" w:space="0" w:color="auto"/>
              <w:left w:val="single" w:sz="4" w:space="0" w:color="auto"/>
              <w:bottom w:val="single" w:sz="4" w:space="0" w:color="auto"/>
              <w:right w:val="single" w:sz="4" w:space="0" w:color="auto"/>
            </w:tcBorders>
          </w:tcPr>
          <w:p w14:paraId="001011C3" w14:textId="001011F2">
            <w:pPr>
              <w:pStyle w:val="Normal"/>
              <w:jc w:val="left"/>
            </w:pPr>
            <w:r>
              <w:t xml:space="preserve">Full year</w:t>
            </w:r>
          </w:p>
        </w:tc>
        <w:tc>
          <w:tcPr>
            <w:vAlign w:val="center"/>
            <w:tcBorders>
              <w:top w:val="single" w:sz="4" w:space="0" w:color="auto"/>
              <w:left w:val="single" w:sz="4" w:space="0" w:color="auto"/>
              <w:bottom w:val="single" w:sz="4" w:space="0" w:color="auto"/>
              <w:right w:val="single" w:sz="4" w:space="0" w:color="auto"/>
            </w:tcBorders>
          </w:tcPr>
          <w:p w14:paraId="001011C5" w14:textId="001011F3">
            <w:pPr>
              <w:pStyle w:val="Normal"/>
              <w:jc w:val="left"/>
            </w:pPr>
            <w:r>
              <w:t xml:space="preserve">Corporate / shared services</w:t>
            </w:r>
          </w:p>
        </w:tc>
      </w:tr>
    </w:tbl>
    <w:p w14:paraId="001011F4" w14:textId="001011F5">
      <w:pPr>
        <w:pStyle w:val="Heading4a"/>
        <w:jc w:val="left"/>
      </w:pPr>
      <w:r>
        <w:t xml:space="preserve">Consolidation Scope</w:t>
      </w:r>
    </w:p>
    <w:p w14:paraId="001011F6" w14:textId="001011F7">
      <w:pPr>
        <w:pStyle w:val="Normal"/>
        <w:jc w:val="left"/>
      </w:pPr>
      <w:r>
        <w:t xml:space="preserve">The Group’s consolidation scope changed modestly during 2025 and remained broadly consistent with the operating structure described in the management review. The principal movements related to one targeted acquisition in the Industrial segment, the disposal of a non-core logistics business previously supporting Infrastructure operations, and a series of internal legal-entity simplifications within shared services. None of these changes affected the continuity of the consolidated accounts, but they did influence year-on-year comparability in selected revenue, asset and cash flow line items.</w:t>
      </w:r>
    </w:p>
    <w:p w14:paraId="001011F8" w14:textId="001011F9">
      <w:pPr>
        <w:pStyle w:val="Normal"/>
        <w:jc w:val="left"/>
      </w:pPr>
      <w:r>
        <w:t xml:space="preserve">Management reviewed each transaction to determine whether control had been obtained, retained or lost, and whether the relevant entities should be consolidated line by line, deconsolidated, or treated as intra-group reorganizations with no effect on the external reporting boundary. Comparative information has not been restated for transactions that do not meet the threshold for separate presentation; instead, the effects are described in these notes where helpful to users. The overall outcome is that the 2025 financial statements continue to represent substantially all businesses through which Rivermark Group generates revenue, incurs operating costs and deploys capital, with only limited boundary changes arising from portfolio management and legal simplification measures.</w:t>
      </w:r>
    </w:p>
    <w:p w14:paraId="001011FA" w14:textId="001011FB">
      <w:pPr>
        <w:pStyle w:val="Heading5"/>
        <w:jc w:val="left"/>
      </w:pPr>
      <w:r>
        <w:t xml:space="preserve">Entity Changes</w:t>
      </w:r>
    </w:p>
    <w:p w14:paraId="001011FC" w14:textId="001011FD">
      <w:pPr>
        <w:pStyle w:val="Normal"/>
        <w:jc w:val="left"/>
      </w:pPr>
      <w:r>
        <w:t xml:space="preserve">During the year, Rivermark Group acquired North Quay Automation Ltd., a specialist provider of controls integration and production-line optimization services. The acquisition was completed on 1 April 2025 and has been included in the consolidated financial statements from that date. North Quay Automation strengthens the Industrial segment by extending the Group’s engineering offering, adding a mid-sized installed customer base and supporting higher-value aftermarket activity. Initial purchase accounting remains subject to refinement in respect of identifiable intangible assets and certain working capital balances, but the transaction did not materially alter the Group’s segment presentation.</w:t>
      </w:r>
    </w:p>
    <w:p w14:paraId="001011FE" w14:textId="001011FF">
      <w:pPr>
        <w:pStyle w:val="Normal"/>
        <w:jc w:val="left"/>
      </w:pPr>
      <w:r>
        <w:t xml:space="preserve">The Group also disposed of Harbor Route Logistics Pty Ltd. on 30 June 2025 as part of a portfolio review intended to focus Infrastructure operations on core network service delivery rather than stand-alone freight activities. Results of the disposed entity are included in consolidation up to the date control ceased. In addition, several dormant or low-activity subsidiaries were merged into existing operating companies or placed into orderly wind-down. These internal steps reduced administrative complexity, improved legal alignment with current trading patterns and had no significant impact on consolidated profit or net assets.</w:t>
      </w:r>
    </w:p>
    <w:p w14:paraId="00101200" w14:textId="00101201">
      <w:pPr>
        <w:pStyle w:val="Normal"/>
        <w:jc w:val="left"/>
      </w:pPr>
      <w:r>
        <w:t xml:space="preserve">The effect of these changes on the reporting scope was measurable but contained. The acquisition of North Quay Automation added incremental revenue and operating assets to the Industrial segment for the final three quarters of the year, while the disposal of Harbor Route Logistics reduced second-half revenue and working capital within Infrastructure. Because the acquired and disposed businesses were relatively small compared with the Group as a whole, the consolidated statements continue to provide a stable basis for trend analysis, although direct comparisons at segment level should be read with awareness of the timing effects.</w:t>
      </w:r>
    </w:p>
    <w:p w14:paraId="00101202" w14:textId="00101203">
      <w:pPr>
        <w:pStyle w:val="Normal"/>
        <w:jc w:val="left"/>
      </w:pPr>
      <w:r>
        <w:t xml:space="preserve">Internal mergers and entity rationalizations did not create gains or losses at Group level because they involved businesses already under common control. Their main consequence was to simplify legal ownership chains, reduce duplicate statutory obligations and centralize selected support activities. Where required, balances and transactions between the affected entities were eliminated in full on consolidation. Management considers that the revised structure better reflects how the Group is operated, without changing the economic substance of the businesses included in the 2025 accounts.</w:t>
      </w:r>
    </w:p>
    <w:p w14:paraId="00101204" w14:textId="00101205">
      <w:pPr>
        <w:pStyle w:val="Heading5"/>
        <w:jc w:val="left"/>
      </w:pPr>
      <w:r>
        <w:t xml:space="preserve">Control Assessments</w:t>
      </w:r>
    </w:p>
    <w:p w14:paraId="00101206" w14:textId="00101207">
      <w:pPr>
        <w:pStyle w:val="Normal"/>
        <w:jc w:val="left"/>
      </w:pPr>
      <w:r>
        <w:t xml:space="preserve">In determining whether an investee is controlled, Rivermark Group considers more than the percentage of shares held. The assessment focuses on whether the Group has power over the relevant activities, exposure or rights to variable returns, and the practical ability to use that power to influence those returns. Factors reviewed include voting rights, shareholder agreements, board appointment rights, reserved matters, substantive decision-making rights, contractual service arrangements and any circumstances indicating that another party directs the activities that most significantly affect performance.</w:t>
      </w:r>
    </w:p>
    <w:p w14:paraId="00101208" w14:textId="00101209">
      <w:pPr>
        <w:pStyle w:val="Normal"/>
        <w:jc w:val="left"/>
      </w:pPr>
      <w:r>
        <w:t xml:space="preserve">Judgment is particularly important where ownership is not wholly aligned with operational authority, or where protective rights held by minority investors, lenders or counterparties could limit the Group’s decision-making capacity. Management also evaluates whether rights are substantive in practice rather than merely legal in form, taking account of economic incentives, barriers to exercise and the timing of key decisions. For special-purpose or structured arrangements, the analysis extends to the design and purpose of the entity, the source of returns and the party that effectively directs the assets, services or risks embedded in the arrangement.</w:t>
      </w:r>
    </w:p>
    <w:p w14:paraId="0010120A" w14:textId="0010120B">
      <w:pPr>
        <w:pStyle w:val="Normal"/>
        <w:jc w:val="left"/>
      </w:pPr>
      <w:r>
        <w:t xml:space="preserve">Based on these assessments, entities are consolidated when management concludes that Rivermark Group directs the activities that most affect returns and is exposed to the benefits and risks arising from those activities. Subsidiaries are included from the date on which control transfers to the Group and are excluded from the date that control is lost. Where the Group holds less than all equity interests, non-controlling interests are presented separately within equity and profit allocation, but this does not affect the consolidation of the underlying assets, liabilities, income and expenses.</w:t>
      </w:r>
    </w:p>
    <w:p w14:paraId="0010120C" w14:textId="0010120D">
      <w:pPr>
        <w:pStyle w:val="Normal"/>
        <w:jc w:val="left"/>
      </w:pPr>
      <w:r>
        <w:t xml:space="preserve">For 2025, management did not identify any material investees requiring equity accounting in place of consolidation within the four reportable segments, nor any structured entities that were judged to be controlled in substance while not legally owned. The principal conclusions reached in the year related to confirming control over newly acquired operations, determining the point at which control ceased for the disposed logistics entity, and validating that internal reorganizations did not create or extinguish control at Group level. These judgments were reviewed through the finance governance process and aligned with the Group’s accounting policy on consolidation.</w:t>
      </w:r>
    </w:p>
    <w:p w14:paraId="0010120E" w14:textId="0010120F">
      <w:pPr>
        <w:pStyle w:val="Heading4a"/>
        <w:jc w:val="left"/>
      </w:pPr>
      <w:r>
        <w:t xml:space="preserve">Segment Basis</w:t>
      </w:r>
    </w:p>
    <w:p w14:paraId="00101210" w14:textId="00101211">
      <w:pPr>
        <w:pStyle w:val="Normal"/>
        <w:jc w:val="left"/>
      </w:pPr>
      <w:r>
        <w:t xml:space="preserve">Rivermark Group presents segment information on the same basis used by management to assess performance and allocate resources. The chief operating decision maker reviews results through four reportable segments: Infrastructure, Industrial, Consumer, and Digital Services. These segments reflect distinct end markets, operating models, customer sets, and capital requirements, and they form the basis for monthly performance packs, budget approval, and strategic review. Segment reporting is therefore aligned to internal accountability rather than to legal-entity boundaries alone.</w:t>
      </w:r>
    </w:p>
    <w:p w14:paraId="00101212" w14:textId="00101213">
      <w:pPr>
        <w:pStyle w:val="Normal"/>
        <w:jc w:val="left"/>
      </w:pPr>
      <w:r>
        <w:t xml:space="preserve">The segment basis uses management reporting prepared under Group accounting policies, subject to certain internal presentation adjustments designed to support operational decision-making. Revenue is attributed to the segment that manages the primary customer relationship and bears responsibility for delivery. Direct costs are charged to the originating segment, while shared service costs are allocated where a clear usage basis exists and otherwise retained in corporate activities. Assets and liabilities are included in segment measures when they are regularly monitored by segment leadership and can be attributed on a reliable basis. Comparative information is presented on a consistent basis unless organizational changes require restatement or reclassification to preserve comparability.</w:t>
      </w:r>
    </w:p>
    <w:p w14:paraId="00101214" w14:textId="00101215">
      <w:pPr>
        <w:pStyle w:val="Heading5"/>
        <w:jc w:val="left"/>
      </w:pPr>
      <w:r>
        <w:t xml:space="preserve">Measure Definitions</w:t>
      </w:r>
    </w:p>
    <w:p w14:paraId="00101216" w14:textId="00101217">
      <w:pPr>
        <w:pStyle w:val="Normal"/>
        <w:jc w:val="left"/>
      </w:pPr>
      <w:r>
        <w:t xml:space="preserve">Segment key performance indicators are selected to reflect commercial scale, operating efficiency, and cash discipline. External revenue comprises sales to third-party customers and excludes intersegment transactions. Organic growth measures the year-on-year change in revenue excluding the effects of acquisitions, disposals, and foreign exchange movements. Order intake represents the value of new customer commitments received during the year, while backlog reflects unsatisfied contracted work and subscription commitments expected to convert into future revenue.</w:t>
      </w:r>
    </w:p>
    <w:p w14:paraId="00101218" w14:textId="00101219">
      <w:pPr>
        <w:pStyle w:val="Normal"/>
        <w:jc w:val="left"/>
      </w:pPr>
      <w:r>
        <w:t xml:space="preserve">Additional operating indicators vary by segment but are applied consistently within internal reporting. Infrastructure emphasizes project conversion, service utilization, and contract renewal rates. Industrial focuses on volume throughput, plant utilization, and on-time delivery. Consumer tracks channel sell-through, average selling price, and brand mix. Digital Services monitors annual recurring revenue, user retention, and platform usage. These indicators are not all presented as audited statutory measures, but they are used by management because they provide a more direct view of operational progress than period-end accounting balances alone.</w:t>
      </w:r>
    </w:p>
    <w:p w14:paraId="0010121A" w14:textId="0010121B">
      <w:pPr>
        <w:pStyle w:val="Normal"/>
        <w:jc w:val="left"/>
      </w:pPr>
      <w:r>
        <w:t xml:space="preserve">Segment profit is primarily assessed using adjusted operating profit, which reflects earnings before net finance costs, income tax, and items considered by management to be non-underlying in nature. The measure includes segment revenue, direct operating expenses, depreciation of owned operating assets, and allocated support costs that are controllable or attributable to segment activity. It excludes gains and losses on major disposals, significant restructuring charges, acquisition-related amortization on separately identified intangible assets, and certain corporate items not managed at segment level.</w:t>
      </w:r>
    </w:p>
    <w:p w14:paraId="0010121C" w14:textId="0010121D">
      <w:pPr>
        <w:pStyle w:val="Normal"/>
        <w:jc w:val="left"/>
      </w:pPr>
      <w:r>
        <w:t xml:space="preserve">For internal decision-making, management also reviews adjusted EBITDA, which adds back depreciation and amortization to adjusted operating profit, and operating margin, calculated as adjusted operating profit divided by external revenue. In capital-intensive businesses, asset turns and return on operating assets are monitored alongside profit. Cash conversion is assessed by comparing operating cash generation with adjusted operating profit over the period. These profit measures are intended to show underlying trading performance and facilitate comparison across segments with different capital profiles, but they should be read together with the statutory consolidated results, which remain the primary basis for external financial reporting.</w:t>
      </w:r>
    </w:p>
    <w:p w14:paraId="0010121E" w14:textId="0010121F">
      <w:pPr>
        <w:pStyle w:val="Heading5"/>
        <w:jc w:val="left"/>
      </w:pPr>
      <w:r>
        <w:t xml:space="preserve">Reconciliation Basis</w:t>
      </w:r>
    </w:p>
    <w:p w14:paraId="00101220" w14:textId="00101221">
      <w:pPr>
        <w:pStyle w:val="Normal"/>
        <w:jc w:val="left"/>
      </w:pPr>
      <w:r>
        <w:t xml:space="preserve">Segment totals are reconciled to consolidated Group results through a series of defined adjustments. The principal reconciling items include corporate center costs, treasury and financing activities, centrally managed pension and insurance effects, fair value movements not included in segment performance, and items designated as non-underlying for management reporting purposes. Intersegment sales and profits are eliminated on consolidation so that Group revenue and earnings reflect only transactions with external customers.</w:t>
      </w:r>
    </w:p>
    <w:p w14:paraId="00101222" w14:textId="00101223">
      <w:pPr>
        <w:pStyle w:val="Normal"/>
        <w:jc w:val="left"/>
      </w:pPr>
      <w:r>
        <w:t xml:space="preserve">Where internal reporting uses adjusted measures, the reconciliation bridges those measures to the nearest statutory line item in the consolidated financial statements. Adjusted operating profit is reconciled to statutory operating profit by removing excluded items such as restructuring charges, acquisition-related amortization, and material one-off gains or losses. Segment assets are reconciled to consolidated total assets after adding corporate cash, tax balances, deferred tax positions, and central financing items not monitored by segment leaders. This approach preserves the usefulness of management information while ensuring a transparent link to the audited financial statements.</w:t>
      </w:r>
    </w:p>
    <w:p w14:paraId="00101224" w14:textId="00101225">
      <w:pPr>
        <w:pStyle w:val="Normal"/>
        <w:jc w:val="left"/>
      </w:pPr>
      <w:r>
        <w:t xml:space="preserve">Eliminations are recorded in consolidation columns rather than assigned back to operating segments unless management specifically monitors the effect within a segment. Intersegment trading is generally priced on an arm’s-length basis for internal performance evaluation, but all related revenue, cost of sales, receivables, payables, and unrealized profit in inventory are removed at Group level. Central procurement rebates, insurance recoveries, and certain technology platform charges are mapped according to the substance of the activity so that segment performance reflects the economics of the underlying business rather than purely legal invoicing flows.</w:t>
      </w:r>
    </w:p>
    <w:p w14:paraId="00101226" w14:textId="00101227">
      <w:pPr>
        <w:pStyle w:val="Normal"/>
        <w:jc w:val="left"/>
      </w:pPr>
      <w:r>
        <w:t xml:space="preserve">The mapping of legal entities to reportable segments is reviewed whenever acquisitions, restructurings, or shared-service redesigns occur. If a business serves more than one segment, results are allocated using the primary operating responsibility, supported where relevant by customer, product, or contract-level data. Comparative periods are re-presented when the effect of a mapping change is material to understanding performance trends. Management believes this basis provides a faithful representation of segment accountability and supports comparability between internal operating review and external note disclosure.</w:t>
      </w:r>
    </w:p>
    <w:p w14:paraId="00101228" w14:textId="00101229">
      <w:pPr>
        <w:pStyle w:val="Heading2a"/>
        <w:jc w:val="left"/>
      </w:pPr>
      <w:r>
        <w:t xml:space="preserve">Operating Notes</w:t>
      </w:r>
    </w:p>
    <w:p w14:paraId="0010122A" w14:textId="0010122B">
      <w:pPr>
        <w:pStyle w:val="Normal"/>
        <w:jc w:val="left"/>
      </w:pPr>
      <w:r>
        <w:t xml:space="preserve">The operating notes provide supporting detail for the Group’s reported trading performance and explain how revenue, segment results, and operating cost movements are reflected in the consolidated financial statements. These disclosures should be read together with the operating review, as they translate management commentary into note-level measures and accounting classifications. The emphasis is on the composition of revenue, the relationship between segment information and Group totals, and the principal operating expenses that affected current-year profitability.</w:t>
      </w:r>
    </w:p>
    <w:p w14:paraId="0010122C" w14:textId="0010122D">
      <w:pPr>
        <w:pStyle w:val="Normal"/>
        <w:jc w:val="left"/>
      </w:pPr>
      <w:r>
        <w:t xml:space="preserve">During the year, Rivermark Group continued to benefit from a diversified earnings base across infrastructure services, industrial production, consumer brands, and digital recurring revenue. That diversity reduced exposure to weakness in any single market, although results remained sensitive to cost inflation, project timing, channel mix, and customer demand cycles. The operating notes therefore distinguish between underlying trading movements and items that are unusual in size or nature. They also clarify the basis on which timing differences, allocation policies, and presentation adjustments are treated so that users can assess both period performance and year-on-year comparability with greater precision.</w:t>
      </w:r>
    </w:p>
    <w:p w14:paraId="0010122E" w14:textId="0010122F">
      <w:pPr>
        <w:pStyle w:val="Heading3a"/>
        <w:jc w:val="left"/>
      </w:pPr>
      <w:r>
        <w:t xml:space="preserve">Revenue and Segments</w:t>
      </w:r>
    </w:p>
    <w:p w14:paraId="00101230" w14:textId="00101231">
      <w:pPr>
        <w:pStyle w:val="Normal"/>
        <w:jc w:val="left"/>
      </w:pPr>
      <w:r>
        <w:t xml:space="preserve">Group revenue is recognized when control of promised goods or services transfers to the customer in an amount that reflects the consideration expected to be received. The method of recognition depends on the nature of the performance obligation. Revenue from product sales is generally recognized at a point in time, usually on shipment or delivery according to contractual terms, when the customer obtains control and Rivermark Group has a present right to payment. Revenue from long-term infrastructure and service arrangements is recognized over time when performance creates or enhances an asset controlled by the customer, or when the Group’s work has no alternative use and an enforceable right to payment exists.</w:t>
      </w:r>
    </w:p>
    <w:p w14:paraId="00101232" w14:textId="00101233">
      <w:pPr>
        <w:pStyle w:val="Normal"/>
        <w:jc w:val="left"/>
      </w:pPr>
      <w:r>
        <w:t xml:space="preserve">For service contracts and subscription arrangements, progress is measured using an input or output method that best reflects the transfer of control, including labor hours incurred, milestones achieved, usage delivered, or elapsed service period. Variable consideration, including rebates, performance incentives, penalties, and promotional support, is estimated using the expected value or most likely amount method and included only to the extent that a significant revenue reversal is not probable. Contract modifications are assessed to determine whether they create a separate contract or form part of an existing obligation. Amounts billed in advance are recorded as contract liabilities, while accrued but unbilled entitlements are presented as contract assets where the relevant recognition criteria are met.</w:t>
      </w:r>
    </w:p>
    <w:p w14:paraId="00101234" w14:textId="00101235">
      <w:pPr>
        <w:pStyle w:val="Normal"/>
        <w:jc w:val="left"/>
      </w:pPr>
      <w:r>
        <w:t xml:space="preserve">Revenue is recognized from the sale of goods, project execution, consumer sell-through arrangements, and recurring digital service contracts across the Group’s four reportable segments: Infrastructure, Industrial, Consumer, and Digital Services. Management reviews revenue by market, delivery channel, and timing of transfer in order to assess the economic drivers of performance and the degree of recurring activity within the portfolio. This note therefore presents disaggregated revenue information on the same basis used for internal monitoring, while maintaining consistency with the amounts reported in the consolidated income statement.</w:t>
      </w:r>
    </w:p>
    <w:p w14:paraId="00101236" w14:textId="00101237">
      <w:pPr>
        <w:pStyle w:val="Normal"/>
        <w:jc w:val="left"/>
      </w:pPr>
      <w:r>
        <w:t xml:space="preserve">The segment schedule below shows external revenue by segment together with the principal disaggregation categories used by management. Intersegment sales are not material to the understanding of customer demand and are eliminated on consolidation. Comparative information has been aligned to the current-year presentation where channel labels or regional groupings were refined, and such refinements did not change total reported revenue. The disclosures support an assessment of how differing contract profiles, customer concentration, geographic exposure, and recognition patterns affected the Group’s revenue quality during the year.</w:t>
      </w:r>
    </w:p>
    <w:p w14:paraId="00101238" w14:textId="00101239">
      <w:pPr>
        <w:pStyle w:val="Normal"/>
        <w:jc w:val="left"/>
      </w:pPr>
      <w:r>
        <w:t xml:space="preserve">Table 27 Revenue disaggregation and segment schedule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123A" w14:textId="0010129A">
            <w:pPr>
              <w:pStyle w:val="Normal"/>
              <w:jc w:val="left"/>
            </w:pPr>
            <w:r>
              <w:t xml:space="preserve">Category</w:t>
            </w:r>
          </w:p>
        </w:tc>
        <w:tc>
          <w:tcPr>
            <w:vAlign w:val="center"/>
            <w:tcBorders>
              <w:top w:val="single" w:sz="4" w:space="0" w:color="auto"/>
              <w:left w:val="single" w:sz="4" w:space="0" w:color="auto"/>
              <w:bottom w:val="single" w:sz="4" w:space="0" w:color="auto"/>
              <w:right w:val="single" w:sz="4" w:space="0" w:color="auto"/>
            </w:tcBorders>
          </w:tcPr>
          <w:p w14:paraId="0010123C" w14:textId="0010129B">
            <w:pPr>
              <w:pStyle w:val="Normal"/>
              <w:jc w:val="left"/>
            </w:pPr>
            <w:r>
              <w:t xml:space="preserve">Infrastructure</w:t>
            </w:r>
          </w:p>
        </w:tc>
        <w:tc>
          <w:tcPr>
            <w:vAlign w:val="center"/>
            <w:tcBorders>
              <w:top w:val="single" w:sz="4" w:space="0" w:color="auto"/>
              <w:left w:val="single" w:sz="4" w:space="0" w:color="auto"/>
              <w:bottom w:val="single" w:sz="4" w:space="0" w:color="auto"/>
              <w:right w:val="single" w:sz="4" w:space="0" w:color="auto"/>
            </w:tcBorders>
          </w:tcPr>
          <w:p w14:paraId="0010123E" w14:textId="0010129C">
            <w:pPr>
              <w:pStyle w:val="Normal"/>
              <w:jc w:val="left"/>
            </w:pPr>
            <w:r>
              <w:t xml:space="preserve">Industrial</w:t>
            </w:r>
          </w:p>
        </w:tc>
        <w:tc>
          <w:tcPr>
            <w:vAlign w:val="center"/>
            <w:tcBorders>
              <w:top w:val="single" w:sz="4" w:space="0" w:color="auto"/>
              <w:left w:val="single" w:sz="4" w:space="0" w:color="auto"/>
              <w:bottom w:val="single" w:sz="4" w:space="0" w:color="auto"/>
              <w:right w:val="single" w:sz="4" w:space="0" w:color="auto"/>
            </w:tcBorders>
          </w:tcPr>
          <w:p w14:paraId="00101240" w14:textId="0010129D">
            <w:pPr>
              <w:pStyle w:val="Normal"/>
              <w:jc w:val="left"/>
            </w:pPr>
            <w:r>
              <w:t xml:space="preserve">Consumer</w:t>
            </w:r>
          </w:p>
        </w:tc>
        <w:tc>
          <w:tcPr>
            <w:vAlign w:val="center"/>
            <w:tcBorders>
              <w:top w:val="single" w:sz="4" w:space="0" w:color="auto"/>
              <w:left w:val="single" w:sz="4" w:space="0" w:color="auto"/>
              <w:bottom w:val="single" w:sz="4" w:space="0" w:color="auto"/>
              <w:right w:val="single" w:sz="4" w:space="0" w:color="auto"/>
            </w:tcBorders>
          </w:tcPr>
          <w:p w14:paraId="00101242" w14:textId="0010129E">
            <w:pPr>
              <w:pStyle w:val="Normal"/>
              <w:jc w:val="left"/>
            </w:pPr>
            <w:r>
              <w:t xml:space="preserve">Digital Services</w:t>
            </w:r>
          </w:p>
        </w:tc>
        <w:tc>
          <w:tcPr>
            <w:vAlign w:val="center"/>
            <w:tcBorders>
              <w:top w:val="single" w:sz="4" w:space="0" w:color="auto"/>
              <w:left w:val="single" w:sz="4" w:space="0" w:color="auto"/>
              <w:bottom w:val="single" w:sz="4" w:space="0" w:color="auto"/>
              <w:right w:val="single" w:sz="4" w:space="0" w:color="auto"/>
            </w:tcBorders>
          </w:tcPr>
          <w:p w14:paraId="00101244" w14:textId="0010129F">
            <w:pPr>
              <w:pStyle w:val="Normal"/>
              <w:jc w:val="left"/>
            </w:pPr>
            <w:r>
              <w:t xml:space="preserve">Group total</w:t>
            </w:r>
          </w:p>
        </w:tc>
      </w:tr>
      <w:tr>
        <w:tc>
          <w:tcPr>
            <w:vAlign w:val="top"/>
            <w:tcBorders>
              <w:top w:val="single" w:sz="4" w:space="0" w:color="auto"/>
              <w:left w:val="single" w:sz="4" w:space="0" w:color="auto"/>
              <w:bottom w:val="single" w:sz="4" w:space="0" w:color="auto"/>
              <w:right w:val="single" w:sz="4" w:space="0" w:color="auto"/>
            </w:tcBorders>
          </w:tcPr>
          <w:p w14:paraId="00101246" w14:textId="001012A0">
            <w:pPr>
              <w:pStyle w:val="Normal"/>
              <w:jc w:val="left"/>
            </w:pPr>
            <w:r>
              <w:t xml:space="preserve">External revenue</w:t>
            </w:r>
          </w:p>
        </w:tc>
        <w:tc>
          <w:tcPr>
            <w:vAlign w:val="center"/>
            <w:tcBorders>
              <w:top w:val="single" w:sz="4" w:space="0" w:color="auto"/>
              <w:left w:val="single" w:sz="4" w:space="0" w:color="auto"/>
              <w:bottom w:val="single" w:sz="4" w:space="0" w:color="auto"/>
              <w:right w:val="single" w:sz="4" w:space="0" w:color="auto"/>
            </w:tcBorders>
          </w:tcPr>
          <w:p w14:paraId="00101248" w14:textId="001012A1">
            <w:pPr>
              <w:pStyle w:val="Normal"/>
              <w:jc w:val="left"/>
            </w:pPr>
            <w:r>
              <w:t xml:space="preserve">3,420</w:t>
            </w:r>
          </w:p>
        </w:tc>
        <w:tc>
          <w:tcPr>
            <w:vAlign w:val="center"/>
            <w:tcBorders>
              <w:top w:val="single" w:sz="4" w:space="0" w:color="auto"/>
              <w:left w:val="single" w:sz="4" w:space="0" w:color="auto"/>
              <w:bottom w:val="single" w:sz="4" w:space="0" w:color="auto"/>
              <w:right w:val="single" w:sz="4" w:space="0" w:color="auto"/>
            </w:tcBorders>
          </w:tcPr>
          <w:p w14:paraId="0010124A" w14:textId="001012A2">
            <w:pPr>
              <w:pStyle w:val="Normal"/>
              <w:jc w:val="left"/>
            </w:pPr>
            <w:r>
              <w:t xml:space="preserve">2,780</w:t>
            </w:r>
          </w:p>
        </w:tc>
        <w:tc>
          <w:tcPr>
            <w:vAlign w:val="center"/>
            <w:tcBorders>
              <w:top w:val="single" w:sz="4" w:space="0" w:color="auto"/>
              <w:left w:val="single" w:sz="4" w:space="0" w:color="auto"/>
              <w:bottom w:val="single" w:sz="4" w:space="0" w:color="auto"/>
              <w:right w:val="single" w:sz="4" w:space="0" w:color="auto"/>
            </w:tcBorders>
          </w:tcPr>
          <w:p w14:paraId="0010124C" w14:textId="001012A3">
            <w:pPr>
              <w:pStyle w:val="Normal"/>
              <w:jc w:val="left"/>
            </w:pPr>
            <w:r>
              <w:t xml:space="preserve">2,160</w:t>
            </w:r>
          </w:p>
        </w:tc>
        <w:tc>
          <w:tcPr>
            <w:vAlign w:val="center"/>
            <w:tcBorders>
              <w:top w:val="single" w:sz="4" w:space="0" w:color="auto"/>
              <w:left w:val="single" w:sz="4" w:space="0" w:color="auto"/>
              <w:bottom w:val="single" w:sz="4" w:space="0" w:color="auto"/>
              <w:right w:val="single" w:sz="4" w:space="0" w:color="auto"/>
            </w:tcBorders>
          </w:tcPr>
          <w:p w14:paraId="0010124E" w14:textId="001012A4">
            <w:pPr>
              <w:pStyle w:val="Normal"/>
              <w:jc w:val="left"/>
            </w:pPr>
            <w:r>
              <w:t xml:space="preserve">1,240</w:t>
            </w:r>
          </w:p>
        </w:tc>
        <w:tc>
          <w:tcPr>
            <w:vAlign w:val="center"/>
            <w:tcBorders>
              <w:top w:val="single" w:sz="4" w:space="0" w:color="auto"/>
              <w:left w:val="single" w:sz="4" w:space="0" w:color="auto"/>
              <w:bottom w:val="single" w:sz="4" w:space="0" w:color="auto"/>
              <w:right w:val="single" w:sz="4" w:space="0" w:color="auto"/>
            </w:tcBorders>
          </w:tcPr>
          <w:p w14:paraId="00101250" w14:textId="001012A5">
            <w:pPr>
              <w:pStyle w:val="Normal"/>
              <w:jc w:val="left"/>
            </w:pPr>
            <w:r>
              <w:t xml:space="preserve">9,600</w:t>
            </w:r>
          </w:p>
        </w:tc>
      </w:tr>
      <w:tr>
        <w:tc>
          <w:tcPr>
            <w:vAlign w:val="top"/>
            <w:tcBorders>
              <w:top w:val="single" w:sz="4" w:space="0" w:color="auto"/>
              <w:left w:val="single" w:sz="4" w:space="0" w:color="auto"/>
              <w:bottom w:val="single" w:sz="4" w:space="0" w:color="auto"/>
              <w:right w:val="single" w:sz="4" w:space="0" w:color="auto"/>
            </w:tcBorders>
          </w:tcPr>
          <w:p w14:paraId="00101252" w14:textId="001012A6">
            <w:pPr>
              <w:pStyle w:val="Normal"/>
              <w:jc w:val="left"/>
            </w:pPr>
            <w:r>
              <w:t xml:space="preserve">Domestic market</w:t>
            </w:r>
          </w:p>
        </w:tc>
        <w:tc>
          <w:tcPr>
            <w:vAlign w:val="center"/>
            <w:tcBorders>
              <w:top w:val="single" w:sz="4" w:space="0" w:color="auto"/>
              <w:left w:val="single" w:sz="4" w:space="0" w:color="auto"/>
              <w:bottom w:val="single" w:sz="4" w:space="0" w:color="auto"/>
              <w:right w:val="single" w:sz="4" w:space="0" w:color="auto"/>
            </w:tcBorders>
          </w:tcPr>
          <w:p w14:paraId="00101254" w14:textId="001012A7">
            <w:pPr>
              <w:pStyle w:val="Normal"/>
              <w:jc w:val="left"/>
            </w:pPr>
            <w:r>
              <w:t xml:space="preserve">1,520</w:t>
            </w:r>
          </w:p>
        </w:tc>
        <w:tc>
          <w:tcPr>
            <w:vAlign w:val="center"/>
            <w:tcBorders>
              <w:top w:val="single" w:sz="4" w:space="0" w:color="auto"/>
              <w:left w:val="single" w:sz="4" w:space="0" w:color="auto"/>
              <w:bottom w:val="single" w:sz="4" w:space="0" w:color="auto"/>
              <w:right w:val="single" w:sz="4" w:space="0" w:color="auto"/>
            </w:tcBorders>
          </w:tcPr>
          <w:p w14:paraId="00101256" w14:textId="001012A8">
            <w:pPr>
              <w:pStyle w:val="Normal"/>
              <w:jc w:val="left"/>
            </w:pPr>
            <w:r>
              <w:t xml:space="preserve">1,040</w:t>
            </w:r>
          </w:p>
        </w:tc>
        <w:tc>
          <w:tcPr>
            <w:vAlign w:val="center"/>
            <w:tcBorders>
              <w:top w:val="single" w:sz="4" w:space="0" w:color="auto"/>
              <w:left w:val="single" w:sz="4" w:space="0" w:color="auto"/>
              <w:bottom w:val="single" w:sz="4" w:space="0" w:color="auto"/>
              <w:right w:val="single" w:sz="4" w:space="0" w:color="auto"/>
            </w:tcBorders>
          </w:tcPr>
          <w:p w14:paraId="00101258" w14:textId="001012A9">
            <w:pPr>
              <w:pStyle w:val="Normal"/>
              <w:jc w:val="left"/>
            </w:pPr>
            <w:r>
              <w:t xml:space="preserve">1,180</w:t>
            </w:r>
          </w:p>
        </w:tc>
        <w:tc>
          <w:tcPr>
            <w:vAlign w:val="center"/>
            <w:tcBorders>
              <w:top w:val="single" w:sz="4" w:space="0" w:color="auto"/>
              <w:left w:val="single" w:sz="4" w:space="0" w:color="auto"/>
              <w:bottom w:val="single" w:sz="4" w:space="0" w:color="auto"/>
              <w:right w:val="single" w:sz="4" w:space="0" w:color="auto"/>
            </w:tcBorders>
          </w:tcPr>
          <w:p w14:paraId="0010125A" w14:textId="001012AA">
            <w:pPr>
              <w:pStyle w:val="Normal"/>
              <w:jc w:val="left"/>
            </w:pPr>
            <w:r>
              <w:t xml:space="preserve">420</w:t>
            </w:r>
          </w:p>
        </w:tc>
        <w:tc>
          <w:tcPr>
            <w:vAlign w:val="center"/>
            <w:tcBorders>
              <w:top w:val="single" w:sz="4" w:space="0" w:color="auto"/>
              <w:left w:val="single" w:sz="4" w:space="0" w:color="auto"/>
              <w:bottom w:val="single" w:sz="4" w:space="0" w:color="auto"/>
              <w:right w:val="single" w:sz="4" w:space="0" w:color="auto"/>
            </w:tcBorders>
          </w:tcPr>
          <w:p w14:paraId="0010125C" w14:textId="001012AB">
            <w:pPr>
              <w:pStyle w:val="Normal"/>
              <w:jc w:val="left"/>
            </w:pPr>
            <w:r>
              <w:t xml:space="preserve">4,160</w:t>
            </w:r>
          </w:p>
        </w:tc>
      </w:tr>
      <w:tr>
        <w:tc>
          <w:tcPr>
            <w:vAlign w:val="top"/>
            <w:tcBorders>
              <w:top w:val="single" w:sz="4" w:space="0" w:color="auto"/>
              <w:left w:val="single" w:sz="4" w:space="0" w:color="auto"/>
              <w:bottom w:val="single" w:sz="4" w:space="0" w:color="auto"/>
              <w:right w:val="single" w:sz="4" w:space="0" w:color="auto"/>
            </w:tcBorders>
          </w:tcPr>
          <w:p w14:paraId="0010125E" w14:textId="001012AC">
            <w:pPr>
              <w:pStyle w:val="Normal"/>
              <w:jc w:val="left"/>
            </w:pPr>
            <w:r>
              <w:t xml:space="preserve">International market</w:t>
            </w:r>
          </w:p>
        </w:tc>
        <w:tc>
          <w:tcPr>
            <w:vAlign w:val="center"/>
            <w:tcBorders>
              <w:top w:val="single" w:sz="4" w:space="0" w:color="auto"/>
              <w:left w:val="single" w:sz="4" w:space="0" w:color="auto"/>
              <w:bottom w:val="single" w:sz="4" w:space="0" w:color="auto"/>
              <w:right w:val="single" w:sz="4" w:space="0" w:color="auto"/>
            </w:tcBorders>
          </w:tcPr>
          <w:p w14:paraId="00101260" w14:textId="001012AD">
            <w:pPr>
              <w:pStyle w:val="Normal"/>
              <w:jc w:val="left"/>
            </w:pPr>
            <w:r>
              <w:t xml:space="preserve">1,900</w:t>
            </w:r>
          </w:p>
        </w:tc>
        <w:tc>
          <w:tcPr>
            <w:vAlign w:val="center"/>
            <w:tcBorders>
              <w:top w:val="single" w:sz="4" w:space="0" w:color="auto"/>
              <w:left w:val="single" w:sz="4" w:space="0" w:color="auto"/>
              <w:bottom w:val="single" w:sz="4" w:space="0" w:color="auto"/>
              <w:right w:val="single" w:sz="4" w:space="0" w:color="auto"/>
            </w:tcBorders>
          </w:tcPr>
          <w:p w14:paraId="00101262" w14:textId="001012AE">
            <w:pPr>
              <w:pStyle w:val="Normal"/>
              <w:jc w:val="left"/>
            </w:pPr>
            <w:r>
              <w:t xml:space="preserve">1,740</w:t>
            </w:r>
          </w:p>
        </w:tc>
        <w:tc>
          <w:tcPr>
            <w:vAlign w:val="center"/>
            <w:tcBorders>
              <w:top w:val="single" w:sz="4" w:space="0" w:color="auto"/>
              <w:left w:val="single" w:sz="4" w:space="0" w:color="auto"/>
              <w:bottom w:val="single" w:sz="4" w:space="0" w:color="auto"/>
              <w:right w:val="single" w:sz="4" w:space="0" w:color="auto"/>
            </w:tcBorders>
          </w:tcPr>
          <w:p w14:paraId="00101264" w14:textId="001012AF">
            <w:pPr>
              <w:pStyle w:val="Normal"/>
              <w:jc w:val="left"/>
            </w:pPr>
            <w:r>
              <w:t xml:space="preserve">980</w:t>
            </w:r>
          </w:p>
        </w:tc>
        <w:tc>
          <w:tcPr>
            <w:vAlign w:val="center"/>
            <w:tcBorders>
              <w:top w:val="single" w:sz="4" w:space="0" w:color="auto"/>
              <w:left w:val="single" w:sz="4" w:space="0" w:color="auto"/>
              <w:bottom w:val="single" w:sz="4" w:space="0" w:color="auto"/>
              <w:right w:val="single" w:sz="4" w:space="0" w:color="auto"/>
            </w:tcBorders>
          </w:tcPr>
          <w:p w14:paraId="00101266" w14:textId="001012B0">
            <w:pPr>
              <w:pStyle w:val="Normal"/>
              <w:jc w:val="left"/>
            </w:pPr>
            <w:r>
              <w:t xml:space="preserve">820</w:t>
            </w:r>
          </w:p>
        </w:tc>
        <w:tc>
          <w:tcPr>
            <w:vAlign w:val="center"/>
            <w:tcBorders>
              <w:top w:val="single" w:sz="4" w:space="0" w:color="auto"/>
              <w:left w:val="single" w:sz="4" w:space="0" w:color="auto"/>
              <w:bottom w:val="single" w:sz="4" w:space="0" w:color="auto"/>
              <w:right w:val="single" w:sz="4" w:space="0" w:color="auto"/>
            </w:tcBorders>
          </w:tcPr>
          <w:p w14:paraId="00101268" w14:textId="001012B1">
            <w:pPr>
              <w:pStyle w:val="Normal"/>
              <w:jc w:val="left"/>
            </w:pPr>
            <w:r>
              <w:t xml:space="preserve">5,440</w:t>
            </w:r>
          </w:p>
        </w:tc>
      </w:tr>
      <w:tr>
        <w:tc>
          <w:tcPr>
            <w:vAlign w:val="top"/>
            <w:tcBorders>
              <w:top w:val="single" w:sz="4" w:space="0" w:color="auto"/>
              <w:left w:val="single" w:sz="4" w:space="0" w:color="auto"/>
              <w:bottom w:val="single" w:sz="4" w:space="0" w:color="auto"/>
              <w:right w:val="single" w:sz="4" w:space="0" w:color="auto"/>
            </w:tcBorders>
          </w:tcPr>
          <w:p w14:paraId="0010126A" w14:textId="001012B2">
            <w:pPr>
              <w:pStyle w:val="Normal"/>
              <w:jc w:val="left"/>
            </w:pPr>
            <w:r>
              <w:t xml:space="preserve">Direct / enterprise channel</w:t>
            </w:r>
          </w:p>
        </w:tc>
        <w:tc>
          <w:tcPr>
            <w:vAlign w:val="center"/>
            <w:tcBorders>
              <w:top w:val="single" w:sz="4" w:space="0" w:color="auto"/>
              <w:left w:val="single" w:sz="4" w:space="0" w:color="auto"/>
              <w:bottom w:val="single" w:sz="4" w:space="0" w:color="auto"/>
              <w:right w:val="single" w:sz="4" w:space="0" w:color="auto"/>
            </w:tcBorders>
          </w:tcPr>
          <w:p w14:paraId="0010126C" w14:textId="001012B3">
            <w:pPr>
              <w:pStyle w:val="Normal"/>
              <w:jc w:val="left"/>
            </w:pPr>
            <w:r>
              <w:t xml:space="preserve">2,640</w:t>
            </w:r>
          </w:p>
        </w:tc>
        <w:tc>
          <w:tcPr>
            <w:vAlign w:val="center"/>
            <w:tcBorders>
              <w:top w:val="single" w:sz="4" w:space="0" w:color="auto"/>
              <w:left w:val="single" w:sz="4" w:space="0" w:color="auto"/>
              <w:bottom w:val="single" w:sz="4" w:space="0" w:color="auto"/>
              <w:right w:val="single" w:sz="4" w:space="0" w:color="auto"/>
            </w:tcBorders>
          </w:tcPr>
          <w:p w14:paraId="0010126E" w14:textId="001012B4">
            <w:pPr>
              <w:pStyle w:val="Normal"/>
              <w:jc w:val="left"/>
            </w:pPr>
            <w:r>
              <w:t xml:space="preserve">2,110</w:t>
            </w:r>
          </w:p>
        </w:tc>
        <w:tc>
          <w:tcPr>
            <w:vAlign w:val="center"/>
            <w:tcBorders>
              <w:top w:val="single" w:sz="4" w:space="0" w:color="auto"/>
              <w:left w:val="single" w:sz="4" w:space="0" w:color="auto"/>
              <w:bottom w:val="single" w:sz="4" w:space="0" w:color="auto"/>
              <w:right w:val="single" w:sz="4" w:space="0" w:color="auto"/>
            </w:tcBorders>
          </w:tcPr>
          <w:p w14:paraId="00101270" w14:textId="001012B5">
            <w:pPr>
              <w:pStyle w:val="Normal"/>
              <w:jc w:val="left"/>
            </w:pPr>
            <w:r>
              <w:t xml:space="preserve">780</w:t>
            </w:r>
          </w:p>
        </w:tc>
        <w:tc>
          <w:tcPr>
            <w:vAlign w:val="center"/>
            <w:tcBorders>
              <w:top w:val="single" w:sz="4" w:space="0" w:color="auto"/>
              <w:left w:val="single" w:sz="4" w:space="0" w:color="auto"/>
              <w:bottom w:val="single" w:sz="4" w:space="0" w:color="auto"/>
              <w:right w:val="single" w:sz="4" w:space="0" w:color="auto"/>
            </w:tcBorders>
          </w:tcPr>
          <w:p w14:paraId="00101272" w14:textId="001012B6">
            <w:pPr>
              <w:pStyle w:val="Normal"/>
              <w:jc w:val="left"/>
            </w:pPr>
            <w:r>
              <w:t xml:space="preserve">1,050</w:t>
            </w:r>
          </w:p>
        </w:tc>
        <w:tc>
          <w:tcPr>
            <w:vAlign w:val="center"/>
            <w:tcBorders>
              <w:top w:val="single" w:sz="4" w:space="0" w:color="auto"/>
              <w:left w:val="single" w:sz="4" w:space="0" w:color="auto"/>
              <w:bottom w:val="single" w:sz="4" w:space="0" w:color="auto"/>
              <w:right w:val="single" w:sz="4" w:space="0" w:color="auto"/>
            </w:tcBorders>
          </w:tcPr>
          <w:p w14:paraId="00101274" w14:textId="001012B7">
            <w:pPr>
              <w:pStyle w:val="Normal"/>
              <w:jc w:val="left"/>
            </w:pPr>
            <w:r>
              <w:t xml:space="preserve">6,580</w:t>
            </w:r>
          </w:p>
        </w:tc>
      </w:tr>
      <w:tr>
        <w:tc>
          <w:tcPr>
            <w:vAlign w:val="top"/>
            <w:tcBorders>
              <w:top w:val="single" w:sz="4" w:space="0" w:color="auto"/>
              <w:left w:val="single" w:sz="4" w:space="0" w:color="auto"/>
              <w:bottom w:val="single" w:sz="4" w:space="0" w:color="auto"/>
              <w:right w:val="single" w:sz="4" w:space="0" w:color="auto"/>
            </w:tcBorders>
          </w:tcPr>
          <w:p w14:paraId="00101276" w14:textId="001012B8">
            <w:pPr>
              <w:pStyle w:val="Normal"/>
              <w:jc w:val="left"/>
            </w:pPr>
            <w:r>
              <w:t xml:space="preserve">Retail / distributor channel</w:t>
            </w:r>
          </w:p>
        </w:tc>
        <w:tc>
          <w:tcPr>
            <w:vAlign w:val="center"/>
            <w:tcBorders>
              <w:top w:val="single" w:sz="4" w:space="0" w:color="auto"/>
              <w:left w:val="single" w:sz="4" w:space="0" w:color="auto"/>
              <w:bottom w:val="single" w:sz="4" w:space="0" w:color="auto"/>
              <w:right w:val="single" w:sz="4" w:space="0" w:color="auto"/>
            </w:tcBorders>
          </w:tcPr>
          <w:p w14:paraId="00101278" w14:textId="001012B9">
            <w:pPr>
              <w:pStyle w:val="Normal"/>
              <w:jc w:val="left"/>
            </w:pPr>
            <w:r>
              <w:t xml:space="preserve">780</w:t>
            </w:r>
          </w:p>
        </w:tc>
        <w:tc>
          <w:tcPr>
            <w:vAlign w:val="center"/>
            <w:tcBorders>
              <w:top w:val="single" w:sz="4" w:space="0" w:color="auto"/>
              <w:left w:val="single" w:sz="4" w:space="0" w:color="auto"/>
              <w:bottom w:val="single" w:sz="4" w:space="0" w:color="auto"/>
              <w:right w:val="single" w:sz="4" w:space="0" w:color="auto"/>
            </w:tcBorders>
          </w:tcPr>
          <w:p w14:paraId="0010127A" w14:textId="001012BA">
            <w:pPr>
              <w:pStyle w:val="Normal"/>
              <w:jc w:val="left"/>
            </w:pPr>
            <w:r>
              <w:t xml:space="preserve">670</w:t>
            </w:r>
          </w:p>
        </w:tc>
        <w:tc>
          <w:tcPr>
            <w:vAlign w:val="center"/>
            <w:tcBorders>
              <w:top w:val="single" w:sz="4" w:space="0" w:color="auto"/>
              <w:left w:val="single" w:sz="4" w:space="0" w:color="auto"/>
              <w:bottom w:val="single" w:sz="4" w:space="0" w:color="auto"/>
              <w:right w:val="single" w:sz="4" w:space="0" w:color="auto"/>
            </w:tcBorders>
          </w:tcPr>
          <w:p w14:paraId="0010127C" w14:textId="001012BB">
            <w:pPr>
              <w:pStyle w:val="Normal"/>
              <w:jc w:val="left"/>
            </w:pPr>
            <w:r>
              <w:t xml:space="preserve">1,380</w:t>
            </w:r>
          </w:p>
        </w:tc>
        <w:tc>
          <w:tcPr>
            <w:vAlign w:val="center"/>
            <w:tcBorders>
              <w:top w:val="single" w:sz="4" w:space="0" w:color="auto"/>
              <w:left w:val="single" w:sz="4" w:space="0" w:color="auto"/>
              <w:bottom w:val="single" w:sz="4" w:space="0" w:color="auto"/>
              <w:right w:val="single" w:sz="4" w:space="0" w:color="auto"/>
            </w:tcBorders>
          </w:tcPr>
          <w:p w14:paraId="0010127E" w14:textId="001012BC">
            <w:pPr>
              <w:pStyle w:val="Normal"/>
              <w:jc w:val="left"/>
            </w:pPr>
            <w:r>
              <w:t xml:space="preserve">190</w:t>
            </w:r>
          </w:p>
        </w:tc>
        <w:tc>
          <w:tcPr>
            <w:vAlign w:val="center"/>
            <w:tcBorders>
              <w:top w:val="single" w:sz="4" w:space="0" w:color="auto"/>
              <w:left w:val="single" w:sz="4" w:space="0" w:color="auto"/>
              <w:bottom w:val="single" w:sz="4" w:space="0" w:color="auto"/>
              <w:right w:val="single" w:sz="4" w:space="0" w:color="auto"/>
            </w:tcBorders>
          </w:tcPr>
          <w:p w14:paraId="00101280" w14:textId="001012BD">
            <w:pPr>
              <w:pStyle w:val="Normal"/>
              <w:jc w:val="left"/>
            </w:pPr>
            <w:r>
              <w:t xml:space="preserve">3,020</w:t>
            </w:r>
          </w:p>
        </w:tc>
      </w:tr>
      <w:tr>
        <w:tc>
          <w:tcPr>
            <w:vAlign w:val="top"/>
            <w:tcBorders>
              <w:top w:val="single" w:sz="4" w:space="0" w:color="auto"/>
              <w:left w:val="single" w:sz="4" w:space="0" w:color="auto"/>
              <w:bottom w:val="single" w:sz="4" w:space="0" w:color="auto"/>
              <w:right w:val="single" w:sz="4" w:space="0" w:color="auto"/>
            </w:tcBorders>
          </w:tcPr>
          <w:p w14:paraId="00101282" w14:textId="001012BE">
            <w:pPr>
              <w:pStyle w:val="Normal"/>
              <w:jc w:val="left"/>
            </w:pPr>
            <w:r>
              <w:t xml:space="preserve">Recognized at a point in time</w:t>
            </w:r>
          </w:p>
        </w:tc>
        <w:tc>
          <w:tcPr>
            <w:vAlign w:val="center"/>
            <w:tcBorders>
              <w:top w:val="single" w:sz="4" w:space="0" w:color="auto"/>
              <w:left w:val="single" w:sz="4" w:space="0" w:color="auto"/>
              <w:bottom w:val="single" w:sz="4" w:space="0" w:color="auto"/>
              <w:right w:val="single" w:sz="4" w:space="0" w:color="auto"/>
            </w:tcBorders>
          </w:tcPr>
          <w:p w14:paraId="00101284" w14:textId="001012BF">
            <w:pPr>
              <w:pStyle w:val="Normal"/>
              <w:jc w:val="left"/>
            </w:pPr>
            <w:r>
              <w:t xml:space="preserve">2,180</w:t>
            </w:r>
          </w:p>
        </w:tc>
        <w:tc>
          <w:tcPr>
            <w:vAlign w:val="center"/>
            <w:tcBorders>
              <w:top w:val="single" w:sz="4" w:space="0" w:color="auto"/>
              <w:left w:val="single" w:sz="4" w:space="0" w:color="auto"/>
              <w:bottom w:val="single" w:sz="4" w:space="0" w:color="auto"/>
              <w:right w:val="single" w:sz="4" w:space="0" w:color="auto"/>
            </w:tcBorders>
          </w:tcPr>
          <w:p w14:paraId="00101286" w14:textId="001012C0">
            <w:pPr>
              <w:pStyle w:val="Normal"/>
              <w:jc w:val="left"/>
            </w:pPr>
            <w:r>
              <w:t xml:space="preserve">2,260</w:t>
            </w:r>
          </w:p>
        </w:tc>
        <w:tc>
          <w:tcPr>
            <w:vAlign w:val="center"/>
            <w:tcBorders>
              <w:top w:val="single" w:sz="4" w:space="0" w:color="auto"/>
              <w:left w:val="single" w:sz="4" w:space="0" w:color="auto"/>
              <w:bottom w:val="single" w:sz="4" w:space="0" w:color="auto"/>
              <w:right w:val="single" w:sz="4" w:space="0" w:color="auto"/>
            </w:tcBorders>
          </w:tcPr>
          <w:p w14:paraId="00101288" w14:textId="001012C1">
            <w:pPr>
              <w:pStyle w:val="Normal"/>
              <w:jc w:val="left"/>
            </w:pPr>
            <w:r>
              <w:t xml:space="preserve">1,940</w:t>
            </w:r>
          </w:p>
        </w:tc>
        <w:tc>
          <w:tcPr>
            <w:vAlign w:val="center"/>
            <w:tcBorders>
              <w:top w:val="single" w:sz="4" w:space="0" w:color="auto"/>
              <w:left w:val="single" w:sz="4" w:space="0" w:color="auto"/>
              <w:bottom w:val="single" w:sz="4" w:space="0" w:color="auto"/>
              <w:right w:val="single" w:sz="4" w:space="0" w:color="auto"/>
            </w:tcBorders>
          </w:tcPr>
          <w:p w14:paraId="0010128A" w14:textId="001012C2">
            <w:pPr>
              <w:pStyle w:val="Normal"/>
              <w:jc w:val="left"/>
            </w:pPr>
            <w:r>
              <w:t xml:space="preserve">260</w:t>
            </w:r>
          </w:p>
        </w:tc>
        <w:tc>
          <w:tcPr>
            <w:vAlign w:val="center"/>
            <w:tcBorders>
              <w:top w:val="single" w:sz="4" w:space="0" w:color="auto"/>
              <w:left w:val="single" w:sz="4" w:space="0" w:color="auto"/>
              <w:bottom w:val="single" w:sz="4" w:space="0" w:color="auto"/>
              <w:right w:val="single" w:sz="4" w:space="0" w:color="auto"/>
            </w:tcBorders>
          </w:tcPr>
          <w:p w14:paraId="0010128C" w14:textId="001012C3">
            <w:pPr>
              <w:pStyle w:val="Normal"/>
              <w:jc w:val="left"/>
            </w:pPr>
            <w:r>
              <w:t xml:space="preserve">6,640</w:t>
            </w:r>
          </w:p>
        </w:tc>
      </w:tr>
      <w:tr>
        <w:tc>
          <w:tcPr>
            <w:vAlign w:val="top"/>
            <w:tcBorders>
              <w:top w:val="single" w:sz="4" w:space="0" w:color="auto"/>
              <w:left w:val="single" w:sz="4" w:space="0" w:color="auto"/>
              <w:bottom w:val="single" w:sz="4" w:space="0" w:color="auto"/>
              <w:right w:val="single" w:sz="4" w:space="0" w:color="auto"/>
            </w:tcBorders>
          </w:tcPr>
          <w:p w14:paraId="0010128E" w14:textId="001012C4">
            <w:pPr>
              <w:pStyle w:val="Normal"/>
              <w:jc w:val="left"/>
            </w:pPr>
            <w:r>
              <w:t xml:space="preserve">Recognized over time</w:t>
            </w:r>
          </w:p>
        </w:tc>
        <w:tc>
          <w:tcPr>
            <w:vAlign w:val="center"/>
            <w:tcBorders>
              <w:top w:val="single" w:sz="4" w:space="0" w:color="auto"/>
              <w:left w:val="single" w:sz="4" w:space="0" w:color="auto"/>
              <w:bottom w:val="single" w:sz="4" w:space="0" w:color="auto"/>
              <w:right w:val="single" w:sz="4" w:space="0" w:color="auto"/>
            </w:tcBorders>
          </w:tcPr>
          <w:p w14:paraId="00101290" w14:textId="001012C5">
            <w:pPr>
              <w:pStyle w:val="Normal"/>
              <w:jc w:val="left"/>
            </w:pPr>
            <w:r>
              <w:t xml:space="preserve">1,240</w:t>
            </w:r>
          </w:p>
        </w:tc>
        <w:tc>
          <w:tcPr>
            <w:vAlign w:val="center"/>
            <w:tcBorders>
              <w:top w:val="single" w:sz="4" w:space="0" w:color="auto"/>
              <w:left w:val="single" w:sz="4" w:space="0" w:color="auto"/>
              <w:bottom w:val="single" w:sz="4" w:space="0" w:color="auto"/>
              <w:right w:val="single" w:sz="4" w:space="0" w:color="auto"/>
            </w:tcBorders>
          </w:tcPr>
          <w:p w14:paraId="00101292" w14:textId="001012C6">
            <w:pPr>
              <w:pStyle w:val="Normal"/>
              <w:jc w:val="left"/>
            </w:pPr>
            <w:r>
              <w:t xml:space="preserve">520</w:t>
            </w:r>
          </w:p>
        </w:tc>
        <w:tc>
          <w:tcPr>
            <w:vAlign w:val="center"/>
            <w:tcBorders>
              <w:top w:val="single" w:sz="4" w:space="0" w:color="auto"/>
              <w:left w:val="single" w:sz="4" w:space="0" w:color="auto"/>
              <w:bottom w:val="single" w:sz="4" w:space="0" w:color="auto"/>
              <w:right w:val="single" w:sz="4" w:space="0" w:color="auto"/>
            </w:tcBorders>
          </w:tcPr>
          <w:p w14:paraId="00101294" w14:textId="001012C7">
            <w:pPr>
              <w:pStyle w:val="Normal"/>
              <w:jc w:val="left"/>
            </w:pPr>
            <w:r>
              <w:t xml:space="preserve">220</w:t>
            </w:r>
          </w:p>
        </w:tc>
        <w:tc>
          <w:tcPr>
            <w:vAlign w:val="center"/>
            <w:tcBorders>
              <w:top w:val="single" w:sz="4" w:space="0" w:color="auto"/>
              <w:left w:val="single" w:sz="4" w:space="0" w:color="auto"/>
              <w:bottom w:val="single" w:sz="4" w:space="0" w:color="auto"/>
              <w:right w:val="single" w:sz="4" w:space="0" w:color="auto"/>
            </w:tcBorders>
          </w:tcPr>
          <w:p w14:paraId="00101296" w14:textId="001012C8">
            <w:pPr>
              <w:pStyle w:val="Normal"/>
              <w:jc w:val="left"/>
            </w:pPr>
            <w:r>
              <w:t xml:space="preserve">980</w:t>
            </w:r>
          </w:p>
        </w:tc>
        <w:tc>
          <w:tcPr>
            <w:vAlign w:val="center"/>
            <w:tcBorders>
              <w:top w:val="single" w:sz="4" w:space="0" w:color="auto"/>
              <w:left w:val="single" w:sz="4" w:space="0" w:color="auto"/>
              <w:bottom w:val="single" w:sz="4" w:space="0" w:color="auto"/>
              <w:right w:val="single" w:sz="4" w:space="0" w:color="auto"/>
            </w:tcBorders>
          </w:tcPr>
          <w:p w14:paraId="00101298" w14:textId="001012C9">
            <w:pPr>
              <w:pStyle w:val="Normal"/>
              <w:jc w:val="left"/>
            </w:pPr>
            <w:r>
              <w:t xml:space="preserve">2,960</w:t>
            </w:r>
          </w:p>
        </w:tc>
      </w:tr>
    </w:tbl>
    <w:p w14:paraId="001012CA" w14:textId="001012CB">
      <w:pPr>
        <w:pStyle w:val="Heading4a"/>
        <w:jc w:val="left"/>
      </w:pPr>
      <w:r>
        <w:t xml:space="preserve">Revenue Disaggregation</w:t>
      </w:r>
    </w:p>
    <w:p w14:paraId="001012CC" w14:textId="001012CD">
      <w:pPr>
        <w:pStyle w:val="Normal"/>
        <w:jc w:val="left"/>
      </w:pPr>
      <w:r>
        <w:t xml:space="preserve">The Group disaggregates revenue to depict how the nature, amount, timing, and uncertainty of cash flows are affected by economic factors. The most decision-useful distinctions for Rivermark Group are market location, route to customer, and timing of revenue recognition. These categories correspond with the operating characteristics of the portfolio: Infrastructure includes longer-cycle contracts and service programs, Industrial is influenced by export demand and order phasing, Consumer reflects channel mix and promotional cadence, and Digital Services contains subscription and usage-based arrangements with a higher proportion of recurring billings.</w:t>
      </w:r>
    </w:p>
    <w:p w14:paraId="001012CE" w14:textId="001012CF">
      <w:pPr>
        <w:pStyle w:val="Normal"/>
        <w:jc w:val="left"/>
      </w:pPr>
      <w:r>
        <w:t xml:space="preserve">Disaggregation is prepared from the same underlying contract and billing data used in monthly management reporting. Categories are intended to be stable from period to period, but may be refined when acquisitions are integrated, channels are reorganized, or management changes the way it monitors demand patterns. The current-year presentation continues to distinguish domestic and international markets, direct and intermediary channels, and revenue recognized at a point in time or over time, because these views best explain changes in mix, margin, and working-capital behavior across the segments.</w:t>
      </w:r>
    </w:p>
    <w:p w14:paraId="001012D0" w14:textId="001012D1">
      <w:pPr>
        <w:pStyle w:val="Heading5"/>
        <w:jc w:val="left"/>
      </w:pPr>
      <w:r>
        <w:t xml:space="preserve">By Market</w:t>
      </w:r>
    </w:p>
    <w:p w14:paraId="001012D2" w14:textId="001012D3">
      <w:pPr>
        <w:pStyle w:val="Normal"/>
        <w:jc w:val="left"/>
      </w:pPr>
      <w:r>
        <w:t xml:space="preserve">Geographic and channel mix remained broadly diversified during the year, although the relative contribution of each segment differed materially. Infrastructure generated a balanced market profile, with domestic public and utility customers supporting base demand while selected cross-border projects contributed incremental growth. Industrial recorded the highest international exposure, reflecting shipments to equipment manufacturers and export-oriented distributors in adjacent regions. Consumer revenue remained more weighted toward the domestic market, where brand recognition, retailer programs, and seasonal campaigns continue to anchor volume. Digital Services expanded its international share through multi-country deployments and renewals with enterprise clients.</w:t>
      </w:r>
    </w:p>
    <w:p w14:paraId="001012D4" w14:textId="001012D5">
      <w:pPr>
        <w:pStyle w:val="Normal"/>
        <w:jc w:val="left"/>
      </w:pPr>
      <w:r>
        <w:t xml:space="preserve">From a channel perspective, direct and enterprise relationships represented the majority of Group revenue, particularly in Infrastructure, Industrial, and Digital Services. Consumer remained the main contributor to retail and distributor turnover, although e-commerce and direct-to-consumer initiatives increased during the second half. Management uses this split to evaluate pricing authority, service complexity, collection behavior, and partner dependence. Markets with direct contractual relationships generally exhibit stronger visibility and broader service attach opportunities, whereas distributor-led revenue can provide reach and flexibility but may be more sensitive to inventory adjustments and promotional intensity.</w:t>
      </w:r>
    </w:p>
    <w:p w14:paraId="001012D6" w14:textId="001012D7">
      <w:pPr>
        <w:pStyle w:val="Normal"/>
        <w:jc w:val="left"/>
      </w:pPr>
      <w:r>
        <w:t xml:space="preserve">Market concentration is driven less by dependence on any single country and more by the concentration of customer types within each segment. Infrastructure revenue is influenced by the timing of municipal, transport, and utility awards, which can create periodic weighting toward a limited number of large counterparties without indicating structural customer dependency. Industrial concentration is linked to end-market cycles in manufacturing and automation, particularly where large framework customers place call-off orders across several quarters. In Consumer, concentration is shaped by national retail chains and marketplace platforms whose promotional calendars affect shipment timing. Digital Services is comparatively concentrated by contract value, as a smaller number of enterprise accounts contribute a significant share of annual recurring revenue.</w:t>
      </w:r>
    </w:p>
    <w:p w14:paraId="001012D8" w14:textId="001012D9">
      <w:pPr>
        <w:pStyle w:val="Normal"/>
        <w:jc w:val="left"/>
      </w:pPr>
      <w:r>
        <w:t xml:space="preserve">Management monitors concentration through customer exposure limits, regional sales diversity, and tender pipeline depth. No single external customer represented a level of revenue that management considers incompatible with the Group’s portfolio resilience, but several large accounts remained strategically important for future cross-selling and renewal activity. The present disaggregation therefore helps users distinguish ordinary concentration arising from business model design from concentration that might signal elevated earnings volatility.</w:t>
      </w:r>
    </w:p>
    <w:p w14:paraId="001012DA" w14:textId="001012DB">
      <w:pPr>
        <w:pStyle w:val="Heading5"/>
        <w:jc w:val="left"/>
      </w:pPr>
      <w:r>
        <w:t xml:space="preserve">By Timing</w:t>
      </w:r>
    </w:p>
    <w:p w14:paraId="001012DC" w14:textId="001012DD">
      <w:pPr>
        <w:pStyle w:val="Normal"/>
        <w:jc w:val="left"/>
      </w:pPr>
      <w:r>
        <w:t xml:space="preserve">Revenue is recognized either at a point in time or over time depending on when control of goods or services transfers to the customer. Point-in-time revenue arises mainly from product sales in the Industrial and Consumer segments and from hardware or license elements bundled within Infrastructure and Digital Services arrangements. Control typically passes on delivery, acceptance, or transfer under agreed shipping terms, provided that no unfulfilled performance obligation prevents recognition. Over-time revenue arises where Rivermark Group creates or enhances an asset controlled by the customer, provides stand-ready services, or delivers subscription-based access over the contractual term.</w:t>
      </w:r>
    </w:p>
    <w:p w14:paraId="001012DE" w14:textId="001012DF">
      <w:pPr>
        <w:pStyle w:val="Normal"/>
        <w:jc w:val="left"/>
      </w:pPr>
      <w:r>
        <w:t xml:space="preserve">Infrastructure contributes the largest share of over-time revenue because engineering, installation, maintenance, and project execution obligations are satisfied progressively. Digital Services also reports a substantial over-time component, primarily from SaaS subscriptions, managed support, and transaction-enabled platform access. Consumer shows only a limited over-time balance, largely related to promotional service packages and warranty-linked service plans, while Industrial over-time revenue is confined to selected customized build programs and field support contracts. This timing split is important because it affects the predictability of revenue conversion, order backlog disclosures, and short-term working-capital movements.</w:t>
      </w:r>
    </w:p>
    <w:p w14:paraId="001012E0" w14:textId="001012E1">
      <w:pPr>
        <w:pStyle w:val="Normal"/>
        <w:jc w:val="left"/>
      </w:pPr>
      <w:r>
        <w:t xml:space="preserve">The proportion of revenue recognized over time increased modestly in the year, supported by a richer mix of service, maintenance, and subscription activity. In Infrastructure, the increase reflected a greater volume of multistage delivery contracts and lifecycle support work attached to installed assets. In Digital Services, growth in recurring contracts outpaced non-recurring implementation fees, improving visibility into future billings. By contrast, point-in-time revenue remained the dominant pattern in Industrial and Consumer, where shipment timing, customer call-off behavior, and seasonal promotional windows continue to determine recognition dates.</w:t>
      </w:r>
    </w:p>
    <w:p w14:paraId="001012E2" w14:textId="001012E3">
      <w:pPr>
        <w:pStyle w:val="Normal"/>
        <w:jc w:val="left"/>
      </w:pPr>
      <w:r>
        <w:t xml:space="preserve">Recognition timing is also influenced by contract design. Arrangements with milestone billing do not automatically lead to over-time recognition; management first assesses whether performance creates an enforceable right to payment and whether the asset has alternative use. Similarly, advance cash receipts in consumer and digital channels are recorded as contract liabilities until the related goods are delivered or services are performed. Timing disclosures therefore should be read together with the Group’s contract asset and liability balances, because shifts in billing structure, service content, and renewal mix can change the profile of recognized revenue without altering the underlying commercial momentum.</w:t>
      </w:r>
    </w:p>
    <w:p w14:paraId="001012E4" w14:textId="001012E5">
      <w:pPr>
        <w:pStyle w:val="Heading4a"/>
        <w:jc w:val="left"/>
      </w:pPr>
      <w:r>
        <w:t xml:space="preserve">Segment Results</w:t>
      </w:r>
    </w:p>
    <w:p w14:paraId="001012E6" w14:textId="001012E7">
      <w:pPr>
        <w:pStyle w:val="Normal"/>
        <w:jc w:val="left"/>
      </w:pPr>
      <w:r>
        <w:t xml:space="preserve">The segment result schedule presents the operating performance of Rivermark Group’s reportable segments on the same management basis used in internal reviews by the Chief Operating Decision Maker. The primary purpose of the disclosure is to show how revenue, earnings and selected asset measures are generated across Infrastructure, Industrial, Consumer and Digital Services, and how those measures support allocation of capital and assessment of operating accountability. Segment information is prepared from the financial records of each business unit, with management adjustments made where internal reporting principles differ from statutory classifications.</w:t>
      </w:r>
    </w:p>
    <w:p w14:paraId="001012E8" w14:textId="001012E9">
      <w:pPr>
        <w:pStyle w:val="Normal"/>
        <w:jc w:val="left"/>
      </w:pPr>
      <w:r>
        <w:t xml:space="preserve">The schedule emphasizes measures that management considers most useful in evaluating the quality of trading performance, namely external sales, intersegment sales where relevant for operational visibility, EBITDA, EBIT and identifiable operating assets. These metrics are presented consistently with the monthly performance pack used throughout the year, allowing readers to compare reported outcomes with the operational narrative provided elsewhere in this report. While the segment note is aligned to the internal view of the business, it remains subject to a disciplined reconciliation process so that the totals can be bridged back to the consolidated financial statements.</w:t>
      </w:r>
    </w:p>
    <w:p w14:paraId="001012EA" w14:textId="001012EB">
      <w:pPr>
        <w:pStyle w:val="Normal"/>
        <w:jc w:val="left"/>
      </w:pPr>
      <w:r>
        <w:t xml:space="preserve">Comparative information has been restated where necessary to reflect the current-year segment structure and to preserve like-for-like analysis. No single customer represented a level of concentration that would alter the presentation of reportable segments. Management believes the resulting disclosure provides a balanced view of scale, profitability and capital intensity across the portfolio.</w:t>
      </w:r>
    </w:p>
    <w:p w14:paraId="001012EC" w14:textId="001012ED">
      <w:pPr>
        <w:pStyle w:val="Heading5"/>
        <w:jc w:val="left"/>
      </w:pPr>
      <w:r>
        <w:t xml:space="preserve">Result Measures</w:t>
      </w:r>
    </w:p>
    <w:p w14:paraId="001012EE" w14:textId="001012EF">
      <w:pPr>
        <w:pStyle w:val="Normal"/>
        <w:jc w:val="left"/>
      </w:pPr>
      <w:r>
        <w:t xml:space="preserve">Segment sales comprise revenue from contracts with customers attributable to each reportable segment, measured before central financing items and income tax. External sales are recognized on the same basis as in the consolidated financial statements, while intersegment sales are recorded for management reporting purposes where one segment provides goods, software support, logistics or specialist services to another on an arm’s-length transfer-pricing basis. These internal transactions are useful in assessing operational throughput and capacity utilization, but they are eliminated on consolidation and therefore do not affect group revenue.</w:t>
      </w:r>
    </w:p>
    <w:p w14:paraId="001012F0" w14:textId="001012F1">
      <w:pPr>
        <w:pStyle w:val="Normal"/>
        <w:jc w:val="left"/>
      </w:pPr>
      <w:r>
        <w:t xml:space="preserve">Profitability is assessed primarily through EBITDA and EBIT. EBITDA reflects earnings before interest, tax, depreciation and amortization and is used by management to monitor cash-generative operating performance across businesses with different asset profiles. EBIT is reviewed as the principal measure of recurring operating return after depreciation and amortization, because it better reflects the cost of maintaining the operating platform. Segment profit includes directly attributable costs and an allocation of shared operating expenses where those costs are monitored at segment level. Items such as corporate treasury results, group-level restructuring programs not managed by segments, fair value movements on financing instruments and tax are excluded from segment profit measures.</w:t>
      </w:r>
    </w:p>
    <w:p w14:paraId="001012F2" w14:textId="001012F3">
      <w:pPr>
        <w:pStyle w:val="Normal"/>
        <w:jc w:val="left"/>
      </w:pPr>
      <w:r>
        <w:t xml:space="preserve">Management uses these measures together rather than in isolation. Sales growth indicates market traction, EBITDA highlights operating momentum, and EBIT provides a clearer basis for comparing segments with different capital intensity and amortization charges.</w:t>
      </w:r>
    </w:p>
    <w:p w14:paraId="001012F4" w14:textId="001012F5">
      <w:pPr>
        <w:pStyle w:val="Normal"/>
        <w:jc w:val="left"/>
      </w:pPr>
      <w:r>
        <w:t xml:space="preserve">Identifiable segment assets include the operating resources employed by each segment in generating revenue and profit, including property, plant and equipment, right-of-use assets, inventories, trade receivables, contract assets, capitalized development balances and certain allocated intangible assets. Asset measures are presented on the basis regularly reviewed by management and therefore focus on items that segment leaders can influence through commercial, production and working-capital decisions. Where assets are jointly used across multiple segments, they are allocated only when a reliable and consistent basis exists; otherwise they remain within corporate or unallocated balances.</w:t>
      </w:r>
    </w:p>
    <w:p w14:paraId="001012F6" w14:textId="001012F7">
      <w:pPr>
        <w:pStyle w:val="Normal"/>
        <w:jc w:val="left"/>
      </w:pPr>
      <w:r>
        <w:t xml:space="preserve">The segment asset measure does not include cash and cash equivalents managed centrally, current and deferred tax balances, derivative financial instruments, certain pension-related positions and corporate investments that are not part of day-to-day operating accountability. Borrowings are likewise excluded from segment assets because funding is managed at group level and debt capacity is not assessed by operating segment. This approach is intended to preserve comparability between businesses and to avoid presenting measures that local management does not control.</w:t>
      </w:r>
    </w:p>
    <w:p w14:paraId="001012F8" w14:textId="001012F9">
      <w:pPr>
        <w:pStyle w:val="Normal"/>
        <w:jc w:val="left"/>
      </w:pPr>
      <w:r>
        <w:t xml:space="preserve">For capital-intensive activities such as Infrastructure and Industrial, the asset base is a significant driver of returns analysis, while in Consumer and Digital Services, working capital efficiency and software-related assets carry greater weight. The disclosed boundaries therefore support management’s evaluation of asset turns, return on capital employed and future investment needs without overstating the degree of decentralization in treasury and tax management.</w:t>
      </w:r>
    </w:p>
    <w:p w14:paraId="001012FA" w14:textId="001012FB">
      <w:pPr>
        <w:pStyle w:val="Heading5"/>
        <w:jc w:val="left"/>
      </w:pPr>
      <w:r>
        <w:t xml:space="preserve">Reconciliations</w:t>
      </w:r>
    </w:p>
    <w:p w14:paraId="001012FC" w14:textId="001012FD">
      <w:pPr>
        <w:pStyle w:val="Normal"/>
        <w:jc w:val="left"/>
      </w:pPr>
      <w:r>
        <w:t xml:space="preserve">Reconciliations are provided to explain how total segment measures translate to the amounts reported in the consolidated financial statements. The bridge from aggregate segment revenue to consolidated revenue mainly reflects the elimination of intersegment trading, because management reports internal sales for operational monitoring whereas external reporting includes only transactions with third parties. The profit reconciliation starts from total segment EBIT and then incorporates unallocated corporate income and expenses, group-level amortization on acquisition-related intangible assets where not monitored by segment, central technology and governance costs, and items that fall outside recurring segment management accountability.</w:t>
      </w:r>
    </w:p>
    <w:p w14:paraId="001012FE" w14:textId="001012FF">
      <w:pPr>
        <w:pStyle w:val="Normal"/>
        <w:jc w:val="left"/>
      </w:pPr>
      <w:r>
        <w:t xml:space="preserve">The bridge to profit before tax also includes net finance costs, comprising interest on borrowings and leases, commitment fees on available facilities, foreign exchange impacts on financing balances and other treasury-managed items. Taxation is not assigned to segments in the primary note because legal entity structures, financing arrangements and jurisdictional incentives are managed on a group basis rather than by operating management. As a result, the consolidated statement of profit or loss contains amounts that are economically linked to segment activity but administratively controlled outside the segment framework.</w:t>
      </w:r>
    </w:p>
    <w:p w14:paraId="00101300" w14:textId="00101301">
      <w:pPr>
        <w:pStyle w:val="Normal"/>
        <w:jc w:val="left"/>
      </w:pPr>
      <w:r>
        <w:t xml:space="preserve">Asset reconciliations are prepared on the same principle. Total segment assets are adjusted for unallocated corporate assets, group cash, tax balances, derivative positions and any consolidation entries required to remove intercompany balances. This bridge enables users to understand both the management view and the statutory view without obscuring the operational logic of the segment disclosures.</w:t>
      </w:r>
    </w:p>
    <w:p w14:paraId="00101302" w14:textId="00101303">
      <w:pPr>
        <w:pStyle w:val="Normal"/>
        <w:jc w:val="left"/>
      </w:pPr>
      <w:r>
        <w:t xml:space="preserve">Adjustments and eliminations arise because internal management reporting is designed to support decision-making, while consolidated reporting is designed to present the financial position and performance of the Group as a single economic entity. The most significant recurring elimination relates to intercompany revenue and cost of sales between segments. These amounts may be meaningful when assessing plant loading, service utilization or shared platform economics, but they are removed in full on consolidation to avoid double counting. Intercompany receivables, payables and unrealized margins on internal inventory transfers are also eliminated where applicable.</w:t>
      </w:r>
    </w:p>
    <w:p w14:paraId="00101304" w14:textId="00101305">
      <w:pPr>
        <w:pStyle w:val="Normal"/>
        <w:jc w:val="left"/>
      </w:pPr>
      <w:r>
        <w:t xml:space="preserve">Additional adjustments may include the removal of corporate items that are not allocated to segments, such as Board costs, central audit and compliance functions, treasury operations and certain transformation activities led at group level. Acquisition accounting adjustments, including amortization of customer relationship intangibles and fair value step-up effects recognized on business combinations, may also be reported outside segment EBIT when those charges are not used by management in evaluating segment trading. Similarly, exceptional costs that are overseen centrally, including broad restructuring programs or portfolio review expenses, are disclosed separately in the reconciliation when this provides a clearer understanding of recurring operating performance.</w:t>
      </w:r>
    </w:p>
    <w:p w14:paraId="00101306" w14:textId="00101307">
      <w:pPr>
        <w:pStyle w:val="Normal"/>
        <w:jc w:val="left"/>
      </w:pPr>
      <w:r>
        <w:t xml:space="preserve">Management reviews the nature of adjustments each year to ensure that reconciliations remain transparent, balanced and consistent. Where the basis of allocation or exclusion changes, comparatives are revised or clearly explained so that users can distinguish between changes in underlying performance and changes in presentation.</w:t>
      </w:r>
    </w:p>
    <w:p w14:paraId="00101308" w14:textId="00101309">
      <w:pPr>
        <w:pStyle w:val="Heading3a"/>
        <w:jc w:val="left"/>
      </w:pPr>
      <w:r>
        <w:t xml:space="preserve">Operating Costs</w:t>
      </w:r>
    </w:p>
    <w:p w14:paraId="0010130A" w14:textId="0010130B">
      <w:pPr>
        <w:pStyle w:val="Normal"/>
        <w:jc w:val="left"/>
      </w:pPr>
      <w:r>
        <w:t xml:space="preserve">Operating costs comprise the expenses incurred in generating revenue across Rivermark Group’s activities and include employee remuneration, purchased materials and services, logistics, utilities, technology hosting, marketing, occupancy and other overheads. The cost note is intended to show both the recurring structure of the Group’s operating model and the specific charges that affected the current year. Cost classification supports management analysis of margin progression, productivity, procurement effectiveness and the extent to which inflationary pressures were offset by pricing and efficiency actions.</w:t>
      </w:r>
    </w:p>
    <w:p w14:paraId="0010130C" w14:textId="0010130D">
      <w:pPr>
        <w:pStyle w:val="Normal"/>
        <w:jc w:val="left"/>
      </w:pPr>
      <w:r>
        <w:t xml:space="preserve">The largest components of the cost base continue to be employee-related expenses and external input costs. Employee costs include wages and salaries, incentive plans, pension contributions, social security charges, share-based payment expense and other benefits provided in the ordinary course of employment. External input costs include raw materials, subcontracted work, cloud and software services, freight, repairs, consulting support and facility-related expenditure. Depreciation and amortization are disclosed separately where relevant to preserve visibility over cash and non-cash operating charges. Management monitors these categories closely because they reflect both structural choices, such as operating footprint and technology architecture, and short-term variables, such as volume, mix and utilization.</w:t>
      </w:r>
    </w:p>
    <w:p w14:paraId="0010130E" w14:textId="0010130F">
      <w:pPr>
        <w:pStyle w:val="Normal"/>
        <w:jc w:val="left"/>
      </w:pPr>
      <w:r>
        <w:t xml:space="preserve">In addition to recurring expenses, the year included selected charges requiring separate explanation, including restructuring costs, impairment-related expenses and other items that are not considered part of normal trading cadence. These amounts are disclosed to improve comparability between periods and to distinguish operational execution from major one-time actions.</w:t>
      </w:r>
    </w:p>
    <w:p w14:paraId="00101310" w14:textId="00101311">
      <w:pPr>
        <w:pStyle w:val="Normal"/>
        <w:jc w:val="left"/>
      </w:pPr>
      <w:r>
        <w:t xml:space="preserve">Table 27 Operating cost schedule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312" w14:textId="00101358">
            <w:pPr>
              <w:pStyle w:val="Normal"/>
              <w:jc w:val="left"/>
            </w:pPr>
            <w:r>
              <w:t xml:space="preserve">Cost category</w:t>
            </w:r>
          </w:p>
        </w:tc>
        <w:tc>
          <w:tcPr>
            <w:vAlign w:val="center"/>
            <w:tcBorders>
              <w:top w:val="single" w:sz="4" w:space="0" w:color="auto"/>
              <w:left w:val="single" w:sz="4" w:space="0" w:color="auto"/>
              <w:bottom w:val="single" w:sz="4" w:space="0" w:color="auto"/>
              <w:right w:val="single" w:sz="4" w:space="0" w:color="auto"/>
            </w:tcBorders>
          </w:tcPr>
          <w:p w14:paraId="00101314" w14:textId="00101359">
            <w:pPr>
              <w:pStyle w:val="Normal"/>
              <w:jc w:val="left"/>
            </w:pPr>
            <w:r>
              <w:t xml:space="preserve">Current year</w:t>
            </w:r>
          </w:p>
        </w:tc>
        <w:tc>
          <w:tcPr>
            <w:vAlign w:val="center"/>
            <w:tcBorders>
              <w:top w:val="single" w:sz="4" w:space="0" w:color="auto"/>
              <w:left w:val="single" w:sz="4" w:space="0" w:color="auto"/>
              <w:bottom w:val="single" w:sz="4" w:space="0" w:color="auto"/>
              <w:right w:val="single" w:sz="4" w:space="0" w:color="auto"/>
            </w:tcBorders>
          </w:tcPr>
          <w:p w14:paraId="00101316" w14:textId="0010135A">
            <w:pPr>
              <w:pStyle w:val="Normal"/>
              <w:jc w:val="left"/>
            </w:pPr>
            <w:r>
              <w:t xml:space="preserve">Prior year</w:t>
            </w:r>
          </w:p>
        </w:tc>
        <w:tc>
          <w:tcPr>
            <w:vAlign w:val="center"/>
            <w:tcBorders>
              <w:top w:val="single" w:sz="4" w:space="0" w:color="auto"/>
              <w:left w:val="single" w:sz="4" w:space="0" w:color="auto"/>
              <w:bottom w:val="single" w:sz="4" w:space="0" w:color="auto"/>
              <w:right w:val="single" w:sz="4" w:space="0" w:color="auto"/>
            </w:tcBorders>
          </w:tcPr>
          <w:p w14:paraId="00101318" w14:textId="0010135B">
            <w:pPr>
              <w:pStyle w:val="Normal"/>
              <w:jc w:val="left"/>
            </w:pPr>
            <w:r>
              <w:t xml:space="preserve">Movement</w:t>
            </w:r>
          </w:p>
        </w:tc>
        <w:tc>
          <w:tcPr>
            <w:vAlign w:val="center"/>
            <w:tcBorders>
              <w:top w:val="single" w:sz="4" w:space="0" w:color="auto"/>
              <w:left w:val="single" w:sz="4" w:space="0" w:color="auto"/>
              <w:bottom w:val="single" w:sz="4" w:space="0" w:color="auto"/>
              <w:right w:val="single" w:sz="4" w:space="0" w:color="auto"/>
            </w:tcBorders>
          </w:tcPr>
          <w:p w14:paraId="0010131A" w14:textId="0010135C">
            <w:pPr>
              <w:pStyle w:val="Normal"/>
              <w:jc w:val="left"/>
            </w:pPr>
            <w:r>
              <w:t xml:space="preserve">Key drivers</w:t>
            </w:r>
          </w:p>
        </w:tc>
      </w:tr>
      <w:tr>
        <w:tc>
          <w:tcPr>
            <w:vAlign w:val="top"/>
            <w:tcBorders>
              <w:top w:val="single" w:sz="4" w:space="0" w:color="auto"/>
              <w:left w:val="single" w:sz="4" w:space="0" w:color="auto"/>
              <w:bottom w:val="single" w:sz="4" w:space="0" w:color="auto"/>
              <w:right w:val="single" w:sz="4" w:space="0" w:color="auto"/>
            </w:tcBorders>
          </w:tcPr>
          <w:p w14:paraId="0010131C" w14:textId="0010135D">
            <w:pPr>
              <w:pStyle w:val="Normal"/>
              <w:jc w:val="left"/>
            </w:pPr>
            <w:r>
              <w:t xml:space="preserve">Employee costs</w:t>
            </w:r>
          </w:p>
        </w:tc>
        <w:tc>
          <w:tcPr>
            <w:vAlign w:val="center"/>
            <w:tcBorders>
              <w:top w:val="single" w:sz="4" w:space="0" w:color="auto"/>
              <w:left w:val="single" w:sz="4" w:space="0" w:color="auto"/>
              <w:bottom w:val="single" w:sz="4" w:space="0" w:color="auto"/>
              <w:right w:val="single" w:sz="4" w:space="0" w:color="auto"/>
            </w:tcBorders>
          </w:tcPr>
          <w:p w14:paraId="0010131E" w14:textId="0010135E">
            <w:pPr>
              <w:pStyle w:val="Normal"/>
              <w:jc w:val="left"/>
            </w:pPr>
            <w:r>
              <w:t xml:space="preserve">412.6</w:t>
            </w:r>
          </w:p>
        </w:tc>
        <w:tc>
          <w:tcPr>
            <w:vAlign w:val="center"/>
            <w:tcBorders>
              <w:top w:val="single" w:sz="4" w:space="0" w:color="auto"/>
              <w:left w:val="single" w:sz="4" w:space="0" w:color="auto"/>
              <w:bottom w:val="single" w:sz="4" w:space="0" w:color="auto"/>
              <w:right w:val="single" w:sz="4" w:space="0" w:color="auto"/>
            </w:tcBorders>
          </w:tcPr>
          <w:p w14:paraId="00101320" w14:textId="0010135F">
            <w:pPr>
              <w:pStyle w:val="Normal"/>
              <w:jc w:val="left"/>
            </w:pPr>
            <w:r>
              <w:t xml:space="preserve">389.4</w:t>
            </w:r>
          </w:p>
        </w:tc>
        <w:tc>
          <w:tcPr>
            <w:vAlign w:val="center"/>
            <w:tcBorders>
              <w:top w:val="single" w:sz="4" w:space="0" w:color="auto"/>
              <w:left w:val="single" w:sz="4" w:space="0" w:color="auto"/>
              <w:bottom w:val="single" w:sz="4" w:space="0" w:color="auto"/>
              <w:right w:val="single" w:sz="4" w:space="0" w:color="auto"/>
            </w:tcBorders>
          </w:tcPr>
          <w:p w14:paraId="00101322" w14:textId="00101360">
            <w:pPr>
              <w:pStyle w:val="Normal"/>
              <w:jc w:val="left"/>
            </w:pPr>
            <w:r>
              <w:t xml:space="preserve">+23.2</w:t>
            </w:r>
          </w:p>
        </w:tc>
        <w:tc>
          <w:tcPr>
            <w:vAlign w:val="center"/>
            <w:tcBorders>
              <w:top w:val="single" w:sz="4" w:space="0" w:color="auto"/>
              <w:left w:val="single" w:sz="4" w:space="0" w:color="auto"/>
              <w:bottom w:val="single" w:sz="4" w:space="0" w:color="auto"/>
              <w:right w:val="single" w:sz="4" w:space="0" w:color="auto"/>
            </w:tcBorders>
          </w:tcPr>
          <w:p w14:paraId="00101324" w14:textId="00101361">
            <w:pPr>
              <w:pStyle w:val="Normal"/>
              <w:jc w:val="left"/>
            </w:pPr>
            <w:r>
              <w:t xml:space="preserve">Higher average headcount in Digital Services and annual wage review, partly offset by efficiency actions in Infrastructure</w:t>
            </w:r>
          </w:p>
        </w:tc>
      </w:tr>
      <w:tr>
        <w:tc>
          <w:tcPr>
            <w:vAlign w:val="top"/>
            <w:tcBorders>
              <w:top w:val="single" w:sz="4" w:space="0" w:color="auto"/>
              <w:left w:val="single" w:sz="4" w:space="0" w:color="auto"/>
              <w:bottom w:val="single" w:sz="4" w:space="0" w:color="auto"/>
              <w:right w:val="single" w:sz="4" w:space="0" w:color="auto"/>
            </w:tcBorders>
          </w:tcPr>
          <w:p w14:paraId="00101326" w14:textId="00101362">
            <w:pPr>
              <w:pStyle w:val="Normal"/>
              <w:jc w:val="left"/>
            </w:pPr>
            <w:r>
              <w:t xml:space="preserve">Raw materials and direct inputs</w:t>
            </w:r>
          </w:p>
        </w:tc>
        <w:tc>
          <w:tcPr>
            <w:vAlign w:val="center"/>
            <w:tcBorders>
              <w:top w:val="single" w:sz="4" w:space="0" w:color="auto"/>
              <w:left w:val="single" w:sz="4" w:space="0" w:color="auto"/>
              <w:bottom w:val="single" w:sz="4" w:space="0" w:color="auto"/>
              <w:right w:val="single" w:sz="4" w:space="0" w:color="auto"/>
            </w:tcBorders>
          </w:tcPr>
          <w:p w14:paraId="00101328" w14:textId="00101363">
            <w:pPr>
              <w:pStyle w:val="Normal"/>
              <w:jc w:val="left"/>
            </w:pPr>
            <w:r>
              <w:t xml:space="preserve">568.1</w:t>
            </w:r>
          </w:p>
        </w:tc>
        <w:tc>
          <w:tcPr>
            <w:vAlign w:val="center"/>
            <w:tcBorders>
              <w:top w:val="single" w:sz="4" w:space="0" w:color="auto"/>
              <w:left w:val="single" w:sz="4" w:space="0" w:color="auto"/>
              <w:bottom w:val="single" w:sz="4" w:space="0" w:color="auto"/>
              <w:right w:val="single" w:sz="4" w:space="0" w:color="auto"/>
            </w:tcBorders>
          </w:tcPr>
          <w:p w14:paraId="0010132A" w14:textId="00101364">
            <w:pPr>
              <w:pStyle w:val="Normal"/>
              <w:jc w:val="left"/>
            </w:pPr>
            <w:r>
              <w:t xml:space="preserve">541.7</w:t>
            </w:r>
          </w:p>
        </w:tc>
        <w:tc>
          <w:tcPr>
            <w:vAlign w:val="center"/>
            <w:tcBorders>
              <w:top w:val="single" w:sz="4" w:space="0" w:color="auto"/>
              <w:left w:val="single" w:sz="4" w:space="0" w:color="auto"/>
              <w:bottom w:val="single" w:sz="4" w:space="0" w:color="auto"/>
              <w:right w:val="single" w:sz="4" w:space="0" w:color="auto"/>
            </w:tcBorders>
          </w:tcPr>
          <w:p w14:paraId="0010132C" w14:textId="00101365">
            <w:pPr>
              <w:pStyle w:val="Normal"/>
              <w:jc w:val="left"/>
            </w:pPr>
            <w:r>
              <w:t xml:space="preserve">+26.4</w:t>
            </w:r>
          </w:p>
        </w:tc>
        <w:tc>
          <w:tcPr>
            <w:vAlign w:val="center"/>
            <w:tcBorders>
              <w:top w:val="single" w:sz="4" w:space="0" w:color="auto"/>
              <w:left w:val="single" w:sz="4" w:space="0" w:color="auto"/>
              <w:bottom w:val="single" w:sz="4" w:space="0" w:color="auto"/>
              <w:right w:val="single" w:sz="4" w:space="0" w:color="auto"/>
            </w:tcBorders>
          </w:tcPr>
          <w:p w14:paraId="0010132E" w14:textId="00101366">
            <w:pPr>
              <w:pStyle w:val="Normal"/>
              <w:jc w:val="left"/>
            </w:pPr>
            <w:r>
              <w:t xml:space="preserve">Industrial input inflation, selective sourcing changes, and mix shift toward higher-value engineered products</w:t>
            </w:r>
          </w:p>
        </w:tc>
      </w:tr>
      <w:tr>
        <w:tc>
          <w:tcPr>
            <w:vAlign w:val="top"/>
            <w:tcBorders>
              <w:top w:val="single" w:sz="4" w:space="0" w:color="auto"/>
              <w:left w:val="single" w:sz="4" w:space="0" w:color="auto"/>
              <w:bottom w:val="single" w:sz="4" w:space="0" w:color="auto"/>
              <w:right w:val="single" w:sz="4" w:space="0" w:color="auto"/>
            </w:tcBorders>
          </w:tcPr>
          <w:p w14:paraId="00101330" w14:textId="00101367">
            <w:pPr>
              <w:pStyle w:val="Normal"/>
              <w:jc w:val="left"/>
            </w:pPr>
            <w:r>
              <w:t xml:space="preserve">Freight, distribution and logistics</w:t>
            </w:r>
          </w:p>
        </w:tc>
        <w:tc>
          <w:tcPr>
            <w:vAlign w:val="center"/>
            <w:tcBorders>
              <w:top w:val="single" w:sz="4" w:space="0" w:color="auto"/>
              <w:left w:val="single" w:sz="4" w:space="0" w:color="auto"/>
              <w:bottom w:val="single" w:sz="4" w:space="0" w:color="auto"/>
              <w:right w:val="single" w:sz="4" w:space="0" w:color="auto"/>
            </w:tcBorders>
          </w:tcPr>
          <w:p w14:paraId="00101332" w14:textId="00101368">
            <w:pPr>
              <w:pStyle w:val="Normal"/>
              <w:jc w:val="left"/>
            </w:pPr>
            <w:r>
              <w:t xml:space="preserve">126.9</w:t>
            </w:r>
          </w:p>
        </w:tc>
        <w:tc>
          <w:tcPr>
            <w:vAlign w:val="center"/>
            <w:tcBorders>
              <w:top w:val="single" w:sz="4" w:space="0" w:color="auto"/>
              <w:left w:val="single" w:sz="4" w:space="0" w:color="auto"/>
              <w:bottom w:val="single" w:sz="4" w:space="0" w:color="auto"/>
              <w:right w:val="single" w:sz="4" w:space="0" w:color="auto"/>
            </w:tcBorders>
          </w:tcPr>
          <w:p w14:paraId="00101334" w14:textId="00101369">
            <w:pPr>
              <w:pStyle w:val="Normal"/>
              <w:jc w:val="left"/>
            </w:pPr>
            <w:r>
              <w:t xml:space="preserve">118.2</w:t>
            </w:r>
          </w:p>
        </w:tc>
        <w:tc>
          <w:tcPr>
            <w:vAlign w:val="center"/>
            <w:tcBorders>
              <w:top w:val="single" w:sz="4" w:space="0" w:color="auto"/>
              <w:left w:val="single" w:sz="4" w:space="0" w:color="auto"/>
              <w:bottom w:val="single" w:sz="4" w:space="0" w:color="auto"/>
              <w:right w:val="single" w:sz="4" w:space="0" w:color="auto"/>
            </w:tcBorders>
          </w:tcPr>
          <w:p w14:paraId="00101336" w14:textId="0010136A">
            <w:pPr>
              <w:pStyle w:val="Normal"/>
              <w:jc w:val="left"/>
            </w:pPr>
            <w:r>
              <w:t xml:space="preserve">+8.7</w:t>
            </w:r>
          </w:p>
        </w:tc>
        <w:tc>
          <w:tcPr>
            <w:vAlign w:val="center"/>
            <w:tcBorders>
              <w:top w:val="single" w:sz="4" w:space="0" w:color="auto"/>
              <w:left w:val="single" w:sz="4" w:space="0" w:color="auto"/>
              <w:bottom w:val="single" w:sz="4" w:space="0" w:color="auto"/>
              <w:right w:val="single" w:sz="4" w:space="0" w:color="auto"/>
            </w:tcBorders>
          </w:tcPr>
          <w:p w14:paraId="00101338" w14:textId="0010136B">
            <w:pPr>
              <w:pStyle w:val="Normal"/>
              <w:jc w:val="left"/>
            </w:pPr>
            <w:r>
              <w:t xml:space="preserve">Network rebalancing, fuel-related surcharges, and elevated cross-border transport rates in the first half</w:t>
            </w:r>
          </w:p>
        </w:tc>
      </w:tr>
      <w:tr>
        <w:tc>
          <w:tcPr>
            <w:vAlign w:val="top"/>
            <w:tcBorders>
              <w:top w:val="single" w:sz="4" w:space="0" w:color="auto"/>
              <w:left w:val="single" w:sz="4" w:space="0" w:color="auto"/>
              <w:bottom w:val="single" w:sz="4" w:space="0" w:color="auto"/>
              <w:right w:val="single" w:sz="4" w:space="0" w:color="auto"/>
            </w:tcBorders>
          </w:tcPr>
          <w:p w14:paraId="0010133A" w14:textId="0010136C">
            <w:pPr>
              <w:pStyle w:val="Normal"/>
              <w:jc w:val="left"/>
            </w:pPr>
            <w:r>
              <w:t xml:space="preserve">Professional services, IT and occupancy</w:t>
            </w:r>
          </w:p>
        </w:tc>
        <w:tc>
          <w:tcPr>
            <w:vAlign w:val="center"/>
            <w:tcBorders>
              <w:top w:val="single" w:sz="4" w:space="0" w:color="auto"/>
              <w:left w:val="single" w:sz="4" w:space="0" w:color="auto"/>
              <w:bottom w:val="single" w:sz="4" w:space="0" w:color="auto"/>
              <w:right w:val="single" w:sz="4" w:space="0" w:color="auto"/>
            </w:tcBorders>
          </w:tcPr>
          <w:p w14:paraId="0010133C" w14:textId="0010136D">
            <w:pPr>
              <w:pStyle w:val="Normal"/>
              <w:jc w:val="left"/>
            </w:pPr>
            <w:r>
              <w:t xml:space="preserve">173.5</w:t>
            </w:r>
          </w:p>
        </w:tc>
        <w:tc>
          <w:tcPr>
            <w:vAlign w:val="center"/>
            <w:tcBorders>
              <w:top w:val="single" w:sz="4" w:space="0" w:color="auto"/>
              <w:left w:val="single" w:sz="4" w:space="0" w:color="auto"/>
              <w:bottom w:val="single" w:sz="4" w:space="0" w:color="auto"/>
              <w:right w:val="single" w:sz="4" w:space="0" w:color="auto"/>
            </w:tcBorders>
          </w:tcPr>
          <w:p w14:paraId="0010133E" w14:textId="0010136E">
            <w:pPr>
              <w:pStyle w:val="Normal"/>
              <w:jc w:val="left"/>
            </w:pPr>
            <w:r>
              <w:t xml:space="preserve">165.9</w:t>
            </w:r>
          </w:p>
        </w:tc>
        <w:tc>
          <w:tcPr>
            <w:vAlign w:val="center"/>
            <w:tcBorders>
              <w:top w:val="single" w:sz="4" w:space="0" w:color="auto"/>
              <w:left w:val="single" w:sz="4" w:space="0" w:color="auto"/>
              <w:bottom w:val="single" w:sz="4" w:space="0" w:color="auto"/>
              <w:right w:val="single" w:sz="4" w:space="0" w:color="auto"/>
            </w:tcBorders>
          </w:tcPr>
          <w:p w14:paraId="00101340" w14:textId="0010136F">
            <w:pPr>
              <w:pStyle w:val="Normal"/>
              <w:jc w:val="left"/>
            </w:pPr>
            <w:r>
              <w:t xml:space="preserve">+7.6</w:t>
            </w:r>
          </w:p>
        </w:tc>
        <w:tc>
          <w:tcPr>
            <w:vAlign w:val="center"/>
            <w:tcBorders>
              <w:top w:val="single" w:sz="4" w:space="0" w:color="auto"/>
              <w:left w:val="single" w:sz="4" w:space="0" w:color="auto"/>
              <w:bottom w:val="single" w:sz="4" w:space="0" w:color="auto"/>
              <w:right w:val="single" w:sz="4" w:space="0" w:color="auto"/>
            </w:tcBorders>
          </w:tcPr>
          <w:p w14:paraId="00101342" w14:textId="00101370">
            <w:pPr>
              <w:pStyle w:val="Normal"/>
              <w:jc w:val="left"/>
            </w:pPr>
            <w:r>
              <w:t xml:space="preserve">Cloud hosting growth, cyber resilience projects, legal and consulting support, and lease-related facility costs</w:t>
            </w:r>
          </w:p>
        </w:tc>
      </w:tr>
      <w:tr>
        <w:tc>
          <w:tcPr>
            <w:vAlign w:val="top"/>
            <w:tcBorders>
              <w:top w:val="single" w:sz="4" w:space="0" w:color="auto"/>
              <w:left w:val="single" w:sz="4" w:space="0" w:color="auto"/>
              <w:bottom w:val="single" w:sz="4" w:space="0" w:color="auto"/>
              <w:right w:val="single" w:sz="4" w:space="0" w:color="auto"/>
            </w:tcBorders>
          </w:tcPr>
          <w:p w14:paraId="00101344" w14:textId="00101371">
            <w:pPr>
              <w:pStyle w:val="Normal"/>
              <w:jc w:val="left"/>
            </w:pPr>
            <w:r>
              <w:t xml:space="preserve">Depreciation and amortization within operating costs</w:t>
            </w:r>
          </w:p>
        </w:tc>
        <w:tc>
          <w:tcPr>
            <w:vAlign w:val="center"/>
            <w:tcBorders>
              <w:top w:val="single" w:sz="4" w:space="0" w:color="auto"/>
              <w:left w:val="single" w:sz="4" w:space="0" w:color="auto"/>
              <w:bottom w:val="single" w:sz="4" w:space="0" w:color="auto"/>
              <w:right w:val="single" w:sz="4" w:space="0" w:color="auto"/>
            </w:tcBorders>
          </w:tcPr>
          <w:p w14:paraId="00101346" w14:textId="00101372">
            <w:pPr>
              <w:pStyle w:val="Normal"/>
              <w:jc w:val="left"/>
            </w:pPr>
            <w:r>
              <w:t xml:space="preserve">94.8</w:t>
            </w:r>
          </w:p>
        </w:tc>
        <w:tc>
          <w:tcPr>
            <w:vAlign w:val="center"/>
            <w:tcBorders>
              <w:top w:val="single" w:sz="4" w:space="0" w:color="auto"/>
              <w:left w:val="single" w:sz="4" w:space="0" w:color="auto"/>
              <w:bottom w:val="single" w:sz="4" w:space="0" w:color="auto"/>
              <w:right w:val="single" w:sz="4" w:space="0" w:color="auto"/>
            </w:tcBorders>
          </w:tcPr>
          <w:p w14:paraId="00101348" w14:textId="00101373">
            <w:pPr>
              <w:pStyle w:val="Normal"/>
              <w:jc w:val="left"/>
            </w:pPr>
            <w:r>
              <w:t xml:space="preserve">89.6</w:t>
            </w:r>
          </w:p>
        </w:tc>
        <w:tc>
          <w:tcPr>
            <w:vAlign w:val="center"/>
            <w:tcBorders>
              <w:top w:val="single" w:sz="4" w:space="0" w:color="auto"/>
              <w:left w:val="single" w:sz="4" w:space="0" w:color="auto"/>
              <w:bottom w:val="single" w:sz="4" w:space="0" w:color="auto"/>
              <w:right w:val="single" w:sz="4" w:space="0" w:color="auto"/>
            </w:tcBorders>
          </w:tcPr>
          <w:p w14:paraId="0010134A" w14:textId="00101374">
            <w:pPr>
              <w:pStyle w:val="Normal"/>
              <w:jc w:val="left"/>
            </w:pPr>
            <w:r>
              <w:t xml:space="preserve">+5.2</w:t>
            </w:r>
          </w:p>
        </w:tc>
        <w:tc>
          <w:tcPr>
            <w:vAlign w:val="center"/>
            <w:tcBorders>
              <w:top w:val="single" w:sz="4" w:space="0" w:color="auto"/>
              <w:left w:val="single" w:sz="4" w:space="0" w:color="auto"/>
              <w:bottom w:val="single" w:sz="4" w:space="0" w:color="auto"/>
              <w:right w:val="single" w:sz="4" w:space="0" w:color="auto"/>
            </w:tcBorders>
          </w:tcPr>
          <w:p w14:paraId="0010134C" w14:textId="00101375">
            <w:pPr>
              <w:pStyle w:val="Normal"/>
              <w:jc w:val="left"/>
            </w:pPr>
            <w:r>
              <w:t xml:space="preserve">New capacity assets, software deployment, and amortization of acquired customer relationships</w:t>
            </w:r>
          </w:p>
        </w:tc>
      </w:tr>
      <w:tr>
        <w:tc>
          <w:tcPr>
            <w:vAlign w:val="top"/>
            <w:tcBorders>
              <w:top w:val="single" w:sz="4" w:space="0" w:color="auto"/>
              <w:left w:val="single" w:sz="4" w:space="0" w:color="auto"/>
              <w:bottom w:val="single" w:sz="4" w:space="0" w:color="auto"/>
              <w:right w:val="single" w:sz="4" w:space="0" w:color="auto"/>
            </w:tcBorders>
          </w:tcPr>
          <w:p w14:paraId="0010134E" w14:textId="00101376">
            <w:pPr>
              <w:pStyle w:val="Normal"/>
              <w:jc w:val="left"/>
            </w:pPr>
            <w:r>
              <w:t xml:space="preserve">Total operating costs before exceptional items</w:t>
            </w:r>
          </w:p>
        </w:tc>
        <w:tc>
          <w:tcPr>
            <w:vAlign w:val="center"/>
            <w:tcBorders>
              <w:top w:val="single" w:sz="4" w:space="0" w:color="auto"/>
              <w:left w:val="single" w:sz="4" w:space="0" w:color="auto"/>
              <w:bottom w:val="single" w:sz="4" w:space="0" w:color="auto"/>
              <w:right w:val="single" w:sz="4" w:space="0" w:color="auto"/>
            </w:tcBorders>
          </w:tcPr>
          <w:p w14:paraId="00101350" w14:textId="00101377">
            <w:pPr>
              <w:pStyle w:val="Normal"/>
              <w:jc w:val="left"/>
            </w:pPr>
            <w:r>
              <w:t xml:space="preserve">1,375.9</w:t>
            </w:r>
          </w:p>
        </w:tc>
        <w:tc>
          <w:tcPr>
            <w:vAlign w:val="center"/>
            <w:tcBorders>
              <w:top w:val="single" w:sz="4" w:space="0" w:color="auto"/>
              <w:left w:val="single" w:sz="4" w:space="0" w:color="auto"/>
              <w:bottom w:val="single" w:sz="4" w:space="0" w:color="auto"/>
              <w:right w:val="single" w:sz="4" w:space="0" w:color="auto"/>
            </w:tcBorders>
          </w:tcPr>
          <w:p w14:paraId="00101352" w14:textId="00101378">
            <w:pPr>
              <w:pStyle w:val="Normal"/>
              <w:jc w:val="left"/>
            </w:pPr>
            <w:r>
              <w:t xml:space="preserve">1,304.8</w:t>
            </w:r>
          </w:p>
        </w:tc>
        <w:tc>
          <w:tcPr>
            <w:vAlign w:val="center"/>
            <w:tcBorders>
              <w:top w:val="single" w:sz="4" w:space="0" w:color="auto"/>
              <w:left w:val="single" w:sz="4" w:space="0" w:color="auto"/>
              <w:bottom w:val="single" w:sz="4" w:space="0" w:color="auto"/>
              <w:right w:val="single" w:sz="4" w:space="0" w:color="auto"/>
            </w:tcBorders>
          </w:tcPr>
          <w:p w14:paraId="00101354" w14:textId="00101379">
            <w:pPr>
              <w:pStyle w:val="Normal"/>
              <w:jc w:val="left"/>
            </w:pPr>
            <w:r>
              <w:t xml:space="preserve">+71.1</w:t>
            </w:r>
          </w:p>
        </w:tc>
        <w:tc>
          <w:tcPr>
            <w:vAlign w:val="center"/>
            <w:tcBorders>
              <w:top w:val="single" w:sz="4" w:space="0" w:color="auto"/>
              <w:left w:val="single" w:sz="4" w:space="0" w:color="auto"/>
              <w:bottom w:val="single" w:sz="4" w:space="0" w:color="auto"/>
              <w:right w:val="single" w:sz="4" w:space="0" w:color="auto"/>
            </w:tcBorders>
          </w:tcPr>
          <w:p w14:paraId="00101356" w14:textId="0010137A">
            <w:pPr>
              <w:pStyle w:val="Normal"/>
              <w:jc w:val="left"/>
            </w:pPr>
            <w:r>
              <w:t xml:space="preserve">Growth in scale, inflationary pressure, and investment in capability, partly mitigated by productivity initiatives</w:t>
            </w:r>
          </w:p>
        </w:tc>
      </w:tr>
    </w:tbl>
    <w:p w14:paraId="0010137B" w14:textId="0010137C">
      <w:pPr>
        <w:pStyle w:val="Heading4a"/>
        <w:jc w:val="left"/>
      </w:pPr>
      <w:r>
        <w:t xml:space="preserve">Employee and Input Costs</w:t>
      </w:r>
    </w:p>
    <w:p w14:paraId="0010137D" w14:textId="0010137E">
      <w:pPr>
        <w:pStyle w:val="Normal"/>
        <w:jc w:val="left"/>
      </w:pPr>
      <w:r>
        <w:t xml:space="preserve">The Group’s operating cost base reflects the different economics of its four reporting segments. Employee costs remain the largest controllable category in service-led activities, particularly in Infrastructure and Digital Services, where project delivery, customer support, software engineering, and field operations require a stable skilled workforce. In Industrial and Consumer, direct materials, packaging, contract manufacturing support, and distribution costs represent a larger share of the cost structure, and these categories are more sensitive to commodity pricing, supplier lead times, and freight conditions.</w:t>
      </w:r>
    </w:p>
    <w:p w14:paraId="0010137F" w14:textId="00101380">
      <w:pPr>
        <w:pStyle w:val="Normal"/>
        <w:jc w:val="left"/>
      </w:pPr>
      <w:r>
        <w:t xml:space="preserve">During the year, the principal cost drivers were wage inflation, selective hiring in growth areas, higher technology spend, and continued pressure on direct inputs in certain product lines. Management responded through procurement discipline, network planning, and a tighter review of discretionary overhead. Contract renegotiations, product redesign, and a broader use of data-based demand planning helped offset some of the cost pressure, particularly in the second half. While the overall cost base increased in line with revenue growth and capability investment, the Group maintained focus on cost quality rather than simple cost reduction, prioritizing spending that supports service reliability, digital enablement, and margin resilience.</w:t>
      </w:r>
    </w:p>
    <w:p w14:paraId="00101381" w14:textId="00101382">
      <w:pPr>
        <w:pStyle w:val="Heading5"/>
        <w:jc w:val="left"/>
      </w:pPr>
      <w:r>
        <w:t xml:space="preserve">Employee Costs</w:t>
      </w:r>
    </w:p>
    <w:p w14:paraId="00101383" w14:textId="00101384">
      <w:pPr>
        <w:pStyle w:val="Normal"/>
        <w:jc w:val="left"/>
      </w:pPr>
      <w:r>
        <w:t xml:space="preserve">Employee costs comprise salaries and wages, short-term incentive plans, employer social contributions, pension service costs, share-based payment expense, training, and other employment-related benefits. The increase in payroll expense during the year was driven by a combination of annual salary reviews, targeted recruitment in commercial and digital roles, and a full-year effect from prior-period additions in customer-facing teams. Variable remuneration also increased moderately as trading performance improved in parts of the portfolio, although payout levels remained aligned to segment and group profitability thresholds.</w:t>
      </w:r>
    </w:p>
    <w:p w14:paraId="00101385" w14:textId="00101386">
      <w:pPr>
        <w:pStyle w:val="Normal"/>
        <w:jc w:val="left"/>
      </w:pPr>
      <w:r>
        <w:t xml:space="preserve">The composition of the workforce continued to shift toward higher-skilled technical and analytical roles. Rivermark Group expanded software development, data operations, and solution engineering capacity in Digital Services while preserving frontline technical capability in Infrastructure. In parallel, selected support functions were simplified through process automation and shared-service arrangements. This produced a moderate change in role mix rather than a large change in total headcount. Benefit costs remained broadly stable as a proportion of payroll, with medical, insurance, and leave-related provisions moving in line with workforce growth. Overall, employee cost growth reflected both inflationary factors and deliberate investment in capabilities considered essential to medium-term revenue quality and execution strength.</w:t>
      </w:r>
    </w:p>
    <w:p w14:paraId="00101387" w14:textId="00101388">
      <w:pPr>
        <w:pStyle w:val="Normal"/>
        <w:jc w:val="left"/>
      </w:pPr>
      <w:r>
        <w:t xml:space="preserve">Pension expense includes contributions to defined contribution plans and the current service cost of remaining defined benefit arrangements in certain legacy jurisdictions. The Group’s pension profile is now predominantly contribution-based, which reduces balance sheet volatility and limits exposure to long-duration actuarial movements. Where defined benefit plans remain, obligations are monitored through periodic actuarial review, and funding actions are assessed in conjunction with trustees and local management. Year-on-year pension cost increased only modestly, reflecting stable participation patterns and limited changes in scheme design.</w:t>
      </w:r>
    </w:p>
    <w:p w14:paraId="00101389" w14:textId="0010138A">
      <w:pPr>
        <w:pStyle w:val="Normal"/>
        <w:jc w:val="left"/>
      </w:pPr>
      <w:r>
        <w:t xml:space="preserve">Staff trends during the year showed disciplined expansion in growth businesses and selective resizing in lower-demand areas. Average headcount rose in Digital Services and Consumer channel support functions, while Industrial manufacturing sites focused on productivity and overtime control rather than broad-based hiring. In Infrastructure, workforce deployment was adjusted between maintenance, project, and service activities to match contract timing. Voluntary turnover eased compared with the prior year, particularly in specialist digital roles, as retention actions and internal mobility programs gained traction. Management considers workforce stability an important operating indicator because it affects service continuity, project execution, training efficiency, and ultimately customer satisfaction.</w:t>
      </w:r>
    </w:p>
    <w:p w14:paraId="0010138B" w14:textId="0010138C">
      <w:pPr>
        <w:pStyle w:val="Heading5"/>
        <w:jc w:val="left"/>
      </w:pPr>
      <w:r>
        <w:t xml:space="preserve">Other Operating Costs</w:t>
      </w:r>
    </w:p>
    <w:p w14:paraId="0010138D" w14:textId="0010138E">
      <w:pPr>
        <w:pStyle w:val="Normal"/>
        <w:jc w:val="left"/>
      </w:pPr>
      <w:r>
        <w:t xml:space="preserve">Other operating costs include third-party services, software subscriptions, occupancy, utilities, travel, professional fees, marketing support, maintenance, and general administrative expenses. These costs rose during the year, but at a slower rate than revenue in most segments, reflecting tighter budget control and greater central oversight of discretionary spending. Technology-related costs increased as the Group expanded cloud infrastructure, security tools, enterprise data platforms, and customer-facing digital capabilities. These expenditures were partly offset by savings in legacy system support and lower external spend in selected back-office processes.</w:t>
      </w:r>
    </w:p>
    <w:p w14:paraId="0010138F" w14:textId="00101390">
      <w:pPr>
        <w:pStyle w:val="Normal"/>
        <w:jc w:val="left"/>
      </w:pPr>
      <w:r>
        <w:t xml:space="preserve">Professional services were elevated in the first half due to legal, compliance, transaction screening, and transformation support, then moderated as several projects moved into execution rather than design. Occupancy and utilities costs remained manageable despite inflation, helped by portfolio optimization and improved site utilization. Travel and event-related spending increased from a low prior-year base but remained below historical levels because hybrid work practices and virtual client engagement are now embedded in the operating model. Overall, overhead growth reflected strategic enablement and control requirements more than uncontrolled cost drift, and management continued to distinguish recurring capability spend from temporary project-related expense.</w:t>
      </w:r>
    </w:p>
    <w:p w14:paraId="00101391" w14:textId="00101392">
      <w:pPr>
        <w:pStyle w:val="Normal"/>
        <w:jc w:val="left"/>
      </w:pPr>
      <w:r>
        <w:t xml:space="preserve">Logistics and externally sourced input costs were affected by uneven market conditions across the year. Freight rates remained elevated in some lanes during the early months, particularly for cross-border movements and time-sensitive shipments, while domestic transport gradually normalized. In Consumer and Industrial, packaging, selected resins, metals, and electronic components continued to show inflationary pressure, although spot pricing improved in several categories by year end. Supplier negotiations, dual sourcing, and revised order patterns reduced exposure to short-term price spikes, but not all increases could be recovered immediately through pricing.</w:t>
      </w:r>
    </w:p>
    <w:p w14:paraId="00101393" w14:textId="00101394">
      <w:pPr>
        <w:pStyle w:val="Normal"/>
        <w:jc w:val="left"/>
      </w:pPr>
      <w:r>
        <w:t xml:space="preserve">The Group managed these pressures through coordinated procurement and supply planning. Central category teams increased contract coverage for critical inputs, and operational teams rebalanced inventory targets to protect service levels without locking in excessive high-cost stock. In segments where customer contracts allow pass-through mechanisms, recovery improved over the course of the year, though timing differences affected margins in the interim. Logistics productivity also benefited from route redesign, consolidation of distribution nodes, and better demand visibility. The net result was a year of continued cost pressure, but with a clearer trajectory toward stabilization and improved purchasing effectiveness in the second half.</w:t>
      </w:r>
    </w:p>
    <w:p w14:paraId="00101395" w14:textId="00101396">
      <w:pPr>
        <w:pStyle w:val="Heading4a"/>
        <w:jc w:val="left"/>
      </w:pPr>
      <w:r>
        <w:t xml:space="preserve">Exceptional Items</w:t>
      </w:r>
    </w:p>
    <w:p w14:paraId="00101397" w14:textId="00101398">
      <w:pPr>
        <w:pStyle w:val="Normal"/>
        <w:jc w:val="left"/>
      </w:pPr>
      <w:r>
        <w:t xml:space="preserve">Exceptional items are material gains or charges that management judges to be non-recurring in nature or not representative of underlying operating performance. Presenting these items separately supports comparability between periods and helps users distinguish the earnings effects of strategic actions, portfolio changes, restructuring measures, or unusual asset-related events from the normal cost of running the business. Such items are assessed individually and in aggregate, with attention to size, cause, and whether the underlying activity is expected to repeat as part of ordinary operations.</w:t>
      </w:r>
    </w:p>
    <w:p w14:paraId="00101399" w14:textId="0010139A">
      <w:pPr>
        <w:pStyle w:val="Normal"/>
        <w:jc w:val="left"/>
      </w:pPr>
      <w:r>
        <w:t xml:space="preserve">In the current year, exceptional items primarily related to restructuring programs, selective impairment charges, and certain transaction and integration costs associated with portfolio actions. Where relevant, cash and non-cash components are considered separately, since some charges affect current-period profit without an immediate cash consequence. The Group applies a consistent approval process for classification, involving finance leadership and review by the Audit and Risk Committee. Although these items can be significant in a single reporting period, management does not regard them as part of the ongoing earnings capacity of the segments. Users should therefore read the exceptional item disclosures together with adjusted operating measures, cash flow statements, and the narrative discussion of segment performance.</w:t>
      </w:r>
    </w:p>
    <w:p w14:paraId="0010139B" w14:textId="0010139C">
      <w:pPr>
        <w:pStyle w:val="Heading5"/>
        <w:jc w:val="left"/>
      </w:pPr>
      <w:r>
        <w:t xml:space="preserve">Restructuring</w:t>
      </w:r>
    </w:p>
    <w:p w14:paraId="0010139D" w14:textId="0010139E">
      <w:pPr>
        <w:pStyle w:val="Normal"/>
        <w:jc w:val="left"/>
      </w:pPr>
      <w:r>
        <w:t xml:space="preserve">Restructuring charges recognized in the year primarily related to the Group’s productivity and footprint optimization programs in Infrastructure, Industrial and selected shared-service functions. These programs were approved by management before year end and were directed at simplifying site structures, reducing duplicated administrative activity and aligning capacity with expected demand. The majority of the expense comprised employee severance, contract termination costs and directly attributable implementation support. Charges were recognized when a detailed plan had been communicated to the affected parties or when a present obligation arose under contract, rather than when the broader efficiency initiative was first announced.</w:t>
      </w:r>
    </w:p>
    <w:p w14:paraId="0010139F" w14:textId="001013A0">
      <w:pPr>
        <w:pStyle w:val="Normal"/>
        <w:jc w:val="left"/>
      </w:pPr>
      <w:r>
        <w:t xml:space="preserve">Timing of recognition reflected the stage of execution in each program. Costs tied to headcount reduction were recorded once consultation milestones and formal notifications had been completed, while site-exit and contract-settlement costs were recognized as the Group became committed to those actions. As a result, the current-year charge includes both newly initiated measures and the completion of actions launched in the prior year. Management expects most remaining implementation activity to conclude over the next reporting period, although final settlement timing may vary by jurisdiction, workforce process and landlord or supplier negotiation outcomes.</w:t>
      </w:r>
    </w:p>
    <w:p w14:paraId="001013A1" w14:textId="001013A2">
      <w:pPr>
        <w:pStyle w:val="Normal"/>
        <w:jc w:val="left"/>
      </w:pPr>
      <w:r>
        <w:t xml:space="preserve">The restructuring charge is linked to provisions where the underlying obligation remained outstanding at the reporting date. Provisions were established only for costs that were unavoidable and directly associated with the approved programs; they did not include future operating losses, retraining of retained employees or investment in replacement systems. Movements in those provisions during the year reflected new charges, cash utilization, releases of unused balances and, in limited cases, reclassifications between current and non-current categories according to the expected settlement period.</w:t>
      </w:r>
    </w:p>
    <w:p w14:paraId="001013A3" w14:textId="001013A4">
      <w:pPr>
        <w:pStyle w:val="Normal"/>
        <w:jc w:val="left"/>
      </w:pPr>
      <w:r>
        <w:t xml:space="preserve">Cash use against the provision was concentrated in severance payments, lease and facility exit settlements, and professional fees incurred to execute closure or consolidation actions. The largest cash outflows are expected in the first half of the next financial year, consistent with local settlement practices and the completion schedule for site actions already announced. Where actual cash payments differ from original estimates, the Group updates the remaining provision through the income statement in the period when revised information becomes available. This approach ensures that the provision balance continues to represent management’s best estimate of the expenditure required to settle the obligations existing at the reporting date.</w:t>
      </w:r>
    </w:p>
    <w:p w14:paraId="001013A5" w14:textId="001013A6">
      <w:pPr>
        <w:pStyle w:val="Heading5"/>
        <w:jc w:val="left"/>
      </w:pPr>
      <w:r>
        <w:t xml:space="preserve">Other Items</w:t>
      </w:r>
    </w:p>
    <w:p w14:paraId="001013A7" w14:textId="001013A8">
      <w:pPr>
        <w:pStyle w:val="Normal"/>
        <w:jc w:val="left"/>
      </w:pPr>
      <w:r>
        <w:t xml:space="preserve">Other items comprised material non-recurring gains and losses that management considers separately from underlying operating performance in order to improve comparability between periods. In the current year, these items included impairment charges against selected cash-generating units where revised demand assumptions, lower forecast margins or changes in discount rates reduced recoverable amount below carrying value. The most significant impairment exposure arose in older Industrial production assets and certain acquired intangible assets in Digital Services, where expected benefits from legacy platforms are now being realized over a shorter horizon than originally assumed.</w:t>
      </w:r>
    </w:p>
    <w:p w14:paraId="001013A9" w14:textId="001013AA">
      <w:pPr>
        <w:pStyle w:val="Normal"/>
        <w:jc w:val="left"/>
      </w:pPr>
      <w:r>
        <w:t xml:space="preserve">The year also included gains on asset disposals and property rationalization activities, mainly from the sale of surplus land, obsolete equipment and a minority investment no longer aligned with the Group’s portfolio priorities. Such gains were recognized when control transferred and the related carrying amount had been derecognized. While these gains partially offset impairment and restructuring-related charges, they arose from distinct transactions and are not presented as part of recurring operating margin. Management therefore reviews them alongside exceptional items to assess the period’s statutory result, cash implications and the effect of portfolio reshaping decisions on future earnings quality.</w:t>
      </w:r>
    </w:p>
    <w:p w14:paraId="001013AB" w14:textId="001013AC">
      <w:pPr>
        <w:pStyle w:val="Normal"/>
        <w:jc w:val="left"/>
      </w:pPr>
      <w:r>
        <w:t xml:space="preserve">Other losses recorded in the period included litigation settlements, write-downs of redundant inventories connected with product exits, and fair value losses on contingent consideration associated with earlier acquisitions. These charges were recognized when the relevant obligation or valuation movement became sufficiently certain and measurable. In each case, management assessed whether the item reflected ordinary trading activity or a discrete event outside normal period-to-period operations. Items meeting the latter threshold were disclosed separately to support a clearer reading of underlying segment trends.</w:t>
      </w:r>
    </w:p>
    <w:p w14:paraId="001013AD" w14:textId="001013AE">
      <w:pPr>
        <w:pStyle w:val="Normal"/>
        <w:jc w:val="left"/>
      </w:pPr>
      <w:r>
        <w:t xml:space="preserve">Offsetting items were limited and were not netted against unrelated losses. Insurance recoveries, supplier recoveries and disposal gains were recognized only when receipt was virtually certain or when the underlying sale transaction had been completed. This treatment avoids overstating the extent to which unusual losses are economically neutralized in the same reporting period. Although some exceptional gains reduced the net charge presented in the notes, the gross composition remains important because losses tied to impairment, litigation or legacy contracts do not share the same risk profile, recurrence pattern or cash timing as disposal-related gains. The note therefore distinguishes the source of each material item and the extent to which any associated cash impact has already been realized.</w:t>
      </w:r>
    </w:p>
    <w:p w14:paraId="001013AF" w14:textId="001013B0">
      <w:pPr>
        <w:pStyle w:val="Heading2a"/>
        <w:jc w:val="left"/>
      </w:pPr>
      <w:r>
        <w:t xml:space="preserve">Capital and Funding Notes</w:t>
      </w:r>
    </w:p>
    <w:p w14:paraId="001013B1" w14:textId="001013B2">
      <w:pPr>
        <w:pStyle w:val="Normal"/>
        <w:jc w:val="left"/>
      </w:pPr>
      <w:r>
        <w:t xml:space="preserve">This section explains how Rivermark Group invested in, financed and supported its operating platform during the year, and how those decisions are reflected in tax and equity positions at period end. The related notes cover the composition and movement of non-current assets, working capital balances, provisions, borrowings, lease obligations, liquidity resources, tax charges and reserve movements. Together, they show the link between statutory statements and the capital employed in the business.</w:t>
      </w:r>
    </w:p>
    <w:p w14:paraId="001013B3" w14:textId="001013B4">
      <w:pPr>
        <w:pStyle w:val="Normal"/>
        <w:jc w:val="left"/>
      </w:pPr>
      <w:r>
        <w:t xml:space="preserve">Particular attention is given to areas where measurement requires judgment or where cash consequences extend beyond the current year. These include impairment testing of cash-generating units, expected credit and inventory assessments, maturity analysis of debt and lease liabilities, covenant headroom, deferred tax recognition and the classification of amounts between current and non-current categories. The notes also distinguish between obligations arising from day-to-day trading and those resulting from financing arrangements or strategic actions.</w:t>
      </w:r>
    </w:p>
    <w:p w14:paraId="001013B5" w14:textId="001013B6">
      <w:pPr>
        <w:pStyle w:val="Normal"/>
        <w:jc w:val="left"/>
      </w:pPr>
      <w:r>
        <w:t xml:space="preserve">Readers should consider this section alongside the operating review and cash flow statement. The narrative there explains the commercial and operational events that drove investment, funding needs and tax outcomes, while the schedules in this section provide the detailed balances, movements and reconciliation points needed to understand year-end financial position and future capital commitments.</w:t>
      </w:r>
    </w:p>
    <w:p w14:paraId="001013B7" w14:textId="001013B8">
      <w:pPr>
        <w:pStyle w:val="Heading3a"/>
        <w:jc w:val="left"/>
      </w:pPr>
      <w:r>
        <w:t xml:space="preserve">Assets and Liabilities</w:t>
      </w:r>
    </w:p>
    <w:p w14:paraId="001013B9" w14:textId="001013BA">
      <w:pPr>
        <w:pStyle w:val="Normal"/>
        <w:jc w:val="left"/>
      </w:pPr>
      <w:r>
        <w:t xml:space="preserve">The assets and liabilities notes provide the detailed schedules behind the Group’s investment base and operating obligations. They include roll-forwards for property, plant and equipment and intangible assets, disclosures on capital expenditure, depreciation and amortization, and the assumptions used in impairment testing for material cash-generating units. These schedules help explain how Rivermark Group has allocated capital across production sites, logistics capacity, software platforms and acquired businesses, and how those assets are being consumed or reassessed as market expectations evolve.</w:t>
      </w:r>
    </w:p>
    <w:p w14:paraId="001013BB" w14:textId="001013BC">
      <w:pPr>
        <w:pStyle w:val="Normal"/>
        <w:jc w:val="left"/>
      </w:pPr>
      <w:r>
        <w:t xml:space="preserve">Current balance disclosures focus on inventories, trade and other receivables, provisions and related working capital items. For inventories, the notes distinguish raw materials, work in progress and finished goods, together with write-downs recorded where net realizable value fell below cost. Receivables disclosures address aging, expected credit loss allowances and concentration considerations, while provisions identify the nature, timing and uncertainty of obligations such as warranties, legal matters and restructuring commitments. Where relevant, balances are split between current and non-current portions to show expected timing of settlement.</w:t>
      </w:r>
    </w:p>
    <w:p w14:paraId="001013BD" w14:textId="001013BE">
      <w:pPr>
        <w:pStyle w:val="Normal"/>
        <w:jc w:val="left"/>
      </w:pPr>
      <w:r>
        <w:t xml:space="preserve">Taken together, these schedules support an assessment of both capital intensity and balance sheet resilience. They show not only the size of recorded assets and obligations, but also the quality of carrying values, the pace of investment, and the degree to which future cash flows may be influenced by maintenance requirements, recoverability judgments and settlement of existing provisions.</w:t>
      </w:r>
    </w:p>
    <w:p w14:paraId="001013BF" w14:textId="001013C0">
      <w:pPr>
        <w:pStyle w:val="Normal"/>
        <w:jc w:val="left"/>
      </w:pPr>
      <w:r>
        <w:t xml:space="preserve">Table 32 Assets and liabilities schedules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038"/>
        <w:gridCol w:w="1038"/>
        <w:gridCol w:w="1038"/>
        <w:gridCol w:w="1038"/>
        <w:gridCol w:w="1038"/>
        <w:gridCol w:w="1038"/>
        <w:gridCol w:w="1038"/>
        <w:gridCol w:w="1038"/>
      </w:tblGrid>
      <w:tr>
        <w:trPr>
          <w:tblHeader/>
        </w:trPr>
        <w:tc>
          <w:tcPr>
            <w:vAlign w:val="center"/>
            <w:tcBorders>
              <w:top w:val="single" w:sz="4" w:space="0" w:color="auto"/>
              <w:left w:val="single" w:sz="4" w:space="0" w:color="auto"/>
              <w:bottom w:val="single" w:sz="4" w:space="0" w:color="auto"/>
              <w:right w:val="single" w:sz="4" w:space="0" w:color="auto"/>
            </w:tcBorders>
          </w:tcPr>
          <w:p w14:paraId="001013C1" w14:textId="00101451">
            <w:pPr>
              <w:pStyle w:val="Normal"/>
              <w:jc w:val="left"/>
            </w:pPr>
            <w:r>
              <w:t xml:space="preserve">Category</w:t>
            </w:r>
          </w:p>
        </w:tc>
        <w:tc>
          <w:tcPr>
            <w:vAlign w:val="center"/>
            <w:tcBorders>
              <w:top w:val="single" w:sz="4" w:space="0" w:color="auto"/>
              <w:left w:val="single" w:sz="4" w:space="0" w:color="auto"/>
              <w:bottom w:val="single" w:sz="4" w:space="0" w:color="auto"/>
              <w:right w:val="single" w:sz="4" w:space="0" w:color="auto"/>
            </w:tcBorders>
          </w:tcPr>
          <w:p w14:paraId="001013C3" w14:textId="00101452">
            <w:pPr>
              <w:pStyle w:val="Normal"/>
              <w:jc w:val="left"/>
            </w:pPr>
            <w:r>
              <w:t xml:space="preserve">Opening balance</w:t>
            </w:r>
          </w:p>
        </w:tc>
        <w:tc>
          <w:tcPr>
            <w:vAlign w:val="center"/>
            <w:tcBorders>
              <w:top w:val="single" w:sz="4" w:space="0" w:color="auto"/>
              <w:left w:val="single" w:sz="4" w:space="0" w:color="auto"/>
              <w:bottom w:val="single" w:sz="4" w:space="0" w:color="auto"/>
              <w:right w:val="single" w:sz="4" w:space="0" w:color="auto"/>
            </w:tcBorders>
          </w:tcPr>
          <w:p w14:paraId="001013C5" w14:textId="00101453">
            <w:pPr>
              <w:pStyle w:val="Normal"/>
              <w:jc w:val="left"/>
            </w:pPr>
            <w:r>
              <w:t xml:space="preserve">Additions / originations</w:t>
            </w:r>
          </w:p>
        </w:tc>
        <w:tc>
          <w:tcPr>
            <w:vAlign w:val="center"/>
            <w:tcBorders>
              <w:top w:val="single" w:sz="4" w:space="0" w:color="auto"/>
              <w:left w:val="single" w:sz="4" w:space="0" w:color="auto"/>
              <w:bottom w:val="single" w:sz="4" w:space="0" w:color="auto"/>
              <w:right w:val="single" w:sz="4" w:space="0" w:color="auto"/>
            </w:tcBorders>
          </w:tcPr>
          <w:p w14:paraId="001013C7" w14:textId="00101454">
            <w:pPr>
              <w:pStyle w:val="Normal"/>
              <w:jc w:val="left"/>
            </w:pPr>
            <w:r>
              <w:t xml:space="preserve">Depreciation / amortization / usage</w:t>
            </w:r>
          </w:p>
        </w:tc>
        <w:tc>
          <w:tcPr>
            <w:vAlign w:val="center"/>
            <w:tcBorders>
              <w:top w:val="single" w:sz="4" w:space="0" w:color="auto"/>
              <w:left w:val="single" w:sz="4" w:space="0" w:color="auto"/>
              <w:bottom w:val="single" w:sz="4" w:space="0" w:color="auto"/>
              <w:right w:val="single" w:sz="4" w:space="0" w:color="auto"/>
            </w:tcBorders>
          </w:tcPr>
          <w:p w14:paraId="001013C9" w14:textId="00101455">
            <w:pPr>
              <w:pStyle w:val="Normal"/>
              <w:jc w:val="left"/>
            </w:pPr>
            <w:r>
              <w:t xml:space="preserve">Impairment / reversals</w:t>
            </w:r>
          </w:p>
        </w:tc>
        <w:tc>
          <w:tcPr>
            <w:vAlign w:val="center"/>
            <w:tcBorders>
              <w:top w:val="single" w:sz="4" w:space="0" w:color="auto"/>
              <w:left w:val="single" w:sz="4" w:space="0" w:color="auto"/>
              <w:bottom w:val="single" w:sz="4" w:space="0" w:color="auto"/>
              <w:right w:val="single" w:sz="4" w:space="0" w:color="auto"/>
            </w:tcBorders>
          </w:tcPr>
          <w:p w14:paraId="001013CB" w14:textId="00101456">
            <w:pPr>
              <w:pStyle w:val="Normal"/>
              <w:jc w:val="left"/>
            </w:pPr>
            <w:r>
              <w:t xml:space="preserve">Disposals / settlements</w:t>
            </w:r>
          </w:p>
        </w:tc>
        <w:tc>
          <w:tcPr>
            <w:vAlign w:val="center"/>
            <w:tcBorders>
              <w:top w:val="single" w:sz="4" w:space="0" w:color="auto"/>
              <w:left w:val="single" w:sz="4" w:space="0" w:color="auto"/>
              <w:bottom w:val="single" w:sz="4" w:space="0" w:color="auto"/>
              <w:right w:val="single" w:sz="4" w:space="0" w:color="auto"/>
            </w:tcBorders>
          </w:tcPr>
          <w:p w14:paraId="001013CD" w14:textId="00101457">
            <w:pPr>
              <w:pStyle w:val="Normal"/>
              <w:jc w:val="left"/>
            </w:pPr>
            <w:r>
              <w:t xml:space="preserve">Other movements</w:t>
            </w:r>
          </w:p>
        </w:tc>
        <w:tc>
          <w:tcPr>
            <w:vAlign w:val="center"/>
            <w:tcBorders>
              <w:top w:val="single" w:sz="4" w:space="0" w:color="auto"/>
              <w:left w:val="single" w:sz="4" w:space="0" w:color="auto"/>
              <w:bottom w:val="single" w:sz="4" w:space="0" w:color="auto"/>
              <w:right w:val="single" w:sz="4" w:space="0" w:color="auto"/>
            </w:tcBorders>
          </w:tcPr>
          <w:p w14:paraId="001013CF" w14:textId="00101458">
            <w:pPr>
              <w:pStyle w:val="Normal"/>
              <w:jc w:val="left"/>
            </w:pPr>
            <w:r>
              <w:t xml:space="preserve">Closing balance</w:t>
            </w:r>
          </w:p>
        </w:tc>
      </w:tr>
      <w:tr>
        <w:tc>
          <w:tcPr>
            <w:vAlign w:val="top"/>
            <w:tcBorders>
              <w:top w:val="single" w:sz="4" w:space="0" w:color="auto"/>
              <w:left w:val="single" w:sz="4" w:space="0" w:color="auto"/>
              <w:bottom w:val="single" w:sz="4" w:space="0" w:color="auto"/>
              <w:right w:val="single" w:sz="4" w:space="0" w:color="auto"/>
            </w:tcBorders>
          </w:tcPr>
          <w:p w14:paraId="001013D1" w14:textId="00101459">
            <w:pPr>
              <w:pStyle w:val="Normal"/>
              <w:jc w:val="left"/>
            </w:pPr>
            <w:r>
              <w:t xml:space="preserve">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13D3" w14:textId="0010145A">
            <w:pPr>
              <w:pStyle w:val="Normal"/>
              <w:jc w:val="left"/>
            </w:pPr>
            <w:r>
              <w:t xml:space="preserve">1,286</w:t>
            </w:r>
          </w:p>
        </w:tc>
        <w:tc>
          <w:tcPr>
            <w:vAlign w:val="center"/>
            <w:tcBorders>
              <w:top w:val="single" w:sz="4" w:space="0" w:color="auto"/>
              <w:left w:val="single" w:sz="4" w:space="0" w:color="auto"/>
              <w:bottom w:val="single" w:sz="4" w:space="0" w:color="auto"/>
              <w:right w:val="single" w:sz="4" w:space="0" w:color="auto"/>
            </w:tcBorders>
          </w:tcPr>
          <w:p w14:paraId="001013D5" w14:textId="0010145B">
            <w:pPr>
              <w:pStyle w:val="Normal"/>
              <w:jc w:val="left"/>
            </w:pPr>
            <w:r>
              <w:t xml:space="preserve">214</w:t>
            </w:r>
          </w:p>
        </w:tc>
        <w:tc>
          <w:tcPr>
            <w:vAlign w:val="center"/>
            <w:tcBorders>
              <w:top w:val="single" w:sz="4" w:space="0" w:color="auto"/>
              <w:left w:val="single" w:sz="4" w:space="0" w:color="auto"/>
              <w:bottom w:val="single" w:sz="4" w:space="0" w:color="auto"/>
              <w:right w:val="single" w:sz="4" w:space="0" w:color="auto"/>
            </w:tcBorders>
          </w:tcPr>
          <w:p w14:paraId="001013D7" w14:textId="0010145C">
            <w:pPr>
              <w:pStyle w:val="Normal"/>
              <w:jc w:val="left"/>
            </w:pPr>
            <w:r>
              <w:t xml:space="preserve">(162)</w:t>
            </w:r>
          </w:p>
        </w:tc>
        <w:tc>
          <w:tcPr>
            <w:vAlign w:val="center"/>
            <w:tcBorders>
              <w:top w:val="single" w:sz="4" w:space="0" w:color="auto"/>
              <w:left w:val="single" w:sz="4" w:space="0" w:color="auto"/>
              <w:bottom w:val="single" w:sz="4" w:space="0" w:color="auto"/>
              <w:right w:val="single" w:sz="4" w:space="0" w:color="auto"/>
            </w:tcBorders>
          </w:tcPr>
          <w:p w14:paraId="001013D9" w14:textId="0010145D">
            <w:pPr>
              <w:pStyle w:val="Normal"/>
              <w:jc w:val="left"/>
            </w:pPr>
            <w:r>
              <w:t xml:space="preserve">(18)</w:t>
            </w:r>
          </w:p>
        </w:tc>
        <w:tc>
          <w:tcPr>
            <w:vAlign w:val="center"/>
            <w:tcBorders>
              <w:top w:val="single" w:sz="4" w:space="0" w:color="auto"/>
              <w:left w:val="single" w:sz="4" w:space="0" w:color="auto"/>
              <w:bottom w:val="single" w:sz="4" w:space="0" w:color="auto"/>
              <w:right w:val="single" w:sz="4" w:space="0" w:color="auto"/>
            </w:tcBorders>
          </w:tcPr>
          <w:p w14:paraId="001013DB" w14:textId="0010145E">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13DD" w14:textId="0010145F">
            <w:pPr>
              <w:pStyle w:val="Normal"/>
              <w:jc w:val="left"/>
            </w:pPr>
            <w:r>
              <w:t xml:space="preserve">11</w:t>
            </w:r>
          </w:p>
        </w:tc>
        <w:tc>
          <w:tcPr>
            <w:vAlign w:val="center"/>
            <w:tcBorders>
              <w:top w:val="single" w:sz="4" w:space="0" w:color="auto"/>
              <w:left w:val="single" w:sz="4" w:space="0" w:color="auto"/>
              <w:bottom w:val="single" w:sz="4" w:space="0" w:color="auto"/>
              <w:right w:val="single" w:sz="4" w:space="0" w:color="auto"/>
            </w:tcBorders>
          </w:tcPr>
          <w:p w14:paraId="001013DF" w14:textId="00101460">
            <w:pPr>
              <w:pStyle w:val="Normal"/>
              <w:jc w:val="left"/>
            </w:pPr>
            <w:r>
              <w:t xml:space="preserve">1,310</w:t>
            </w:r>
          </w:p>
        </w:tc>
      </w:tr>
      <w:tr>
        <w:tc>
          <w:tcPr>
            <w:vAlign w:val="top"/>
            <w:tcBorders>
              <w:top w:val="single" w:sz="4" w:space="0" w:color="auto"/>
              <w:left w:val="single" w:sz="4" w:space="0" w:color="auto"/>
              <w:bottom w:val="single" w:sz="4" w:space="0" w:color="auto"/>
              <w:right w:val="single" w:sz="4" w:space="0" w:color="auto"/>
            </w:tcBorders>
          </w:tcPr>
          <w:p w14:paraId="001013E1" w14:textId="00101461">
            <w:pPr>
              <w:pStyle w:val="Normal"/>
              <w:jc w:val="left"/>
            </w:pPr>
            <w:r>
              <w:t xml:space="preserve">Right-of-use assets</w:t>
            </w:r>
          </w:p>
        </w:tc>
        <w:tc>
          <w:tcPr>
            <w:vAlign w:val="center"/>
            <w:tcBorders>
              <w:top w:val="single" w:sz="4" w:space="0" w:color="auto"/>
              <w:left w:val="single" w:sz="4" w:space="0" w:color="auto"/>
              <w:bottom w:val="single" w:sz="4" w:space="0" w:color="auto"/>
              <w:right w:val="single" w:sz="4" w:space="0" w:color="auto"/>
            </w:tcBorders>
          </w:tcPr>
          <w:p w14:paraId="001013E3" w14:textId="00101462">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13E5" w14:textId="00101463">
            <w:pPr>
              <w:pStyle w:val="Normal"/>
              <w:jc w:val="left"/>
            </w:pPr>
            <w:r>
              <w:t xml:space="preserve">39</w:t>
            </w:r>
          </w:p>
        </w:tc>
        <w:tc>
          <w:tcPr>
            <w:vAlign w:val="center"/>
            <w:tcBorders>
              <w:top w:val="single" w:sz="4" w:space="0" w:color="auto"/>
              <w:left w:val="single" w:sz="4" w:space="0" w:color="auto"/>
              <w:bottom w:val="single" w:sz="4" w:space="0" w:color="auto"/>
              <w:right w:val="single" w:sz="4" w:space="0" w:color="auto"/>
            </w:tcBorders>
          </w:tcPr>
          <w:p w14:paraId="001013E7" w14:textId="00101464">
            <w:pPr>
              <w:pStyle w:val="Normal"/>
              <w:jc w:val="left"/>
            </w:pPr>
            <w:r>
              <w:t xml:space="preserve">(36)</w:t>
            </w:r>
          </w:p>
        </w:tc>
        <w:tc>
          <w:tcPr>
            <w:vAlign w:val="center"/>
            <w:tcBorders>
              <w:top w:val="single" w:sz="4" w:space="0" w:color="auto"/>
              <w:left w:val="single" w:sz="4" w:space="0" w:color="auto"/>
              <w:bottom w:val="single" w:sz="4" w:space="0" w:color="auto"/>
              <w:right w:val="single" w:sz="4" w:space="0" w:color="auto"/>
            </w:tcBorders>
          </w:tcPr>
          <w:p w14:paraId="001013E9" w14:textId="00101465">
            <w:pPr>
              <w:pStyle w:val="Normal"/>
              <w:jc w:val="left"/>
            </w:pPr>
            <w:r>
              <w:t xml:space="preserve">(2)</w:t>
            </w:r>
          </w:p>
        </w:tc>
        <w:tc>
          <w:tcPr>
            <w:vAlign w:val="center"/>
            <w:tcBorders>
              <w:top w:val="single" w:sz="4" w:space="0" w:color="auto"/>
              <w:left w:val="single" w:sz="4" w:space="0" w:color="auto"/>
              <w:bottom w:val="single" w:sz="4" w:space="0" w:color="auto"/>
              <w:right w:val="single" w:sz="4" w:space="0" w:color="auto"/>
            </w:tcBorders>
          </w:tcPr>
          <w:p w14:paraId="001013EB" w14:textId="00101466">
            <w:pPr>
              <w:pStyle w:val="Normal"/>
              <w:jc w:val="left"/>
            </w:pPr>
            <w:r>
              <w:t xml:space="preserve">(5)</w:t>
            </w:r>
          </w:p>
        </w:tc>
        <w:tc>
          <w:tcPr>
            <w:vAlign w:val="center"/>
            <w:tcBorders>
              <w:top w:val="single" w:sz="4" w:space="0" w:color="auto"/>
              <w:left w:val="single" w:sz="4" w:space="0" w:color="auto"/>
              <w:bottom w:val="single" w:sz="4" w:space="0" w:color="auto"/>
              <w:right w:val="single" w:sz="4" w:space="0" w:color="auto"/>
            </w:tcBorders>
          </w:tcPr>
          <w:p w14:paraId="001013ED" w14:textId="00101467">
            <w:pPr>
              <w:pStyle w:val="Normal"/>
              <w:jc w:val="left"/>
            </w:pPr>
            <w:r>
              <w:t xml:space="preserve">1</w:t>
            </w:r>
          </w:p>
        </w:tc>
        <w:tc>
          <w:tcPr>
            <w:vAlign w:val="center"/>
            <w:tcBorders>
              <w:top w:val="single" w:sz="4" w:space="0" w:color="auto"/>
              <w:left w:val="single" w:sz="4" w:space="0" w:color="auto"/>
              <w:bottom w:val="single" w:sz="4" w:space="0" w:color="auto"/>
              <w:right w:val="single" w:sz="4" w:space="0" w:color="auto"/>
            </w:tcBorders>
          </w:tcPr>
          <w:p w14:paraId="001013EF" w14:textId="00101468">
            <w:pPr>
              <w:pStyle w:val="Normal"/>
              <w:jc w:val="left"/>
            </w:pPr>
            <w:r>
              <w:t xml:space="preserve">139</w:t>
            </w:r>
          </w:p>
        </w:tc>
      </w:tr>
      <w:tr>
        <w:tc>
          <w:tcPr>
            <w:vAlign w:val="top"/>
            <w:tcBorders>
              <w:top w:val="single" w:sz="4" w:space="0" w:color="auto"/>
              <w:left w:val="single" w:sz="4" w:space="0" w:color="auto"/>
              <w:bottom w:val="single" w:sz="4" w:space="0" w:color="auto"/>
              <w:right w:val="single" w:sz="4" w:space="0" w:color="auto"/>
            </w:tcBorders>
          </w:tcPr>
          <w:p w14:paraId="001013F1" w14:textId="00101469">
            <w:pPr>
              <w:pStyle w:val="Normal"/>
              <w:jc w:val="left"/>
            </w:pPr>
            <w:r>
              <w:t xml:space="preserve">Intangible assets</w:t>
            </w:r>
          </w:p>
        </w:tc>
        <w:tc>
          <w:tcPr>
            <w:vAlign w:val="center"/>
            <w:tcBorders>
              <w:top w:val="single" w:sz="4" w:space="0" w:color="auto"/>
              <w:left w:val="single" w:sz="4" w:space="0" w:color="auto"/>
              <w:bottom w:val="single" w:sz="4" w:space="0" w:color="auto"/>
              <w:right w:val="single" w:sz="4" w:space="0" w:color="auto"/>
            </w:tcBorders>
          </w:tcPr>
          <w:p w14:paraId="001013F3" w14:textId="0010146A">
            <w:pPr>
              <w:pStyle w:val="Normal"/>
              <w:jc w:val="left"/>
            </w:pPr>
            <w:r>
              <w:t xml:space="preserve">486</w:t>
            </w:r>
          </w:p>
        </w:tc>
        <w:tc>
          <w:tcPr>
            <w:vAlign w:val="center"/>
            <w:tcBorders>
              <w:top w:val="single" w:sz="4" w:space="0" w:color="auto"/>
              <w:left w:val="single" w:sz="4" w:space="0" w:color="auto"/>
              <w:bottom w:val="single" w:sz="4" w:space="0" w:color="auto"/>
              <w:right w:val="single" w:sz="4" w:space="0" w:color="auto"/>
            </w:tcBorders>
          </w:tcPr>
          <w:p w14:paraId="001013F5" w14:textId="0010146B">
            <w:pPr>
              <w:pStyle w:val="Normal"/>
              <w:jc w:val="left"/>
            </w:pPr>
            <w:r>
              <w:t xml:space="preserve">67</w:t>
            </w:r>
          </w:p>
        </w:tc>
        <w:tc>
          <w:tcPr>
            <w:vAlign w:val="center"/>
            <w:tcBorders>
              <w:top w:val="single" w:sz="4" w:space="0" w:color="auto"/>
              <w:left w:val="single" w:sz="4" w:space="0" w:color="auto"/>
              <w:bottom w:val="single" w:sz="4" w:space="0" w:color="auto"/>
              <w:right w:val="single" w:sz="4" w:space="0" w:color="auto"/>
            </w:tcBorders>
          </w:tcPr>
          <w:p w14:paraId="001013F7" w14:textId="0010146C">
            <w:pPr>
              <w:pStyle w:val="Normal"/>
              <w:jc w:val="left"/>
            </w:pPr>
            <w:r>
              <w:t xml:space="preserve">(71)</w:t>
            </w:r>
          </w:p>
        </w:tc>
        <w:tc>
          <w:tcPr>
            <w:vAlign w:val="center"/>
            <w:tcBorders>
              <w:top w:val="single" w:sz="4" w:space="0" w:color="auto"/>
              <w:left w:val="single" w:sz="4" w:space="0" w:color="auto"/>
              <w:bottom w:val="single" w:sz="4" w:space="0" w:color="auto"/>
              <w:right w:val="single" w:sz="4" w:space="0" w:color="auto"/>
            </w:tcBorders>
          </w:tcPr>
          <w:p w14:paraId="001013F9" w14:textId="0010146D">
            <w:pPr>
              <w:pStyle w:val="Normal"/>
              <w:jc w:val="left"/>
            </w:pPr>
            <w:r>
              <w:t xml:space="preserve">(24)</w:t>
            </w:r>
          </w:p>
        </w:tc>
        <w:tc>
          <w:tcPr>
            <w:vAlign w:val="center"/>
            <w:tcBorders>
              <w:top w:val="single" w:sz="4" w:space="0" w:color="auto"/>
              <w:left w:val="single" w:sz="4" w:space="0" w:color="auto"/>
              <w:bottom w:val="single" w:sz="4" w:space="0" w:color="auto"/>
              <w:right w:val="single" w:sz="4" w:space="0" w:color="auto"/>
            </w:tcBorders>
          </w:tcPr>
          <w:p w14:paraId="001013FB" w14:textId="0010146E">
            <w:pPr>
              <w:pStyle w:val="Normal"/>
              <w:jc w:val="left"/>
            </w:pPr>
            <w:r>
              <w:t xml:space="preserve">(3)</w:t>
            </w:r>
          </w:p>
        </w:tc>
        <w:tc>
          <w:tcPr>
            <w:vAlign w:val="center"/>
            <w:tcBorders>
              <w:top w:val="single" w:sz="4" w:space="0" w:color="auto"/>
              <w:left w:val="single" w:sz="4" w:space="0" w:color="auto"/>
              <w:bottom w:val="single" w:sz="4" w:space="0" w:color="auto"/>
              <w:right w:val="single" w:sz="4" w:space="0" w:color="auto"/>
            </w:tcBorders>
          </w:tcPr>
          <w:p w14:paraId="001013FD" w14:textId="0010146F">
            <w:pPr>
              <w:pStyle w:val="Normal"/>
              <w:jc w:val="left"/>
            </w:pPr>
            <w:r>
              <w:t xml:space="preserve">9</w:t>
            </w:r>
          </w:p>
        </w:tc>
        <w:tc>
          <w:tcPr>
            <w:vAlign w:val="center"/>
            <w:tcBorders>
              <w:top w:val="single" w:sz="4" w:space="0" w:color="auto"/>
              <w:left w:val="single" w:sz="4" w:space="0" w:color="auto"/>
              <w:bottom w:val="single" w:sz="4" w:space="0" w:color="auto"/>
              <w:right w:val="single" w:sz="4" w:space="0" w:color="auto"/>
            </w:tcBorders>
          </w:tcPr>
          <w:p w14:paraId="001013FF" w14:textId="00101470">
            <w:pPr>
              <w:pStyle w:val="Normal"/>
              <w:jc w:val="left"/>
            </w:pPr>
            <w:r>
              <w:t xml:space="preserve">464</w:t>
            </w:r>
          </w:p>
        </w:tc>
      </w:tr>
      <w:tr>
        <w:tc>
          <w:tcPr>
            <w:vAlign w:val="top"/>
            <w:tcBorders>
              <w:top w:val="single" w:sz="4" w:space="0" w:color="auto"/>
              <w:left w:val="single" w:sz="4" w:space="0" w:color="auto"/>
              <w:bottom w:val="single" w:sz="4" w:space="0" w:color="auto"/>
              <w:right w:val="single" w:sz="4" w:space="0" w:color="auto"/>
            </w:tcBorders>
          </w:tcPr>
          <w:p w14:paraId="00101401" w14:textId="00101471">
            <w:pPr>
              <w:pStyle w:val="Normal"/>
              <w:jc w:val="left"/>
            </w:pPr>
            <w:r>
              <w:t xml:space="preserve">Inventories</w:t>
            </w:r>
          </w:p>
        </w:tc>
        <w:tc>
          <w:tcPr>
            <w:vAlign w:val="center"/>
            <w:tcBorders>
              <w:top w:val="single" w:sz="4" w:space="0" w:color="auto"/>
              <w:left w:val="single" w:sz="4" w:space="0" w:color="auto"/>
              <w:bottom w:val="single" w:sz="4" w:space="0" w:color="auto"/>
              <w:right w:val="single" w:sz="4" w:space="0" w:color="auto"/>
            </w:tcBorders>
          </w:tcPr>
          <w:p w14:paraId="00101403" w14:textId="00101472">
            <w:pPr>
              <w:pStyle w:val="Normal"/>
              <w:jc w:val="left"/>
            </w:pPr>
            <w:r>
              <w:t xml:space="preserve">612</w:t>
            </w:r>
          </w:p>
        </w:tc>
        <w:tc>
          <w:tcPr>
            <w:vAlign w:val="center"/>
            <w:tcBorders>
              <w:top w:val="single" w:sz="4" w:space="0" w:color="auto"/>
              <w:left w:val="single" w:sz="4" w:space="0" w:color="auto"/>
              <w:bottom w:val="single" w:sz="4" w:space="0" w:color="auto"/>
              <w:right w:val="single" w:sz="4" w:space="0" w:color="auto"/>
            </w:tcBorders>
          </w:tcPr>
          <w:p w14:paraId="00101405" w14:textId="00101473">
            <w:pPr>
              <w:pStyle w:val="Normal"/>
              <w:jc w:val="left"/>
            </w:pPr>
            <w:r>
              <w:t xml:space="preserve">58</w:t>
            </w:r>
          </w:p>
        </w:tc>
        <w:tc>
          <w:tcPr>
            <w:vAlign w:val="center"/>
            <w:tcBorders>
              <w:top w:val="single" w:sz="4" w:space="0" w:color="auto"/>
              <w:left w:val="single" w:sz="4" w:space="0" w:color="auto"/>
              <w:bottom w:val="single" w:sz="4" w:space="0" w:color="auto"/>
              <w:right w:val="single" w:sz="4" w:space="0" w:color="auto"/>
            </w:tcBorders>
          </w:tcPr>
          <w:p w14:paraId="00101407" w14:textId="00101474">
            <w:pPr>
              <w:pStyle w:val="Normal"/>
              <w:jc w:val="left"/>
            </w:pPr>
            <w:r>
              <w:t xml:space="preserve">(31)</w:t>
            </w:r>
          </w:p>
        </w:tc>
        <w:tc>
          <w:tcPr>
            <w:vAlign w:val="center"/>
            <w:tcBorders>
              <w:top w:val="single" w:sz="4" w:space="0" w:color="auto"/>
              <w:left w:val="single" w:sz="4" w:space="0" w:color="auto"/>
              <w:bottom w:val="single" w:sz="4" w:space="0" w:color="auto"/>
              <w:right w:val="single" w:sz="4" w:space="0" w:color="auto"/>
            </w:tcBorders>
          </w:tcPr>
          <w:p w14:paraId="00101409" w14:textId="00101475">
            <w:pPr>
              <w:pStyle w:val="Normal"/>
              <w:jc w:val="left"/>
            </w:pPr>
            <w:r>
              <w:t xml:space="preserve">(14)</w:t>
            </w:r>
          </w:p>
        </w:tc>
        <w:tc>
          <w:tcPr>
            <w:vAlign w:val="center"/>
            <w:tcBorders>
              <w:top w:val="single" w:sz="4" w:space="0" w:color="auto"/>
              <w:left w:val="single" w:sz="4" w:space="0" w:color="auto"/>
              <w:bottom w:val="single" w:sz="4" w:space="0" w:color="auto"/>
              <w:right w:val="single" w:sz="4" w:space="0" w:color="auto"/>
            </w:tcBorders>
          </w:tcPr>
          <w:p w14:paraId="0010140B" w14:textId="00101476">
            <w:pPr>
              <w:pStyle w:val="Normal"/>
              <w:jc w:val="left"/>
            </w:pPr>
            <w:r>
              <w:t xml:space="preserve">(7)</w:t>
            </w:r>
          </w:p>
        </w:tc>
        <w:tc>
          <w:tcPr>
            <w:vAlign w:val="center"/>
            <w:tcBorders>
              <w:top w:val="single" w:sz="4" w:space="0" w:color="auto"/>
              <w:left w:val="single" w:sz="4" w:space="0" w:color="auto"/>
              <w:bottom w:val="single" w:sz="4" w:space="0" w:color="auto"/>
              <w:right w:val="single" w:sz="4" w:space="0" w:color="auto"/>
            </w:tcBorders>
          </w:tcPr>
          <w:p w14:paraId="0010140D" w14:textId="00101477">
            <w:pPr>
              <w:pStyle w:val="Normal"/>
              <w:jc w:val="left"/>
            </w:pPr>
            <w:r>
              <w:t xml:space="preserve">6</w:t>
            </w:r>
          </w:p>
        </w:tc>
        <w:tc>
          <w:tcPr>
            <w:vAlign w:val="center"/>
            <w:tcBorders>
              <w:top w:val="single" w:sz="4" w:space="0" w:color="auto"/>
              <w:left w:val="single" w:sz="4" w:space="0" w:color="auto"/>
              <w:bottom w:val="single" w:sz="4" w:space="0" w:color="auto"/>
              <w:right w:val="single" w:sz="4" w:space="0" w:color="auto"/>
            </w:tcBorders>
          </w:tcPr>
          <w:p w14:paraId="0010140F" w14:textId="00101478">
            <w:pPr>
              <w:pStyle w:val="Normal"/>
              <w:jc w:val="left"/>
            </w:pPr>
            <w:r>
              <w:t xml:space="preserve">624</w:t>
            </w:r>
          </w:p>
        </w:tc>
      </w:tr>
      <w:tr>
        <w:tc>
          <w:tcPr>
            <w:vAlign w:val="top"/>
            <w:tcBorders>
              <w:top w:val="single" w:sz="4" w:space="0" w:color="auto"/>
              <w:left w:val="single" w:sz="4" w:space="0" w:color="auto"/>
              <w:bottom w:val="single" w:sz="4" w:space="0" w:color="auto"/>
              <w:right w:val="single" w:sz="4" w:space="0" w:color="auto"/>
            </w:tcBorders>
          </w:tcPr>
          <w:p w14:paraId="00101411" w14:textId="00101479">
            <w:pPr>
              <w:pStyle w:val="Normal"/>
              <w:jc w:val="left"/>
            </w:pPr>
            <w:r>
              <w:t xml:space="preserve">Trade and other receivables</w:t>
            </w:r>
          </w:p>
        </w:tc>
        <w:tc>
          <w:tcPr>
            <w:vAlign w:val="center"/>
            <w:tcBorders>
              <w:top w:val="single" w:sz="4" w:space="0" w:color="auto"/>
              <w:left w:val="single" w:sz="4" w:space="0" w:color="auto"/>
              <w:bottom w:val="single" w:sz="4" w:space="0" w:color="auto"/>
              <w:right w:val="single" w:sz="4" w:space="0" w:color="auto"/>
            </w:tcBorders>
          </w:tcPr>
          <w:p w14:paraId="00101413" w14:textId="0010147A">
            <w:pPr>
              <w:pStyle w:val="Normal"/>
              <w:jc w:val="left"/>
            </w:pPr>
            <w:r>
              <w:t xml:space="preserve">541</w:t>
            </w:r>
          </w:p>
        </w:tc>
        <w:tc>
          <w:tcPr>
            <w:vAlign w:val="center"/>
            <w:tcBorders>
              <w:top w:val="single" w:sz="4" w:space="0" w:color="auto"/>
              <w:left w:val="single" w:sz="4" w:space="0" w:color="auto"/>
              <w:bottom w:val="single" w:sz="4" w:space="0" w:color="auto"/>
              <w:right w:val="single" w:sz="4" w:space="0" w:color="auto"/>
            </w:tcBorders>
          </w:tcPr>
          <w:p w14:paraId="00101415" w14:textId="0010147B">
            <w:pPr>
              <w:pStyle w:val="Normal"/>
              <w:jc w:val="left"/>
            </w:pPr>
            <w:r>
              <w:t xml:space="preserve">2,948</w:t>
            </w:r>
          </w:p>
        </w:tc>
        <w:tc>
          <w:tcPr>
            <w:vAlign w:val="center"/>
            <w:tcBorders>
              <w:top w:val="single" w:sz="4" w:space="0" w:color="auto"/>
              <w:left w:val="single" w:sz="4" w:space="0" w:color="auto"/>
              <w:bottom w:val="single" w:sz="4" w:space="0" w:color="auto"/>
              <w:right w:val="single" w:sz="4" w:space="0" w:color="auto"/>
            </w:tcBorders>
          </w:tcPr>
          <w:p w14:paraId="00101417" w14:textId="0010147C">
            <w:pPr>
              <w:pStyle w:val="Normal"/>
              <w:jc w:val="left"/>
            </w:pPr>
            <w:r>
              <w:t xml:space="preserve">(2,901)</w:t>
            </w:r>
          </w:p>
        </w:tc>
        <w:tc>
          <w:tcPr>
            <w:vAlign w:val="center"/>
            <w:tcBorders>
              <w:top w:val="single" w:sz="4" w:space="0" w:color="auto"/>
              <w:left w:val="single" w:sz="4" w:space="0" w:color="auto"/>
              <w:bottom w:val="single" w:sz="4" w:space="0" w:color="auto"/>
              <w:right w:val="single" w:sz="4" w:space="0" w:color="auto"/>
            </w:tcBorders>
          </w:tcPr>
          <w:p w14:paraId="00101419" w14:textId="0010147D">
            <w:pPr>
              <w:pStyle w:val="Normal"/>
              <w:jc w:val="left"/>
            </w:pPr>
            <w:r>
              <w:t xml:space="preserve">(11)</w:t>
            </w:r>
          </w:p>
        </w:tc>
        <w:tc>
          <w:tcPr>
            <w:vAlign w:val="center"/>
            <w:tcBorders>
              <w:top w:val="single" w:sz="4" w:space="0" w:color="auto"/>
              <w:left w:val="single" w:sz="4" w:space="0" w:color="auto"/>
              <w:bottom w:val="single" w:sz="4" w:space="0" w:color="auto"/>
              <w:right w:val="single" w:sz="4" w:space="0" w:color="auto"/>
            </w:tcBorders>
          </w:tcPr>
          <w:p w14:paraId="0010141B" w14:textId="0010147E">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41D" w14:textId="0010147F">
            <w:pPr>
              <w:pStyle w:val="Normal"/>
              <w:jc w:val="left"/>
            </w:pPr>
            <w:r>
              <w:t xml:space="preserve">4</w:t>
            </w:r>
          </w:p>
        </w:tc>
        <w:tc>
          <w:tcPr>
            <w:vAlign w:val="center"/>
            <w:tcBorders>
              <w:top w:val="single" w:sz="4" w:space="0" w:color="auto"/>
              <w:left w:val="single" w:sz="4" w:space="0" w:color="auto"/>
              <w:bottom w:val="single" w:sz="4" w:space="0" w:color="auto"/>
              <w:right w:val="single" w:sz="4" w:space="0" w:color="auto"/>
            </w:tcBorders>
          </w:tcPr>
          <w:p w14:paraId="0010141F" w14:textId="00101480">
            <w:pPr>
              <w:pStyle w:val="Normal"/>
              <w:jc w:val="left"/>
            </w:pPr>
            <w:r>
              <w:t xml:space="preserve">581</w:t>
            </w:r>
          </w:p>
        </w:tc>
      </w:tr>
      <w:tr>
        <w:tc>
          <w:tcPr>
            <w:vAlign w:val="top"/>
            <w:tcBorders>
              <w:top w:val="single" w:sz="4" w:space="0" w:color="auto"/>
              <w:left w:val="single" w:sz="4" w:space="0" w:color="auto"/>
              <w:bottom w:val="single" w:sz="4" w:space="0" w:color="auto"/>
              <w:right w:val="single" w:sz="4" w:space="0" w:color="auto"/>
            </w:tcBorders>
          </w:tcPr>
          <w:p w14:paraId="00101421" w14:textId="00101481">
            <w:pPr>
              <w:pStyle w:val="Normal"/>
              <w:jc w:val="left"/>
            </w:pPr>
            <w:r>
              <w:t xml:space="preserve">Provisions</w:t>
            </w:r>
          </w:p>
        </w:tc>
        <w:tc>
          <w:tcPr>
            <w:vAlign w:val="center"/>
            <w:tcBorders>
              <w:top w:val="single" w:sz="4" w:space="0" w:color="auto"/>
              <w:left w:val="single" w:sz="4" w:space="0" w:color="auto"/>
              <w:bottom w:val="single" w:sz="4" w:space="0" w:color="auto"/>
              <w:right w:val="single" w:sz="4" w:space="0" w:color="auto"/>
            </w:tcBorders>
          </w:tcPr>
          <w:p w14:paraId="00101423" w14:textId="00101482">
            <w:pPr>
              <w:pStyle w:val="Normal"/>
              <w:jc w:val="left"/>
            </w:pPr>
            <w:r>
              <w:t xml:space="preserve">168</w:t>
            </w:r>
          </w:p>
        </w:tc>
        <w:tc>
          <w:tcPr>
            <w:vAlign w:val="center"/>
            <w:tcBorders>
              <w:top w:val="single" w:sz="4" w:space="0" w:color="auto"/>
              <w:left w:val="single" w:sz="4" w:space="0" w:color="auto"/>
              <w:bottom w:val="single" w:sz="4" w:space="0" w:color="auto"/>
              <w:right w:val="single" w:sz="4" w:space="0" w:color="auto"/>
            </w:tcBorders>
          </w:tcPr>
          <w:p w14:paraId="00101425" w14:textId="00101483">
            <w:pPr>
              <w:pStyle w:val="Normal"/>
              <w:jc w:val="left"/>
            </w:pPr>
            <w:r>
              <w:t xml:space="preserve">52</w:t>
            </w:r>
          </w:p>
        </w:tc>
        <w:tc>
          <w:tcPr>
            <w:vAlign w:val="center"/>
            <w:tcBorders>
              <w:top w:val="single" w:sz="4" w:space="0" w:color="auto"/>
              <w:left w:val="single" w:sz="4" w:space="0" w:color="auto"/>
              <w:bottom w:val="single" w:sz="4" w:space="0" w:color="auto"/>
              <w:right w:val="single" w:sz="4" w:space="0" w:color="auto"/>
            </w:tcBorders>
          </w:tcPr>
          <w:p w14:paraId="00101427" w14:textId="00101484">
            <w:pPr>
              <w:pStyle w:val="Normal"/>
              <w:jc w:val="left"/>
            </w:pPr>
            <w:r>
              <w:t xml:space="preserve">(41)</w:t>
            </w:r>
          </w:p>
        </w:tc>
        <w:tc>
          <w:tcPr>
            <w:vAlign w:val="center"/>
            <w:tcBorders>
              <w:top w:val="single" w:sz="4" w:space="0" w:color="auto"/>
              <w:left w:val="single" w:sz="4" w:space="0" w:color="auto"/>
              <w:bottom w:val="single" w:sz="4" w:space="0" w:color="auto"/>
              <w:right w:val="single" w:sz="4" w:space="0" w:color="auto"/>
            </w:tcBorders>
          </w:tcPr>
          <w:p w14:paraId="00101429" w14:textId="00101485">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42B" w14:textId="00101486">
            <w:pPr>
              <w:pStyle w:val="Normal"/>
              <w:jc w:val="left"/>
            </w:pPr>
            <w:r>
              <w:t xml:space="preserve">(19)</w:t>
            </w:r>
          </w:p>
        </w:tc>
        <w:tc>
          <w:tcPr>
            <w:vAlign w:val="center"/>
            <w:tcBorders>
              <w:top w:val="single" w:sz="4" w:space="0" w:color="auto"/>
              <w:left w:val="single" w:sz="4" w:space="0" w:color="auto"/>
              <w:bottom w:val="single" w:sz="4" w:space="0" w:color="auto"/>
              <w:right w:val="single" w:sz="4" w:space="0" w:color="auto"/>
            </w:tcBorders>
          </w:tcPr>
          <w:p w14:paraId="0010142D" w14:textId="00101487">
            <w:pPr>
              <w:pStyle w:val="Normal"/>
              <w:jc w:val="left"/>
            </w:pPr>
            <w:r>
              <w:t xml:space="preserve">3</w:t>
            </w:r>
          </w:p>
        </w:tc>
        <w:tc>
          <w:tcPr>
            <w:vAlign w:val="center"/>
            <w:tcBorders>
              <w:top w:val="single" w:sz="4" w:space="0" w:color="auto"/>
              <w:left w:val="single" w:sz="4" w:space="0" w:color="auto"/>
              <w:bottom w:val="single" w:sz="4" w:space="0" w:color="auto"/>
              <w:right w:val="single" w:sz="4" w:space="0" w:color="auto"/>
            </w:tcBorders>
          </w:tcPr>
          <w:p w14:paraId="0010142F" w14:textId="00101488">
            <w:pPr>
              <w:pStyle w:val="Normal"/>
              <w:jc w:val="left"/>
            </w:pPr>
            <w:r>
              <w:t xml:space="preserve">163</w:t>
            </w:r>
          </w:p>
        </w:tc>
      </w:tr>
      <w:tr>
        <w:tc>
          <w:tcPr>
            <w:vAlign w:val="top"/>
            <w:tcBorders>
              <w:top w:val="single" w:sz="4" w:space="0" w:color="auto"/>
              <w:left w:val="single" w:sz="4" w:space="0" w:color="auto"/>
              <w:bottom w:val="single" w:sz="4" w:space="0" w:color="auto"/>
              <w:right w:val="single" w:sz="4" w:space="0" w:color="auto"/>
            </w:tcBorders>
          </w:tcPr>
          <w:p w14:paraId="00101431" w14:textId="00101489">
            <w:pPr>
              <w:pStyle w:val="Normal"/>
              <w:jc w:val="left"/>
            </w:pPr>
            <w:r>
              <w:t xml:space="preserve">Borrowings and lease liabilities</w:t>
            </w:r>
          </w:p>
        </w:tc>
        <w:tc>
          <w:tcPr>
            <w:vAlign w:val="center"/>
            <w:tcBorders>
              <w:top w:val="single" w:sz="4" w:space="0" w:color="auto"/>
              <w:left w:val="single" w:sz="4" w:space="0" w:color="auto"/>
              <w:bottom w:val="single" w:sz="4" w:space="0" w:color="auto"/>
              <w:right w:val="single" w:sz="4" w:space="0" w:color="auto"/>
            </w:tcBorders>
          </w:tcPr>
          <w:p w14:paraId="00101433" w14:textId="0010148A">
            <w:pPr>
              <w:pStyle w:val="Normal"/>
              <w:jc w:val="left"/>
            </w:pPr>
            <w:r>
              <w:t xml:space="preserve">1,024</w:t>
            </w:r>
          </w:p>
        </w:tc>
        <w:tc>
          <w:tcPr>
            <w:vAlign w:val="center"/>
            <w:tcBorders>
              <w:top w:val="single" w:sz="4" w:space="0" w:color="auto"/>
              <w:left w:val="single" w:sz="4" w:space="0" w:color="auto"/>
              <w:bottom w:val="single" w:sz="4" w:space="0" w:color="auto"/>
              <w:right w:val="single" w:sz="4" w:space="0" w:color="auto"/>
            </w:tcBorders>
          </w:tcPr>
          <w:p w14:paraId="00101435" w14:textId="0010148B">
            <w:pPr>
              <w:pStyle w:val="Normal"/>
              <w:jc w:val="left"/>
            </w:pPr>
            <w:r>
              <w:t xml:space="preserve">318</w:t>
            </w:r>
          </w:p>
        </w:tc>
        <w:tc>
          <w:tcPr>
            <w:vAlign w:val="center"/>
            <w:tcBorders>
              <w:top w:val="single" w:sz="4" w:space="0" w:color="auto"/>
              <w:left w:val="single" w:sz="4" w:space="0" w:color="auto"/>
              <w:bottom w:val="single" w:sz="4" w:space="0" w:color="auto"/>
              <w:right w:val="single" w:sz="4" w:space="0" w:color="auto"/>
            </w:tcBorders>
          </w:tcPr>
          <w:p w14:paraId="00101437" w14:textId="0010148C">
            <w:pPr>
              <w:pStyle w:val="Normal"/>
              <w:jc w:val="left"/>
            </w:pPr>
            <w:r>
              <w:t xml:space="preserve">(221)</w:t>
            </w:r>
          </w:p>
        </w:tc>
        <w:tc>
          <w:tcPr>
            <w:vAlign w:val="center"/>
            <w:tcBorders>
              <w:top w:val="single" w:sz="4" w:space="0" w:color="auto"/>
              <w:left w:val="single" w:sz="4" w:space="0" w:color="auto"/>
              <w:bottom w:val="single" w:sz="4" w:space="0" w:color="auto"/>
              <w:right w:val="single" w:sz="4" w:space="0" w:color="auto"/>
            </w:tcBorders>
          </w:tcPr>
          <w:p w14:paraId="00101439" w14:textId="0010148D">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43B" w14:textId="0010148E">
            <w:pPr>
              <w:pStyle w:val="Normal"/>
              <w:jc w:val="left"/>
            </w:pPr>
            <w:r>
              <w:t xml:space="preserve">(47)</w:t>
            </w:r>
          </w:p>
        </w:tc>
        <w:tc>
          <w:tcPr>
            <w:vAlign w:val="center"/>
            <w:tcBorders>
              <w:top w:val="single" w:sz="4" w:space="0" w:color="auto"/>
              <w:left w:val="single" w:sz="4" w:space="0" w:color="auto"/>
              <w:bottom w:val="single" w:sz="4" w:space="0" w:color="auto"/>
              <w:right w:val="single" w:sz="4" w:space="0" w:color="auto"/>
            </w:tcBorders>
          </w:tcPr>
          <w:p w14:paraId="0010143D" w14:textId="0010148F">
            <w:pPr>
              <w:pStyle w:val="Normal"/>
              <w:jc w:val="left"/>
            </w:pPr>
            <w:r>
              <w:t xml:space="preserve">12</w:t>
            </w:r>
          </w:p>
        </w:tc>
        <w:tc>
          <w:tcPr>
            <w:vAlign w:val="center"/>
            <w:tcBorders>
              <w:top w:val="single" w:sz="4" w:space="0" w:color="auto"/>
              <w:left w:val="single" w:sz="4" w:space="0" w:color="auto"/>
              <w:bottom w:val="single" w:sz="4" w:space="0" w:color="auto"/>
              <w:right w:val="single" w:sz="4" w:space="0" w:color="auto"/>
            </w:tcBorders>
          </w:tcPr>
          <w:p w14:paraId="0010143F" w14:textId="00101490">
            <w:pPr>
              <w:pStyle w:val="Normal"/>
              <w:jc w:val="left"/>
            </w:pPr>
            <w:r>
              <w:t xml:space="preserve">1,086</w:t>
            </w:r>
          </w:p>
        </w:tc>
      </w:tr>
      <w:tr>
        <w:tc>
          <w:tcPr>
            <w:vAlign w:val="top"/>
            <w:tcBorders>
              <w:top w:val="single" w:sz="4" w:space="0" w:color="auto"/>
              <w:left w:val="single" w:sz="4" w:space="0" w:color="auto"/>
              <w:bottom w:val="single" w:sz="4" w:space="0" w:color="auto"/>
              <w:right w:val="single" w:sz="4" w:space="0" w:color="auto"/>
            </w:tcBorders>
          </w:tcPr>
          <w:p w14:paraId="00101441" w14:textId="00101491">
            <w:pPr>
              <w:pStyle w:val="Normal"/>
              <w:jc w:val="left"/>
            </w:pPr>
            <w:r>
              <w:t xml:space="preserve">Trade and other payables</w:t>
            </w:r>
          </w:p>
        </w:tc>
        <w:tc>
          <w:tcPr>
            <w:vAlign w:val="center"/>
            <w:tcBorders>
              <w:top w:val="single" w:sz="4" w:space="0" w:color="auto"/>
              <w:left w:val="single" w:sz="4" w:space="0" w:color="auto"/>
              <w:bottom w:val="single" w:sz="4" w:space="0" w:color="auto"/>
              <w:right w:val="single" w:sz="4" w:space="0" w:color="auto"/>
            </w:tcBorders>
          </w:tcPr>
          <w:p w14:paraId="00101443" w14:textId="00101492">
            <w:pPr>
              <w:pStyle w:val="Normal"/>
              <w:jc w:val="left"/>
            </w:pPr>
            <w:r>
              <w:t xml:space="preserve">733</w:t>
            </w:r>
          </w:p>
        </w:tc>
        <w:tc>
          <w:tcPr>
            <w:vAlign w:val="center"/>
            <w:tcBorders>
              <w:top w:val="single" w:sz="4" w:space="0" w:color="auto"/>
              <w:left w:val="single" w:sz="4" w:space="0" w:color="auto"/>
              <w:bottom w:val="single" w:sz="4" w:space="0" w:color="auto"/>
              <w:right w:val="single" w:sz="4" w:space="0" w:color="auto"/>
            </w:tcBorders>
          </w:tcPr>
          <w:p w14:paraId="00101445" w14:textId="00101493">
            <w:pPr>
              <w:pStyle w:val="Normal"/>
              <w:jc w:val="left"/>
            </w:pPr>
            <w:r>
              <w:t xml:space="preserve">2,406</w:t>
            </w:r>
          </w:p>
        </w:tc>
        <w:tc>
          <w:tcPr>
            <w:vAlign w:val="center"/>
            <w:tcBorders>
              <w:top w:val="single" w:sz="4" w:space="0" w:color="auto"/>
              <w:left w:val="single" w:sz="4" w:space="0" w:color="auto"/>
              <w:bottom w:val="single" w:sz="4" w:space="0" w:color="auto"/>
              <w:right w:val="single" w:sz="4" w:space="0" w:color="auto"/>
            </w:tcBorders>
          </w:tcPr>
          <w:p w14:paraId="00101447" w14:textId="00101494">
            <w:pPr>
              <w:pStyle w:val="Normal"/>
              <w:jc w:val="left"/>
            </w:pPr>
            <w:r>
              <w:t xml:space="preserve">(2,365)</w:t>
            </w:r>
          </w:p>
        </w:tc>
        <w:tc>
          <w:tcPr>
            <w:vAlign w:val="center"/>
            <w:tcBorders>
              <w:top w:val="single" w:sz="4" w:space="0" w:color="auto"/>
              <w:left w:val="single" w:sz="4" w:space="0" w:color="auto"/>
              <w:bottom w:val="single" w:sz="4" w:space="0" w:color="auto"/>
              <w:right w:val="single" w:sz="4" w:space="0" w:color="auto"/>
            </w:tcBorders>
          </w:tcPr>
          <w:p w14:paraId="00101449" w14:textId="00101495">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44B" w14:textId="00101496">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44D" w14:textId="00101497">
            <w:pPr>
              <w:pStyle w:val="Normal"/>
              <w:jc w:val="left"/>
            </w:pPr>
            <w:r>
              <w:t xml:space="preserve">8</w:t>
            </w:r>
          </w:p>
        </w:tc>
        <w:tc>
          <w:tcPr>
            <w:vAlign w:val="center"/>
            <w:tcBorders>
              <w:top w:val="single" w:sz="4" w:space="0" w:color="auto"/>
              <w:left w:val="single" w:sz="4" w:space="0" w:color="auto"/>
              <w:bottom w:val="single" w:sz="4" w:space="0" w:color="auto"/>
              <w:right w:val="single" w:sz="4" w:space="0" w:color="auto"/>
            </w:tcBorders>
          </w:tcPr>
          <w:p w14:paraId="0010144F" w14:textId="00101498">
            <w:pPr>
              <w:pStyle w:val="Normal"/>
              <w:jc w:val="left"/>
            </w:pPr>
            <w:r>
              <w:t xml:space="preserve">782</w:t>
            </w:r>
          </w:p>
        </w:tc>
      </w:tr>
    </w:tbl>
    <w:p w14:paraId="00101499" w14:textId="0010149A">
      <w:pPr>
        <w:pStyle w:val="Heading4a"/>
        <w:jc w:val="left"/>
      </w:pPr>
      <w:r>
        <w:t xml:space="preserve">Non-Current Assets</w:t>
      </w:r>
    </w:p>
    <w:p w14:paraId="0010149B" w14:textId="0010149C">
      <w:pPr>
        <w:pStyle w:val="Normal"/>
        <w:jc w:val="left"/>
      </w:pPr>
      <w:r>
        <w:t xml:space="preserve">Non-current assets comprise property, plant and equipment, right-of-use assets, intangible assets arising from acquired technology and brands, and capitalized software used across Rivermark Group’s operating platforms. At year end, these balances remained the largest component of the Group’s invested capital base and continued to support production capacity, distribution reach, and digital enablement. The overall movement in the year reflected disciplined capital allocation: targeted expansion projects in Infrastructure and Digital Services, selective automation investments in Industrial, and a more measured pace of discretionary spending in mature Consumer categories.</w:t>
      </w:r>
    </w:p>
    <w:p w14:paraId="0010149D" w14:textId="0010149E">
      <w:pPr>
        <w:pStyle w:val="Normal"/>
        <w:jc w:val="left"/>
      </w:pPr>
      <w:r>
        <w:t xml:space="preserve">The carrying value of non-current assets increased modestly on a net basis as additions and translation effects broadly offset depreciation, amortization, and impairment charges recognized in underperforming cash-generating units. Management reviewed the portfolio with a focus on utilization, technological relevance, and expected future cash generation. Assets that continued to support core strategic priorities were maintained or upgraded, while legacy systems and lower-return site-specific assets were assessed for accelerated replacement or impairment. In aggregate, the year-end balance indicates that the Group preserved operating capability while tightening the screening of new projects and applying closer post-investment review. This produced a non-current asset profile that is slightly more productive, more digital, and better aligned with the Group’s segment priorities than in the prior year.</w:t>
      </w:r>
    </w:p>
    <w:p w14:paraId="0010149F" w14:textId="001014A0">
      <w:pPr>
        <w:pStyle w:val="Heading5"/>
        <w:jc w:val="left"/>
      </w:pPr>
      <w:r>
        <w:t xml:space="preserve">Fixed Assets</w:t>
      </w:r>
    </w:p>
    <w:p w14:paraId="001014A1" w14:textId="001014A2">
      <w:pPr>
        <w:pStyle w:val="Normal"/>
        <w:jc w:val="left"/>
      </w:pPr>
      <w:r>
        <w:t xml:space="preserve">Property, plant and equipment remained concentrated in manufacturing lines, service equipment, warehousing infrastructure, and specialized network assets supporting the Infrastructure and Industrial segments. Capital expenditure during the year was directed mainly to plant modernization, energy-efficiency upgrades, fleet replacement, and capacity debottlenecking in locations with visible order support. A smaller but strategically important share of spend related to automation, warehouse systems, and digital production controls intended to improve yield, labor productivity, and service reliability.</w:t>
      </w:r>
    </w:p>
    <w:p w14:paraId="001014A3" w14:textId="001014A4">
      <w:pPr>
        <w:pStyle w:val="Normal"/>
        <w:jc w:val="left"/>
      </w:pPr>
      <w:r>
        <w:t xml:space="preserve">Movements in fixed assets followed the normal pattern of opening carrying amount, additions, transfers from assets under construction, depreciation, and limited disposals of obsolete or underutilized equipment. The Group did not undertake any material greenfield expansion; instead, most investment was phased into existing sites where returns could be captured within a shorter operating cycle. Right-of-use assets changed in line with renewed property and logistics leases, while depreciation remained stable relative to the prior year because new assets largely replaced, rather than expanded, the asset base. Management considers the year’s level of capital deployment consistent with its return discipline, balancing near-term cash generation with the need to sustain safe, efficient, and compliant operations across the portfolio.</w:t>
      </w:r>
    </w:p>
    <w:p w14:paraId="001014A5" w14:textId="001014A6">
      <w:pPr>
        <w:pStyle w:val="Normal"/>
        <w:jc w:val="left"/>
      </w:pPr>
      <w:r>
        <w:t xml:space="preserve">The asset roll-forward reflects additions recognized when expenditure met capitalization criteria and the related assets became available for use. Major additions included line automation in the North Estuary Industrial Corridor, cold-chain handling equipment for selected Consumer distribution hubs, and platform infrastructure supporting recurring-revenue modules in Digital Services. Capital work in progress also included phased site safety improvements, energy monitoring systems, and targeted building refurbishments. Once commissioned, these projects were transferred into the relevant asset classes and began depreciating over their estimated useful lives.</w:t>
      </w:r>
    </w:p>
    <w:p w14:paraId="001014A7" w14:textId="001014A8">
      <w:pPr>
        <w:pStyle w:val="Normal"/>
        <w:jc w:val="left"/>
      </w:pPr>
      <w:r>
        <w:t xml:space="preserve">Disposals and retirements were modest and mainly related to replaced machinery, lease exits, and the rationalization of redundant office and support equipment. Depreciation expense remained the principal non-cash movement, reflecting the maturity of the Group’s installed asset base. Useful lives, residual values, and depreciation methods were reviewed during the year and no widespread changes were required, although certain technology-related assets in Digital Services continue to be depreciated over shorter periods due to faster functional obsolescence. Overall, the roll-forward shows a portfolio moving gradually toward higher automation and software intensity without a sharp increase in fixed-cost exposure. This pattern is consistent with Rivermark Group’s preference for incremental, high-confidence investment over large speculative expansion.</w:t>
      </w:r>
    </w:p>
    <w:p w14:paraId="001014A9" w14:textId="001014AA">
      <w:pPr>
        <w:pStyle w:val="Heading5"/>
        <w:jc w:val="left"/>
      </w:pPr>
      <w:r>
        <w:t xml:space="preserve">Impairment Testing</w:t>
      </w:r>
    </w:p>
    <w:p w14:paraId="001014AB" w14:textId="001014AC">
      <w:pPr>
        <w:pStyle w:val="Normal"/>
        <w:jc w:val="left"/>
      </w:pPr>
      <w:r>
        <w:t xml:space="preserve">Impairment testing was performed for cash-generating units where indicators of impairment existed and, for goodwill and indefinite-life intangible assets, as part of the annual review process. Cash-generating units were identified at the lowest level at which largely independent cash inflows can be monitored, generally aligning with major business platforms or closely integrated operating clusters within each reportable segment. The recoverable amount of each relevant unit was determined using value-in-use calculations, supported where appropriate by observable market evidence and recent transaction multiples for similar activities.</w:t>
      </w:r>
    </w:p>
    <w:p w14:paraId="001014AD" w14:textId="001014AE">
      <w:pPr>
        <w:pStyle w:val="Normal"/>
        <w:jc w:val="left"/>
      </w:pPr>
      <w:r>
        <w:t xml:space="preserve">The testing model used board-approved budgets covering a three-year planning horizon, followed by a terminal value based on normalized growth assumptions. Key inputs included forecast revenue growth, operating margin recovery, maintenance and strategic capital expenditure, working capital intensity, and pre-tax discount rates reflecting the risk profile of the underlying activities. Particular attention was given to units exposed to cyclical industrial demand, slower consumer volumes, or technology migration risk. Where performance had softened but medium-term strategic relevance remained intact, management challenged both the pace of recovery and the level of reinvestment required to achieve forecast cash flows. This approach resulted in selected impairment charges on lower-growth intangible and site-specific assets, while preserving carrying values in units where current weakness was judged temporary and supported by clear operating actions.</w:t>
      </w:r>
    </w:p>
    <w:p w14:paraId="001014AF" w14:textId="001014B0">
      <w:pPr>
        <w:pStyle w:val="Normal"/>
        <w:jc w:val="left"/>
      </w:pPr>
      <w:r>
        <w:t xml:space="preserve">Sensitivity analysis was applied to the most judgmental assumptions in the impairment models, especially discount rates, terminal growth rates, and near-term margin improvement. Across the tested portfolio, pre-tax discount rates generally fell within a range of 9.0% to 13.5%, with the higher end applied to smaller or more volatile businesses. Terminal growth assumptions were typically set between 1.5% and 3.0%, reflecting the maturity of most end markets and management’s expectation of inflation-linked but not exceptional long-run expansion. Margin assumptions varied by unit and incorporated expected productivity benefits, pricing discipline, and the timing of demand normalization.</w:t>
      </w:r>
    </w:p>
    <w:p w14:paraId="001014B1" w14:textId="001014B2">
      <w:pPr>
        <w:pStyle w:val="Normal"/>
        <w:jc w:val="left"/>
      </w:pPr>
      <w:r>
        <w:t xml:space="preserve">For units with lower headroom, management modelled reasonably possible downside scenarios, including a 100-basis-point increase in discount rate, a 50-basis-point reduction in terminal growth, and a slower recovery in forecast earnings. These scenarios did not indicate a material impairment for most tested units, although a limited number of cash-generating units in the Consumer and legacy Industrial portfolio showed comparatively narrow cushions. In those cases, enhanced monitoring has been established and future impairment outcomes will depend on volume recovery, contract retention, and delivery of planned cost actions. The disclosed ranges therefore illustrate that valuation remains supportable, but also that a subset of assets is more sensitive to adverse market movements than the broader Group asset base.</w:t>
      </w:r>
    </w:p>
    <w:p w14:paraId="001014B3" w14:textId="001014B4">
      <w:pPr>
        <w:pStyle w:val="Heading4a"/>
        <w:jc w:val="left"/>
      </w:pPr>
      <w:r>
        <w:t xml:space="preserve">Current Balances</w:t>
      </w:r>
    </w:p>
    <w:p w14:paraId="001014B5" w14:textId="001014B6">
      <w:pPr>
        <w:pStyle w:val="Normal"/>
        <w:jc w:val="left"/>
      </w:pPr>
      <w:r>
        <w:t xml:space="preserve">Current balances include inventories, trade and other receivables, contract assets, cash, trade and other payables, current tax balances, and the current portion of provisions and borrowings. These balances are central to the Group’s operating cycle because they connect reported earnings with cash conversion and day-to-day liquidity management. During the year, management placed stronger emphasis on working capital discipline in response to mixed demand conditions, cost inflation in selected inputs, and the need to preserve flexibility for targeted capital spending and debt service.</w:t>
      </w:r>
    </w:p>
    <w:p w14:paraId="001014B7" w14:textId="001014B8">
      <w:pPr>
        <w:pStyle w:val="Normal"/>
        <w:jc w:val="left"/>
      </w:pPr>
      <w:r>
        <w:t xml:space="preserve">Year-end current assets were influenced by a measured inventory rebuild in service-critical categories, higher receivables in segments that experienced a stronger fourth quarter trading pattern, and stable cash holdings supported by improved collection activity. Current liabilities increased more moderately, reflecting procurement timing, accruals for variable compensation, and the ordinary settlement profile of supplier obligations. Provisions due within twelve months mainly related to restructuring actions, warranty exposures, and claims management in the Infrastructure segment. The overall current balance position remained manageable and consistent with the Group’s operating scale, although management continues to monitor customer credit quality, supplier concentration, and inventory aging. In combination, these balances indicate that Rivermark Group ended the year with adequate short-term liquidity and improved visibility over the levers that drive operating cash flow.</w:t>
      </w:r>
    </w:p>
    <w:p w14:paraId="001014B9" w14:textId="001014BA">
      <w:pPr>
        <w:pStyle w:val="Heading5"/>
        <w:jc w:val="left"/>
      </w:pPr>
      <w:r>
        <w:t xml:space="preserve">Working Capital</w:t>
      </w:r>
    </w:p>
    <w:p w14:paraId="001014BB" w14:textId="001014BC">
      <w:pPr>
        <w:pStyle w:val="Normal"/>
        <w:jc w:val="left"/>
      </w:pPr>
      <w:r>
        <w:t xml:space="preserve">Inventories increased modestly at year end, reflecting a deliberate build in selected Infrastructure and Consumer lines ahead of contracted deliveries and seasonal campaigns, partly offset by tighter planning in Industrial. The closing balance remained aligned with demand visibility and did not indicate broad-based overstocking. Raw materials represented the largest movement, as management secured key inputs with longer lead times during the second half, while finished goods days were kept broadly stable through improved sales and operations planning. Inventory performance was monitored through days on hand, ageing by category, and slow-moving stock reviews performed at operating-unit level.</w:t>
      </w:r>
    </w:p>
    <w:p w14:paraId="001014BD" w14:textId="001014BE">
      <w:pPr>
        <w:pStyle w:val="Normal"/>
        <w:jc w:val="left"/>
      </w:pPr>
      <w:r>
        <w:t xml:space="preserve">Trade receivables rose broadly in line with revenue growth, with the mix shaped by stronger fourth-quarter billings in Infrastructure projects and expansion of recurring Digital Services contracts. The quality of the receivables book remained resilient. Collection patterns were supported by customer diversification, formal credit approvals, and active follow-up of overdue balances. Across the Group, working capital discipline improved in the second half as billing milestones were tightened, dispute resolution times shortened, and targeted collection actions were applied to legacy balances. Taken together, inventory and receivable trends reflected growth in activity while remaining within the control parameters used by management for liquidity and cash conversion oversight.</w:t>
      </w:r>
    </w:p>
    <w:p w14:paraId="001014BF" w14:textId="001014C0">
      <w:pPr>
        <w:pStyle w:val="Normal"/>
        <w:jc w:val="left"/>
      </w:pPr>
      <w:r>
        <w:t xml:space="preserve">Allowance assessments are based on the specific risk characteristics of each asset class and the historical performance of the underlying portfolios. For inventories, carrying values are tested against expected net realizable value using recent selling prices, committed order positions, forecast demand, and estimated completion or disposal costs. Additional judgment is applied to items with low turnover, technical obsolescence, or limited alternative use. Management reviews inventory ageing by product family and records provisions where recovery through ordinary sale is not considered probable within a reasonable period.</w:t>
      </w:r>
    </w:p>
    <w:p w14:paraId="001014C1" w14:textId="001014C2">
      <w:pPr>
        <w:pStyle w:val="Normal"/>
        <w:jc w:val="left"/>
      </w:pPr>
      <w:r>
        <w:t xml:space="preserve">For trade receivables, expected credit loss allowances are determined using a combination of customer-specific review and provision matrices calibrated by ageing band, customer type, and forward-looking information. Past-due balances are not automatically impaired; they are evaluated in the context of payment history, collateral or contractual protections, and current commercial discussions. Turnover metrics used in note disclosures are derived from average balances over the reporting period and are monitored together with overdue ratios and write-off experience. On this basis, management concluded that year-end allowances appropriately reflected identifiable losses and portfolio risk, while turnover levels remained consistent with the operating profile of each segment.</w:t>
      </w:r>
    </w:p>
    <w:p w14:paraId="001014C3" w14:textId="001014C4">
      <w:pPr>
        <w:pStyle w:val="Heading5"/>
        <w:jc w:val="left"/>
      </w:pPr>
      <w:r>
        <w:t xml:space="preserve">Provisions</w:t>
      </w:r>
    </w:p>
    <w:p w14:paraId="001014C5" w14:textId="001014C6">
      <w:pPr>
        <w:pStyle w:val="Normal"/>
        <w:jc w:val="left"/>
      </w:pPr>
      <w:r>
        <w:t xml:space="preserve">Provisions represent present obligations arising from past events where an outflow of economic benefits is probable and the amount can be estimated with sufficient reliability. Rivermark Group recognizes provisions for restructuring programs, warranty and service commitments, legal and regulatory matters, environmental remediation, onerous contracts, and other operating obligations that meet the recognition criteria. Each category is reviewed by management with input from finance, legal, operational, and compliance teams to ensure that assumptions reflect the most recent information available at the reporting date.</w:t>
      </w:r>
    </w:p>
    <w:p w14:paraId="001014C7" w14:textId="001014C8">
      <w:pPr>
        <w:pStyle w:val="Normal"/>
        <w:jc w:val="left"/>
      </w:pPr>
      <w:r>
        <w:t xml:space="preserve">Measurement is based on management’s best estimate of the expenditure required to settle the obligation, taking account of expected timing, contractual terms, available evidence, and, where material, discounting for the time value of money. Restructuring provisions are recorded only when a detailed formal plan exists and the affected parties have a valid expectation that the program will be carried out. Warranty and service provisions are generally derived from historical claims patterns adjusted for product changes and current quality data. Legal and environmental provisions depend more heavily on case-specific judgment. The resulting balance therefore combines recurring provisions supported by experience-based models with individually assessed exposures that are inherently more sensitive to changes in facts and outcomes.</w:t>
      </w:r>
    </w:p>
    <w:p w14:paraId="001014C9" w14:textId="001014CA">
      <w:pPr>
        <w:pStyle w:val="Normal"/>
        <w:jc w:val="left"/>
      </w:pPr>
      <w:r>
        <w:t xml:space="preserve">Provisions are presented as current or non-current according to the expected timing of settlement at the reporting date. Current provisions mainly comprise warranty obligations, short-cycle restructuring costs, contract-related claims, and other items expected to be utilized within twelve months. These balances are closely linked to the operating cycle and typically unwind through cash payments, service activity, or direct remediation work during the following financial year. Non-current provisions primarily relate to longer-duration legal matters, environmental remediation, lease restoration, and certain restructuring elements that extend beyond the near term.</w:t>
      </w:r>
    </w:p>
    <w:p w14:paraId="001014CB" w14:textId="001014CC">
      <w:pPr>
        <w:pStyle w:val="Normal"/>
        <w:jc w:val="left"/>
      </w:pPr>
      <w:r>
        <w:t xml:space="preserve">The split between current and non-current balances is reviewed at each reporting date and may change as underlying programs progress, claims are resolved, or settlement expectations become clearer. Reclassifications between the two categories do not of themselves create new obligations; rather, they reflect updated timing assessments. Where discounting is applied, the carrying amount of non-current provisions increases over time through the unwind of discount, which is recognized in the appropriate income statement line according to the nature of the obligation. Management considers the closing classification to provide a reasonable view of expected cash outflows and to support users’ assessment of short-term liquidity needs versus longer-term committed exposures.</w:t>
      </w:r>
    </w:p>
    <w:p w14:paraId="001014CD" w14:textId="001014CE">
      <w:pPr>
        <w:pStyle w:val="Heading3a"/>
        <w:jc w:val="left"/>
      </w:pPr>
      <w:r>
        <w:t xml:space="preserve">Debt Tax and Equity</w:t>
      </w:r>
    </w:p>
    <w:p w14:paraId="001014CF" w14:textId="001014D0">
      <w:pPr>
        <w:pStyle w:val="Normal"/>
        <w:jc w:val="left"/>
      </w:pPr>
      <w:r>
        <w:t xml:space="preserve">This section summarizes the Group’s funding structure, tax position, and equity movements for the year. Borrowings include bank loans, private placement notes, lease liabilities, and ancillary facilities used to support seasonal working capital and committed investment programs. Funding arrangements are managed centrally to maintain adequate tenor diversification, covenant headroom, and liquidity under both base-case and stress scenarios. Tax disclosures address current and deferred tax balances, the effective tax rate, uncertain tax positions where relevant, and the principal factors causing differences between the statutory and reported rates.</w:t>
      </w:r>
    </w:p>
    <w:p w14:paraId="001014D1" w14:textId="001014D2">
      <w:pPr>
        <w:pStyle w:val="Normal"/>
        <w:jc w:val="left"/>
      </w:pPr>
      <w:r>
        <w:t xml:space="preserve">Equity disclosures explain movements in share capital, retained earnings, and other reserves arising from profit for the year, dividends, foreign currency translation, cash flow hedge accounting, and other comprehensive income items. The note should be read together with the cash flow statement and statement of changes in equity, as the same underlying transactions may affect more than one caption. Consistent with the Group’s reporting framework, amounts are presented on a consolidated basis and reflect only those instruments and obligations that were outstanding or recognized at the reporting date.</w:t>
      </w:r>
    </w:p>
    <w:p w14:paraId="001014D3" w14:textId="001014D4">
      <w:pPr>
        <w:pStyle w:val="Normal"/>
        <w:jc w:val="left"/>
      </w:pPr>
      <w:r>
        <w:t xml:space="preserve">Rivermark Group’s capital policy is to preserve financial flexibility while supporting disciplined growth, resilience through market cycles, and returns to shareholders over time. Management monitors capital using a combination of leverage, interest cover, free cash flow generation, liquidity headroom, and return on invested capital. These measures are reviewed against internal thresholds and external financing commitments to ensure that the Group can fund operations, execute approved capital expenditure, and respond to strategic opportunities without compromising balance sheet stability.</w:t>
      </w:r>
    </w:p>
    <w:p w14:paraId="001014D5" w14:textId="001014D6">
      <w:pPr>
        <w:pStyle w:val="Normal"/>
        <w:jc w:val="left"/>
      </w:pPr>
      <w:r>
        <w:t xml:space="preserve">During the year, capital movements were shaped by retained earnings from profitable operations, dividend distributions, scheduled debt amortization, and continued investment in capacity, digital platforms, and selected modernization projects. Foreign exchange translation movements and hedge reserves also affected equity, although these items did not directly alter distributable cash resources. Tax cash payments and deferred tax remeasurements reflected the geographic mix of earnings, enacted rate changes, and temporary differences on fixed assets, leases, and provisions. Overall, the year-end capital position remained consistent with management’s policy objectives: moderate leverage, adequate liquidity, and sufficient equity support for the Group’s operating and strategic requirements.</w:t>
      </w:r>
    </w:p>
    <w:p w14:paraId="001014D7" w14:textId="001014D8">
      <w:pPr>
        <w:pStyle w:val="Normal"/>
        <w:jc w:val="left"/>
      </w:pPr>
      <w:r>
        <w:t xml:space="preserve">Table 31 Debt, tax and equity schedule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14D9" w14:textId="00101545">
            <w:pPr>
              <w:pStyle w:val="Normal"/>
              <w:jc w:val="left"/>
            </w:pPr>
            <w:r>
              <w:t xml:space="preserve">Category</w:t>
            </w:r>
          </w:p>
        </w:tc>
        <w:tc>
          <w:tcPr>
            <w:vAlign w:val="center"/>
            <w:tcBorders>
              <w:top w:val="single" w:sz="4" w:space="0" w:color="auto"/>
              <w:left w:val="single" w:sz="4" w:space="0" w:color="auto"/>
              <w:bottom w:val="single" w:sz="4" w:space="0" w:color="auto"/>
              <w:right w:val="single" w:sz="4" w:space="0" w:color="auto"/>
            </w:tcBorders>
          </w:tcPr>
          <w:p w14:paraId="001014DB" w14:textId="00101546">
            <w:pPr>
              <w:pStyle w:val="Normal"/>
              <w:jc w:val="left"/>
            </w:pPr>
            <w:r>
              <w:t xml:space="preserve">Opening balance</w:t>
            </w:r>
          </w:p>
        </w:tc>
        <w:tc>
          <w:tcPr>
            <w:vAlign w:val="center"/>
            <w:tcBorders>
              <w:top w:val="single" w:sz="4" w:space="0" w:color="auto"/>
              <w:left w:val="single" w:sz="4" w:space="0" w:color="auto"/>
              <w:bottom w:val="single" w:sz="4" w:space="0" w:color="auto"/>
              <w:right w:val="single" w:sz="4" w:space="0" w:color="auto"/>
            </w:tcBorders>
          </w:tcPr>
          <w:p w14:paraId="001014DD" w14:textId="00101547">
            <w:pPr>
              <w:pStyle w:val="Normal"/>
              <w:jc w:val="left"/>
            </w:pPr>
            <w:r>
              <w:t xml:space="preserve">Cash movement</w:t>
            </w:r>
          </w:p>
        </w:tc>
        <w:tc>
          <w:tcPr>
            <w:vAlign w:val="center"/>
            <w:tcBorders>
              <w:top w:val="single" w:sz="4" w:space="0" w:color="auto"/>
              <w:left w:val="single" w:sz="4" w:space="0" w:color="auto"/>
              <w:bottom w:val="single" w:sz="4" w:space="0" w:color="auto"/>
              <w:right w:val="single" w:sz="4" w:space="0" w:color="auto"/>
            </w:tcBorders>
          </w:tcPr>
          <w:p w14:paraId="001014DF" w14:textId="00101548">
            <w:pPr>
              <w:pStyle w:val="Normal"/>
              <w:jc w:val="left"/>
            </w:pPr>
            <w:r>
              <w:t xml:space="preserve">Non-cash movement</w:t>
            </w:r>
          </w:p>
        </w:tc>
        <w:tc>
          <w:tcPr>
            <w:vAlign w:val="center"/>
            <w:tcBorders>
              <w:top w:val="single" w:sz="4" w:space="0" w:color="auto"/>
              <w:left w:val="single" w:sz="4" w:space="0" w:color="auto"/>
              <w:bottom w:val="single" w:sz="4" w:space="0" w:color="auto"/>
              <w:right w:val="single" w:sz="4" w:space="0" w:color="auto"/>
            </w:tcBorders>
          </w:tcPr>
          <w:p w14:paraId="001014E1" w14:textId="00101549">
            <w:pPr>
              <w:pStyle w:val="Normal"/>
              <w:jc w:val="left"/>
            </w:pPr>
            <w:r>
              <w:t xml:space="preserve">Closing balance</w:t>
            </w:r>
          </w:p>
        </w:tc>
        <w:tc>
          <w:tcPr>
            <w:vAlign w:val="center"/>
            <w:tcBorders>
              <w:top w:val="single" w:sz="4" w:space="0" w:color="auto"/>
              <w:left w:val="single" w:sz="4" w:space="0" w:color="auto"/>
              <w:bottom w:val="single" w:sz="4" w:space="0" w:color="auto"/>
              <w:right w:val="single" w:sz="4" w:space="0" w:color="auto"/>
            </w:tcBorders>
          </w:tcPr>
          <w:p w14:paraId="001014E3" w14:textId="0010154A">
            <w:pPr>
              <w:pStyle w:val="Normal"/>
              <w:jc w:val="left"/>
            </w:pPr>
            <w:r>
              <w:t xml:space="preserve">Key commentary</w:t>
            </w:r>
          </w:p>
        </w:tc>
      </w:tr>
      <w:tr>
        <w:tc>
          <w:tcPr>
            <w:vAlign w:val="top"/>
            <w:tcBorders>
              <w:top w:val="single" w:sz="4" w:space="0" w:color="auto"/>
              <w:left w:val="single" w:sz="4" w:space="0" w:color="auto"/>
              <w:bottom w:val="single" w:sz="4" w:space="0" w:color="auto"/>
              <w:right w:val="single" w:sz="4" w:space="0" w:color="auto"/>
            </w:tcBorders>
          </w:tcPr>
          <w:p w14:paraId="001014E5" w14:textId="0010154B">
            <w:pPr>
              <w:pStyle w:val="Normal"/>
              <w:jc w:val="left"/>
            </w:pPr>
            <w:r>
              <w:t xml:space="preserve">Borrowings</w:t>
            </w:r>
          </w:p>
        </w:tc>
        <w:tc>
          <w:tcPr>
            <w:vAlign w:val="center"/>
            <w:tcBorders>
              <w:top w:val="single" w:sz="4" w:space="0" w:color="auto"/>
              <w:left w:val="single" w:sz="4" w:space="0" w:color="auto"/>
              <w:bottom w:val="single" w:sz="4" w:space="0" w:color="auto"/>
              <w:right w:val="single" w:sz="4" w:space="0" w:color="auto"/>
            </w:tcBorders>
          </w:tcPr>
          <w:p w14:paraId="001014E7" w14:textId="0010154C">
            <w:pPr>
              <w:pStyle w:val="Normal"/>
              <w:jc w:val="left"/>
            </w:pPr>
            <w:r>
              <w:t xml:space="preserve">1,126</w:t>
            </w:r>
          </w:p>
        </w:tc>
        <w:tc>
          <w:tcPr>
            <w:vAlign w:val="center"/>
            <w:tcBorders>
              <w:top w:val="single" w:sz="4" w:space="0" w:color="auto"/>
              <w:left w:val="single" w:sz="4" w:space="0" w:color="auto"/>
              <w:bottom w:val="single" w:sz="4" w:space="0" w:color="auto"/>
              <w:right w:val="single" w:sz="4" w:space="0" w:color="auto"/>
            </w:tcBorders>
          </w:tcPr>
          <w:p w14:paraId="001014E9" w14:textId="0010154D">
            <w:pPr>
              <w:pStyle w:val="Normal"/>
              <w:jc w:val="left"/>
            </w:pPr>
            <w:r>
              <w:t xml:space="preserve">(84)</w:t>
            </w:r>
          </w:p>
        </w:tc>
        <w:tc>
          <w:tcPr>
            <w:vAlign w:val="center"/>
            <w:tcBorders>
              <w:top w:val="single" w:sz="4" w:space="0" w:color="auto"/>
              <w:left w:val="single" w:sz="4" w:space="0" w:color="auto"/>
              <w:bottom w:val="single" w:sz="4" w:space="0" w:color="auto"/>
              <w:right w:val="single" w:sz="4" w:space="0" w:color="auto"/>
            </w:tcBorders>
          </w:tcPr>
          <w:p w14:paraId="001014EB" w14:textId="0010154E">
            <w:pPr>
              <w:pStyle w:val="Normal"/>
              <w:jc w:val="left"/>
            </w:pPr>
            <w:r>
              <w:t xml:space="preserve">53</w:t>
            </w:r>
          </w:p>
        </w:tc>
        <w:tc>
          <w:tcPr>
            <w:vAlign w:val="center"/>
            <w:tcBorders>
              <w:top w:val="single" w:sz="4" w:space="0" w:color="auto"/>
              <w:left w:val="single" w:sz="4" w:space="0" w:color="auto"/>
              <w:bottom w:val="single" w:sz="4" w:space="0" w:color="auto"/>
              <w:right w:val="single" w:sz="4" w:space="0" w:color="auto"/>
            </w:tcBorders>
          </w:tcPr>
          <w:p w14:paraId="001014ED" w14:textId="0010154F">
            <w:pPr>
              <w:pStyle w:val="Normal"/>
              <w:jc w:val="left"/>
            </w:pPr>
            <w:r>
              <w:t xml:space="preserve">1,095</w:t>
            </w:r>
          </w:p>
        </w:tc>
        <w:tc>
          <w:tcPr>
            <w:vAlign w:val="center"/>
            <w:tcBorders>
              <w:top w:val="single" w:sz="4" w:space="0" w:color="auto"/>
              <w:left w:val="single" w:sz="4" w:space="0" w:color="auto"/>
              <w:bottom w:val="single" w:sz="4" w:space="0" w:color="auto"/>
              <w:right w:val="single" w:sz="4" w:space="0" w:color="auto"/>
            </w:tcBorders>
          </w:tcPr>
          <w:p w14:paraId="001014EF" w14:textId="00101550">
            <w:pPr>
              <w:pStyle w:val="Normal"/>
              <w:jc w:val="left"/>
            </w:pPr>
            <w:r>
              <w:t xml:space="preserve">Term loans and revolving credit remained the core funding base, with scheduled repayments partly offset by lease additions and foreign exchange effects.</w:t>
            </w:r>
          </w:p>
        </w:tc>
      </w:tr>
      <w:tr>
        <w:tc>
          <w:tcPr>
            <w:vAlign w:val="top"/>
            <w:tcBorders>
              <w:top w:val="single" w:sz="4" w:space="0" w:color="auto"/>
              <w:left w:val="single" w:sz="4" w:space="0" w:color="auto"/>
              <w:bottom w:val="single" w:sz="4" w:space="0" w:color="auto"/>
              <w:right w:val="single" w:sz="4" w:space="0" w:color="auto"/>
            </w:tcBorders>
          </w:tcPr>
          <w:p w14:paraId="001014F1" w14:textId="00101551">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14F3" w14:textId="00101552">
            <w:pPr>
              <w:pStyle w:val="Normal"/>
              <w:jc w:val="left"/>
            </w:pPr>
            <w:r>
              <w:t xml:space="preserve">214</w:t>
            </w:r>
          </w:p>
        </w:tc>
        <w:tc>
          <w:tcPr>
            <w:vAlign w:val="center"/>
            <w:tcBorders>
              <w:top w:val="single" w:sz="4" w:space="0" w:color="auto"/>
              <w:left w:val="single" w:sz="4" w:space="0" w:color="auto"/>
              <w:bottom w:val="single" w:sz="4" w:space="0" w:color="auto"/>
              <w:right w:val="single" w:sz="4" w:space="0" w:color="auto"/>
            </w:tcBorders>
          </w:tcPr>
          <w:p w14:paraId="001014F5" w14:textId="00101553">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14F7" w14:textId="00101554">
            <w:pPr>
              <w:pStyle w:val="Normal"/>
              <w:jc w:val="left"/>
            </w:pPr>
            <w:r>
              <w:t xml:space="preserve">72</w:t>
            </w:r>
          </w:p>
        </w:tc>
        <w:tc>
          <w:tcPr>
            <w:vAlign w:val="center"/>
            <w:tcBorders>
              <w:top w:val="single" w:sz="4" w:space="0" w:color="auto"/>
              <w:left w:val="single" w:sz="4" w:space="0" w:color="auto"/>
              <w:bottom w:val="single" w:sz="4" w:space="0" w:color="auto"/>
              <w:right w:val="single" w:sz="4" w:space="0" w:color="auto"/>
            </w:tcBorders>
          </w:tcPr>
          <w:p w14:paraId="001014F9" w14:textId="00101555">
            <w:pPr>
              <w:pStyle w:val="Normal"/>
              <w:jc w:val="left"/>
            </w:pPr>
            <w:r>
              <w:t xml:space="preserve">225</w:t>
            </w:r>
          </w:p>
        </w:tc>
        <w:tc>
          <w:tcPr>
            <w:vAlign w:val="center"/>
            <w:tcBorders>
              <w:top w:val="single" w:sz="4" w:space="0" w:color="auto"/>
              <w:left w:val="single" w:sz="4" w:space="0" w:color="auto"/>
              <w:bottom w:val="single" w:sz="4" w:space="0" w:color="auto"/>
              <w:right w:val="single" w:sz="4" w:space="0" w:color="auto"/>
            </w:tcBorders>
          </w:tcPr>
          <w:p w14:paraId="001014FB" w14:textId="00101556">
            <w:pPr>
              <w:pStyle w:val="Normal"/>
              <w:jc w:val="left"/>
            </w:pPr>
            <w:r>
              <w:t xml:space="preserve">New warehouse, fleet and office leases added during the year broadly offset routine principal amortization.</w:t>
            </w:r>
          </w:p>
        </w:tc>
      </w:tr>
      <w:tr>
        <w:tc>
          <w:tcPr>
            <w:vAlign w:val="top"/>
            <w:tcBorders>
              <w:top w:val="single" w:sz="4" w:space="0" w:color="auto"/>
              <w:left w:val="single" w:sz="4" w:space="0" w:color="auto"/>
              <w:bottom w:val="single" w:sz="4" w:space="0" w:color="auto"/>
              <w:right w:val="single" w:sz="4" w:space="0" w:color="auto"/>
            </w:tcBorders>
          </w:tcPr>
          <w:p w14:paraId="001014FD" w14:textId="00101557">
            <w:pPr>
              <w:pStyle w:val="Normal"/>
              <w:jc w:val="left"/>
            </w:pPr>
            <w:r>
              <w:t xml:space="preserve">Current tax liabilities</w:t>
            </w:r>
          </w:p>
        </w:tc>
        <w:tc>
          <w:tcPr>
            <w:vAlign w:val="center"/>
            <w:tcBorders>
              <w:top w:val="single" w:sz="4" w:space="0" w:color="auto"/>
              <w:left w:val="single" w:sz="4" w:space="0" w:color="auto"/>
              <w:bottom w:val="single" w:sz="4" w:space="0" w:color="auto"/>
              <w:right w:val="single" w:sz="4" w:space="0" w:color="auto"/>
            </w:tcBorders>
          </w:tcPr>
          <w:p w14:paraId="001014FF" w14:textId="00101558">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1501" w14:textId="00101559">
            <w:pPr>
              <w:pStyle w:val="Normal"/>
              <w:jc w:val="left"/>
            </w:pPr>
            <w:r>
              <w:t xml:space="preserve">(17)</w:t>
            </w:r>
          </w:p>
        </w:tc>
        <w:tc>
          <w:tcPr>
            <w:vAlign w:val="center"/>
            <w:tcBorders>
              <w:top w:val="single" w:sz="4" w:space="0" w:color="auto"/>
              <w:left w:val="single" w:sz="4" w:space="0" w:color="auto"/>
              <w:bottom w:val="single" w:sz="4" w:space="0" w:color="auto"/>
              <w:right w:val="single" w:sz="4" w:space="0" w:color="auto"/>
            </w:tcBorders>
          </w:tcPr>
          <w:p w14:paraId="00101503" w14:textId="0010155A">
            <w:pPr>
              <w:pStyle w:val="Normal"/>
              <w:jc w:val="left"/>
            </w:pPr>
            <w:r>
              <w:t xml:space="preserve">5</w:t>
            </w:r>
          </w:p>
        </w:tc>
        <w:tc>
          <w:tcPr>
            <w:vAlign w:val="center"/>
            <w:tcBorders>
              <w:top w:val="single" w:sz="4" w:space="0" w:color="auto"/>
              <w:left w:val="single" w:sz="4" w:space="0" w:color="auto"/>
              <w:bottom w:val="single" w:sz="4" w:space="0" w:color="auto"/>
              <w:right w:val="single" w:sz="4" w:space="0" w:color="auto"/>
            </w:tcBorders>
          </w:tcPr>
          <w:p w14:paraId="00101505" w14:textId="0010155B">
            <w:pPr>
              <w:pStyle w:val="Normal"/>
              <w:jc w:val="left"/>
            </w:pPr>
            <w:r>
              <w:t xml:space="preserve">56</w:t>
            </w:r>
          </w:p>
        </w:tc>
        <w:tc>
          <w:tcPr>
            <w:vAlign w:val="center"/>
            <w:tcBorders>
              <w:top w:val="single" w:sz="4" w:space="0" w:color="auto"/>
              <w:left w:val="single" w:sz="4" w:space="0" w:color="auto"/>
              <w:bottom w:val="single" w:sz="4" w:space="0" w:color="auto"/>
              <w:right w:val="single" w:sz="4" w:space="0" w:color="auto"/>
            </w:tcBorders>
          </w:tcPr>
          <w:p w14:paraId="00101507" w14:textId="0010155C">
            <w:pPr>
              <w:pStyle w:val="Normal"/>
              <w:jc w:val="left"/>
            </w:pPr>
            <w:r>
              <w:t xml:space="preserve">Cash tax payments reduced the balance, while current-year taxable profits generated fresh obligations in several operating jurisdictions.</w:t>
            </w:r>
          </w:p>
        </w:tc>
      </w:tr>
      <w:tr>
        <w:tc>
          <w:tcPr>
            <w:vAlign w:val="top"/>
            <w:tcBorders>
              <w:top w:val="single" w:sz="4" w:space="0" w:color="auto"/>
              <w:left w:val="single" w:sz="4" w:space="0" w:color="auto"/>
              <w:bottom w:val="single" w:sz="4" w:space="0" w:color="auto"/>
              <w:right w:val="single" w:sz="4" w:space="0" w:color="auto"/>
            </w:tcBorders>
          </w:tcPr>
          <w:p w14:paraId="00101509" w14:textId="0010155D">
            <w:pPr>
              <w:pStyle w:val="Normal"/>
              <w:jc w:val="left"/>
            </w:pPr>
            <w:r>
              <w:t xml:space="preserve">Deferred tax liabilities, net</w:t>
            </w:r>
          </w:p>
        </w:tc>
        <w:tc>
          <w:tcPr>
            <w:vAlign w:val="center"/>
            <w:tcBorders>
              <w:top w:val="single" w:sz="4" w:space="0" w:color="auto"/>
              <w:left w:val="single" w:sz="4" w:space="0" w:color="auto"/>
              <w:bottom w:val="single" w:sz="4" w:space="0" w:color="auto"/>
              <w:right w:val="single" w:sz="4" w:space="0" w:color="auto"/>
            </w:tcBorders>
          </w:tcPr>
          <w:p w14:paraId="0010150B" w14:textId="0010155E">
            <w:pPr>
              <w:pStyle w:val="Normal"/>
              <w:jc w:val="left"/>
            </w:pPr>
            <w:r>
              <w:t xml:space="preserve">149</w:t>
            </w:r>
          </w:p>
        </w:tc>
        <w:tc>
          <w:tcPr>
            <w:vAlign w:val="center"/>
            <w:tcBorders>
              <w:top w:val="single" w:sz="4" w:space="0" w:color="auto"/>
              <w:left w:val="single" w:sz="4" w:space="0" w:color="auto"/>
              <w:bottom w:val="single" w:sz="4" w:space="0" w:color="auto"/>
              <w:right w:val="single" w:sz="4" w:space="0" w:color="auto"/>
            </w:tcBorders>
          </w:tcPr>
          <w:p w14:paraId="0010150D" w14:textId="0010155F">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150F" w14:textId="00101560">
            <w:pPr>
              <w:pStyle w:val="Normal"/>
              <w:jc w:val="left"/>
            </w:pPr>
            <w:r>
              <w:t xml:space="preserve">18</w:t>
            </w:r>
          </w:p>
        </w:tc>
        <w:tc>
          <w:tcPr>
            <w:vAlign w:val="center"/>
            <w:tcBorders>
              <w:top w:val="single" w:sz="4" w:space="0" w:color="auto"/>
              <w:left w:val="single" w:sz="4" w:space="0" w:color="auto"/>
              <w:bottom w:val="single" w:sz="4" w:space="0" w:color="auto"/>
              <w:right w:val="single" w:sz="4" w:space="0" w:color="auto"/>
            </w:tcBorders>
          </w:tcPr>
          <w:p w14:paraId="00101511" w14:textId="00101561">
            <w:pPr>
              <w:pStyle w:val="Normal"/>
              <w:jc w:val="left"/>
            </w:pPr>
            <w:r>
              <w:t xml:space="preserve">167</w:t>
            </w:r>
          </w:p>
        </w:tc>
        <w:tc>
          <w:tcPr>
            <w:vAlign w:val="center"/>
            <w:tcBorders>
              <w:top w:val="single" w:sz="4" w:space="0" w:color="auto"/>
              <w:left w:val="single" w:sz="4" w:space="0" w:color="auto"/>
              <w:bottom w:val="single" w:sz="4" w:space="0" w:color="auto"/>
              <w:right w:val="single" w:sz="4" w:space="0" w:color="auto"/>
            </w:tcBorders>
          </w:tcPr>
          <w:p w14:paraId="00101513" w14:textId="00101562">
            <w:pPr>
              <w:pStyle w:val="Normal"/>
              <w:jc w:val="left"/>
            </w:pPr>
            <w:r>
              <w:t xml:space="preserve">Movement reflected temporary differences on accelerated depreciation, intangible amortization and fair value adjustments on prior transactions.</w:t>
            </w:r>
          </w:p>
        </w:tc>
      </w:tr>
      <w:tr>
        <w:tc>
          <w:tcPr>
            <w:vAlign w:val="top"/>
            <w:tcBorders>
              <w:top w:val="single" w:sz="4" w:space="0" w:color="auto"/>
              <w:left w:val="single" w:sz="4" w:space="0" w:color="auto"/>
              <w:bottom w:val="single" w:sz="4" w:space="0" w:color="auto"/>
              <w:right w:val="single" w:sz="4" w:space="0" w:color="auto"/>
            </w:tcBorders>
          </w:tcPr>
          <w:p w14:paraId="00101515" w14:textId="00101563">
            <w:pPr>
              <w:pStyle w:val="Normal"/>
              <w:jc w:val="left"/>
            </w:pPr>
            <w:r>
              <w:t xml:space="preserve">Share capital and premium</w:t>
            </w:r>
          </w:p>
        </w:tc>
        <w:tc>
          <w:tcPr>
            <w:vAlign w:val="center"/>
            <w:tcBorders>
              <w:top w:val="single" w:sz="4" w:space="0" w:color="auto"/>
              <w:left w:val="single" w:sz="4" w:space="0" w:color="auto"/>
              <w:bottom w:val="single" w:sz="4" w:space="0" w:color="auto"/>
              <w:right w:val="single" w:sz="4" w:space="0" w:color="auto"/>
            </w:tcBorders>
          </w:tcPr>
          <w:p w14:paraId="00101517" w14:textId="00101564">
            <w:pPr>
              <w:pStyle w:val="Normal"/>
              <w:jc w:val="left"/>
            </w:pPr>
            <w:r>
              <w:t xml:space="preserve">742</w:t>
            </w:r>
          </w:p>
        </w:tc>
        <w:tc>
          <w:tcPr>
            <w:vAlign w:val="center"/>
            <w:tcBorders>
              <w:top w:val="single" w:sz="4" w:space="0" w:color="auto"/>
              <w:left w:val="single" w:sz="4" w:space="0" w:color="auto"/>
              <w:bottom w:val="single" w:sz="4" w:space="0" w:color="auto"/>
              <w:right w:val="single" w:sz="4" w:space="0" w:color="auto"/>
            </w:tcBorders>
          </w:tcPr>
          <w:p w14:paraId="00101519" w14:textId="00101565">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151B" w14:textId="00101566">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151D" w14:textId="00101567">
            <w:pPr>
              <w:pStyle w:val="Normal"/>
              <w:jc w:val="left"/>
            </w:pPr>
            <w:r>
              <w:t xml:space="preserve">742</w:t>
            </w:r>
          </w:p>
        </w:tc>
        <w:tc>
          <w:tcPr>
            <w:vAlign w:val="center"/>
            <w:tcBorders>
              <w:top w:val="single" w:sz="4" w:space="0" w:color="auto"/>
              <w:left w:val="single" w:sz="4" w:space="0" w:color="auto"/>
              <w:bottom w:val="single" w:sz="4" w:space="0" w:color="auto"/>
              <w:right w:val="single" w:sz="4" w:space="0" w:color="auto"/>
            </w:tcBorders>
          </w:tcPr>
          <w:p w14:paraId="0010151F" w14:textId="00101568">
            <w:pPr>
              <w:pStyle w:val="Normal"/>
              <w:jc w:val="left"/>
            </w:pPr>
            <w:r>
              <w:t xml:space="preserve">No new ordinary shares were issued in the year and there were no capital restructurings.</w:t>
            </w:r>
          </w:p>
        </w:tc>
      </w:tr>
      <w:tr>
        <w:tc>
          <w:tcPr>
            <w:vAlign w:val="top"/>
            <w:tcBorders>
              <w:top w:val="single" w:sz="4" w:space="0" w:color="auto"/>
              <w:left w:val="single" w:sz="4" w:space="0" w:color="auto"/>
              <w:bottom w:val="single" w:sz="4" w:space="0" w:color="auto"/>
              <w:right w:val="single" w:sz="4" w:space="0" w:color="auto"/>
            </w:tcBorders>
          </w:tcPr>
          <w:p w14:paraId="00101521" w14:textId="00101569">
            <w:pPr>
              <w:pStyle w:val="Normal"/>
              <w:jc w:val="left"/>
            </w:pPr>
            <w:r>
              <w:t xml:space="preserve">Retained earnings</w:t>
            </w:r>
          </w:p>
        </w:tc>
        <w:tc>
          <w:tcPr>
            <w:vAlign w:val="center"/>
            <w:tcBorders>
              <w:top w:val="single" w:sz="4" w:space="0" w:color="auto"/>
              <w:left w:val="single" w:sz="4" w:space="0" w:color="auto"/>
              <w:bottom w:val="single" w:sz="4" w:space="0" w:color="auto"/>
              <w:right w:val="single" w:sz="4" w:space="0" w:color="auto"/>
            </w:tcBorders>
          </w:tcPr>
          <w:p w14:paraId="00101523" w14:textId="0010156A">
            <w:pPr>
              <w:pStyle w:val="Normal"/>
              <w:jc w:val="left"/>
            </w:pPr>
            <w:r>
              <w:t xml:space="preserve">1,384</w:t>
            </w:r>
          </w:p>
        </w:tc>
        <w:tc>
          <w:tcPr>
            <w:vAlign w:val="center"/>
            <w:tcBorders>
              <w:top w:val="single" w:sz="4" w:space="0" w:color="auto"/>
              <w:left w:val="single" w:sz="4" w:space="0" w:color="auto"/>
              <w:bottom w:val="single" w:sz="4" w:space="0" w:color="auto"/>
              <w:right w:val="single" w:sz="4" w:space="0" w:color="auto"/>
            </w:tcBorders>
          </w:tcPr>
          <w:p w14:paraId="00101525" w14:textId="0010156B">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1527" w14:textId="0010156C">
            <w:pPr>
              <w:pStyle w:val="Normal"/>
              <w:jc w:val="left"/>
            </w:pPr>
            <w:r>
              <w:t xml:space="preserve">(42)</w:t>
            </w:r>
          </w:p>
        </w:tc>
        <w:tc>
          <w:tcPr>
            <w:vAlign w:val="center"/>
            <w:tcBorders>
              <w:top w:val="single" w:sz="4" w:space="0" w:color="auto"/>
              <w:left w:val="single" w:sz="4" w:space="0" w:color="auto"/>
              <w:bottom w:val="single" w:sz="4" w:space="0" w:color="auto"/>
              <w:right w:val="single" w:sz="4" w:space="0" w:color="auto"/>
            </w:tcBorders>
          </w:tcPr>
          <w:p w14:paraId="00101529" w14:textId="0010156D">
            <w:pPr>
              <w:pStyle w:val="Normal"/>
              <w:jc w:val="left"/>
            </w:pPr>
            <w:r>
              <w:t xml:space="preserve">1,468</w:t>
            </w:r>
          </w:p>
        </w:tc>
        <w:tc>
          <w:tcPr>
            <w:vAlign w:val="center"/>
            <w:tcBorders>
              <w:top w:val="single" w:sz="4" w:space="0" w:color="auto"/>
              <w:left w:val="single" w:sz="4" w:space="0" w:color="auto"/>
              <w:bottom w:val="single" w:sz="4" w:space="0" w:color="auto"/>
              <w:right w:val="single" w:sz="4" w:space="0" w:color="auto"/>
            </w:tcBorders>
          </w:tcPr>
          <w:p w14:paraId="0010152B" w14:textId="0010156E">
            <w:pPr>
              <w:pStyle w:val="Normal"/>
              <w:jc w:val="left"/>
            </w:pPr>
            <w:r>
              <w:t xml:space="preserve">Profit for the year exceeded dividends declared, with other reserve transfers and actuarial effects recorded through equity.</w:t>
            </w:r>
          </w:p>
        </w:tc>
      </w:tr>
      <w:tr>
        <w:tc>
          <w:tcPr>
            <w:vAlign w:val="top"/>
            <w:tcBorders>
              <w:top w:val="single" w:sz="4" w:space="0" w:color="auto"/>
              <w:left w:val="single" w:sz="4" w:space="0" w:color="auto"/>
              <w:bottom w:val="single" w:sz="4" w:space="0" w:color="auto"/>
              <w:right w:val="single" w:sz="4" w:space="0" w:color="auto"/>
            </w:tcBorders>
          </w:tcPr>
          <w:p w14:paraId="0010152D" w14:textId="0010156F">
            <w:pPr>
              <w:pStyle w:val="Normal"/>
              <w:jc w:val="left"/>
            </w:pPr>
            <w:r>
              <w:t xml:space="preserve">Other reserves</w:t>
            </w:r>
          </w:p>
        </w:tc>
        <w:tc>
          <w:tcPr>
            <w:vAlign w:val="center"/>
            <w:tcBorders>
              <w:top w:val="single" w:sz="4" w:space="0" w:color="auto"/>
              <w:left w:val="single" w:sz="4" w:space="0" w:color="auto"/>
              <w:bottom w:val="single" w:sz="4" w:space="0" w:color="auto"/>
              <w:right w:val="single" w:sz="4" w:space="0" w:color="auto"/>
            </w:tcBorders>
          </w:tcPr>
          <w:p w14:paraId="0010152F" w14:textId="00101570">
            <w:pPr>
              <w:pStyle w:val="Normal"/>
              <w:jc w:val="left"/>
            </w:pPr>
            <w:r>
              <w:t xml:space="preserve">196</w:t>
            </w:r>
          </w:p>
        </w:tc>
        <w:tc>
          <w:tcPr>
            <w:vAlign w:val="center"/>
            <w:tcBorders>
              <w:top w:val="single" w:sz="4" w:space="0" w:color="auto"/>
              <w:left w:val="single" w:sz="4" w:space="0" w:color="auto"/>
              <w:bottom w:val="single" w:sz="4" w:space="0" w:color="auto"/>
              <w:right w:val="single" w:sz="4" w:space="0" w:color="auto"/>
            </w:tcBorders>
          </w:tcPr>
          <w:p w14:paraId="00101531" w14:textId="00101571">
            <w:pPr>
              <w:pStyle w:val="Normal"/>
              <w:jc w:val="left"/>
            </w:pPr>
            <w:r>
              <w:t xml:space="preserve">0</w:t>
            </w:r>
          </w:p>
        </w:tc>
        <w:tc>
          <w:tcPr>
            <w:vAlign w:val="center"/>
            <w:tcBorders>
              <w:top w:val="single" w:sz="4" w:space="0" w:color="auto"/>
              <w:left w:val="single" w:sz="4" w:space="0" w:color="auto"/>
              <w:bottom w:val="single" w:sz="4" w:space="0" w:color="auto"/>
              <w:right w:val="single" w:sz="4" w:space="0" w:color="auto"/>
            </w:tcBorders>
          </w:tcPr>
          <w:p w14:paraId="00101533" w14:textId="00101572">
            <w:pPr>
              <w:pStyle w:val="Normal"/>
              <w:jc w:val="left"/>
            </w:pPr>
            <w:r>
              <w:t xml:space="preserve">11</w:t>
            </w:r>
          </w:p>
        </w:tc>
        <w:tc>
          <w:tcPr>
            <w:vAlign w:val="center"/>
            <w:tcBorders>
              <w:top w:val="single" w:sz="4" w:space="0" w:color="auto"/>
              <w:left w:val="single" w:sz="4" w:space="0" w:color="auto"/>
              <w:bottom w:val="single" w:sz="4" w:space="0" w:color="auto"/>
              <w:right w:val="single" w:sz="4" w:space="0" w:color="auto"/>
            </w:tcBorders>
          </w:tcPr>
          <w:p w14:paraId="00101535" w14:textId="00101573">
            <w:pPr>
              <w:pStyle w:val="Normal"/>
              <w:jc w:val="left"/>
            </w:pPr>
            <w:r>
              <w:t xml:space="preserve">207</w:t>
            </w:r>
          </w:p>
        </w:tc>
        <w:tc>
          <w:tcPr>
            <w:vAlign w:val="center"/>
            <w:tcBorders>
              <w:top w:val="single" w:sz="4" w:space="0" w:color="auto"/>
              <w:left w:val="single" w:sz="4" w:space="0" w:color="auto"/>
              <w:bottom w:val="single" w:sz="4" w:space="0" w:color="auto"/>
              <w:right w:val="single" w:sz="4" w:space="0" w:color="auto"/>
            </w:tcBorders>
          </w:tcPr>
          <w:p w14:paraId="00101537" w14:textId="00101574">
            <w:pPr>
              <w:pStyle w:val="Normal"/>
              <w:jc w:val="left"/>
            </w:pPr>
            <w:r>
              <w:t xml:space="preserve">Currency translation, cash flow hedge movements and equity-settled incentive accounting were the principal reserve drivers.</w:t>
            </w:r>
          </w:p>
        </w:tc>
      </w:tr>
      <w:tr>
        <w:tc>
          <w:tcPr>
            <w:vAlign w:val="top"/>
            <w:tcBorders>
              <w:top w:val="single" w:sz="4" w:space="0" w:color="auto"/>
              <w:left w:val="single" w:sz="4" w:space="0" w:color="auto"/>
              <w:bottom w:val="single" w:sz="4" w:space="0" w:color="auto"/>
              <w:right w:val="single" w:sz="4" w:space="0" w:color="auto"/>
            </w:tcBorders>
          </w:tcPr>
          <w:p w14:paraId="00101539" w14:textId="00101575">
            <w:pPr>
              <w:pStyle w:val="Normal"/>
              <w:jc w:val="left"/>
            </w:pPr>
            <w:r>
              <w:t xml:space="preserve">Total debt, tax and equity movements</w:t>
            </w:r>
          </w:p>
        </w:tc>
        <w:tc>
          <w:tcPr>
            <w:vAlign w:val="center"/>
            <w:tcBorders>
              <w:top w:val="single" w:sz="4" w:space="0" w:color="auto"/>
              <w:left w:val="single" w:sz="4" w:space="0" w:color="auto"/>
              <w:bottom w:val="single" w:sz="4" w:space="0" w:color="auto"/>
              <w:right w:val="single" w:sz="4" w:space="0" w:color="auto"/>
            </w:tcBorders>
          </w:tcPr>
          <w:p w14:paraId="0010153B" w14:textId="00101576">
            <w:pPr>
              <w:pStyle w:val="Normal"/>
              <w:jc w:val="left"/>
            </w:pPr>
            <w:r>
              <w:t xml:space="preserve">3,879</w:t>
            </w:r>
          </w:p>
        </w:tc>
        <w:tc>
          <w:tcPr>
            <w:vAlign w:val="center"/>
            <w:tcBorders>
              <w:top w:val="single" w:sz="4" w:space="0" w:color="auto"/>
              <w:left w:val="single" w:sz="4" w:space="0" w:color="auto"/>
              <w:bottom w:val="single" w:sz="4" w:space="0" w:color="auto"/>
              <w:right w:val="single" w:sz="4" w:space="0" w:color="auto"/>
            </w:tcBorders>
          </w:tcPr>
          <w:p w14:paraId="0010153D" w14:textId="00101577">
            <w:pPr>
              <w:pStyle w:val="Normal"/>
              <w:jc w:val="left"/>
            </w:pPr>
            <w:r>
              <w:t xml:space="preserve">(36)</w:t>
            </w:r>
          </w:p>
        </w:tc>
        <w:tc>
          <w:tcPr>
            <w:vAlign w:val="center"/>
            <w:tcBorders>
              <w:top w:val="single" w:sz="4" w:space="0" w:color="auto"/>
              <w:left w:val="single" w:sz="4" w:space="0" w:color="auto"/>
              <w:bottom w:val="single" w:sz="4" w:space="0" w:color="auto"/>
              <w:right w:val="single" w:sz="4" w:space="0" w:color="auto"/>
            </w:tcBorders>
          </w:tcPr>
          <w:p w14:paraId="0010153F" w14:textId="00101578">
            <w:pPr>
              <w:pStyle w:val="Normal"/>
              <w:jc w:val="left"/>
            </w:pPr>
            <w:r>
              <w:t xml:space="preserve">117</w:t>
            </w:r>
          </w:p>
        </w:tc>
        <w:tc>
          <w:tcPr>
            <w:vAlign w:val="center"/>
            <w:tcBorders>
              <w:top w:val="single" w:sz="4" w:space="0" w:color="auto"/>
              <w:left w:val="single" w:sz="4" w:space="0" w:color="auto"/>
              <w:bottom w:val="single" w:sz="4" w:space="0" w:color="auto"/>
              <w:right w:val="single" w:sz="4" w:space="0" w:color="auto"/>
            </w:tcBorders>
          </w:tcPr>
          <w:p w14:paraId="00101541" w14:textId="00101579">
            <w:pPr>
              <w:pStyle w:val="Normal"/>
              <w:jc w:val="left"/>
            </w:pPr>
            <w:r>
              <w:t xml:space="preserve">3,960</w:t>
            </w:r>
          </w:p>
        </w:tc>
        <w:tc>
          <w:tcPr>
            <w:vAlign w:val="center"/>
            <w:tcBorders>
              <w:top w:val="single" w:sz="4" w:space="0" w:color="auto"/>
              <w:left w:val="single" w:sz="4" w:space="0" w:color="auto"/>
              <w:bottom w:val="single" w:sz="4" w:space="0" w:color="auto"/>
              <w:right w:val="single" w:sz="4" w:space="0" w:color="auto"/>
            </w:tcBorders>
          </w:tcPr>
          <w:p w14:paraId="00101543" w14:textId="0010157A">
            <w:pPr>
              <w:pStyle w:val="Normal"/>
              <w:jc w:val="left"/>
            </w:pPr>
            <w:r>
              <w:t xml:space="preserve">The Group ended the year with lower gross debt, moderated tax balances and a stronger equity base supporting future investment capacity.</w:t>
            </w:r>
          </w:p>
        </w:tc>
      </w:tr>
    </w:tbl>
    <w:p w14:paraId="0010157B" w14:textId="0010157C">
      <w:pPr>
        <w:pStyle w:val="Heading4a"/>
        <w:jc w:val="left"/>
      </w:pPr>
      <w:r>
        <w:t xml:space="preserve">Funding and Liquidity</w:t>
      </w:r>
    </w:p>
    <w:p w14:paraId="0010157D" w14:textId="0010157E">
      <w:pPr>
        <w:pStyle w:val="Normal"/>
        <w:jc w:val="left"/>
      </w:pPr>
      <w:r>
        <w:t xml:space="preserve">Rivermark Group maintained a balanced funding profile during the year, combining committed bank facilities, bilateral term loans and lease obligations with internally generated cash flow. Treasury policy continued to prioritize tenor diversification, prudent refinancing lead times and the preservation of liquidity headroom across a range of trading conditions. At year end, most drawn debt remained unsecured and was denominated in the principal operating currencies of the Group, limiting structural currency mismatch between financing and cash generation.</w:t>
      </w:r>
    </w:p>
    <w:p w14:paraId="0010157F" w14:textId="00101580">
      <w:pPr>
        <w:pStyle w:val="Normal"/>
        <w:jc w:val="left"/>
      </w:pPr>
      <w:r>
        <w:t xml:space="preserve">The funding base was managed centrally, while day-to-day cash deployment remained aligned to operating needs in the Infrastructure, Industrial, Consumer and Digital Services segments. This approach allowed surplus cash in stronger cash-generating businesses to offset seasonal requirements elsewhere, reducing reliance on short-dated borrowing. Scheduled repayments during the year were covered by operating cash flow, and no material refinancing stress arose in any reporting period.</w:t>
      </w:r>
    </w:p>
    <w:p w14:paraId="00101581" w14:textId="00101582">
      <w:pPr>
        <w:pStyle w:val="Normal"/>
        <w:jc w:val="left"/>
      </w:pPr>
      <w:r>
        <w:t xml:space="preserve">Overall, the Group finished the year with a more resilient maturity ladder, stable access to committed facilities and covenant capacity comfortably above minimum thresholds. Management considers the current funding structure adequate to support working capital requirements, planned capital expenditure and selective strategic investment, while retaining flexibility should market conditions become more volatile.</w:t>
      </w:r>
    </w:p>
    <w:p w14:paraId="00101583" w14:textId="00101584">
      <w:pPr>
        <w:pStyle w:val="Heading5"/>
        <w:jc w:val="left"/>
      </w:pPr>
      <w:r>
        <w:t xml:space="preserve">Borrowings Detail</w:t>
      </w:r>
    </w:p>
    <w:p w14:paraId="00101585" w14:textId="00101586">
      <w:pPr>
        <w:pStyle w:val="Normal"/>
        <w:jc w:val="left"/>
      </w:pPr>
      <w:r>
        <w:t xml:space="preserve">Borrowings comprised a mix of amortizing term loans, revolving credit drawings and lease liabilities recognized under the Group’s lease accounting policies. The largest component remained multi-year bank term debt used to support prior capacity investments, digital platform expansion and general corporate purposes. Revolving credit drawings were used more selectively and primarily to manage intra-year cash timing, particularly around inventory build, tax payment cycles and project mobilization in the Infrastructure business.</w:t>
      </w:r>
    </w:p>
    <w:p w14:paraId="00101587" w14:textId="00101588">
      <w:pPr>
        <w:pStyle w:val="Normal"/>
        <w:jc w:val="left"/>
      </w:pPr>
      <w:r>
        <w:t xml:space="preserve">Interest terms across the portfolio were split between fixed and floating bases. Floating-rate exposure was concentrated in the revolving credit and a portion of term facilities, while fixed or hedged arrangements were used to moderate earnings sensitivity to rapid rate movements. Lease liabilities related mainly to logistics sites, regional offices, plant equipment and selected fleet assets, reflecting the asset-light preference applied where ownership did not provide a clear return advantage.</w:t>
      </w:r>
    </w:p>
    <w:p w14:paraId="00101589" w14:textId="0010158A">
      <w:pPr>
        <w:pStyle w:val="Normal"/>
        <w:jc w:val="left"/>
      </w:pPr>
      <w:r>
        <w:t xml:space="preserve">The instrument mix was intentionally conservative. No complex structured debt, deeply subordinated financing or material payment-in-kind features were outstanding at year end. As a result, borrowing obligations remained transparent, administratively manageable and closely aligned with forecast cash generation from the underlying businesses.</w:t>
      </w:r>
    </w:p>
    <w:p w14:paraId="0010158B" w14:textId="0010158C">
      <w:pPr>
        <w:pStyle w:val="Normal"/>
        <w:jc w:val="left"/>
      </w:pPr>
      <w:r>
        <w:t xml:space="preserve">The maturity profile of borrowings remained staggered, with no excessive concentration in a single twelve-month period. Current maturities consisted mainly of scheduled amortization, lease principal and a modest share of revolving facilities expected to be repaid or rolled within existing commitments. Longer-dated balances were concentrated in core term loans, providing the Group with visibility over financing costs and reducing exposure to short-notice refinancing requirements.</w:t>
      </w:r>
    </w:p>
    <w:p w14:paraId="0010158D" w14:textId="0010158E">
      <w:pPr>
        <w:pStyle w:val="Normal"/>
        <w:jc w:val="left"/>
      </w:pPr>
      <w:r>
        <w:t xml:space="preserve">Covenant arrangements attached to the principal facilities were based largely on leverage and interest cover measures tested on a periodic basis. Throughout the year, performance remained within covenant thresholds, supported by steady EBITDA generation, disciplined capital spending and active working capital management. Internal treasury reporting tracked forecast covenant headroom under base, downside and severe-but-plausible scenarios to ensure early action if trading conditions softened.</w:t>
      </w:r>
    </w:p>
    <w:p w14:paraId="0010158F" w14:textId="00101590">
      <w:pPr>
        <w:pStyle w:val="Normal"/>
        <w:jc w:val="left"/>
      </w:pPr>
      <w:r>
        <w:t xml:space="preserve">Management also reviewed cross-default, change-of-control and security-related terms to confirm consistency with the Group’s broader capital structure. No covenant breaches, waiver events or lender enforcement actions occurred during the reporting period. Accordingly, borrowings continued to be presented on the basis of contracted maturities, and the Board believes that the Group retains sufficient flexibility to refinance or repay obligations as they fall due.</w:t>
      </w:r>
    </w:p>
    <w:p w14:paraId="00101591" w14:textId="00101592">
      <w:pPr>
        <w:pStyle w:val="Heading5"/>
        <w:jc w:val="left"/>
      </w:pPr>
      <w:r>
        <w:t xml:space="preserve">Liquidity Risk</w:t>
      </w:r>
    </w:p>
    <w:p w14:paraId="00101593" w14:textId="00101594">
      <w:pPr>
        <w:pStyle w:val="Normal"/>
        <w:jc w:val="left"/>
      </w:pPr>
      <w:r>
        <w:t xml:space="preserve">Liquidity risk arises from the possibility that Rivermark Group may be unable to meet payment obligations as they fall due without incurring unacceptable cost or disruption. The main exposures relate to supplier settlements, payroll, tax remittances, lease payments, debt service and periodic peaks in working capital, especially where large customer projects or seasonal consumer campaigns temporarily absorb cash ahead of collection. These exposures are monitored through rolling cash forecasts prepared by each segment and consolidated by Group Treasury.</w:t>
      </w:r>
    </w:p>
    <w:p w14:paraId="00101595" w14:textId="00101596">
      <w:pPr>
        <w:pStyle w:val="Normal"/>
        <w:jc w:val="left"/>
      </w:pPr>
      <w:r>
        <w:t xml:space="preserve">Forecasts are updated regularly and extend from short-term daily visibility to a longer planning horizon used for covenant and facility assessment. Management evaluates stressed assumptions for collections, inventory turns, project timing and margin compression to test whether liquidity remains adequate under less favorable conditions. Particular attention is given to concentration risk in customer receipts, as delayed settlement from a limited number of large accounts could tighten headroom even where profitability remains intact.</w:t>
      </w:r>
    </w:p>
    <w:p w14:paraId="00101597" w14:textId="00101598">
      <w:pPr>
        <w:pStyle w:val="Normal"/>
        <w:jc w:val="left"/>
      </w:pPr>
      <w:r>
        <w:t xml:space="preserve">The Group’s liquidity risk management framework combines local cash discipline with centralized controls over borrowing, bank counterparty limits and minimum headroom targets. Based on the year-end review, liquidity exposure remained manageable, with no evidence of structural funding gaps. Available resources and expected operating cash inflows were considered sufficient to meet contractual obligations and support ordinary-course business activity.</w:t>
      </w:r>
    </w:p>
    <w:p w14:paraId="00101599" w14:textId="0010159A">
      <w:pPr>
        <w:pStyle w:val="Normal"/>
        <w:jc w:val="left"/>
      </w:pPr>
      <w:r>
        <w:t xml:space="preserve">Committed facilities continued to provide the primary buffer against liquidity volatility. At year end, the Group held a syndicated revolving credit facility alongside bilateral working capital lines and cash balances distributed across major operating jurisdictions. A meaningful proportion of these facilities was undrawn, giving the Group capacity to absorb temporary earnings pressure, delayed collections or short-term investment needs without immediate recourse to new external financing.</w:t>
      </w:r>
    </w:p>
    <w:p w14:paraId="0010159B" w14:textId="0010159C">
      <w:pPr>
        <w:pStyle w:val="Normal"/>
        <w:jc w:val="left"/>
      </w:pPr>
      <w:r>
        <w:t xml:space="preserve">Maturity cover was assessed by comparing available cash and committed undrawn lines against obligations falling due over the next twelve months and beyond. This analysis included debt amortization, lease commitments, forecast tax payments and expected capital expenditure already approved by management. On that basis, short-term cover remained strong, and the medium-term position also appeared sound given the spread of contractual maturities and the absence of a near-term refinancing cliff.</w:t>
      </w:r>
    </w:p>
    <w:p w14:paraId="0010159D" w14:textId="0010159E">
      <w:pPr>
        <w:pStyle w:val="Normal"/>
        <w:jc w:val="left"/>
      </w:pPr>
      <w:r>
        <w:t xml:space="preserve">Treasury policy does not rely solely on static year-end balances. It also requires active renewal planning, diversified banking relationships and ongoing dialogue with lenders well ahead of maturity dates. That approach reduces execution risk and supports pricing tension in refinancing discussions. Taken together, existing facilities, cash resources and forecast operating cash generation provide a robust liquidity cushion for the next reporting cycle.</w:t>
      </w:r>
    </w:p>
    <w:p w14:paraId="0010159F" w14:textId="001015A0">
      <w:pPr>
        <w:pStyle w:val="Heading4a"/>
        <w:jc w:val="left"/>
      </w:pPr>
      <w:r>
        <w:t xml:space="preserve">Tax and Equity</w:t>
      </w:r>
    </w:p>
    <w:p w14:paraId="001015A1" w14:textId="001015A2">
      <w:pPr>
        <w:pStyle w:val="Normal"/>
        <w:jc w:val="left"/>
      </w:pPr>
      <w:r>
        <w:t xml:space="preserve">Tax and equity movements reflected the Group’s operating performance, jurisdictional profit mix, dividend decisions and reserve remeasurements during the year. The total tax charge included both current and deferred components. Current tax was driven by taxable profits in the principal markets, adjusted for local incentives, loss utilization and timing of deductions, while deferred tax mainly arose from temporary differences on fixed assets, leases, provisions and acquired intangible balances. The effective tax rate remained sensitive to the geographic distribution of earnings and the recognition threshold applied to deferred tax assets in smaller entities.</w:t>
      </w:r>
    </w:p>
    <w:p w14:paraId="001015A3" w14:textId="001015A4">
      <w:pPr>
        <w:pStyle w:val="Normal"/>
        <w:jc w:val="left"/>
      </w:pPr>
      <w:r>
        <w:t xml:space="preserve">Equity increased overall, supported by profit retention after dividends and by movements recorded directly in reserves. Foreign currency translation differences affected the carrying value of overseas operations, and hedge accounting reserves moved with the valuation of designated instruments used to manage exposures. Equity-settled incentive awards and actuarial remeasurements also contributed to reserve activity, although these items were not individually material enough to alter the broad capital position.</w:t>
      </w:r>
    </w:p>
    <w:p w14:paraId="001015A5" w14:textId="001015A6">
      <w:pPr>
        <w:pStyle w:val="Normal"/>
        <w:jc w:val="left"/>
      </w:pPr>
      <w:r>
        <w:t xml:space="preserve">From a capital stewardship perspective, management continued to balance shareholder returns with the need to preserve financial flexibility. The stronger closing equity base improved leverage resilience and supported the Group’s capacity to fund growth initiatives, absorb volatility and maintain lender confidence. Detailed tax and reserve disclosures that follow should be read together with the primary statements and the broader funding note.</w:t>
      </w:r>
    </w:p>
    <w:p w14:paraId="001015A7" w14:textId="001015A8">
      <w:pPr>
        <w:pStyle w:val="Heading5"/>
        <w:jc w:val="left"/>
      </w:pPr>
      <w:r>
        <w:t xml:space="preserve">Tax Notes</w:t>
      </w:r>
    </w:p>
    <w:p w14:paraId="001015A9" w14:textId="001015AA">
      <w:pPr>
        <w:pStyle w:val="Normal"/>
        <w:jc w:val="left"/>
      </w:pPr>
      <w:r>
        <w:t xml:space="preserve">The Group’s effective tax rate for the year was shaped by a combination of geographic earnings mix, non-deductible expenditure, the utilization of previously unrecognized tax losses, and the tax effect of items treated outside underlying operating profit. The most significant driver was the distribution of taxable profits across jurisdictions in which Rivermark Group operates, with a higher share of earnings arising in markets where statutory rates exceeded the blended planning assumption. This effect was partly offset by favorable outcomes from the settlement of prior-period tax matters and by the recognition of deferred tax assets in entities where forecast profitability improved. A small number of transaction and integration costs remained non-deductible for local tax purposes, increasing the reported rate relative to the domestic headline rate. In addition, withholding taxes on certain cross-border remittances and limits on interest deductibility in selected territories added to the charge.</w:t>
      </w:r>
    </w:p>
    <w:p w14:paraId="001015AB" w14:textId="001015AE">
      <w:pPr>
        <w:pStyle w:val="Normal"/>
        <w:jc w:val="left"/>
      </w:pPr>
      <w:r>
        <w:t xml:space="preserve">The reported rate also reflects the tax effect of remeasurement items and other reconciling adjustments disclosed in the tax note</w:t>
      </w:r>
      <w:r>
        <w:t xml:space="preserve">¹</w:t>
      </w:r>
      <w:r>
        <w:t xml:space="preserve">. Management reviews the effective tax rate on both a statutory and an adjusted basis to distinguish recurring operating drivers from one-off impacts. On an adjusted basis, the year-on-year movement was narrower than the statutory comparison suggests, indicating that core tax performance remained broadly aligned with the Group’s operating footprint while still being influenced by earnings mix and local legislative settings.</w:t>
      </w:r>
    </w:p>
    <w:p w14:paraId="001015AF" w14:textId="001015B0">
      <w:pPr>
        <w:pStyle w:val="Normal"/>
        <w:jc w:val="left"/>
      </w:pPr>
      <w:r>
        <w:t xml:space="preserve">Deferred tax positions arise primarily from temporary differences on property, plant and equipment, lease liabilities and right-of-use assets, employee benefit obligations, provisions, tax losses carried forward, and intangible assets recognized in business combinations. Deferred tax assets are recognized only to the extent that it is probable that future taxable profit will be available against which the deductible differences or losses can be utilized. This assessment is performed by jurisdiction and is supported by approved budgets, medium-term forecasts, reversal patterns of existing taxable temporary differences, and the expected timing of deductions.</w:t>
      </w:r>
    </w:p>
    <w:p w14:paraId="001015B1" w14:textId="001015B2">
      <w:pPr>
        <w:pStyle w:val="Normal"/>
        <w:jc w:val="left"/>
      </w:pPr>
      <w:r>
        <w:t xml:space="preserve">At year end, Rivermark Group maintained net deferred tax liabilities in jurisdictions where accelerated tax depreciation and acquisition-related intangible balances exceeded available deductible timing differences. Net deferred tax assets were recognized in businesses with stable earnings visibility, particularly where recent trading improved and restructuring programs had reduced the risk of future underutilization. Deferred tax assets were not recognized for certain loss carryforwards in entities where recovery remained uncertain within the relevant legal period. The Group also considered enacted or substantively enacted tax rate changes when measuring deferred tax balances. No material deferred tax liability has been recognized on undistributed earnings of subsidiaries where the Group is able to control the timing of reversal and does not expect distribution in the foreseeable future.</w:t>
      </w:r>
    </w:p>
    <w:p w14:paraId="001015B3" w14:textId="001015B4">
      <w:pPr>
        <w:pStyle w:val="Heading5"/>
        <w:jc w:val="left"/>
      </w:pPr>
      <w:r>
        <w:t xml:space="preserve">Equity Notes</w:t>
      </w:r>
    </w:p>
    <w:p w14:paraId="001015B5" w14:textId="001015B6">
      <w:pPr>
        <w:pStyle w:val="Normal"/>
        <w:jc w:val="left"/>
      </w:pPr>
      <w:r>
        <w:t xml:space="preserve">Issued share capital increased modestly during the year as a result of shares issued under employee incentive arrangements and the settlement of deferred consideration in stock for a prior-year acquisition. There was no broad-based public issuance, and no share consolidation or subdivision took place during the reporting period. The number of treasury shares held by the Group declined slightly following vesting events under long-term incentive plans, while a residual balance continues to be retained to support future awards and limited market stabilization purposes permitted under internal authorization.</w:t>
      </w:r>
    </w:p>
    <w:p w14:paraId="001015B7" w14:textId="001015B8">
      <w:pPr>
        <w:pStyle w:val="Normal"/>
        <w:jc w:val="left"/>
      </w:pPr>
      <w:r>
        <w:t xml:space="preserve">Management monitors share capital movements to ensure that equity funding remains aligned with capital allocation priorities, covenant capacity, and shareholder return expectations. In practical terms, the year’s changes had only a limited dilutive effect because newly issued shares represented a small proportion of the weighted average shares outstanding. The share premium account increased in line with these issuances, net of directly attributable transaction costs where applicable. All movements in share capital were approved under existing shareholder mandates and recorded at the fair value of consideration received or, in the case of share-based settlements, in accordance with the terms of the relevant award or transaction agreement. As a result, the Group’s equity base remained stable, with incremental issuance used selectively rather than as a primary source of financing.</w:t>
      </w:r>
    </w:p>
    <w:p w14:paraId="001015B9" w14:textId="001015BA">
      <w:pPr>
        <w:pStyle w:val="Normal"/>
        <w:jc w:val="left"/>
      </w:pPr>
      <w:r>
        <w:t xml:space="preserve">Other reserves comprise foreign currency translation differences, cash flow hedge movements, the share-based payment reserve, and merger or capital reserves arising from historical restructuring of the Group. Translation reserves moved in line with year-end exchange rate changes affecting the net assets of overseas operations, while hedge reserves reflected the fair value movement on qualifying instruments used to manage interest rate, commodity, and foreign exchange exposures. Amounts accumulated in reserves are reclassified to profit or loss when the underlying hedged transaction occurs, except where standards require direct recognition in equity.</w:t>
      </w:r>
    </w:p>
    <w:p w14:paraId="001015BB" w14:textId="001015BC">
      <w:pPr>
        <w:pStyle w:val="Normal"/>
        <w:jc w:val="left"/>
      </w:pPr>
      <w:r>
        <w:t xml:space="preserve">Retained earnings increased through current-year profit attributable to owners of the parent, partly offset by dividends declared and paid, purchases of treasury shares for employee plans, and actuarial movements recognized directly in equity. The Board’s dividend policy remains focused on balancing progressive shareholder distributions with reinvestment needs, leverage discipline, and resilience under variable market conditions. For the year, the Board recommended an ordinary dividend consistent with cash generation and within the Group’s target distribution range. No special dividend was declared. In assessing distributable reserves, management considered legal entity constraints, local capital maintenance rules, and the need to preserve funding flexibility for planned investment. Overall, reserve movements indicate that Rivermark Group ended the year with a sound equity position, adequate distributable capacity, and sufficient retained earnings to support both future growth initiatives and ordinary shareholder returns.</w:t>
      </w:r>
    </w:p>
    <w:p w14:paraId="00101681" w14:textId="00101682">
      <w:pPr>
        <w:pStyle w:val="Normal"/>
        <w:jc w:val="left"/>
        <w:sectPr>
          <w:type w:val="nextPage"/>
          <w:pgSz w:w="11906" w:h="16838"/>
          <w:pgMar w:top="1440" w:right="1440" w:bottom="1440" w:left="1440" w:header="1440" w:footer="1440" w:gutter="0"/>
          <w:cols w:space="720" w:num="1"/>
        </w:sectPr>
      </w:pPr>
    </w:p>
    <w:p w14:paraId="001015C1" w14:textId="001015C2">
      <w:pPr>
        <w:pStyle w:val="Normal"/>
        <w:jc w:val="left"/>
      </w:pPr>
      <w:r>
        <w:t xml:space="preserve">Annex</w:t>
      </w:r>
    </w:p>
    <w:p w14:paraId="001015C3" w14:textId="001015C5">
      <w:pPr>
        <w:pStyle w:val="Normal"/>
        <w:jc w:val="left"/>
      </w:pPr>
      <w:r>
        <w:t xml:space="preserve">Annex:</w:t>
      </w:r>
      <w:r>
        <w:t xml:space="preserve"> This section brings together supporting schedules, maps, and charts that extend the analysis presented in the main chapters of the Rivermark Group Annual Report and Operating Review. It is intended to provide readers with a practical reference set for matters that benefit from additional detail, including segment comparisons, operating footprint context, selected governance data, and note-style disclosures that would otherwise interrupt the flow of the principal narrative. The annex should therefore be read as a companion section rather than as a separate report.</w:t>
        <w:br/>
        <w:t xml:space="preserve">The materials included here are organized to support traceability. Tables summarize definitions, scope, and key line items used elsewhere in the document, while figures highlight patterns that are easier to understand visually than in text alone. Where an annex exhibit aligns with a chapter discussion, the naming convention follows the same subject logic so that users can move between the operating review, the segment sections, and the financial note areas without ambiguity. Readers seeking quick confirmation of assumptions, boundary choices, or category labels will generally find that this section provides the shortest route to that information.</w:t>
      </w:r>
    </w:p>
    <w:p w14:paraId="001015C6" w14:textId="001015C7">
      <w:pPr>
        <w:pStyle w:val="Normal"/>
        <w:jc w:val="left"/>
      </w:pPr>
      <w:r>
        <w:t xml:space="preserve">The annex should be used as a reading aid for data interpretation rather than as a substitute for the main commentary. Several exhibits present condensed schedules or visual summaries, and these are most useful when read together with the surrounding discussion on strategy, performance, governance, risk, and financial position. In particular, users should note whether an exhibit is descriptive, comparative, or reconciliatory, since each format answers a different reporting question and may use different levels of aggregation.</w:t>
      </w:r>
    </w:p>
    <w:p w14:paraId="001015C8" w14:textId="001015CB">
      <w:pPr>
        <w:pStyle w:val="Normal"/>
        <w:jc w:val="left"/>
      </w:pPr>
      <w:r>
        <w:t xml:space="preserve">When reviewing the </w:t>
      </w:r>
      <w:r>
        <w:t xml:space="preserve">supplementary exhibits</w:t>
      </w:r>
      <w:r>
        <w:t xml:space="preserve">, readers should pay attention to the stated scope, reporting period, and unit basis shown in captions or source notes. Some tables combine group-wide measures with segment-level views, while certain figures are designed only to illustrate trend direction, site distribution, or relative movement. The annex format favors clarity and comparability, so labels may be abbreviated and categories standardized for consistency across chapters. If a table or chart appears simplified, that simplification is deliberate: it is meant to support navigation, cross-reference, and quick verification of how headline disclosures in the report are structured and interpreted.</w:t>
      </w:r>
    </w:p>
    <w:p w14:paraId="001015CC" w14:textId="001015CD">
      <w:pPr>
        <w:pStyle w:val="Normal"/>
        <w:jc w:val="left"/>
      </w:pPr>
      <w:r>
        <w:t xml:space="preserve">Table A1 Disclosure schedule for annex reference items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5CE" w14:textId="00101614">
            <w:pPr>
              <w:pStyle w:val="Normal"/>
              <w:jc w:val="left"/>
            </w:pPr>
            <w:r>
              <w:t xml:space="preserve">Reference area</w:t>
            </w:r>
          </w:p>
        </w:tc>
        <w:tc>
          <w:tcPr>
            <w:vAlign w:val="center"/>
            <w:tcBorders>
              <w:top w:val="single" w:sz="4" w:space="0" w:color="auto"/>
              <w:left w:val="single" w:sz="4" w:space="0" w:color="auto"/>
              <w:bottom w:val="single" w:sz="4" w:space="0" w:color="auto"/>
              <w:right w:val="single" w:sz="4" w:space="0" w:color="auto"/>
            </w:tcBorders>
          </w:tcPr>
          <w:p w14:paraId="001015D0" w14:textId="00101615">
            <w:pPr>
              <w:pStyle w:val="Normal"/>
              <w:jc w:val="left"/>
            </w:pPr>
            <w:r>
              <w:t xml:space="preserve">Exhibit type</w:t>
            </w:r>
          </w:p>
        </w:tc>
        <w:tc>
          <w:tcPr>
            <w:vAlign w:val="center"/>
            <w:tcBorders>
              <w:top w:val="single" w:sz="4" w:space="0" w:color="auto"/>
              <w:left w:val="single" w:sz="4" w:space="0" w:color="auto"/>
              <w:bottom w:val="single" w:sz="4" w:space="0" w:color="auto"/>
              <w:right w:val="single" w:sz="4" w:space="0" w:color="auto"/>
            </w:tcBorders>
          </w:tcPr>
          <w:p w14:paraId="001015D2" w14:textId="00101616">
            <w:pPr>
              <w:pStyle w:val="Normal"/>
              <w:jc w:val="left"/>
            </w:pPr>
            <w:r>
              <w:t xml:space="preserve">Primary content</w:t>
            </w:r>
          </w:p>
        </w:tc>
        <w:tc>
          <w:tcPr>
            <w:vAlign w:val="center"/>
            <w:tcBorders>
              <w:top w:val="single" w:sz="4" w:space="0" w:color="auto"/>
              <w:left w:val="single" w:sz="4" w:space="0" w:color="auto"/>
              <w:bottom w:val="single" w:sz="4" w:space="0" w:color="auto"/>
              <w:right w:val="single" w:sz="4" w:space="0" w:color="auto"/>
            </w:tcBorders>
          </w:tcPr>
          <w:p w14:paraId="001015D4" w14:textId="00101617">
            <w:pPr>
              <w:pStyle w:val="Normal"/>
              <w:jc w:val="left"/>
            </w:pPr>
            <w:r>
              <w:t xml:space="preserve">Reporting scope</w:t>
            </w:r>
          </w:p>
        </w:tc>
        <w:tc>
          <w:tcPr>
            <w:vAlign w:val="center"/>
            <w:tcBorders>
              <w:top w:val="single" w:sz="4" w:space="0" w:color="auto"/>
              <w:left w:val="single" w:sz="4" w:space="0" w:color="auto"/>
              <w:bottom w:val="single" w:sz="4" w:space="0" w:color="auto"/>
              <w:right w:val="single" w:sz="4" w:space="0" w:color="auto"/>
            </w:tcBorders>
          </w:tcPr>
          <w:p w14:paraId="001015D6" w14:textId="00101618">
            <w:pPr>
              <w:pStyle w:val="Normal"/>
              <w:jc w:val="left"/>
            </w:pPr>
            <w:r>
              <w:t xml:space="preserve">Cross-reference</w:t>
            </w:r>
          </w:p>
        </w:tc>
      </w:tr>
      <w:tr>
        <w:tc>
          <w:tcPr>
            <w:vAlign w:val="top"/>
            <w:tcBorders>
              <w:top w:val="single" w:sz="4" w:space="0" w:color="auto"/>
              <w:left w:val="single" w:sz="4" w:space="0" w:color="auto"/>
              <w:bottom w:val="single" w:sz="4" w:space="0" w:color="auto"/>
              <w:right w:val="single" w:sz="4" w:space="0" w:color="auto"/>
            </w:tcBorders>
          </w:tcPr>
          <w:p w14:paraId="001015D8" w14:textId="00101619">
            <w:pPr>
              <w:pStyle w:val="Normal"/>
              <w:jc w:val="left"/>
            </w:pPr>
            <w:r>
              <w:t xml:space="preserve">Group overview</w:t>
            </w:r>
          </w:p>
        </w:tc>
        <w:tc>
          <w:tcPr>
            <w:vAlign w:val="center"/>
            <w:tcBorders>
              <w:top w:val="single" w:sz="4" w:space="0" w:color="auto"/>
              <w:left w:val="single" w:sz="4" w:space="0" w:color="auto"/>
              <w:bottom w:val="single" w:sz="4" w:space="0" w:color="auto"/>
              <w:right w:val="single" w:sz="4" w:space="0" w:color="auto"/>
            </w:tcBorders>
          </w:tcPr>
          <w:p w14:paraId="001015DA" w14:textId="0010161A">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5DC" w14:textId="0010161B">
            <w:pPr>
              <w:pStyle w:val="Normal"/>
              <w:jc w:val="left"/>
            </w:pPr>
            <w:r>
              <w:t xml:space="preserve">Corporate profile, reporting boundary, site categories</w:t>
            </w:r>
          </w:p>
        </w:tc>
        <w:tc>
          <w:tcPr>
            <w:vAlign w:val="center"/>
            <w:tcBorders>
              <w:top w:val="single" w:sz="4" w:space="0" w:color="auto"/>
              <w:left w:val="single" w:sz="4" w:space="0" w:color="auto"/>
              <w:bottom w:val="single" w:sz="4" w:space="0" w:color="auto"/>
              <w:right w:val="single" w:sz="4" w:space="0" w:color="auto"/>
            </w:tcBorders>
          </w:tcPr>
          <w:p w14:paraId="001015DE" w14:textId="0010161C">
            <w:pPr>
              <w:pStyle w:val="Normal"/>
              <w:jc w:val="left"/>
            </w:pPr>
            <w:r>
              <w:t xml:space="preserve">Rivermark Group consolidated</w:t>
            </w:r>
          </w:p>
        </w:tc>
        <w:tc>
          <w:tcPr>
            <w:vAlign w:val="center"/>
            <w:tcBorders>
              <w:top w:val="single" w:sz="4" w:space="0" w:color="auto"/>
              <w:left w:val="single" w:sz="4" w:space="0" w:color="auto"/>
              <w:bottom w:val="single" w:sz="4" w:space="0" w:color="auto"/>
              <w:right w:val="single" w:sz="4" w:space="0" w:color="auto"/>
            </w:tcBorders>
          </w:tcPr>
          <w:p w14:paraId="001015E0" w14:textId="0010161D">
            <w:pPr>
              <w:pStyle w:val="Normal"/>
              <w:jc w:val="left"/>
            </w:pPr>
            <w:r>
              <w:t xml:space="preserve">Group Overview</w:t>
            </w:r>
          </w:p>
        </w:tc>
      </w:tr>
      <w:tr>
        <w:tc>
          <w:tcPr>
            <w:vAlign w:val="top"/>
            <w:tcBorders>
              <w:top w:val="single" w:sz="4" w:space="0" w:color="auto"/>
              <w:left w:val="single" w:sz="4" w:space="0" w:color="auto"/>
              <w:bottom w:val="single" w:sz="4" w:space="0" w:color="auto"/>
              <w:right w:val="single" w:sz="4" w:space="0" w:color="auto"/>
            </w:tcBorders>
          </w:tcPr>
          <w:p w14:paraId="001015E2" w14:textId="0010161E">
            <w:pPr>
              <w:pStyle w:val="Normal"/>
              <w:jc w:val="left"/>
            </w:pPr>
            <w:r>
              <w:t xml:space="preserve">Operating review</w:t>
            </w:r>
          </w:p>
        </w:tc>
        <w:tc>
          <w:tcPr>
            <w:vAlign w:val="center"/>
            <w:tcBorders>
              <w:top w:val="single" w:sz="4" w:space="0" w:color="auto"/>
              <w:left w:val="single" w:sz="4" w:space="0" w:color="auto"/>
              <w:bottom w:val="single" w:sz="4" w:space="0" w:color="auto"/>
              <w:right w:val="single" w:sz="4" w:space="0" w:color="auto"/>
            </w:tcBorders>
          </w:tcPr>
          <w:p w14:paraId="001015E4" w14:textId="0010161F">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5E6" w14:textId="00101620">
            <w:pPr>
              <w:pStyle w:val="Normal"/>
              <w:jc w:val="left"/>
            </w:pPr>
            <w:r>
              <w:t xml:space="preserve">Revenue, margin, cash and leverage support fields</w:t>
            </w:r>
          </w:p>
        </w:tc>
        <w:tc>
          <w:tcPr>
            <w:vAlign w:val="center"/>
            <w:tcBorders>
              <w:top w:val="single" w:sz="4" w:space="0" w:color="auto"/>
              <w:left w:val="single" w:sz="4" w:space="0" w:color="auto"/>
              <w:bottom w:val="single" w:sz="4" w:space="0" w:color="auto"/>
              <w:right w:val="single" w:sz="4" w:space="0" w:color="auto"/>
            </w:tcBorders>
          </w:tcPr>
          <w:p w14:paraId="001015E8" w14:textId="00101621">
            <w:pPr>
              <w:pStyle w:val="Normal"/>
              <w:jc w:val="left"/>
            </w:pPr>
            <w:r>
              <w:t xml:space="preserve">Group and operating segments</w:t>
            </w:r>
          </w:p>
        </w:tc>
        <w:tc>
          <w:tcPr>
            <w:vAlign w:val="center"/>
            <w:tcBorders>
              <w:top w:val="single" w:sz="4" w:space="0" w:color="auto"/>
              <w:left w:val="single" w:sz="4" w:space="0" w:color="auto"/>
              <w:bottom w:val="single" w:sz="4" w:space="0" w:color="auto"/>
              <w:right w:val="single" w:sz="4" w:space="0" w:color="auto"/>
            </w:tcBorders>
          </w:tcPr>
          <w:p w14:paraId="001015EA" w14:textId="00101622">
            <w:pPr>
              <w:pStyle w:val="Normal"/>
              <w:jc w:val="left"/>
            </w:pPr>
            <w:r>
              <w:t xml:space="preserve">Operating Review</w:t>
            </w:r>
          </w:p>
        </w:tc>
      </w:tr>
      <w:tr>
        <w:tc>
          <w:tcPr>
            <w:vAlign w:val="top"/>
            <w:tcBorders>
              <w:top w:val="single" w:sz="4" w:space="0" w:color="auto"/>
              <w:left w:val="single" w:sz="4" w:space="0" w:color="auto"/>
              <w:bottom w:val="single" w:sz="4" w:space="0" w:color="auto"/>
              <w:right w:val="single" w:sz="4" w:space="0" w:color="auto"/>
            </w:tcBorders>
          </w:tcPr>
          <w:p w14:paraId="001015EC" w14:textId="00101623">
            <w:pPr>
              <w:pStyle w:val="Normal"/>
              <w:jc w:val="left"/>
            </w:pPr>
            <w:r>
              <w:t xml:space="preserve">Segment review</w:t>
            </w:r>
          </w:p>
        </w:tc>
        <w:tc>
          <w:tcPr>
            <w:vAlign w:val="center"/>
            <w:tcBorders>
              <w:top w:val="single" w:sz="4" w:space="0" w:color="auto"/>
              <w:left w:val="single" w:sz="4" w:space="0" w:color="auto"/>
              <w:bottom w:val="single" w:sz="4" w:space="0" w:color="auto"/>
              <w:right w:val="single" w:sz="4" w:space="0" w:color="auto"/>
            </w:tcBorders>
          </w:tcPr>
          <w:p w14:paraId="001015EE" w14:textId="00101624">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5F0" w14:textId="00101625">
            <w:pPr>
              <w:pStyle w:val="Normal"/>
              <w:jc w:val="left"/>
            </w:pPr>
            <w:r>
              <w:t xml:space="preserve">Segment KPIs, market indicators and outlook items</w:t>
            </w:r>
          </w:p>
        </w:tc>
        <w:tc>
          <w:tcPr>
            <w:vAlign w:val="center"/>
            <w:tcBorders>
              <w:top w:val="single" w:sz="4" w:space="0" w:color="auto"/>
              <w:left w:val="single" w:sz="4" w:space="0" w:color="auto"/>
              <w:bottom w:val="single" w:sz="4" w:space="0" w:color="auto"/>
              <w:right w:val="single" w:sz="4" w:space="0" w:color="auto"/>
            </w:tcBorders>
          </w:tcPr>
          <w:p w14:paraId="001015F2" w14:textId="00101626">
            <w:pPr>
              <w:pStyle w:val="Normal"/>
              <w:jc w:val="left"/>
            </w:pPr>
            <w:r>
              <w:t xml:space="preserve">Infrastructure, Industrial, Consumer, Digital Services</w:t>
            </w:r>
          </w:p>
        </w:tc>
        <w:tc>
          <w:tcPr>
            <w:vAlign w:val="center"/>
            <w:tcBorders>
              <w:top w:val="single" w:sz="4" w:space="0" w:color="auto"/>
              <w:left w:val="single" w:sz="4" w:space="0" w:color="auto"/>
              <w:bottom w:val="single" w:sz="4" w:space="0" w:color="auto"/>
              <w:right w:val="single" w:sz="4" w:space="0" w:color="auto"/>
            </w:tcBorders>
          </w:tcPr>
          <w:p w14:paraId="001015F4" w14:textId="00101627">
            <w:pPr>
              <w:pStyle w:val="Normal"/>
              <w:jc w:val="left"/>
            </w:pPr>
            <w:r>
              <w:t xml:space="preserve">Segment chapters</w:t>
            </w:r>
          </w:p>
        </w:tc>
      </w:tr>
      <w:tr>
        <w:tc>
          <w:tcPr>
            <w:vAlign w:val="top"/>
            <w:tcBorders>
              <w:top w:val="single" w:sz="4" w:space="0" w:color="auto"/>
              <w:left w:val="single" w:sz="4" w:space="0" w:color="auto"/>
              <w:bottom w:val="single" w:sz="4" w:space="0" w:color="auto"/>
              <w:right w:val="single" w:sz="4" w:space="0" w:color="auto"/>
            </w:tcBorders>
          </w:tcPr>
          <w:p w14:paraId="001015F6" w14:textId="00101628">
            <w:pPr>
              <w:pStyle w:val="Normal"/>
              <w:jc w:val="left"/>
            </w:pPr>
            <w:r>
              <w:t xml:space="preserve">Governance and risk</w:t>
            </w:r>
          </w:p>
        </w:tc>
        <w:tc>
          <w:tcPr>
            <w:vAlign w:val="center"/>
            <w:tcBorders>
              <w:top w:val="single" w:sz="4" w:space="0" w:color="auto"/>
              <w:left w:val="single" w:sz="4" w:space="0" w:color="auto"/>
              <w:bottom w:val="single" w:sz="4" w:space="0" w:color="auto"/>
              <w:right w:val="single" w:sz="4" w:space="0" w:color="auto"/>
            </w:tcBorders>
          </w:tcPr>
          <w:p w14:paraId="001015F8" w14:textId="00101629">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5FA" w14:textId="0010162A">
            <w:pPr>
              <w:pStyle w:val="Normal"/>
              <w:jc w:val="left"/>
            </w:pPr>
            <w:r>
              <w:t xml:space="preserve">Board, committee, control and principal risk support items</w:t>
            </w:r>
          </w:p>
        </w:tc>
        <w:tc>
          <w:tcPr>
            <w:vAlign w:val="center"/>
            <w:tcBorders>
              <w:top w:val="single" w:sz="4" w:space="0" w:color="auto"/>
              <w:left w:val="single" w:sz="4" w:space="0" w:color="auto"/>
              <w:bottom w:val="single" w:sz="4" w:space="0" w:color="auto"/>
              <w:right w:val="single" w:sz="4" w:space="0" w:color="auto"/>
            </w:tcBorders>
          </w:tcPr>
          <w:p w14:paraId="001015FC" w14:textId="0010162B">
            <w:pPr>
              <w:pStyle w:val="Normal"/>
              <w:jc w:val="left"/>
            </w:pPr>
            <w:r>
              <w:t xml:space="preserve">Group governance framework</w:t>
            </w:r>
          </w:p>
        </w:tc>
        <w:tc>
          <w:tcPr>
            <w:vAlign w:val="center"/>
            <w:tcBorders>
              <w:top w:val="single" w:sz="4" w:space="0" w:color="auto"/>
              <w:left w:val="single" w:sz="4" w:space="0" w:color="auto"/>
              <w:bottom w:val="single" w:sz="4" w:space="0" w:color="auto"/>
              <w:right w:val="single" w:sz="4" w:space="0" w:color="auto"/>
            </w:tcBorders>
          </w:tcPr>
          <w:p w14:paraId="001015FE" w14:textId="0010162C">
            <w:pPr>
              <w:pStyle w:val="Normal"/>
              <w:jc w:val="left"/>
            </w:pPr>
            <w:r>
              <w:t xml:space="preserve">Governance; Risk and Sustainability</w:t>
            </w:r>
          </w:p>
        </w:tc>
      </w:tr>
      <w:tr>
        <w:tc>
          <w:tcPr>
            <w:vAlign w:val="top"/>
            <w:tcBorders>
              <w:top w:val="single" w:sz="4" w:space="0" w:color="auto"/>
              <w:left w:val="single" w:sz="4" w:space="0" w:color="auto"/>
              <w:bottom w:val="single" w:sz="4" w:space="0" w:color="auto"/>
              <w:right w:val="single" w:sz="4" w:space="0" w:color="auto"/>
            </w:tcBorders>
          </w:tcPr>
          <w:p w14:paraId="00101600" w14:textId="0010162D">
            <w:pPr>
              <w:pStyle w:val="Normal"/>
              <w:jc w:val="left"/>
            </w:pPr>
            <w:r>
              <w:t xml:space="preserve">Financial notes</w:t>
            </w:r>
          </w:p>
        </w:tc>
        <w:tc>
          <w:tcPr>
            <w:vAlign w:val="center"/>
            <w:tcBorders>
              <w:top w:val="single" w:sz="4" w:space="0" w:color="auto"/>
              <w:left w:val="single" w:sz="4" w:space="0" w:color="auto"/>
              <w:bottom w:val="single" w:sz="4" w:space="0" w:color="auto"/>
              <w:right w:val="single" w:sz="4" w:space="0" w:color="auto"/>
            </w:tcBorders>
          </w:tcPr>
          <w:p w14:paraId="00101602" w14:textId="0010162E">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604" w14:textId="0010162F">
            <w:pPr>
              <w:pStyle w:val="Normal"/>
              <w:jc w:val="left"/>
            </w:pPr>
            <w:r>
              <w:t xml:space="preserve">Disclosure fields, reconciliations and maturity analyses</w:t>
            </w:r>
          </w:p>
        </w:tc>
        <w:tc>
          <w:tcPr>
            <w:vAlign w:val="center"/>
            <w:tcBorders>
              <w:top w:val="single" w:sz="4" w:space="0" w:color="auto"/>
              <w:left w:val="single" w:sz="4" w:space="0" w:color="auto"/>
              <w:bottom w:val="single" w:sz="4" w:space="0" w:color="auto"/>
              <w:right w:val="single" w:sz="4" w:space="0" w:color="auto"/>
            </w:tcBorders>
          </w:tcPr>
          <w:p w14:paraId="00101606" w14:textId="00101630">
            <w:pPr>
              <w:pStyle w:val="Normal"/>
              <w:jc w:val="left"/>
            </w:pPr>
            <w:r>
              <w:t xml:space="preserve">Consolidated financial reporting scope</w:t>
            </w:r>
          </w:p>
        </w:tc>
        <w:tc>
          <w:tcPr>
            <w:vAlign w:val="center"/>
            <w:tcBorders>
              <w:top w:val="single" w:sz="4" w:space="0" w:color="auto"/>
              <w:left w:val="single" w:sz="4" w:space="0" w:color="auto"/>
              <w:bottom w:val="single" w:sz="4" w:space="0" w:color="auto"/>
              <w:right w:val="single" w:sz="4" w:space="0" w:color="auto"/>
            </w:tcBorders>
          </w:tcPr>
          <w:p w14:paraId="00101608" w14:textId="00101631">
            <w:pPr>
              <w:pStyle w:val="Normal"/>
              <w:jc w:val="left"/>
            </w:pPr>
            <w:r>
              <w:t xml:space="preserve">Notes to Financials</w:t>
            </w:r>
          </w:p>
        </w:tc>
      </w:tr>
      <w:tr>
        <w:tc>
          <w:tcPr>
            <w:vAlign w:val="top"/>
            <w:tcBorders>
              <w:top w:val="single" w:sz="4" w:space="0" w:color="auto"/>
              <w:left w:val="single" w:sz="4" w:space="0" w:color="auto"/>
              <w:bottom w:val="single" w:sz="4" w:space="0" w:color="auto"/>
              <w:right w:val="single" w:sz="4" w:space="0" w:color="auto"/>
            </w:tcBorders>
          </w:tcPr>
          <w:p w14:paraId="0010160A" w14:textId="00101632">
            <w:pPr>
              <w:pStyle w:val="Normal"/>
              <w:jc w:val="left"/>
            </w:pPr>
            <w:r>
              <w:t xml:space="preserve">Annex visuals</w:t>
            </w:r>
          </w:p>
        </w:tc>
        <w:tc>
          <w:tcPr>
            <w:vAlign w:val="center"/>
            <w:tcBorders>
              <w:top w:val="single" w:sz="4" w:space="0" w:color="auto"/>
              <w:left w:val="single" w:sz="4" w:space="0" w:color="auto"/>
              <w:bottom w:val="single" w:sz="4" w:space="0" w:color="auto"/>
              <w:right w:val="single" w:sz="4" w:space="0" w:color="auto"/>
            </w:tcBorders>
          </w:tcPr>
          <w:p w14:paraId="0010160C" w14:textId="00101633">
            <w:pPr>
              <w:pStyle w:val="Normal"/>
              <w:jc w:val="left"/>
            </w:pPr>
            <w:r>
              <w:t xml:space="preserve">Figure register</w:t>
            </w:r>
          </w:p>
        </w:tc>
        <w:tc>
          <w:tcPr>
            <w:vAlign w:val="center"/>
            <w:tcBorders>
              <w:top w:val="single" w:sz="4" w:space="0" w:color="auto"/>
              <w:left w:val="single" w:sz="4" w:space="0" w:color="auto"/>
              <w:bottom w:val="single" w:sz="4" w:space="0" w:color="auto"/>
              <w:right w:val="single" w:sz="4" w:space="0" w:color="auto"/>
            </w:tcBorders>
          </w:tcPr>
          <w:p w14:paraId="0010160E" w14:textId="00101634">
            <w:pPr>
              <w:pStyle w:val="Normal"/>
              <w:jc w:val="left"/>
            </w:pPr>
            <w:r>
              <w:t xml:space="preserve">Chart and map identifiers with subject descriptions</w:t>
            </w:r>
          </w:p>
        </w:tc>
        <w:tc>
          <w:tcPr>
            <w:vAlign w:val="center"/>
            <w:tcBorders>
              <w:top w:val="single" w:sz="4" w:space="0" w:color="auto"/>
              <w:left w:val="single" w:sz="4" w:space="0" w:color="auto"/>
              <w:bottom w:val="single" w:sz="4" w:space="0" w:color="auto"/>
              <w:right w:val="single" w:sz="4" w:space="0" w:color="auto"/>
            </w:tcBorders>
          </w:tcPr>
          <w:p w14:paraId="00101610" w14:textId="00101635">
            <w:pPr>
              <w:pStyle w:val="Normal"/>
              <w:jc w:val="left"/>
            </w:pPr>
            <w:r>
              <w:t xml:space="preserve">Selected exhibits across the report</w:t>
            </w:r>
          </w:p>
        </w:tc>
        <w:tc>
          <w:tcPr>
            <w:vAlign w:val="center"/>
            <w:tcBorders>
              <w:top w:val="single" w:sz="4" w:space="0" w:color="auto"/>
              <w:left w:val="single" w:sz="4" w:space="0" w:color="auto"/>
              <w:bottom w:val="single" w:sz="4" w:space="0" w:color="auto"/>
              <w:right w:val="single" w:sz="4" w:space="0" w:color="auto"/>
            </w:tcBorders>
          </w:tcPr>
          <w:p w14:paraId="00101612" w14:textId="00101636">
            <w:pPr>
              <w:pStyle w:val="Normal"/>
              <w:jc w:val="left"/>
            </w:pPr>
            <w:r>
              <w:t xml:space="preserve">Annex</w:t>
            </w:r>
          </w:p>
        </w:tc>
      </w:tr>
    </w:tbl>
    <w:p w14:paraId="00101637" w14:textId="0010163B">
      <w:pPr>
        <w:pStyle w:val="Normal"/>
        <w:jc w:val="left"/>
      </w:pPr>
      <w:r>
        <w:t xml:space="preserve">Source:</w:t>
      </w:r>
      <w:r>
        <w:t xml:space="preserve"> Annex exhibits are compiled from Rivermark Group internal management reporting, consolidation records, and year-end disclosure support files. Note </w:t>
      </w:r>
      <w:r>
        <w:t xml:space="preserve">1</w:t>
      </w:r>
      <w:r>
        <w:t xml:space="preserve"> applies to scope-sensitive schedules and indicates that certain comparative labels have been aligned to the current-year presentation for readability.</w:t>
      </w:r>
    </w:p>
    <w:p w14:paraId="0010163C" w14:textId="0010163D">
      <w:pPr>
        <w:pStyle w:val="Normal"/>
        <w:jc w:val="left"/>
      </w:pPr>
      <w:r>
        <w:drawing>
          <wp:inline distT="0" distB="0" distL="0" distR="0">
            <wp:extent cx="4680000" cy="3240000"/>
            <wp:effectExtent l="0" t="0" r="0" b="0"/>
            <wp:docPr id="26" name="Fig-I15-01.png" descr=""/>
            <wp:cNvGraphicFramePr>
              <a:graphicFrameLocks noChangeAspect="1"/>
            </wp:cNvGraphicFramePr>
            <a:graphic>
              <a:graphicData uri="http://schemas.openxmlformats.org/drawingml/2006/picture">
                <pic:pic>
                  <pic:nvPicPr>
                    <pic:cNvPr id="26" name="Fig-I15-01.png"/>
                    <pic:cNvPicPr/>
                  </pic:nvPicPr>
                  <pic:blipFill>
                    <a:blip r:embed="Rff536cb289914290" cstate="print"/>
                    <a:stretch>
                      <a:fillRect/>
                    </a:stretch>
                  </pic:blipFill>
                  <pic:spPr>
                    <a:xfrm>
                      <a:off x="0" y="0"/>
                      <a:ext cx="4320000" cy="2880000"/>
                    </a:xfrm>
                    <a:prstGeom prst="rect">
                      <a:avLst/>
                    </a:prstGeom>
                  </pic:spPr>
                </pic:pic>
              </a:graphicData>
            </a:graphic>
          </wp:inline>
        </w:drawing>
      </w:r>
    </w:p>
    <w:p w14:paraId="0010163E" w14:textId="0010163F">
      <w:pPr>
        <w:pStyle w:val="Normal"/>
        <w:jc w:val="left"/>
      </w:pPr>
      <w:r>
        <w:t xml:space="preserve">Figure A1 Performance trend chart by selected group measures</w:t>
      </w:r>
    </w:p>
    <w:p w14:paraId="00101640" w14:textId="00101641">
      <w:pPr>
        <w:pStyle w:val="Normal"/>
        <w:jc w:val="left"/>
      </w:pPr>
      <w:r>
        <w:drawing>
          <wp:inline distT="0" distB="0" distL="0" distR="0">
            <wp:extent cx="5400000" cy="3240000"/>
            <wp:effectExtent l="0" t="0" r="0" b="0"/>
            <wp:docPr id="27" name="Fig-I15-02.png" descr=""/>
            <wp:cNvGraphicFramePr>
              <a:graphicFrameLocks noChangeAspect="1"/>
            </wp:cNvGraphicFramePr>
            <a:graphic>
              <a:graphicData uri="http://schemas.openxmlformats.org/drawingml/2006/picture">
                <pic:pic>
                  <pic:nvPicPr>
                    <pic:cNvPr id="27" name="Fig-I15-02.png"/>
                    <pic:cNvPicPr/>
                  </pic:nvPicPr>
                  <pic:blipFill>
                    <a:blip r:embed="R43a4848495884e03" cstate="print"/>
                    <a:stretch>
                      <a:fillRect/>
                    </a:stretch>
                  </pic:blipFill>
                  <pic:spPr>
                    <a:xfrm>
                      <a:off x="0" y="0"/>
                      <a:ext cx="5040000" cy="2880000"/>
                    </a:xfrm>
                    <a:prstGeom prst="rect">
                      <a:avLst/>
                    </a:prstGeom>
                  </pic:spPr>
                </pic:pic>
              </a:graphicData>
            </a:graphic>
          </wp:inline>
        </w:drawing>
      </w:r>
    </w:p>
    <w:p w14:paraId="00101642" w14:textId="00101643">
      <w:pPr>
        <w:pStyle w:val="Normal"/>
        <w:jc w:val="left"/>
      </w:pPr>
      <w:r>
        <w:t xml:space="preserve">Figure A2 Operating footprint map by region and site type</w:t>
      </w:r>
    </w:p>
    <w:p w14:paraId="00101683" w14:textId="00101684">
      <w:pPr>
        <w:pStyle w:val="Normal"/>
        <w:jc w:val="left"/>
        <w:sectPr>
          <w:type w:val="nextPage"/>
          <w:pgSz w:w="11906" w:h="16838"/>
          <w:pgMar w:top="1440" w:right="1440" w:bottom="1440" w:left="1440" w:header="1440" w:footer="1440" w:gutter="0"/>
          <w:cols w:space="720" w:num="1"/>
        </w:sectPr>
      </w:pPr>
    </w:p>
    <w:p w14:paraId="00101648" w14:textId="00101649">
      <w:pPr>
        <w:pStyle w:val="Normal"/>
        <w:jc w:val="left"/>
      </w:pPr>
      <w:r>
        <w:t xml:space="preserve">Glossary and Contact</w:t>
      </w:r>
    </w:p>
    <w:p w14:paraId="0010164A" w14:textId="0010164D">
      <w:pPr>
        <w:pStyle w:val="Normal"/>
        <w:jc w:val="left"/>
      </w:pPr>
      <w:r>
        <w:t xml:space="preserve">This section explains selected expressions used throughout Rivermark Group Annual Report and Operating Review so that readers can interpret the operating review, segment discussions, governance disclosures, and financial statements on a consistent basis. A </w:t>
      </w:r>
      <w:r>
        <w:t xml:space="preserve">Defined term</w:t>
      </w:r>
      <w:r>
        <w:t xml:space="preserve"> refers to a word or phrase that carries a specific meaning in this report and should be read in that context rather than as a general description. Group means Rivermark Group together with its consolidated subsidiaries unless the wording clearly refers only to the parent company. Segment refers to the reporting businesses used by management for performance review, namely Infrastructure, Industrial, Consumer, and Digital Services. Revenue means income from contracts with customers before finance income and tax. EBITDA refers to earnings before interest, tax, depreciation, and amortization, while EBIT refers to operating profit after depreciation and amortization.</w:t>
        <w:br/>
        <w:t xml:space="preserve">Organic growth describes period-on-period movement excluding material effects from acquisitions, disposals, and foreign exchange translation. Free cash flow means operating cash flow after capital expenditure and before dividends, acquisitions, and discretionary financing actions. Net debt means borrowings and lease liabilities less cash and cash equivalents. Order backlog represents contracted work or committed customer demand not yet recognized as revenue at the reporting date. Safety indicators are stated using the definitions applied in the Risk and Sustainability section, including recordable incidents and lost-time cases. Unless otherwise indicated, all references to the year, current year, or reporting period mean the financial year ended 31 December 2025, and prior year comparatives relate to the year ended 31 December 2024.</w:t>
      </w:r>
    </w:p>
    <w:p w14:paraId="0010164E" w14:textId="0010164F">
      <w:pPr>
        <w:pStyle w:val="Normal"/>
        <w:jc w:val="left"/>
      </w:pPr>
      <w:r>
        <w:t xml:space="preserve">Investor and stakeholder enquiries relating to Rivermark Group may be directed to the Group Investor Relations function. The primary contact is the Investor Relations Office, Rivermark Group Head Office, 18 Harbor Exchange, Rivermark City. General enquiries may be submitted by email to investors@rivermarkgroup.example or by telephone at +00 20 5550 1840 during standard business hours. Shareholders seeking information on annual general meeting arrangements, dividend payment dates, or ordinary share administration should state their shareholder reference and the nature of the enquiry to support timely handling.</w:t>
      </w:r>
    </w:p>
    <w:p w14:paraId="00101650" w14:textId="00101651">
      <w:pPr>
        <w:pStyle w:val="Normal"/>
        <w:jc w:val="left"/>
      </w:pPr>
      <w:r>
        <w:t xml:space="preserve">Media, governance, and sustainability-related requests are coordinated through the Corporate Affairs Office at corporateaffairs@rivermarkgroup.example. Enquiries concerning financial statements, debt disclosures, or reporting scope are normally routed internally to Group Finance before a formal response is issued. Institutional investors and analysts may request meetings through the Investor Relations calendar, subject to disclosure controls and equal access principles. Correspondence by post should be addressed to Rivermark Group plc, Investor Relations Office, 18 Harbor Exchange, Rivermark City, RM4 7PL. The Group aims to acknowledge written enquiries within three business days and to respond substantively as soon as practicable, particularly during reporting, results presentation, and annual meeting periods when enquiry volumes are higher.</w:t>
      </w:r>
    </w:p>
    <w:p w14:paraId="00101685" w14:textId="00101686">
      <w:pPr>
        <w:pStyle w:val="Normal"/>
        <w:jc w:val="left"/>
        <w:sectPr>
          <w:type w:val="nextPage"/>
          <w:pgSz w:w="11906" w:h="16838"/>
          <w:pgMar w:top="1440" w:right="1440" w:bottom="1440" w:left="1440" w:header="1440" w:footer="1440" w:gutter="0"/>
          <w:cols w:space="720" w:num="1"/>
        </w:sectPr>
      </w:pPr>
    </w:p>
    <w:p w14:paraId="00101656" w14:textId="00101657">
      <w:pPr>
        <w:pStyle w:val="Normal"/>
        <w:jc w:val="left"/>
      </w:pPr>
      <w:r>
        <w:t xml:space="preserve">Legal Notice</w:t>
      </w:r>
    </w:p>
    <w:p w14:paraId="00101658" w14:textId="0010165A">
      <w:pPr>
        <w:pStyle w:val="Normal"/>
        <w:jc w:val="left"/>
      </w:pPr>
      <w:r>
        <w:t xml:space="preserve">Forward-looking statements:</w:t>
      </w:r>
      <w:r>
        <w:t xml:space="preserve"> This Annual Report contains statements about Rivermark Group’s expected financial position, operating performance, market development, strategic priorities, capital deployment, cost initiatives, and other plans and objectives for future periods. Such statements may be identified by words and expressions such as expect, intend, plan, target, anticipate, estimate, forecast, may, will, should, and similar terminology, or by discussion of strategy, outlook, pipeline, opportunities, and management ambition. These statements are based on information available to the Group at the date of publication and reflect current assumptions, judgments, and expectations formed by management in light of prevailing business conditions.</w:t>
        <w:br/>
        <w:t xml:space="preserve">Forward-looking statements are inherently subject to risks, uncertainties, and contingencies that may cause actual results, performance, or outcomes to differ materially from those expressed or implied. These factors include changes in demand, pricing, inflation, interest rates, exchange movements, supply availability, customer behavior, regulation, project timing, competitive dynamics, cyber events, climate-related disruption, and the successful execution of operational and strategic programs. Except as required by applicable law or listing rules, Rivermark Group undertakes no obligation to revise or update any forward-looking statement to reflect events or circumstances arising after the date of this report.</w:t>
      </w:r>
    </w:p>
    <w:p w14:paraId="0010165B" w14:textId="0010165E">
      <w:pPr>
        <w:pStyle w:val="Normal"/>
        <w:jc w:val="left"/>
      </w:pPr>
      <w:r>
        <w:t xml:space="preserve">The financial and operating information presented in this report has been prepared from Rivermark Group’s reporting records, management accounts, and statutory consolidation processes for the year ended 31 December 2025. Unless otherwise indicated, monetary amounts are expressed in Rivermark dollars, and comparative information relates to the prior reporting period prepared on a consistent basis where practicable. Certain discussions in this report include non-IFRS or alternative performance measures, including *</w:t>
      </w:r>
      <w:r>
        <w:t xml:space="preserve">organic growth</w:t>
      </w:r>
      <w:r>
        <w:t xml:space="preserve">*, adjusted operating profit, cash conversion, and leverage ratios, which management uses to monitor business performance and support internal decision-making. These measures are supplementary in nature and should be considered alongside, not as a substitute for, measures presented in the consolidated financial statements.</w:t>
        <w:br/>
        <w:t xml:space="preserve">Operational metrics, market descriptions, sustainability indicators, and segment commentary are drawn from internal reporting systems and subject to the same governance processes used by the Group for external reporting, though some indicators may involve estimation, allocation methodologies, or classification judgments. Rounding may cause minor differences between individual figures and stated totals. Narrative sections are intended to assist readers in understanding trends, drivers, and management actions, but they do not themselves form part of the audited financial statements unless expressly stated.</w:t>
      </w:r>
    </w:p>
    <w:p w14:paraId="0010165F" w14:textId="00101662">
      <w:pPr>
        <w:pStyle w:val="Normal"/>
        <w:jc w:val="left"/>
      </w:pPr>
      <w:r>
        <w:t xml:space="preserve">This report is provided for general information about Rivermark Group and does not constitute an offer to sell, or a solicitation of an offer to buy, any securities in any jurisdiction. It should not be relied upon as the sole basis for any investment, credit, commercial, legal, tax, or other decision. Readers should consider the full context of the report, the consolidated financial statements, and their own professional advice before acting on information contained herein. Any opinions or expectations described in this document are made only as of the date of publication and are subject to change without notice.</w:t>
      </w:r>
      <w:r>
        <w:t xml:space="preserve">¹</w:t>
      </w:r>
      <w:r>
        <w:br/>
        <w:t xml:space="preserve">To the maximum extent permitted by law, neither Rivermark Group nor its directors, officers, employees, or advisers accepts liability for any loss arising from the use of, or reliance on, this report, including any errors, omissions, or misstatements, except where liability cannot lawfully be excluded. Distribution of this document may be restricted in certain jurisdictions, and persons into whose possession it comes should inform themselves about and observe any such restrictions. By retaining or reviewing this report, the reader acknowledges these limitations and the need to apply independent judgment when interpreting the information presented.</w:t>
      </w:r>
    </w:p>
    <w:sectPr>
      <w:type w:val="nextPage"/>
      <w:pgSz w:w="11906" w:h="16838"/>
      <w:pgMar w:top="1440" w:right="1440" w:bottom="1440" w:left="1440" w:header="1440" w:footer="1440" w:gutter="0"/>
      <w:cols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5.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6.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7.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8.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9.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0.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5.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6.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7.xml><?xml version="1.0" encoding="utf-8"?>
<w:ftr xmlns:mc="http://schemas.openxmlformats.org/markup-compatibility/2006" xmlns:w14="http://schemas.microsoft.com/office/word/2010/wordml" xmlns:w="http://schemas.openxmlformats.org/wordprocessingml/2006/main" mc:Ignorable="w14">
  <w:p>
    <w:pPr>
      <w:pStyle w:val="Normal"/>
    </w:pPr>
  </w:p>
</w:ftr>
</file>

<file path=word/header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7.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8.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9.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0.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7.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8.xml><?xml version="1.0" encoding="utf-8"?>
<w:hdr xmlns:mc="http://schemas.openxmlformats.org/markup-compatibility/2006" xmlns:w14="http://schemas.microsoft.com/office/word/2010/wordml" xmlns:w="http://schemas.openxmlformats.org/wordprocessingml/2006/main" mc:Ignorable="w14">
  <w:p>
    <w:pPr>
      <w:pStyle w:val="Normal"/>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902">
    <w:abstractNumId w:val="0"/>
    <w:lvlOverride w:ilvl="0">
      <w:startOverride w:val="1"/>
    </w:lvlOverride>
  </w:num>
  <w:num w:numId="910">
    <w:abstractNumId w:val="1"/>
    <w:lvlOverride w:ilvl="0">
      <w:startOverride w:val="1"/>
    </w:lvlOverride>
  </w:num>
  <w:num w:numId="911">
    <w:abstractNumId w:val="2"/>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NumberedList" w:customStyle="true">
    <w:name w:val="Numbered list"/>
    <w:basedOn w:val="Normal"/>
    <w:pPr>
      <w:spacing w:after="120" w:line="276" w:lineRule="auto"/>
    </w:pPr>
    <w:rPr>
      <w:sz w:val="24"/>
    </w:rPr>
  </w:style>
  <w:style w:type="paragraph" w:styleId="ParaFigureCaption" w:customStyle="true">
    <w:name w:val="Figure caption"/>
    <w:basedOn w:val="Normal"/>
    <w:pPr>
      <w:spacing w:before="120" w:after="240"/>
      <w:jc w:val="center"/>
    </w:pPr>
    <w:rPr>
      <w:sz w:val="21"/>
    </w:rPr>
  </w:style>
  <w:style w:type="paragraph" w:styleId="ParaSubsubsectionHeading" w:customStyle="true">
    <w:name w:val="Heading 4"/>
    <w:basedOn w:val="Normal"/>
    <w:pPr>
      <w:spacing w:before="180" w:after="60"/>
      <w:outlineLvl xmlns:w="http://schemas.openxmlformats.org/wordprocessingml/2006/main" w:val="3"/>
    </w:pPr>
    <w:rPr>
      <w:b/>
      <w:sz w:val="21"/>
    </w:rPr>
  </w:style>
  <w:style w:type="paragraph" w:styleId="ParaTocEntryL1" w:customStyle="true">
    <w:name w:val="TOC entry level 1"/>
    <w:basedOn w:val="Normal"/>
    <w:pPr>
      <w:spacing w:before="120" w:after="120"/>
      <w:jc w:val="left"/>
    </w:pPr>
    <w:rPr>
      <w:sz w:val="24"/>
    </w:rPr>
  </w:style>
  <w:style w:type="paragraph" w:styleId="ParaCoverTitle" w:customStyle="true">
    <w:name w:val="Cover title"/>
    <w:basedOn w:val="Normal"/>
    <w:pPr>
      <w:spacing w:after="480"/>
      <w:jc w:val="center"/>
    </w:pPr>
    <w:rPr>
      <w:rFonts w:ascii="Garamond" w:hAnsi="Garamond" w:eastAsia="Heiti/SimHei"/>
      <w:b/>
      <w:sz w:val="44"/>
    </w:rPr>
  </w:style>
  <w:style w:type="paragraph" w:styleId="ParaSectionHeading" w:customStyle="true">
    <w:name w:val="Heading 2"/>
    <w:basedOn w:val="Normal"/>
    <w:pPr>
      <w:spacing w:before="360" w:after="180"/>
      <w:outlineLvl xmlns:w="http://schemas.openxmlformats.org/wordprocessingml/2006/main" w:val="1"/>
    </w:pPr>
    <w:rPr>
      <w:b/>
      <w:sz w:val="28"/>
    </w:rPr>
  </w:style>
  <w:style w:type="paragraph" w:styleId="ParaSubsectionHeading" w:customStyle="true">
    <w:name w:val="Heading 3"/>
    <w:basedOn w:val="Normal"/>
    <w:pPr>
      <w:spacing w:before="240" w:after="120"/>
      <w:outlineLvl xmlns:w="http://schemas.openxmlformats.org/wordprocessingml/2006/main" w:val="2"/>
    </w:pPr>
    <w:rPr>
      <w:b/>
      <w:sz w:val="24"/>
    </w:rPr>
  </w:style>
  <w:style w:type="paragraph" w:styleId="ParaTocEntryL2" w:customStyle="true">
    <w:name w:val="TOC entry level 2"/>
    <w:basedOn w:val="Normal"/>
    <w:pPr>
      <w:spacing w:after="60"/>
      <w:jc w:val="left"/>
    </w:pPr>
    <w:rPr>
      <w:sz w:val="21"/>
    </w:rPr>
  </w:style>
  <w:style w:type="paragraph" w:styleId="ParaAnnexHeading" w:customStyle="true">
    <w:name w:val="Annex heading"/>
    <w:basedOn w:val="Normal"/>
    <w:pPr>
      <w:spacing w:before="480" w:after="240"/>
      <w:outlineLvl xmlns:w="http://schemas.openxmlformats.org/wordprocessingml/2006/main" w:val="5"/>
    </w:pPr>
    <w:rPr>
      <w:b/>
      <w:sz w:val="28"/>
    </w:rPr>
  </w:style>
  <w:style w:type="paragraph" w:styleId="ParaBodyText" w:customStyle="true">
    <w:name w:val="Body text"/>
    <w:basedOn w:val="Normal"/>
    <w:pPr>
      <w:spacing w:after="240" w:line="276" w:lineRule="auto"/>
      <w:ind w:firstLine="720"/>
      <w:jc w:val="both"/>
    </w:pPr>
    <w:rPr>
      <w:sz w:val="24"/>
    </w:rPr>
  </w:style>
  <w:style w:type="paragraph" w:styleId="ParaSegmentNarrative" w:customStyle="true">
    <w:name w:val="Segment narrative"/>
    <w:basedOn w:val="Normal"/>
    <w:pPr>
      <w:spacing w:after="120" w:line="360" w:lineRule="auto"/>
      <w:ind w:firstLine="720"/>
      <w:jc w:val="left"/>
    </w:pPr>
    <w:rPr>
      <w:sz w:val="21"/>
    </w:rPr>
  </w:style>
  <w:style w:type="paragraph" w:styleId="ParaHighlightLead" w:customStyle="true">
    <w:name w:val="Highlight lead"/>
    <w:basedOn w:val="Normal"/>
    <w:pPr>
      <w:spacing w:after="240"/>
      <w:jc w:val="left"/>
    </w:pPr>
    <w:rPr>
      <w:b/>
      <w:sz w:val="28"/>
    </w:rPr>
  </w:style>
  <w:style w:type="paragraph" w:styleId="ParaSourceNote" w:customStyle="true">
    <w:name w:val="Source note"/>
    <w:basedOn w:val="Normal"/>
    <w:pPr>
      <w:spacing w:before="60" w:after="120"/>
      <w:jc w:val="left"/>
    </w:pPr>
    <w:rPr>
      <w:sz w:val="21"/>
    </w:rPr>
  </w:style>
  <w:style w:type="paragraph" w:styleId="ParaBulletList" w:customStyle="true">
    <w:name w:val="Bulleted list"/>
    <w:basedOn w:val="Normal"/>
    <w:pPr>
      <w:spacing w:after="120" w:line="276" w:lineRule="auto"/>
    </w:pPr>
    <w:rPr>
      <w:sz w:val="24"/>
    </w:rPr>
  </w:style>
  <w:style w:type="paragraph" w:styleId="ParaTblDataCell" w:customStyle="true">
    <w:name w:val="Data cell"/>
    <w:basedOn w:val="Normal"/>
    <w:pPr>
      <w:jc w:val="center"/>
    </w:pPr>
    <w:rPr>
      <w:sz w:val="21"/>
    </w:rPr>
  </w:style>
  <w:style w:type="paragraph" w:styleId="ParaLetterBody" w:customStyle="true">
    <w:name w:val="Letter body"/>
    <w:basedOn w:val="Normal"/>
    <w:pPr>
      <w:spacing w:after="240" w:line="360" w:lineRule="auto"/>
      <w:ind w:firstLine="720"/>
      <w:jc w:val="both"/>
    </w:pPr>
    <w:rPr>
      <w:sz w:val="24"/>
    </w:rPr>
  </w:style>
  <w:style w:type="paragraph" w:styleId="ParaTblStubCell" w:customStyle="true">
    <w:name w:val="Stub cell"/>
    <w:basedOn w:val="Normal"/>
    <w:pPr>
      <w:jc w:val="left"/>
    </w:pPr>
    <w:rPr>
      <w:sz w:val="21"/>
    </w:rPr>
  </w:style>
  <w:style w:type="paragraph" w:styleId="ParaTblHeaderCell" w:customStyle="true">
    <w:name w:val="Header cell"/>
    <w:basedOn w:val="Normal"/>
    <w:pPr>
      <w:jc w:val="center"/>
    </w:pPr>
    <w:rPr>
      <w:b/>
      <w:sz w:val="21"/>
    </w:rPr>
  </w:style>
  <w:style w:type="paragraph" w:styleId="ParaDisclosureNote" w:customStyle="true">
    <w:name w:val="Disclosure note paragraph"/>
    <w:basedOn w:val="Normal"/>
    <w:pPr>
      <w:spacing w:after="120" w:line="360" w:lineRule="exact"/>
      <w:ind w:hanging="360"/>
      <w:jc w:val="both"/>
    </w:pPr>
    <w:rPr>
      <w:sz w:val="21"/>
    </w:rPr>
  </w:style>
  <w:style w:type="paragraph" w:styleId="ParaLegalNotice" w:customStyle="true">
    <w:name w:val="Legal notice paragraph"/>
    <w:basedOn w:val="Normal"/>
    <w:pPr>
      <w:spacing w:after="120" w:line="276" w:lineRule="auto"/>
      <w:jc w:val="both"/>
    </w:pPr>
    <w:rPr>
      <w:sz w:val="21"/>
    </w:rPr>
  </w:style>
  <w:style w:type="paragraph" w:styleId="ParaTableCaption" w:customStyle="true">
    <w:name w:val="Table caption"/>
    <w:basedOn w:val="Normal"/>
    <w:pPr>
      <w:spacing w:before="240" w:after="120"/>
      <w:jc w:val="center"/>
    </w:pPr>
    <w:rPr>
      <w:sz w:val="21"/>
    </w:rPr>
  </w:style>
  <w:style w:type="paragraph" w:styleId="ParaChapterHeading" w:customStyle="true">
    <w:name w:val="Heading 1"/>
    <w:basedOn w:val="Normal"/>
    <w:pPr>
      <w:spacing w:before="480" w:after="240"/>
      <w:outlineLvl xmlns:w="http://schemas.openxmlformats.org/wordprocessingml/2006/main" w:val="0"/>
    </w:pPr>
    <w:rPr>
      <w:b/>
      <w:sz w:val="32"/>
    </w:rPr>
  </w:style>
  <w:style w:type="paragraph" w:styleId="ParaFinancialStatementLine" w:customStyle="true">
    <w:name w:val="Financial statement lead"/>
    <w:basedOn w:val="Normal"/>
    <w:pPr>
      <w:spacing w:before="240" w:after="120"/>
      <w:jc w:val="left"/>
    </w:pPr>
    <w:rPr>
      <w:b/>
      <w:sz w:val="21"/>
    </w:rPr>
  </w:style>
  <w:style w:type="paragraph" w:styleId="ParaContentsTitle" w:customStyle="true">
    <w:name w:val="Contents title"/>
    <w:basedOn w:val="Normal"/>
    <w:pPr>
      <w:spacing w:after="360"/>
      <w:jc w:val="center"/>
    </w:pPr>
    <w:rPr>
      <w:b/>
      <w:sz w:val="36"/>
    </w:rPr>
  </w:style>
  <w:style w:type="paragraph" w:styleId="ParaHeading5" w:customStyle="true">
    <w:name w:val="Heading 5"/>
    <w:basedOn w:val="Normal"/>
    <w:pPr>
      <w:spacing w:before="120" w:after="60"/>
      <w:jc w:val="left"/>
      <w:outlineLvl xmlns:w="http://schemas.openxmlformats.org/wordprocessingml/2006/main" w:val="4"/>
    </w:pPr>
    <w:rPr>
      <w:rFonts w:ascii="Arial" w:hAnsi="Arial"/>
      <w:b/>
      <w:sz w:val="21"/>
    </w:rPr>
  </w:style>
  <w:style w:type="paragraph" w:styleId="Title">
    <w:name w:val="Title"/>
    <w:basedOn w:val="Normal"/>
    <w:qFormat/>
    <w:pPr/>
    <w:rPr>
      <w:b/>
      <w:bCs/>
      <w:sz w:val="56"/>
      <w:szCs w:val="56"/>
    </w:rPr>
  </w:style>
  <w:style w:type="paragraph" w:styleId="Subtitle">
    <w:name w:val="Subtitle"/>
    <w:basedOn w:val="Normal"/>
    <w:qFormat/>
    <w:pPr/>
    <w:rPr>
      <w:sz w:val="28"/>
      <w:szCs w:val="28"/>
    </w:rPr>
  </w:style>
  <w:style w:type="paragraph" w:styleId="Heading1a">
    <w:customStyle/>
    <w:name w:val="heading 1a"/>
    <w:basedOn w:val="Normal"/>
    <w:uiPriority w:val="9"/>
    <w:qFormat/>
    <w:pPr>
      <w:outlineLvl w:val="0"/>
    </w:pPr>
    <w:rPr>
      <w:b/>
      <w:bCs/>
      <w:sz w:val="32"/>
      <w:szCs w:val="32"/>
    </w:rPr>
  </w:style>
  <w:style w:type="paragraph" w:styleId="Heading2a">
    <w:customStyle/>
    <w:name w:val="heading 2a"/>
    <w:basedOn w:val="Normal"/>
    <w:uiPriority w:val="10"/>
    <w:qFormat/>
    <w:pPr>
      <w:outlineLvl w:val="1"/>
    </w:pPr>
    <w:rPr>
      <w:b/>
      <w:bCs/>
      <w:sz w:val="26"/>
      <w:szCs w:val="26"/>
    </w:rPr>
  </w:style>
  <w:style w:type="paragraph" w:styleId="Heading3a">
    <w:customStyle/>
    <w:name w:val="heading 3a"/>
    <w:basedOn w:val="Normal"/>
    <w:uiPriority w:val="11"/>
    <w:qFormat/>
    <w:pPr>
      <w:outlineLvl w:val="2"/>
    </w:pPr>
    <w:rPr>
      <w:b/>
      <w:bCs/>
      <w:sz w:val="24"/>
      <w:szCs w:val="24"/>
    </w:rPr>
  </w:style>
  <w:style w:type="paragraph" w:styleId="Heading4a">
    <w:customStyle/>
    <w:name w:val="heading 4a"/>
    <w:basedOn w:val="Normal"/>
    <w:uiPriority w:val="12"/>
    <w:qFormat/>
    <w:pPr>
      <w:outlineLvl w:val="3"/>
    </w:pPr>
    <w:rPr>
      <w:b/>
      <w:bCs/>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a35421b6262b414a" /><Relationship Type="http://schemas.openxmlformats.org/officeDocument/2006/relationships/styles" Target="/word/styles.xml" Id="Rbef279777b5941b1" /><Relationship Type="http://schemas.openxmlformats.org/officeDocument/2006/relationships/theme" Target="/word/theme/theme1.xml" Id="R38dc4823784143e5" /><Relationship Type="http://schemas.openxmlformats.org/officeDocument/2006/relationships/numbering" Target="/word/numbering.xml" Id="R0260258334224b44" /><Relationship Type="http://schemas.openxmlformats.org/officeDocument/2006/relationships/image" Target="/media/image.png" Id="R6218e80b5b78421c" /><Relationship Type="http://schemas.openxmlformats.org/officeDocument/2006/relationships/header" Target="/word/header1.xml" Id="R5e8f77aa4b374a7e" /><Relationship Type="http://schemas.openxmlformats.org/officeDocument/2006/relationships/footer" Target="/word/footer1.xml" Id="Rab02bb1ea2404fed" /><Relationship Type="http://schemas.openxmlformats.org/officeDocument/2006/relationships/header" Target="/word/header2.xml" Id="R14d9d1f338f44094" /><Relationship Type="http://schemas.openxmlformats.org/officeDocument/2006/relationships/header" Target="/word/header3.xml" Id="R1feba2ed122a4068" /><Relationship Type="http://schemas.openxmlformats.org/officeDocument/2006/relationships/footer" Target="/word/footer2.xml" Id="Rf140772b13344afe" /><Relationship Type="http://schemas.openxmlformats.org/officeDocument/2006/relationships/image" Target="/media/image2.png" Id="R3553c46ae4f9459b" /><Relationship Type="http://schemas.openxmlformats.org/officeDocument/2006/relationships/header" Target="/word/header4.xml" Id="R7d18c8a7003840ec" /><Relationship Type="http://schemas.openxmlformats.org/officeDocument/2006/relationships/footer" Target="/word/footer3.xml" Id="Rc45984986fe341ef" /><Relationship Type="http://schemas.openxmlformats.org/officeDocument/2006/relationships/image" Target="/media/image3.png" Id="R78c945f70cfc4004" /><Relationship Type="http://schemas.openxmlformats.org/officeDocument/2006/relationships/header" Target="/word/header5.xml" Id="R1869b0023d7c464b" /><Relationship Type="http://schemas.openxmlformats.org/officeDocument/2006/relationships/footer" Target="/word/footer4.xml" Id="Re6ae2adf3f0e4bac" /><Relationship Type="http://schemas.openxmlformats.org/officeDocument/2006/relationships/image" Target="/media/image4.png" Id="R721601850e5445d8" /><Relationship Type="http://schemas.openxmlformats.org/officeDocument/2006/relationships/image" Target="/media/image5.png" Id="Rf38db2604c6742c2" /><Relationship Type="http://schemas.openxmlformats.org/officeDocument/2006/relationships/image" Target="/media/image6.png" Id="R78e28362ebbc4bfc" /><Relationship Type="http://schemas.openxmlformats.org/officeDocument/2006/relationships/image" Target="/media/image7.png" Id="R4fe006e8a6f648f1" /><Relationship Type="http://schemas.openxmlformats.org/officeDocument/2006/relationships/header" Target="/word/header6.xml" Id="R5f32647b69794377" /><Relationship Type="http://schemas.openxmlformats.org/officeDocument/2006/relationships/footer" Target="/word/footer5.xml" Id="R8a46ac1d058546ab" /><Relationship Type="http://schemas.openxmlformats.org/officeDocument/2006/relationships/image" Target="/media/image8.png" Id="R01f6cba5a0a44762" /><Relationship Type="http://schemas.openxmlformats.org/officeDocument/2006/relationships/image" Target="/media/image9.png" Id="Rc566892a1ea64039" /><Relationship Type="http://schemas.openxmlformats.org/officeDocument/2006/relationships/header" Target="/word/header7.xml" Id="R1fa0d540745c453b" /><Relationship Type="http://schemas.openxmlformats.org/officeDocument/2006/relationships/footer" Target="/word/footer6.xml" Id="R52d9e6b6498b4980" /><Relationship Type="http://schemas.openxmlformats.org/officeDocument/2006/relationships/image" Target="/media/image10.png" Id="Rd6cf32b488144828" /><Relationship Type="http://schemas.openxmlformats.org/officeDocument/2006/relationships/image" Target="/media/image11.png" Id="R5b7d0044d8a04ef3" /><Relationship Type="http://schemas.openxmlformats.org/officeDocument/2006/relationships/image" Target="/media/image12.png" Id="Rd1517c0986c94593" /><Relationship Type="http://schemas.openxmlformats.org/officeDocument/2006/relationships/header" Target="/word/header8.xml" Id="R018e5e0f5854471e" /><Relationship Type="http://schemas.openxmlformats.org/officeDocument/2006/relationships/footer" Target="/word/footer7.xml" Id="Reca603a109dd4cf6" /><Relationship Type="http://schemas.openxmlformats.org/officeDocument/2006/relationships/image" Target="/media/image13.png" Id="R978f0b5356b143b5" /><Relationship Type="http://schemas.openxmlformats.org/officeDocument/2006/relationships/image" Target="/media/image14.png" Id="R6500726243624fde" /><Relationship Type="http://schemas.openxmlformats.org/officeDocument/2006/relationships/image" Target="/media/image15.png" Id="R494962e5f2304da4" /><Relationship Type="http://schemas.openxmlformats.org/officeDocument/2006/relationships/header" Target="/word/header9.xml" Id="Rd56140956e2f4f46" /><Relationship Type="http://schemas.openxmlformats.org/officeDocument/2006/relationships/footer" Target="/word/footer8.xml" Id="R697048e3fe15404b" /><Relationship Type="http://schemas.openxmlformats.org/officeDocument/2006/relationships/image" Target="/media/image16.png" Id="Rffded70aa40c4262" /><Relationship Type="http://schemas.openxmlformats.org/officeDocument/2006/relationships/image" Target="/media/image17.png" Id="R9628fd1fa59e433f" /><Relationship Type="http://schemas.openxmlformats.org/officeDocument/2006/relationships/header" Target="/word/header10.xml" Id="R9a251cc41c234106" /><Relationship Type="http://schemas.openxmlformats.org/officeDocument/2006/relationships/footer" Target="/word/footer9.xml" Id="R54e03129994e40eb" /><Relationship Type="http://schemas.openxmlformats.org/officeDocument/2006/relationships/image" Target="/media/image18.png" Id="R634b2b16b46347eb" /><Relationship Type="http://schemas.openxmlformats.org/officeDocument/2006/relationships/image" Target="/media/image19.png" Id="R6a0d4d418dde4f64" /><Relationship Type="http://schemas.openxmlformats.org/officeDocument/2006/relationships/header" Target="/word/header11.xml" Id="Rc8582d10bf354240" /><Relationship Type="http://schemas.openxmlformats.org/officeDocument/2006/relationships/footer" Target="/word/footer10.xml" Id="Re4d32176efae42e4" /><Relationship Type="http://schemas.openxmlformats.org/officeDocument/2006/relationships/image" Target="/media/image20.png" Id="Rf0f940dbf54147cf" /><Relationship Type="http://schemas.openxmlformats.org/officeDocument/2006/relationships/image" Target="/media/image21.png" Id="R45197c9fa9474406" /><Relationship Type="http://schemas.openxmlformats.org/officeDocument/2006/relationships/image" Target="/media/image22.png" Id="R910f5cf5c7a1474f" /><Relationship Type="http://schemas.openxmlformats.org/officeDocument/2006/relationships/header" Target="/word/header12.xml" Id="R1cb4047783ce4dbb" /><Relationship Type="http://schemas.openxmlformats.org/officeDocument/2006/relationships/footer" Target="/word/footer11.xml" Id="R02a8f07c1e9b452b" /><Relationship Type="http://schemas.openxmlformats.org/officeDocument/2006/relationships/image" Target="/media/image23.png" Id="R3aea449cc3eb422a" /><Relationship Type="http://schemas.openxmlformats.org/officeDocument/2006/relationships/image" Target="/media/image24.png" Id="Ra55a31966b8443e0" /><Relationship Type="http://schemas.openxmlformats.org/officeDocument/2006/relationships/image" Target="/media/image25.png" Id="R96642f6f6dcc4b97" /><Relationship Type="http://schemas.openxmlformats.org/officeDocument/2006/relationships/header" Target="/word/header13.xml" Id="Rb4179d9c70c24942" /><Relationship Type="http://schemas.openxmlformats.org/officeDocument/2006/relationships/footer" Target="/word/footer12.xml" Id="R61fb633cc8454acd" /><Relationship Type="http://schemas.openxmlformats.org/officeDocument/2006/relationships/header" Target="/word/header14.xml" Id="R25070300199840d0" /><Relationship Type="http://schemas.openxmlformats.org/officeDocument/2006/relationships/footer" Target="/word/footer13.xml" Id="Rcee74d1990124e6d" /><Relationship Type="http://schemas.openxmlformats.org/officeDocument/2006/relationships/header" Target="/word/header15.xml" Id="R6636bbd3a12a4717" /><Relationship Type="http://schemas.openxmlformats.org/officeDocument/2006/relationships/footer" Target="/word/footer14.xml" Id="Re4c34195529a43dc" /><Relationship Type="http://schemas.openxmlformats.org/officeDocument/2006/relationships/image" Target="/media/image26.png" Id="Rff536cb289914290" /><Relationship Type="http://schemas.openxmlformats.org/officeDocument/2006/relationships/image" Target="/media/image27.png" Id="R43a4848495884e03" /><Relationship Type="http://schemas.openxmlformats.org/officeDocument/2006/relationships/header" Target="/word/header16.xml" Id="R3492f43f576c4b1b" /><Relationship Type="http://schemas.openxmlformats.org/officeDocument/2006/relationships/footer" Target="/word/footer15.xml" Id="R6772405bfa664b65" /><Relationship Type="http://schemas.openxmlformats.org/officeDocument/2006/relationships/header" Target="/word/header17.xml" Id="Rfaaa2aac19114ad3" /><Relationship Type="http://schemas.openxmlformats.org/officeDocument/2006/relationships/footer" Target="/word/footer16.xml" Id="R9357d4b4c34a4663" /><Relationship Type="http://schemas.openxmlformats.org/officeDocument/2006/relationships/header" Target="/word/header18.xml" Id="R979b00df762e4741" /><Relationship Type="http://schemas.openxmlformats.org/officeDocument/2006/relationships/footer" Target="/word/footer17.xml" Id="Rc76c5186e81645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2026-08-29T11:44:58Z</dcterms:created>
  <cp:lastModifiedBy>OfficeCLI</cp:lastModifiedBy>
  <dcterms:modified xsi:type="dcterms:W3CDTF">2026-08-29T11:44:58Z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2026-08-29T12:05:00Z</vt:lpwstr>
  </op:property>
</op:Properties>
</file>