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f2475efd01042f8" /><Relationship Type="http://schemas.openxmlformats.org/package/2006/relationships/metadata/core-properties" Target="/docProps/core.xml" Id="R098214f48e384afd" /><Relationship Type="http://schemas.openxmlformats.org/officeDocument/2006/relationships/extended-properties" Target="/docProps/app.xml" Id="R58b2db8e6aba4b29" /><Relationship Type="http://schemas.openxmlformats.org/officeDocument/2006/relationships/custom-properties" Target="/docProps/custom.xml" Id="Re0c5dd23b8e2498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ParaCoverTitle"/>
      </w:pPr>
      <w:r>
        <w:rPr/>
        <w:t xml:space="preserve">Rivermark Group</w:t>
      </w:r>
    </w:p>
    <w:p w14:paraId="00100002" w14:textId="00100003">
      <w:pPr>
        <w:pStyle w:val="ParaCoverTitle"/>
      </w:pPr>
      <w:r>
        <w:rPr/>
        <w:t xml:space="preserve">Annual Report and Operating Review</w:t>
      </w:r>
    </w:p>
    <w:p w14:paraId="00100004" w14:textId="00100005">
      <w:pPr>
        <w:spacing w:before="120" w:after="120"/>
        <w:jc w:val="center"/>
      </w:pPr>
      <w:r>
        <w:drawing>
          <wp:inline distT="0" distB="0" distL="0" distR="0">
            <wp:extent cx="2160000" cy="1080000"/>
            <wp:effectExtent l="0" t="0" r="0" b="0"/>
            <wp:docPr id="1" name="F0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01.png"/>
                    <pic:cNvPicPr/>
                  </pic:nvPicPr>
                  <pic:blipFill>
                    <a:blip r:embed="R5ddbbbedfa6840f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3"/>
        <w:gridCol w:w="4153"/>
      </w:tblGrid>
      <w:tr>
        <w:trPr>
          <w:tblHeader/>
        </w:trP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006" w14:textId="0010001A">
            <w:pPr>
              <w:pStyle w:val="ParaTblStubCell"/>
            </w:pPr>
            <w:r>
              <w:t xml:space="preserve">Entity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008" w14:textId="0010001B">
            <w:pPr>
              <w:pStyle w:val="ParaTblDataCell"/>
            </w:pPr>
            <w:r>
              <w:t xml:space="preserve">Rivermark Group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00A" w14:textId="0010001C">
            <w:pPr>
              <w:pStyle w:val="ParaTblStubCell"/>
            </w:pPr>
            <w:r>
              <w:t xml:space="preserve">Period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00C" w14:textId="0010001D">
            <w:pPr>
              <w:pStyle w:val="ParaTblDataCell"/>
            </w:pPr>
            <w:r>
              <w:t xml:space="preserve">FY2024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00E" w14:textId="0010001E">
            <w:pPr>
              <w:pStyle w:val="ParaTblStubCell"/>
            </w:pPr>
            <w:r>
              <w:t xml:space="preserve">Version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010" w14:textId="0010001F">
            <w:pPr>
              <w:pStyle w:val="ParaTblDataCell"/>
            </w:pPr>
            <w:r>
              <w:t xml:space="preserve">Annual report cover info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012" w14:textId="00100020">
            <w:pPr>
              <w:pStyle w:val="ParaTblStubCell"/>
            </w:pPr>
            <w:r>
              <w:t xml:space="preserve">Registered office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014" w14:textId="00100021">
            <w:pPr>
              <w:pStyle w:val="ParaTblDataCell"/>
            </w:pPr>
            <w:r>
              <w:t xml:space="preserve">Riverfront Tower, London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016" w14:textId="00100022">
            <w:pPr>
              <w:pStyle w:val="ParaTblStubCell"/>
            </w:pPr>
            <w:r>
              <w:t xml:space="preserve">Chair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018" w14:textId="00100023">
            <w:pPr>
              <w:pStyle w:val="ParaTblDataCell"/>
            </w:pPr>
            <w:r>
              <w:t xml:space="preserve">Maya Chen</w:t>
            </w:r>
          </w:p>
        </w:tc>
      </w:tr>
    </w:tbl>
    <w:p w14:paraId="00100024" w14:textId="00100025">
      <w:pPr>
        <w:pStyle w:val="ParaFigureCaption"/>
      </w:pPr>
      <w:r>
        <w:rPr/>
        <w:t xml:space="preserve">Figure 1 Cover logo and report identity</w:t>
      </w:r>
    </w:p>
    <w:p w14:paraId="00100069" w14:textId="0010006A">
      <w:pPr>
        <w:sectPr>
          <w:headerReference w:type="first" r:id="R5c1c2197fd164771"/>
          <w:headerReference w:type="default" r:id="R2324417332ef40a5"/>
          <w:footerReference w:type="default" r:id="R1aed2e0e129e435a"/>
          <w:type w:val="nextPage"/>
          <w:pgSz w:w="11906" w:h="16838" w:orient="portrait"/>
          <w:pgMar w:top="1984" w:right="1417" w:bottom="1701" w:left="1701"/>
          <w:pgNumType w:fmt="lowerRoman" w:start="1"/>
          <w:cols w:num="1"/>
          <w:titlePg/>
        </w:sectPr>
      </w:pPr>
    </w:p>
    <w:p w14:paraId="0010002C" w14:textId="0010002D">
      <w:pPr>
        <w:pStyle w:val="ParaContentsTitle"/>
      </w:pPr>
      <w:r>
        <w:rPr/>
        <w:t xml:space="preserve">Contents</w:t>
      </w:r>
    </w:p>
    <w:p w14:paraId="0010002E" w14:textId="0010002F">
      <w:pPr>
        <w:pStyle w:val="ParaTocEntryL1"/>
      </w:pPr>
      <w:r>
        <w:rPr/>
        <w:t xml:space="preserve">Group overview .... 1</w:t>
      </w:r>
    </w:p>
    <w:p w14:paraId="00100030" w14:textId="00100031">
      <w:pPr>
        <w:pStyle w:val="ParaTocEntryL2"/>
      </w:pPr>
      <w:r>
        <w:rPr/>
        <w:t xml:space="preserve">Strategy and markets .... 2</w:t>
      </w:r>
    </w:p>
    <w:p w14:paraId="00100032" w14:textId="00100033">
      <w:pPr>
        <w:pStyle w:val="ParaTocEntryL1"/>
      </w:pPr>
      <w:r>
        <w:rPr/>
        <w:t xml:space="preserve">Governance .... 5</w:t>
      </w:r>
    </w:p>
    <w:p w14:paraId="00100034" w14:textId="00100035">
      <w:pPr>
        <w:pStyle w:val="ParaTocEntryL2"/>
      </w:pPr>
      <w:r>
        <w:rPr/>
        <w:t xml:space="preserve">Board and controls .... 6</w:t>
      </w:r>
    </w:p>
    <w:p w14:paraId="00100036" w14:textId="00100037">
      <w:pPr>
        <w:pStyle w:val="ParaTocEntryL1"/>
      </w:pPr>
      <w:r>
        <w:rPr/>
        <w:t xml:space="preserve">Financial statements .... 48</w:t>
      </w:r>
    </w:p>
    <w:p w14:paraId="00100038" w14:textId="00100039">
      <w:pPr>
        <w:pStyle w:val="ParaTocEntryL2"/>
      </w:pPr>
      <w:r>
        <w:rPr/>
        <w:t xml:space="preserve">Notes to the accounts .... 52</w:t>
      </w:r>
    </w:p>
    <w:p w14:paraId="0010006B" w14:textId="0010006C">
      <w:pPr>
        <w:sectPr>
          <w:headerReference w:type="default" r:id="R4a901b7b3fae487c"/>
          <w:footerReference w:type="default" r:id="R4bc74ab6aebe4914"/>
          <w:type w:val="nextPage"/>
          <w:pgSz w:w="11906" w:h="16838" w:orient="portrait"/>
          <w:pgMar w:top="1417" w:right="1417" w:bottom="1417" w:left="1701"/>
          <w:pgNumType w:fmt="decimal" w:start="1"/>
          <w:cols w:num="1"/>
        </w:sectPr>
      </w:pPr>
    </w:p>
    <w:p w14:paraId="0010003E" w14:textId="0010003F">
      <w:pPr>
        <w:pStyle w:val="ParaChapterHeading"/>
      </w:pPr>
      <w:r>
        <w:rPr/>
        <w:t xml:space="preserve">Opening Message</w:t>
      </w:r>
    </w:p>
    <w:p w14:paraId="00100040" w14:textId="00100043">
      <w:pPr>
        <w:pStyle w:val="ParaLetterBody"/>
      </w:pPr>
      <w:r>
        <w:rPr/>
        <w:t xml:space="preserve"/>
      </w:r>
      <w:r>
        <w:rPr>
          <w:b/>
        </w:rPr>
        <w:t xml:space="preserve">Message:</w:t>
      </w:r>
      <w:r>
        <w:rPr/>
        <w:t xml:space="preserve"> Rivermark Group remained steady through a demanding year, supported by the trust of shareholders, customers, and employees. We focused on disciplined e</w:t>
      </w:r>
    </w:p>
    <w:p w14:paraId="00100044" w14:textId="00100045">
      <w:pPr>
        <w:spacing w:before="120" w:after="120"/>
        <w:jc w:val="center"/>
      </w:pPr>
      <w:r>
        <w:drawing>
          <wp:inline distT="0" distB="0" distL="0" distR="0">
            <wp:extent cx="2880000" cy="3600000"/>
            <wp:effectExtent l="0" t="0" r="0" b="0"/>
            <wp:docPr id="2" name="F01_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F01_2.png"/>
                    <pic:cNvPicPr/>
                  </pic:nvPicPr>
                  <pic:blipFill>
                    <a:blip r:embed="Rfbbabcef11be4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46" w14:textId="00100047">
      <w:pPr>
        <w:pStyle w:val="ParaFigureCaption"/>
      </w:pPr>
      <w:r>
        <w:rPr/>
        <w:t xml:space="preserve">Figure 1 Portrait of the chair</w:t>
      </w:r>
    </w:p>
    <w:p w14:paraId="0010006D" w14:textId="0010006E">
      <w:pPr>
        <w:sectPr>
          <w:headerReference w:type="default" r:id="R8ac31b6ad9e94c32"/>
          <w:footerReference w:type="default" r:id="R24f36ce107db40a4"/>
          <w:type w:val="nextPage"/>
          <w:pgSz w:w="11906" w:h="16838" w:orient="portrait"/>
          <w:pgMar w:top="1417" w:right="1417" w:bottom="1417" w:left="1701"/>
          <w:pgNumType w:fmt="lowerRoman"/>
          <w:cols w:num="1"/>
        </w:sectPr>
      </w:pPr>
    </w:p>
    <w:p w14:paraId="0010004C" w14:textId="0010004D">
      <w:pPr>
        <w:pStyle w:val="ParaChapterHeading"/>
      </w:pPr>
      <w:r>
        <w:rPr/>
        <w:t xml:space="preserve">Year Highlights</w:t>
      </w:r>
    </w:p>
    <w:p w14:paraId="0010004E" w14:textId="00100054">
      <w:pPr>
        <w:pStyle w:val="ParaHighlightLead"/>
      </w:pPr>
      <w:r>
        <w:rPr/>
        <w:t xml:space="preserve"/>
      </w:r>
      <w:r>
        <w:rPr>
          <w:b/>
        </w:rPr>
        <w:t xml:space="preserve">Note:</w:t>
      </w:r>
      <w:r>
        <w:rPr/>
        <w:t xml:space="preserve"> Year-on-year performance improved, with </w:t>
      </w:r>
      <w:r>
        <w:rPr>
          <w:i/>
        </w:rPr>
        <w:t xml:space="preserve">operating effectiveness</w:t>
      </w:r>
      <w:r>
        <w:rPr>
          <w:vertAlign w:val="superscript"/>
        </w:rPr>
        <w:t xml:space="preserve">¹</w:t>
      </w:r>
      <w:r>
        <w:rPr/>
        <w:t xml:space="preserve"> visible across core markets.</w:t>
      </w:r>
    </w:p>
    <w:p w14:paraId="00100055" w14:textId="00100056">
      <w:pPr>
        <w:pStyle w:val="ParaTableCaption"/>
      </w:pPr>
      <w:r>
        <w:rPr/>
        <w:t xml:space="preserve">Table 1 Performance data for the year</w:t>
      </w:r>
    </w:p>
    <w:tbl>
      <w:tblPr>
        <w:tblW w:w="5000" w:type="pct"/>
        <w:jc w:val="center"/>
        <w:tblBorders>
          <w:top w:val="none" w:sz="4"/>
          <w:left w:val="none" w:sz="4"/>
          <w:bottom w:val="none" w:sz="4"/>
          <w:right w:val="none" w:sz="4"/>
          <w:insideH w:val="none" w:sz="4"/>
          <w:insideV w:val="non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tcPr>
            <w:tcBorders>
              <w:top w:val="nil"/>
              <w:left w:val="nil"/>
              <w:bottom w:val="single" w:color="auto" w:sz="4"/>
              <w:right w:val="nil"/>
            </w:tcBorders>
            <w:vAlign w:val="center"/>
          </w:tcPr>
          <w:p w14:paraId="00100057" w14:textId="0010006F">
            <w:pPr>
              <w:pStyle w:val="ParaTblHeaderCell"/>
            </w:pPr>
            <w:r>
              <w:t xml:space="preserve">Revenue</w:t>
            </w:r>
          </w:p>
        </w:tc>
        <w:tc>
          <w:tcPr>
            <w:tcBorders>
              <w:top w:val="nil"/>
              <w:left w:val="nil"/>
              <w:bottom w:val="single" w:color="auto" w:sz="4"/>
              <w:right w:val="nil"/>
            </w:tcBorders>
            <w:vAlign w:val="center"/>
          </w:tcPr>
          <w:p w14:paraId="00100059" w14:textId="00100070">
            <w:pPr>
              <w:pStyle w:val="ParaTblHeaderCell"/>
            </w:pPr>
            <w:r>
              <w:t xml:space="preserve">FY2024</w:t>
            </w:r>
          </w:p>
        </w:tc>
        <w:tc>
          <w:tcPr>
            <w:tcBorders>
              <w:top w:val="nil"/>
              <w:left w:val="nil"/>
              <w:bottom w:val="single" w:color="auto" w:sz="4"/>
              <w:right w:val="nil"/>
            </w:tcBorders>
            <w:vAlign w:val="center"/>
          </w:tcPr>
          <w:p w14:paraId="0010005B" w14:textId="00100071">
            <w:pPr>
              <w:pStyle w:val="ParaTblHeaderCell"/>
            </w:pPr>
            <w:r>
              <w:t xml:space="preserve">FY2023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5D" w14:textId="00100072">
            <w:pPr>
              <w:pStyle w:val="ParaTblStubCell"/>
            </w:pPr>
            <w:r>
              <w:t xml:space="preserve">Operating profit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5F" w14:textId="00100073">
            <w:pPr>
              <w:pStyle w:val="ParaTblDataCell"/>
            </w:pPr>
            <w:r>
              <w:t xml:space="preserve">Up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61" w14:textId="00100074">
            <w:pPr>
              <w:pStyle w:val="ParaTblDataCell"/>
            </w:pPr>
            <w:r>
              <w:t xml:space="preserve">Flat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63" w14:textId="00100075">
            <w:pPr>
              <w:pStyle w:val="ParaTblStubCell"/>
            </w:pPr>
            <w:r>
              <w:t xml:space="preserve">Margin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65" w14:textId="00100076">
            <w:pPr>
              <w:pStyle w:val="ParaTblDataCell"/>
            </w:pPr>
            <w:r>
              <w:t xml:space="preserve">Improved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067" w14:textId="00100077">
            <w:pPr>
              <w:pStyle w:val="ParaTblDataCell"/>
            </w:pPr>
            <w:r>
              <w:t xml:space="preserve">Stable</w:t>
            </w:r>
          </w:p>
        </w:tc>
      </w:tr>
    </w:tbl>
    <w:p w14:paraId="00100078" w14:textId="00100079">
      <w:pPr>
        <w:pStyle w:val="ParaFigureCaption"/>
      </w:pPr>
      <w:r>
        <w:rPr/>
        <w:t xml:space="preserve">Figure 1 Annual KPI trend chart</w:t>
      </w:r>
    </w:p>
    <w:p w14:paraId="0010007A" w14:textId="0010007B">
      <w:pPr>
        <w:spacing w:before="120" w:after="120"/>
        <w:jc w:val="center"/>
      </w:pPr>
      <w:r>
        <w:drawing>
          <wp:inline distT="0" distB="0" distL="0" distR="0">
            <wp:extent cx="4320000" cy="2880000"/>
            <wp:effectExtent l="0" t="0" r="0" b="0"/>
            <wp:docPr id="3" name="F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1.png"/>
                    <pic:cNvPicPr/>
                  </pic:nvPicPr>
                  <pic:blipFill>
                    <a:blip r:embed="Rfcbd853fb5db41c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C" w14:textId="00100080">
      <w:pPr>
        <w:pStyle w:val="ParaSourceNote"/>
      </w:pPr>
      <w:r>
        <w:rPr/>
        <w:t xml:space="preserve"/>
      </w:r>
      <w:r>
        <w:rPr>
          <w:b/>
        </w:rPr>
        <w:t xml:space="preserve">Source:</w:t>
      </w:r>
      <w:r>
        <w:rPr/>
        <w:t xml:space="preserve"> Management reporting scope; figures are rounded and exclude discontinued items.</w:t>
      </w:r>
      <w:r>
        <w:rPr>
          <w:vertAlign w:val="superscript"/>
        </w:rPr>
        <w:t xml:space="preserve">1</w:t>
      </w:r>
    </w:p>
    <w:p w14:paraId="00100101" w14:textId="00100102">
      <w:pPr>
        <w:sectPr>
          <w:headerReference w:type="default" r:id="R16536147b2d94ae8"/>
          <w:footerReference w:type="default" r:id="Rb3c8eecf8a384839"/>
          <w:type w:val="nextPage"/>
          <w:pgSz w:w="11906" w:h="16838" w:orient="portrait"/>
          <w:pgMar w:top="1417" w:right="1417" w:bottom="1417" w:left="1417"/>
          <w:pgNumType w:fmt="lowerRoman"/>
          <w:cols w:num="1"/>
        </w:sectPr>
      </w:pPr>
    </w:p>
    <w:p w14:paraId="00100085" w14:textId="00100086">
      <w:pPr>
        <w:pStyle w:val="ParaChapterHeading"/>
      </w:pPr>
      <w:r>
        <w:rPr/>
        <w:t xml:space="preserve">Group Overview</w:t>
      </w:r>
    </w:p>
    <w:p w14:paraId="00100087" w14:textId="0010008A">
      <w:pPr>
        <w:pStyle w:val="ParaBodyText"/>
      </w:pPr>
      <w:r>
        <w:rPr/>
        <w:t xml:space="preserve"/>
      </w:r>
      <w:r>
        <w:rPr>
          <w:b/>
        </w:rPr>
        <w:t xml:space="preserve">Overview:</w:t>
      </w:r>
      <w:r>
        <w:rPr/>
        <w:t xml:space="preserve"> Rivermark Group serves regional markets through a compact footprint and a focused operating model.</w:t>
      </w:r>
    </w:p>
    <w:p w14:paraId="0010008B" w14:textId="0010008C">
      <w:pPr>
        <w:pStyle w:val="ParaSectionHeading"/>
      </w:pPr>
      <w:r>
        <w:rPr/>
        <w:t xml:space="preserve">Corporate Profile</w:t>
      </w:r>
    </w:p>
    <w:p w14:paraId="0010008D" w14:textId="0010008E">
      <w:pPr>
        <w:pStyle w:val="ParaSegmentNarrative"/>
      </w:pPr>
      <w:r>
        <w:rPr/>
        <w:t xml:space="preserve">The profile section ties legal identity to scale, then narrows to where the group operates and how that footprint is organized.</w:t>
      </w:r>
    </w:p>
    <w:p w14:paraId="0010008F" w14:textId="00100090">
      <w:pPr>
        <w:pStyle w:val="ParaTableCaption"/>
      </w:pPr>
      <w:r>
        <w:rPr/>
        <w:t xml:space="preserve">Scale footprint and core facts</w:t>
      </w:r>
    </w:p>
    <w:p w14:paraId="00100091" w14:textId="00100092">
      <w:pPr>
        <w:pStyle w:val="ParaSubsectionHeading"/>
      </w:pPr>
      <w:r>
        <w:rPr/>
        <w:t xml:space="preserve">Identity and Scope</w:t>
      </w:r>
    </w:p>
    <w:p w14:paraId="00100093" w14:textId="00100094">
      <w:pPr>
        <w:pStyle w:val="ParaSubsubsectionHeading"/>
      </w:pPr>
      <w:r>
        <w:rPr/>
        <w:t xml:space="preserve">Legal Form</w:t>
      </w:r>
    </w:p>
    <w:p w14:paraId="00100095" w14:textId="00100096">
      <w:pPr>
        <w:pStyle w:val="ParaHeading5"/>
      </w:pPr>
      <w:r>
        <w:rPr/>
        <w:t xml:space="preserve">Registered Details</w:t>
      </w:r>
    </w:p>
    <w:p w14:paraId="00100097" w14:textId="00100098">
      <w:pPr>
        <w:pStyle w:val="ParaBodyText"/>
      </w:pPr>
      <w:r>
        <w:rPr/>
        <w:t xml:space="preserve">Rivermark Group Limited is listed on the main market and maintains its registered office in the city center. The disclosure notes a stable reporting basis acros</w:t>
      </w:r>
    </w:p>
    <w:p w14:paraId="00100099" w14:textId="0010009A">
      <w:pPr>
        <w:pStyle w:val="ParaFigureCaption"/>
      </w:pPr>
      <w:r>
        <w:rPr/>
        <w:t xml:space="preserve">Figure 1 Footprint map by region</w:t>
      </w:r>
    </w:p>
    <w:p w14:paraId="0010009B" w14:textId="0010009C">
      <w:pPr>
        <w:spacing w:before="120" w:after="120"/>
        <w:jc w:val="center"/>
      </w:pPr>
      <w:r>
        <w:drawing>
          <wp:inline distT="0" distB="0" distL="0" distR="0">
            <wp:extent cx="5040000" cy="2880000"/>
            <wp:effectExtent l="0" t="0" r="0" b="0"/>
            <wp:docPr id="4" name="F01_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F01_4.png"/>
                    <pic:cNvPicPr/>
                  </pic:nvPicPr>
                  <pic:blipFill>
                    <a:blip r:embed="R166c57c4613147b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D" w14:textId="0010009E">
      <w:pPr>
        <w:pStyle w:val="ParaSubsectionHeading"/>
      </w:pPr>
      <w:r>
        <w:rPr/>
        <w:t xml:space="preserve">Operating Footprint</w:t>
      </w:r>
    </w:p>
    <w:p w14:paraId="0010009F" w14:textId="001000A0">
      <w:pPr>
        <w:pStyle w:val="ParaSegmentNarrative"/>
      </w:pPr>
      <w:r>
        <w:rPr/>
        <w:t xml:space="preserve">The operating footprint spans several markets with a mix of plants, offices, and logistics nodes. Regional concentration is visible, but the network still suppo</w:t>
      </w:r>
    </w:p>
    <w:p w14:paraId="001000A1" w14:textId="001000A2">
      <w:pPr>
        <w:pStyle w:val="ParaHeading5"/>
      </w:pPr>
      <w:r>
        <w:rPr/>
        <w:t xml:space="preserve">Regional Presence</w:t>
      </w:r>
    </w:p>
    <w:p w14:paraId="001000A3" w14:textId="001000A4">
      <w:pPr>
        <w:pStyle w:val="ParaBulletList"/>
        <w:numPr>
          <w:numId w:val="902"/>
        </w:numPr>
      </w:pPr>
      <w:r>
        <w:rPr/>
        <w:t xml:space="preserve">Core markets cover domestic demand.</w:t>
      </w:r>
    </w:p>
    <w:p w14:paraId="001000A5" w14:textId="001000A6">
      <w:pPr>
        <w:pStyle w:val="ParaBulletList"/>
        <w:numPr>
          <w:numId w:val="902"/>
        </w:numPr>
      </w:pPr>
      <w:r>
        <w:rPr/>
        <w:t xml:space="preserve">- Select export channels extend reach.</w:t>
      </w:r>
    </w:p>
    <w:p w14:paraId="001000A7" w14:textId="001000A8">
      <w:pPr>
        <w:pStyle w:val="ParaBulletList"/>
        <w:numPr>
          <w:numId w:val="902"/>
        </w:numPr>
      </w:pPr>
      <w:r>
        <w:rPr/>
        <w:t xml:space="preserve">- Site types vary by function and scale.</w:t>
      </w:r>
    </w:p>
    <w:p w14:paraId="001000A9" w14:textId="001000AA">
      <w:pPr>
        <w:pStyle w:val="ParaSubsubsectionHeading"/>
      </w:pPr>
      <w:r>
        <w:rPr/>
        <w:t xml:space="preserve">Capacity Snapshot</w:t>
      </w:r>
    </w:p>
    <w:p w14:paraId="001000AB" w14:textId="001000AC">
      <w:pPr>
        <w:pStyle w:val="ParaHeading5"/>
      </w:pPr>
      <w:r>
        <w:rPr/>
        <w:t xml:space="preserve">Asset Base</w:t>
      </w:r>
    </w:p>
    <w:p w14:paraId="001000AD" w14:textId="001000AE">
      <w:pPr>
        <w:pStyle w:val="ParaBodyText"/>
      </w:pPr>
      <w:r>
        <w:rPr/>
        <w:t xml:space="preserve">Facilities, fleet, and network scale are summarized together so readers can see the operating base before the strategy discussion begins.</w:t>
      </w:r>
    </w:p>
    <w:p w14:paraId="001000AF" w14:textId="001000B0">
      <w:pPr>
        <w:pStyle w:val="ParaFigureCaption"/>
      </w:pPr>
      <w:r>
        <w:rPr/>
        <w:t xml:space="preserve">Figure 2 Process diagram of value creation</w:t>
      </w:r>
    </w:p>
    <w:p w14:paraId="001000B1" w14:textId="001000B2">
      <w:pPr>
        <w:spacing w:before="120" w:after="120"/>
        <w:jc w:val="center"/>
      </w:pPr>
      <w:r>
        <w:drawing>
          <wp:inline distT="0" distB="0" distL="0" distR="0">
            <wp:extent cx="5040000" cy="2520000"/>
            <wp:effectExtent l="0" t="0" r="0" b="0"/>
            <wp:docPr id="5" name="F0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F02.png"/>
                    <pic:cNvPicPr/>
                  </pic:nvPicPr>
                  <pic:blipFill>
                    <a:blip r:embed="R73f49cee59094b7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B3" w14:textId="001000B4">
      <w:pPr>
        <w:pStyle w:val="ParaSectionHeading"/>
      </w:pPr>
      <w:r>
        <w:rPr/>
        <w:t xml:space="preserve">Strategy and Priorities</w:t>
      </w:r>
    </w:p>
    <w:p w14:paraId="001000B5" w14:textId="001000B6">
      <w:pPr>
        <w:pStyle w:val="ParaSegmentNarrative"/>
      </w:pPr>
      <w:r>
        <w:rPr/>
        <w:t xml:space="preserve">Strategic priorities are presented as a short chain from growth choices to efficiency moves and capital discipline.</w:t>
      </w:r>
    </w:p>
    <w:p w14:paraId="001000B7" w14:textId="001000B8">
      <w:pPr>
        <w:pStyle w:val="ParaSubsubsectionHeading"/>
      </w:pPr>
      <w:r>
        <w:rPr/>
        <w:t xml:space="preserve">Strategic Pillars</w:t>
      </w:r>
    </w:p>
    <w:p w14:paraId="001000B9" w14:textId="001000BA">
      <w:pPr>
        <w:pStyle w:val="ParaHeading5"/>
      </w:pPr>
      <w:r>
        <w:rPr/>
        <w:t xml:space="preserve">Growth Agenda</w:t>
      </w:r>
    </w:p>
    <w:p w14:paraId="001000BB" w14:textId="001000BC">
      <w:pPr>
        <w:pStyle w:val="ParaBodyText"/>
      </w:pPr>
      <w:r>
        <w:rPr/>
        <w:t xml:space="preserve">Growth targets favor adjacent markets and selective product expansion, with investment aimed at scale that can be defended by returns.</w:t>
      </w:r>
    </w:p>
    <w:p w14:paraId="00100103" w14:textId="00100104">
      <w:pPr>
        <w:sectPr>
          <w:headerReference w:type="default" r:id="Rada93c2fbd724319"/>
          <w:footerReference w:type="default" r:id="R5484d20600824c06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0C1" w14:textId="001000C2">
      <w:pPr>
        <w:pStyle w:val="ParaChapterHeading"/>
      </w:pPr>
      <w:r>
        <w:rPr/>
        <w:t xml:space="preserve">Operating Review</w:t>
      </w:r>
    </w:p>
    <w:p w14:paraId="001000C3" w14:textId="001000C6">
      <w:pPr>
        <w:pStyle w:val="ParaSegmentNarrative"/>
      </w:pPr>
      <w:r>
        <w:rPr/>
        <w:t xml:space="preserve"/>
      </w:r>
      <w:r>
        <w:rPr>
          <w:b/>
        </w:rPr>
        <w:t xml:space="preserve">Key point:</w:t>
      </w:r>
      <w:r>
        <w:rPr/>
        <w:t xml:space="preserve"> The segment review opens with a concise bridge from revenue to cash. It keeps the focus on what changed and why, without repeating the full financial note.</w:t>
      </w:r>
    </w:p>
    <w:p w14:paraId="001000C7" w14:textId="001000C8">
      <w:pPr>
        <w:pStyle w:val="ParaSectionHeading"/>
      </w:pPr>
      <w:r>
        <w:rPr/>
        <w:t xml:space="preserve">Financial Overview</w:t>
      </w:r>
    </w:p>
    <w:p w14:paraId="001000C9" w14:textId="001000CA">
      <w:pPr>
        <w:pStyle w:val="ParaTableCaption"/>
      </w:pPr>
      <w:r>
        <w:rPr/>
        <w:t xml:space="preserve">Overview KPI table</w:t>
      </w:r>
    </w:p>
    <w:p w14:paraId="001000CB" w14:textId="001000CC">
      <w:pPr>
        <w:pStyle w:val="ParaSubsectionHeading"/>
      </w:pPr>
      <w:r>
        <w:rPr/>
        <w:t xml:space="preserve">Revenue and Margin</w:t>
      </w:r>
    </w:p>
    <w:p w14:paraId="001000CD" w14:textId="001000D4">
      <w:pPr>
        <w:pStyle w:val="ParaBodyText"/>
      </w:pPr>
      <w:r>
        <w:rPr/>
        <w:t xml:space="preserve"/>
      </w:r>
      <w:r>
        <w:rPr>
          <w:b/>
        </w:rPr>
        <w:t xml:space="preserve">Note:</w:t>
      </w:r>
      <w:r>
        <w:rPr/>
        <w:t xml:space="preserve"> </w:t>
      </w:r>
      <w:r>
        <w:rPr>
          <w:i/>
        </w:rPr>
        <w:t xml:space="preserve">operating effectiveness</w:t>
      </w:r>
      <w:r>
        <w:rPr/>
        <w:t xml:space="preserve"> improved across the quarter, and margin held steady as volume recovered. Revenue moved ahead</w:t>
      </w:r>
      <w:r>
        <w:rPr>
          <w:vertAlign w:val="superscript"/>
        </w:rPr>
        <w:t xml:space="preserve">¹</w:t>
      </w:r>
      <w:r>
        <w:rPr/>
        <w:t xml:space="preserve">, while mix and price discipline supp</w:t>
      </w:r>
    </w:p>
    <w:p w14:paraId="001000D5" w14:textId="001000D6">
      <w:pPr>
        <w:pStyle w:val="ParaSubsubsectionHeading"/>
      </w:pPr>
      <w:r>
        <w:rPr/>
        <w:t xml:space="preserve">Revenue Drivers</w:t>
      </w:r>
    </w:p>
    <w:p w14:paraId="001000D7" w14:textId="001000D8">
      <w:pPr>
        <w:pStyle w:val="ParaHeading5"/>
      </w:pPr>
      <w:r>
        <w:rPr/>
        <w:t xml:space="preserve">Organic Movement</w:t>
      </w:r>
    </w:p>
    <w:p w14:paraId="001000D9" w14:textId="001000DA">
      <w:pPr>
        <w:pStyle w:val="ParaBodyText"/>
      </w:pPr>
      <w:r>
        <w:rPr/>
        <w:t xml:space="preserve">Organic growth came from steadier demand in core accounts and improved conversion in the sales funnel. The tone stays factual and compact, matching the review s</w:t>
      </w:r>
    </w:p>
    <w:p w14:paraId="001000DB" w14:textId="001000DC">
      <w:pPr>
        <w:pStyle w:val="ParaHeading5"/>
      </w:pPr>
      <w:r>
        <w:rPr/>
        <w:t xml:space="preserve">External Movement</w:t>
      </w:r>
    </w:p>
    <w:p w14:paraId="001000DD" w14:textId="001000DE">
      <w:pPr>
        <w:pStyle w:val="ParaBulletList"/>
        <w:numPr>
          <w:numId w:val="902"/>
        </w:numPr>
      </w:pPr>
      <w:r>
        <w:rPr/>
        <w:t xml:space="preserve">Demand stayed firm in priority markets.</w:t>
      </w:r>
    </w:p>
    <w:p w14:paraId="001000DF" w14:textId="001000E0">
      <w:pPr>
        <w:pStyle w:val="ParaBulletList"/>
        <w:numPr>
          <w:numId w:val="902"/>
        </w:numPr>
      </w:pPr>
      <w:r>
        <w:rPr/>
        <w:t xml:space="preserve">Pricing remained disciplined.</w:t>
      </w:r>
    </w:p>
    <w:p w14:paraId="001000E1" w14:textId="001000E2">
      <w:pPr>
        <w:pStyle w:val="ParaBulletList"/>
        <w:numPr>
          <w:numId w:val="902"/>
        </w:numPr>
      </w:pPr>
      <w:r>
        <w:rPr/>
        <w:t xml:space="preserve">Cost recovery lagged slightly behind volume.</w:t>
      </w:r>
    </w:p>
    <w:p w14:paraId="001000E3" w14:textId="001000E4">
      <w:pPr>
        <w:spacing w:before="120" w:after="120"/>
        <w:jc w:val="center"/>
      </w:pPr>
      <w:r>
        <w:drawing>
          <wp:inline distT="0" distB="0" distL="0" distR="0">
            <wp:extent cx="4680000" cy="2880000"/>
            <wp:effectExtent l="0" t="0" r="0" b="0"/>
            <wp:docPr id="6" name="FIG-OPS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FIG-OPS.png"/>
                    <pic:cNvPicPr/>
                  </pic:nvPicPr>
                  <pic:blipFill>
                    <a:blip r:embed="R9edd35dfcf2c4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E5" w14:textId="001000E6">
      <w:pPr>
        <w:pStyle w:val="ParaFigureCaption"/>
      </w:pPr>
      <w:r>
        <w:rPr/>
        <w:t xml:space="preserve">Figure 1 Operations photo for the segment review</w:t>
      </w:r>
    </w:p>
    <w:p w14:paraId="001000E7" w14:textId="001000E8">
      <w:pPr>
        <w:pStyle w:val="ParaSubsectionHeading"/>
      </w:pPr>
      <w:r>
        <w:rPr/>
        <w:t xml:space="preserve">Segment Comparison</w:t>
      </w:r>
    </w:p>
    <w:p w14:paraId="001000E9" w14:textId="001000EA">
      <w:pPr>
        <w:pStyle w:val="ParaBodyText"/>
      </w:pPr>
      <w:r>
        <w:rPr/>
        <w:t xml:space="preserve">The comparison section contrasts scale, growth, and profitability across the merged operating segments. It is intentionally brief, so the style binding remains</w:t>
      </w:r>
    </w:p>
    <w:p w14:paraId="001000EB" w14:textId="001000EC">
      <w:pPr>
        <w:pStyle w:val="ParaSubsubsectionHeading"/>
      </w:pPr>
      <w:r>
        <w:rPr/>
        <w:t xml:space="preserve">Topline Comparison</w:t>
      </w:r>
    </w:p>
    <w:p w14:paraId="001000ED" w14:textId="001000EE">
      <w:pPr>
        <w:pStyle w:val="ParaHeading5"/>
      </w:pPr>
      <w:r>
        <w:rPr/>
        <w:t xml:space="preserve">Growth Rates</w:t>
      </w:r>
    </w:p>
    <w:p w14:paraId="001000EF" w14:textId="001000F0">
      <w:pPr>
        <w:pStyle w:val="ParaBodyText"/>
      </w:pPr>
      <w:r>
        <w:rPr/>
        <w:t xml:space="preserve">Growth stayed uneven by segment, but the overall mix remained constructive. The report language stays close to the source tone and keeps the placement compact.</w:t>
      </w:r>
    </w:p>
    <w:p w14:paraId="00100105" w14:textId="00100106">
      <w:pPr>
        <w:sectPr>
          <w:headerReference w:type="default" r:id="R2889a436eda34497"/>
          <w:footerReference w:type="default" r:id="Rb690219a399d4574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0F5" w14:textId="001000F6">
      <w:pPr>
        <w:pStyle w:val="ParaChapterHeading"/>
      </w:pPr>
      <w:r>
        <w:rPr/>
        <w:t xml:space="preserve">Governance</w:t>
      </w:r>
    </w:p>
    <w:p w14:paraId="001000F7" w14:textId="001000FA">
      <w:pPr>
        <w:pStyle w:val="ParaBodyText"/>
      </w:pPr>
      <w:r>
        <w:rPr/>
        <w:t xml:space="preserve"/>
      </w:r>
      <w:r>
        <w:rPr>
          <w:b/>
        </w:rPr>
        <w:t xml:space="preserve">Governance</w:t>
      </w:r>
      <w:r>
        <w:rPr/>
        <w:t xml:space="preserve"> oversight sets the tone for controls, conduct, and accountability. This section shows how board structure and committee work fit together.</w:t>
      </w:r>
    </w:p>
    <w:p w14:paraId="001000FB" w14:textId="001000FC">
      <w:pPr>
        <w:pStyle w:val="ParaSectionHeading"/>
      </w:pPr>
      <w:r>
        <w:rPr/>
        <w:t xml:space="preserve">Board and Leadership</w:t>
      </w:r>
    </w:p>
    <w:p w14:paraId="001000FD" w14:textId="00100100">
      <w:pPr>
        <w:pStyle w:val="ParaSegmentNarrative"/>
      </w:pPr>
      <w:r>
        <w:rPr/>
        <w:t xml:space="preserve">The board mix is designed to balance experience, </w:t>
      </w:r>
      <w:r>
        <w:rPr>
          <w:i/>
        </w:rPr>
        <w:t xml:space="preserve">independence</w:t>
      </w:r>
      <w:r>
        <w:rPr/>
        <w:t xml:space="preserve">, and operating knowledge. Leadership roles are separated clearly so oversight remains visible and</w:t>
      </w:r>
    </w:p>
    <w:p w14:paraId="00100107" w14:textId="00100108">
      <w:pPr>
        <w:spacing w:before="120" w:after="120"/>
        <w:jc w:val="center"/>
      </w:pPr>
      <w:r>
        <w:drawing>
          <wp:inline distT="0" distB="0" distL="0" distR="0">
            <wp:extent cx="3960000" cy="3240000"/>
            <wp:effectExtent l="0" t="0" r="0" b="0"/>
            <wp:docPr id="7" name="F01_7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F01_7.png"/>
                    <pic:cNvPicPr/>
                  </pic:nvPicPr>
                  <pic:blipFill>
                    <a:blip r:embed="R57684ae658ee45c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09" w14:textId="0010010A">
      <w:pPr>
        <w:pStyle w:val="ParaFigureCaption"/>
      </w:pPr>
      <w:r>
        <w:rPr/>
        <w:t xml:space="preserve">Figure 1 Executive organization chart</w:t>
      </w:r>
    </w:p>
    <w:p w14:paraId="0010010B" w14:textId="0010010C">
      <w:pPr>
        <w:pStyle w:val="ParaSubsectionHeading"/>
      </w:pPr>
      <w:r>
        <w:rPr/>
        <w:t xml:space="preserve">Board Composition</w:t>
      </w:r>
    </w:p>
    <w:p w14:paraId="0010010D" w14:textId="0010010F">
      <w:pPr>
        <w:pStyle w:val="ParaTableCaption"/>
      </w:pPr>
      <w:r>
        <w:rPr/>
        <w:t xml:space="preserve">Board roster and tenure mix</w:t>
      </w:r>
      <w:r>
        <w:rPr>
          <w:vertAlign w:val="superscript"/>
        </w:rPr>
        <w:t xml:space="preserve">1</w:t>
      </w:r>
    </w:p>
    <w:p w14:paraId="00100110" w14:textId="00100111">
      <w:pPr>
        <w:pStyle w:val="ParaNumberedList"/>
        <w:numPr>
          <w:numId w:val="910"/>
        </w:numPr>
      </w:pPr>
      <w:r>
        <w:rPr/>
        <w:t xml:space="preserve">Independent directors review strategy and risk. 2. Executive members report operating priorities and follow-up actions.</w:t>
      </w:r>
    </w:p>
    <w:p w14:paraId="00100112" w14:textId="00100113">
      <w:pPr>
        <w:pStyle w:val="ParaSubsectionHeading"/>
      </w:pPr>
      <w:r>
        <w:rPr/>
        <w:t xml:space="preserve">Committee Mandates</w:t>
      </w:r>
    </w:p>
    <w:p w14:paraId="00100114" w14:textId="00100119">
      <w:pPr>
        <w:pStyle w:val="ParaBodyText"/>
      </w:pPr>
      <w:r>
        <w:rPr/>
        <w:t xml:space="preserve"/>
      </w:r>
      <w:r>
        <w:rPr>
          <w:b/>
        </w:rPr>
        <w:t xml:space="preserve">Audit</w:t>
      </w:r>
      <w:r>
        <w:rPr/>
        <w:t xml:space="preserve">, risk, and </w:t>
      </w:r>
      <w:r>
        <w:rPr>
          <w:i/>
        </w:rPr>
        <w:t xml:space="preserve">remuneration</w:t>
      </w:r>
      <w:r>
        <w:rPr/>
        <w:t xml:space="preserve"> mandates are kept distinct, with each committee reporting on scope, decisions, and open actions. This keeps the governance trail r</w:t>
      </w:r>
    </w:p>
    <w:p w14:paraId="0010011A" w14:textId="0010011B">
      <w:pPr>
        <w:pStyle w:val="ParaSubsectionHeading"/>
      </w:pPr>
      <w:r>
        <w:rPr/>
        <w:t xml:space="preserve">Compliance Topics</w:t>
      </w:r>
    </w:p>
    <w:p w14:paraId="0010011C" w14:textId="0010011D">
      <w:pPr>
        <w:pStyle w:val="ParaSegmentNarrative"/>
      </w:pPr>
      <w:r>
        <w:rPr/>
        <w:t xml:space="preserve">Training, incident follow-up, and policy refreshes are tracked through the year. Remediation actions are assigned, reviewed, and closed out with evidence.</w:t>
      </w:r>
    </w:p>
    <w:p w14:paraId="00100168" w14:textId="00100169">
      <w:pPr>
        <w:sectPr>
          <w:headerReference w:type="default" r:id="Rcf470f6b017a4e5a"/>
          <w:footerReference w:type="default" r:id="R39709b39cf3041db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122" w14:textId="00100123">
      <w:pPr>
        <w:pStyle w:val="ParaChapterHeading"/>
      </w:pPr>
      <w:r>
        <w:rPr/>
        <w:t xml:space="preserve">Risk and Sustainability</w:t>
      </w:r>
    </w:p>
    <w:p w14:paraId="00100124" w14:textId="00100127">
      <w:pPr>
        <w:pStyle w:val="ParaBodyText"/>
      </w:pPr>
      <w:r>
        <w:rPr/>
        <w:t xml:space="preserve">The group frames risk management around material </w:t>
      </w:r>
      <w:r>
        <w:rPr>
          <w:i/>
        </w:rPr>
        <w:t xml:space="preserve">ESG</w:t>
      </w:r>
      <w:r>
        <w:rPr/>
        <w:t xml:space="preserve"> exposures, with a focus on controls, escalation, and steady disclosure discipline.</w:t>
      </w:r>
    </w:p>
    <w:p w14:paraId="00100128" w14:textId="00100129">
      <w:pPr>
        <w:pStyle w:val="ParaSectionHeading"/>
      </w:pPr>
      <w:r>
        <w:rPr/>
        <w:t xml:space="preserve">Risk Management</w:t>
      </w:r>
    </w:p>
    <w:p w14:paraId="0010012A" w14:textId="0010012D">
      <w:pPr>
        <w:pStyle w:val="ParaSegmentNarrative"/>
      </w:pPr>
      <w:r>
        <w:rPr/>
        <w:t xml:space="preserve">Governance </w:t>
      </w:r>
      <w:r>
        <w:rPr>
          <w:i/>
        </w:rPr>
        <w:t xml:space="preserve">underlying EBITDA</w:t>
      </w:r>
      <w:r>
        <w:rPr/>
        <w:t xml:space="preserve"> teams review the register regularly and track actions through named owners. The summary stays concise, but it still shows how oversight links to repo</w:t>
      </w:r>
    </w:p>
    <w:p w14:paraId="0010012E" w14:textId="0010012F">
      <w:pPr>
        <w:pStyle w:val="ParaSubsectionHeading"/>
      </w:pPr>
      <w:r>
        <w:rPr/>
        <w:t xml:space="preserve">Principal Risks</w:t>
      </w:r>
    </w:p>
    <w:p w14:paraId="00100130" w14:textId="00100131">
      <w:pPr>
        <w:pStyle w:val="ParaBulletList"/>
        <w:numPr>
          <w:numId w:val="902"/>
        </w:numPr>
      </w:pPr>
      <w:r>
        <w:rPr/>
        <w:t xml:space="preserve">Liquidity remains monitored through monthly forecasts.</w:t>
      </w:r>
    </w:p>
    <w:p w14:paraId="00100132" w14:textId="00100133">
      <w:pPr>
        <w:pStyle w:val="ParaBulletList"/>
        <w:numPr>
          <w:numId w:val="902"/>
        </w:numPr>
      </w:pPr>
      <w:r>
        <w:rPr/>
        <w:t xml:space="preserve">Supplier resilience and cyber controls stay on the action list.</w:t>
      </w:r>
    </w:p>
    <w:p w14:paraId="00100134" w14:textId="00100135">
      <w:pPr>
        <w:pStyle w:val="ParaBulletList"/>
        <w:numPr>
          <w:numId w:val="902"/>
        </w:numPr>
      </w:pPr>
      <w:r>
        <w:rPr/>
        <w:t xml:space="preserve">Climate transition assumptions are review</w:t>
      </w:r>
    </w:p>
    <w:p w14:paraId="00100136" w14:textId="00100137">
      <w:pPr>
        <w:pStyle w:val="ParaSectionHeading"/>
      </w:pPr>
      <w:r>
        <w:rPr/>
        <w:t xml:space="preserve">Environmental Progress</w:t>
      </w:r>
    </w:p>
    <w:p w14:paraId="00100138" w14:textId="00100139">
      <w:pPr>
        <w:pStyle w:val="ParaSubsectionHeading"/>
      </w:pPr>
      <w:r>
        <w:rPr/>
        <w:t xml:space="preserve">Climate and Energy</w:t>
      </w:r>
    </w:p>
    <w:p w14:paraId="0010013A" w14:textId="0010013B">
      <w:pPr>
        <w:pStyle w:val="ParaBodyText"/>
      </w:pPr>
      <w:r>
        <w:rPr/>
        <w:t xml:space="preserve">Energy use and emissions are tracked against the operating plan, with follow-up actions documented where performance moves away from target.</w:t>
      </w:r>
    </w:p>
    <w:p w14:paraId="0010013C" w14:textId="0010013F">
      <w:pPr>
        <w:pStyle w:val="ParaSourceNote"/>
      </w:pPr>
      <w:r>
        <w:rPr/>
        <w:t xml:space="preserve"/>
      </w:r>
      <w:r>
        <w:rPr>
          <w:b/>
        </w:rPr>
        <w:t xml:space="preserve">Source:</w:t>
      </w:r>
      <w:r>
        <w:rPr/>
        <w:t xml:space="preserve"> management reporting and reviewed operating metrics for FY2024.</w:t>
      </w:r>
    </w:p>
    <w:p w14:paraId="0010016A" w14:textId="0010016B">
      <w:pPr>
        <w:sectPr>
          <w:headerReference w:type="default" r:id="R36f8c85da4884c39"/>
          <w:footerReference w:type="default" r:id="R821f17cb35b1400b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144" w14:textId="00100145">
      <w:pPr>
        <w:pStyle w:val="ParaChapterHeading"/>
      </w:pPr>
      <w:r>
        <w:rPr/>
        <w:t xml:space="preserve">Financial Statements</w:t>
      </w:r>
    </w:p>
    <w:p w14:paraId="00100146" w14:textId="00100147">
      <w:pPr>
        <w:pStyle w:val="ParaSegmentNarrative"/>
      </w:pPr>
      <w:r>
        <w:rPr/>
        <w:t xml:space="preserve">This section presents the primary statements used to explain Rivermark Group's annual performance and year-end position. The specimen keeps only the core path s</w:t>
      </w:r>
    </w:p>
    <w:p w14:paraId="00100148" w14:textId="00100149">
      <w:pPr>
        <w:pStyle w:val="ParaSectionHeading"/>
      </w:pPr>
      <w:r>
        <w:rPr/>
        <w:t xml:space="preserve">Statements of Performance</w:t>
      </w:r>
    </w:p>
    <w:p w14:paraId="0010014A" w14:textId="0010014B">
      <w:pPr>
        <w:pStyle w:val="ParaSubsectionHeading"/>
      </w:pPr>
      <w:r>
        <w:rPr/>
        <w:t xml:space="preserve">Income Statement</w:t>
      </w:r>
    </w:p>
    <w:p w14:paraId="0010014C" w14:textId="0010014F">
      <w:pPr>
        <w:pStyle w:val="ParaFinancialStatementLine"/>
      </w:pPr>
      <w:r>
        <w:rPr/>
        <w:t xml:space="preserve">Revenue, costs, and profit for the year are set out below</w:t>
      </w:r>
      <w:r>
        <w:rPr>
          <w:vertAlign w:val="superscript"/>
        </w:rPr>
        <w:t xml:space="preserve">¹</w:t>
      </w:r>
      <w:r>
        <w:rPr/>
        <w:t xml:space="preserve"> to demonstrate the formal lead style that introduces a primary statement table.</w:t>
      </w:r>
    </w:p>
    <w:tbl>
      <w:tblPr>
        <w:tblW w:w="5000" w:type="pct"/>
        <w:jc w:val="center"/>
        <w:tblBorders>
          <w:top w:val="none" w:sz="4"/>
          <w:left w:val="none" w:sz="4"/>
          <w:bottom w:val="none" w:sz="4"/>
          <w:right w:val="none" w:sz="4"/>
          <w:insideH w:val="none" w:sz="4"/>
          <w:insideV w:val="non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150" w14:textId="0010016C">
            <w:pPr>
              <w:pStyle w:val="ParaTblHeaderCell"/>
            </w:pPr>
            <w:r>
              <w:t xml:space="preserve">Item</w:t>
            </w:r>
          </w:p>
        </w:tc>
        <w:tc>
          <w:tcPr>
            <w:tcBorders>
              <w:top w:val="nil"/>
              <w:left w:val="nil"/>
              <w:bottom w:val="single" w:color="auto" w:sz="12"/>
              <w:right w:val="nil"/>
            </w:tcBorders>
            <w:vAlign w:val="center"/>
          </w:tcPr>
          <w:p w14:paraId="00100152" w14:textId="0010016D">
            <w:pPr>
              <w:pStyle w:val="ParaTblHeaderCell"/>
            </w:pPr>
            <w:r>
              <w:t xml:space="preserve">FY2024</w:t>
            </w:r>
          </w:p>
        </w:tc>
        <w:tc>
          <w:tcPr>
            <w:tcBorders>
              <w:top w:val="nil"/>
              <w:left w:val="nil"/>
              <w:bottom w:val="single" w:color="auto" w:sz="12"/>
              <w:right w:val="nil"/>
            </w:tcBorders>
            <w:vAlign w:val="center"/>
          </w:tcPr>
          <w:p w14:paraId="00100154" w14:textId="0010016E">
            <w:pPr>
              <w:pStyle w:val="ParaTblHeaderCell"/>
            </w:pPr>
            <w:r>
              <w:t xml:space="preserve">FY2023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156" w14:textId="0010016F">
            <w:pPr>
              <w:pStyle w:val="ParaTblStubCell"/>
            </w:pPr>
            <w:r>
              <w:t xml:space="preserve">Revenue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158" w14:textId="00100170">
            <w:pPr>
              <w:pStyle w:val="ParaTblDataCell"/>
            </w:pPr>
            <w:r>
              <w:t xml:space="preserve">8,460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15A" w14:textId="00100171">
            <w:pPr>
              <w:pStyle w:val="ParaTblDataCell"/>
            </w:pPr>
            <w:r>
              <w:t xml:space="preserve">7,980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15C" w14:textId="00100172">
            <w:pPr>
              <w:pStyle w:val="ParaTblStubCell"/>
            </w:pPr>
            <w:r>
              <w:t xml:space="preserve">Operating profit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15E" w14:textId="00100173">
            <w:pPr>
              <w:pStyle w:val="ParaTblDataCell"/>
            </w:pPr>
            <w:r>
              <w:t xml:space="preserve">1,240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160" w14:textId="00100174">
            <w:pPr>
              <w:pStyle w:val="ParaTblDataCell"/>
            </w:pPr>
            <w:r>
              <w:t xml:space="preserve">1,110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162" w14:textId="00100175">
            <w:pPr>
              <w:pStyle w:val="ParaTblStubCell"/>
            </w:pPr>
            <w:r>
              <w:t xml:space="preserve">Profit for the year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164" w14:textId="00100176">
            <w:pPr>
              <w:pStyle w:val="ParaTblDataCell"/>
            </w:pPr>
            <w:r>
              <w:t xml:space="preserve">920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00166" w14:textId="00100177">
            <w:pPr>
              <w:pStyle w:val="ParaTblDataCell"/>
            </w:pPr>
            <w:r>
              <w:t xml:space="preserve">845</w:t>
            </w:r>
          </w:p>
        </w:tc>
      </w:tr>
    </w:tbl>
    <w:p w14:paraId="00100178" w14:textId="00100179">
      <w:pPr>
        <w:pStyle w:val="ParaTableCaption"/>
      </w:pPr>
      <w:r>
        <w:rPr/>
        <w:t xml:space="preserve">Table 1 Income statement summary</w:t>
      </w:r>
    </w:p>
    <w:p w14:paraId="0010017A" w14:textId="0010017C">
      <w:pPr>
        <w:pStyle w:val="ParaDisclosureNote"/>
      </w:pPr>
      <w:r>
        <w:rPr/>
        <w:t xml:space="preserve">Other comprehensive income and financing-related movements are supported by notes that sit close to the statements. This paragraph shows the denser disclosure t</w:t>
      </w:r>
      <w:r>
        <w:rPr>
          <w:vertAlign w:val="superscript"/>
        </w:rPr>
        <w:t xml:space="preserve">1</w:t>
      </w:r>
    </w:p>
    <w:p w14:paraId="001001AD" w14:textId="001001AE">
      <w:pPr>
        <w:sectPr>
          <w:headerReference w:type="default" r:id="R77eb3e68d14b4cc2"/>
          <w:footerReference w:type="default" r:id="Rda122c099cb84829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181" w14:textId="00100182">
      <w:pPr>
        <w:pStyle w:val="ParaChapterHeading"/>
      </w:pPr>
      <w:r>
        <w:rPr/>
        <w:t xml:space="preserve">Notes to Financials</w:t>
      </w:r>
    </w:p>
    <w:p w14:paraId="00100183" w14:textId="00100184">
      <w:pPr>
        <w:pStyle w:val="ParaSegmentNarrative"/>
      </w:pPr>
      <w:r>
        <w:rPr/>
        <w:t xml:space="preserve">This section explains the note structure and the main judgments behind the numbers. It keeps the accounting story close to the schedules that support it.</w:t>
      </w:r>
    </w:p>
    <w:p w14:paraId="00100185" w14:textId="00100186">
      <w:pPr>
        <w:pStyle w:val="ParaSectionHeading"/>
      </w:pPr>
      <w:r>
        <w:rPr/>
        <w:t xml:space="preserve">Reporting Basis</w:t>
      </w:r>
    </w:p>
    <w:p w14:paraId="00100187" w14:textId="00100188">
      <w:pPr>
        <w:pStyle w:val="ParaSubsectionHeading"/>
      </w:pPr>
      <w:r>
        <w:rPr/>
        <w:t xml:space="preserve">Accounting Policies</w:t>
      </w:r>
    </w:p>
    <w:p w14:paraId="00100189" w14:textId="0010018E">
      <w:pPr>
        <w:pStyle w:val="ParaDisclosureNote"/>
      </w:pPr>
      <w:r>
        <w:rPr/>
        <w:t xml:space="preserve"/>
      </w:r>
      <w:r>
        <w:rPr>
          <w:b/>
        </w:rPr>
        <w:t xml:space="preserve">Note:</w:t>
      </w:r>
      <w:r>
        <w:rPr/>
        <w:t xml:space="preserve"> Policies were applied consistently except where new guidance became effective. Revenue is recognized on transfer of control</w:t>
      </w:r>
      <w:r>
        <w:rPr>
          <w:vertAlign w:val="superscript"/>
        </w:rPr>
        <w:t xml:space="preserve">¹</w:t>
      </w:r>
      <w:r>
        <w:rPr/>
        <w:t xml:space="preserve"> and estimates are updated at</w:t>
      </w:r>
    </w:p>
    <w:p w14:paraId="0010018F" w14:textId="00100190">
      <w:pPr>
        <w:pStyle w:val="ParaSubsubsectionHeading"/>
      </w:pPr>
      <w:r>
        <w:rPr/>
        <w:t xml:space="preserve">Measurement Bases</w:t>
      </w:r>
    </w:p>
    <w:p w14:paraId="00100191" w14:textId="00100192">
      <w:pPr>
        <w:pStyle w:val="ParaBodyText"/>
      </w:pPr>
      <w:r>
        <w:rPr/>
        <w:t xml:space="preserve">Measurement uses historical cost unless a policy requires fair value. Material estimates are revisited when market inputs or contract terms change.</w:t>
      </w:r>
    </w:p>
    <w:p w14:paraId="00100193" w14:textId="00100194">
      <w:pPr>
        <w:pStyle w:val="ParaHeading5"/>
      </w:pPr>
      <w:r>
        <w:rPr/>
        <w:t xml:space="preserve">General Bases</w:t>
      </w:r>
    </w:p>
    <w:p w14:paraId="00100195" w14:textId="00100196">
      <w:pPr>
        <w:pStyle w:val="ParaNumberedList"/>
        <w:numPr>
          <w:numId w:val="911"/>
        </w:numPr>
      </w:pPr>
      <w:r>
        <w:rPr/>
        <w:t xml:space="preserve">Apply the policy basis consistently across periods.</w:t>
      </w:r>
    </w:p>
    <w:p w14:paraId="00100197" w14:textId="00100198">
      <w:pPr>
        <w:pStyle w:val="ParaNumberedList"/>
        <w:numPr>
          <w:numId w:val="911"/>
        </w:numPr>
      </w:pPr>
      <w:r>
        <w:rPr/>
        <w:t xml:space="preserve">2. Reassess judgments when facts change or new guidance is adopted.</w:t>
      </w:r>
    </w:p>
    <w:p w14:paraId="00100199" w14:textId="0010019A">
      <w:pPr>
        <w:pStyle w:val="ParaTableCaption"/>
      </w:pPr>
      <w:r>
        <w:rPr/>
        <w:t xml:space="preserve">Scope and segment schedule</w:t>
      </w:r>
    </w:p>
    <w:tbl>
      <w:tblPr>
        <w:tblW w:w="5000" w:type="pct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fill="E7E6E6"/>
            <w:vAlign w:val="center"/>
          </w:tcPr>
          <w:p w14:paraId="0010019B" w14:textId="001001AF">
            <w:pPr>
              <w:pStyle w:val="ParaTblHeaderCell"/>
            </w:pPr>
            <w:r>
              <w:t xml:space="preserve">Item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fill="E7E6E6"/>
            <w:vAlign w:val="center"/>
          </w:tcPr>
          <w:p w14:paraId="0010019D" w14:textId="001001B0">
            <w:pPr>
              <w:pStyle w:val="ParaTblHeaderCell"/>
            </w:pPr>
            <w:r>
              <w:t xml:space="preserve">Current period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fill="E7E6E6"/>
            <w:vAlign w:val="center"/>
          </w:tcPr>
          <w:p w14:paraId="0010019F" w14:textId="001001B1">
            <w:pPr>
              <w:pStyle w:val="ParaTblHeaderCell"/>
            </w:pPr>
            <w:r>
              <w:t xml:space="preserve">Prior period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top"/>
          </w:tcPr>
          <w:p w14:paraId="001001A1" w14:textId="001001B2">
            <w:pPr>
              <w:pStyle w:val="ParaTblStubCell"/>
            </w:pPr>
            <w:r>
              <w:t xml:space="preserve">Scope entities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A3" w14:textId="001001B3">
            <w:pPr>
              <w:pStyle w:val="ParaTblDataCell"/>
            </w:pPr>
            <w:r>
              <w:t xml:space="preserve">12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A5" w14:textId="001001B4">
            <w:pPr>
              <w:pStyle w:val="ParaTblDataCell"/>
            </w:pPr>
            <w:r>
              <w:t xml:space="preserve">11</w:t>
            </w:r>
          </w:p>
        </w:tc>
      </w:tr>
      <w:tr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top"/>
          </w:tcPr>
          <w:p w14:paraId="001001A7" w14:textId="001001B5">
            <w:pPr>
              <w:pStyle w:val="ParaTblStubCell"/>
            </w:pPr>
            <w:r>
              <w:t xml:space="preserve">Reportable segments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A9" w14:textId="001001B6">
            <w:pPr>
              <w:pStyle w:val="ParaTblDataCell"/>
            </w:pPr>
            <w:r>
              <w:t xml:space="preserve">3</w:t>
            </w:r>
          </w:p>
        </w:tc>
        <w:tc>
          <w:tcPr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 w14:paraId="001001AB" w14:textId="001001B7">
            <w:pPr>
              <w:pStyle w:val="ParaTblDataCell"/>
            </w:pPr>
            <w:r>
              <w:t xml:space="preserve">3</w:t>
            </w:r>
          </w:p>
        </w:tc>
      </w:tr>
    </w:tbl>
    <w:p w14:paraId="001001DD" w14:textId="001001DE">
      <w:pPr>
        <w:sectPr>
          <w:headerReference w:type="default" r:id="R91a09dfd93ac4c96"/>
          <w:footerReference w:type="default" r:id="R93efffe3508240de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1BC" w14:textId="001001BD">
      <w:pPr>
        <w:pStyle w:val="ParaAnnexHeading"/>
      </w:pPr>
      <w:r>
        <w:rPr/>
        <w:t xml:space="preserve">Glossary and Contact</w:t>
      </w:r>
    </w:p>
    <w:p w14:paraId="001001BE" w14:textId="001001C4">
      <w:pPr>
        <w:pStyle w:val="ParaBodyText"/>
      </w:pPr>
      <w:r>
        <w:rPr/>
        <w:t xml:space="preserve"/>
      </w:r>
      <w:r>
        <w:rPr>
          <w:b/>
        </w:rPr>
        <w:t xml:space="preserve">Overall conclusion:</w:t>
      </w:r>
      <w:r>
        <w:rPr/>
        <w:t xml:space="preserve"> This annex defines key report terms and provides contact details for follow-up questions. The term </w:t>
      </w:r>
      <w:r>
        <w:rPr>
          <w:i/>
        </w:rPr>
        <w:t xml:space="preserve">operating effectiveness</w:t>
      </w:r>
      <w:r>
        <w:rPr/>
        <w:t xml:space="preserve"> is used consisten</w:t>
      </w:r>
      <w:r>
        <w:rPr>
          <w:vertAlign w:val="superscript"/>
        </w:rPr>
        <w:t xml:space="preserve">1</w:t>
      </w:r>
    </w:p>
    <w:p w14:paraId="001001C5" w14:textId="001001C9">
      <w:pPr>
        <w:pStyle w:val="ParaSourceNote"/>
      </w:pPr>
      <w:r>
        <w:rPr/>
        <w:t xml:space="preserve"/>
      </w:r>
      <w:r>
        <w:rPr>
          <w:b/>
        </w:rPr>
        <w:t xml:space="preserve">Source note:</w:t>
      </w:r>
      <w:r>
        <w:rPr/>
        <w:t xml:space="preserve"> Definitions follow the reporting basis used in this annual report.</w:t>
      </w:r>
      <w:r>
        <w:rPr>
          <w:vertAlign w:val="superscript"/>
        </w:rPr>
        <w:t xml:space="preserve">¹</w:t>
      </w:r>
    </w:p>
    <w:p w14:paraId="001001DF" w14:textId="001001E0">
      <w:pPr>
        <w:sectPr>
          <w:headerReference w:type="default" r:id="R8df36242962c4948"/>
          <w:footerReference w:type="default" r:id="R2db580aec9014f1c"/>
          <w:type w:val="nextPage"/>
          <w:pgSz w:w="11906" w:h="16838" w:orient="portrait"/>
          <w:pgMar w:top="1417" w:right="1417" w:bottom="1417" w:left="1701"/>
          <w:pgNumType w:fmt="decimal"/>
          <w:cols w:num="1"/>
        </w:sectPr>
      </w:pPr>
    </w:p>
    <w:p w14:paraId="001001CE" w14:textId="001001CF">
      <w:pPr>
        <w:pStyle w:val="ParaAnnexHeading"/>
      </w:pPr>
      <w:r>
        <w:rPr/>
        <w:t xml:space="preserve">Legal Notice</w:t>
      </w:r>
    </w:p>
    <w:p w14:paraId="001001D0" w14:textId="001001D5">
      <w:pPr>
        <w:pStyle w:val="ParaLegalNotice"/>
      </w:pPr>
      <w:r>
        <w:rPr/>
        <w:t xml:space="preserve"/>
      </w:r>
      <w:r>
        <w:rPr>
          <w:b/>
        </w:rPr>
        <w:t xml:space="preserve">Note:</w:t>
      </w:r>
      <w:r>
        <w:rPr/>
        <w:t xml:space="preserve"> This report includes forward-looking statements about future performance and market conditions. Any references to </w:t>
      </w:r>
      <w:r>
        <w:rPr>
          <w:i/>
        </w:rPr>
        <w:t xml:space="preserve">operating effectiveness</w:t>
      </w:r>
      <w:r>
        <w:rPr/>
        <w:t xml:space="preserve"> are based on cur</w:t>
      </w:r>
    </w:p>
    <w:p w14:paraId="001001D6" w14:textId="001001D8">
      <w:pPr>
        <w:pStyle w:val="ParaLegalNotice"/>
      </w:pPr>
      <w:r>
        <w:rPr/>
        <w:t xml:space="preserve">The group accepts no duty to update such statements except as required by law. Readers should treat estimates as subject to revision and compare them with the r</w:t>
      </w:r>
      <w:r>
        <w:rPr>
          <w:vertAlign w:val="superscript"/>
        </w:rPr>
        <w:t xml:space="preserve">1</w:t>
      </w:r>
    </w:p>
    <w:sectPr>
      <w:headerReference w:type="default" r:id="Rc8f36aec911a4086"/>
      <w:footerReference w:type="default" r:id="R3b456118a0a24919"/>
      <w:type w:val="nextPage"/>
      <w:pgSz w:w="11906" w:h="16838" w:orient="portrait"/>
      <w:pgMar w:top="1417" w:right="1417" w:bottom="1417" w:left="1701"/>
      <w:pgNumType w:fmt="decimal"/>
      <w:cols w:equalWidth="true" w:space="720" w:num="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28" w14:textId="00100029">
    <w:pPr>
      <w:jc w:val="center"/>
    </w:pPr>
    <w:r>
      <w:rPr>
        <w:color w:val="B0B0B0"/>
        <w:sz w:val="18"/>
      </w:rP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3C" w14:textId="0010003D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</w:p>
</w:ftr>
</file>

<file path=word/footer3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4A" w14:textId="0010004B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</w:p>
</w:ftr>
</file>

<file path=word/footer4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83" w14:textId="00100084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</w:p>
</w:ftr>
</file>

<file path=word/footer5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F" w14:textId="001000C0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</w:p>
</w:ftr>
</file>

<file path=word/footer6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F3" w14:textId="001000F4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</w:p>
</w:ftr>
</file>

<file path=word/footer7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20" w14:textId="00100121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</w:p>
</w:ftr>
</file>

<file path=word/footer8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42" w14:textId="00100143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</w:p>
</w:ftr>
</file>

<file path=word/footer9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7F" w14:textId="00100180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</w:p>
</w:ftr>
</file>

<file path=word/footer10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BA" w14:textId="001001BB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 xml:space="preserve">1</w:t>
    </w:r>
    <w:r>
      <w:rPr>
        <w:color w:val="666666"/>
        <w:sz w:val="18"/>
      </w:rPr>
      <w:fldChar w:fldCharType="end"/>
    </w:r>
  </w:p>
</w:ftr>
</file>

<file path=word/footer1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CC" w14:textId="001001CD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</w:p>
</w:ftr>
</file>

<file path=word/footer1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DB" w14:textId="001001DC"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 xml:space="preserve">1</w:t>
    </w:r>
    <w:r>
      <w:rPr>
        <w:color w:val="808080"/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26" w14:textId="00100027">
    <w:pPr>
      <w:jc w:val="center"/>
    </w:pPr>
    <w:r>
      <w:rPr>
        <w:color w:val="B0B0B0"/>
        <w:sz w:val="18"/>
      </w:rPr>
      <w:t xml:space="preserve"/>
    </w:r>
  </w:p>
</w:hdr>
</file>

<file path=word/header2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2A" w14:textId="0010002B">
    <w:pPr>
      <w:jc w:val="center"/>
    </w:pPr>
    <w:r>
      <w:rPr>
        <w:color w:val="B0B0B0"/>
        <w:sz w:val="18"/>
      </w:rPr>
      <w:t xml:space="preserve"/>
    </w:r>
  </w:p>
</w:hdr>
</file>

<file path=word/header3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3A" w14:textId="0010003B">
    <w:pPr>
      <w:jc w:val="center"/>
    </w:pPr>
    <w:r>
      <w:rPr>
        <w:color w:val="A0A0A0"/>
        <w:sz w:val="18"/>
      </w:rPr>
      <w:t xml:space="preserve">Rivermark Group Annual Report</w:t>
    </w:r>
  </w:p>
</w:hdr>
</file>

<file path=word/header4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48" w14:textId="00100049">
    <w:pPr>
      <w:jc w:val="center"/>
    </w:pPr>
    <w:r>
      <w:rPr>
        <w:color w:val="808080"/>
        <w:sz w:val="18"/>
      </w:rPr>
      <w:t xml:space="preserve">Chair and CEO Message</w:t>
    </w:r>
  </w:p>
</w:hdr>
</file>

<file path=word/header5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81" w14:textId="00100082">
    <w:pPr>
      <w:jc w:val="center"/>
    </w:pPr>
    <w:r>
      <w:rPr>
        <w:color w:val="808080"/>
        <w:sz w:val="18"/>
      </w:rPr>
      <w:t xml:space="preserve">Annual Highlights</w:t>
    </w:r>
  </w:p>
</w:hdr>
</file>

<file path=word/header6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BD" w14:textId="001000BE">
    <w:pPr>
      <w:jc w:val="center"/>
    </w:pPr>
    <w:r>
      <w:rPr>
        <w:color w:val="666666"/>
        <w:sz w:val="18"/>
      </w:rPr>
      <w:t xml:space="preserve">Rivermark Group Annual Report</w:t>
    </w:r>
  </w:p>
</w:hdr>
</file>

<file path=word/header7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F1" w14:textId="001000F2">
    <w:pPr>
      <w:jc w:val="center"/>
    </w:pPr>
    <w:r>
      <w:rPr>
        <w:color w:val="666666"/>
        <w:sz w:val="18"/>
      </w:rPr>
      <w:t xml:space="preserve">Segment Review</w:t>
    </w:r>
  </w:p>
</w:hdr>
</file>

<file path=word/header8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1E" w14:textId="0010011F">
    <w:pPr>
      <w:jc w:val="center"/>
    </w:pPr>
    <w:r>
      <w:rPr>
        <w:color w:val="666666"/>
        <w:sz w:val="18"/>
      </w:rPr>
      <w:t xml:space="preserve">Governance and Leadership</w:t>
    </w:r>
  </w:p>
</w:hdr>
</file>

<file path=word/header9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40" w14:textId="00100141">
    <w:pPr>
      <w:jc w:val="center"/>
    </w:pPr>
    <w:r>
      <w:rPr>
        <w:color w:val="666666"/>
        <w:sz w:val="18"/>
      </w:rPr>
      <w:t xml:space="preserve">Risk and Sustainability</w:t>
    </w:r>
  </w:p>
</w:hdr>
</file>

<file path=word/header10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7D" w14:textId="0010017E">
    <w:pPr>
      <w:jc w:val="center"/>
    </w:pPr>
    <w:r>
      <w:rPr>
        <w:color w:val="666666"/>
        <w:sz w:val="18"/>
      </w:rPr>
      <w:t xml:space="preserve">Financial Statements</w:t>
    </w:r>
  </w:p>
</w:hdr>
</file>

<file path=word/header1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B8" w14:textId="001001B9">
    <w:pPr>
      <w:jc w:val="center"/>
    </w:pPr>
    <w:r>
      <w:rPr>
        <w:color w:val="666666"/>
        <w:sz w:val="18"/>
      </w:rPr>
      <w:t xml:space="preserve">Notes to the Financial Statements</w:t>
    </w:r>
  </w:p>
</w:hdr>
</file>

<file path=word/header12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CA" w14:textId="001001CB">
    <w:pPr>
      <w:jc w:val="center"/>
    </w:pPr>
    <w:r>
      <w:rPr>
        <w:color w:val="808080"/>
        <w:sz w:val="18"/>
      </w:rPr>
      <w:t xml:space="preserve">Appendix</w:t>
    </w:r>
  </w:p>
</w:hdr>
</file>

<file path=word/header13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D9" w14:textId="001001DA">
    <w:pPr>
      <w:jc w:val="center"/>
    </w:pPr>
    <w:r>
      <w:rPr>
        <w:color w:val="A0A0A0"/>
        <w:sz w:val="18"/>
      </w:rPr>
      <w:t xml:space="preserve">Legal Notice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902">
    <w:abstractNumId w:val="0"/>
    <w:lvlOverride w:ilvl="0">
      <w:startOverride w:val="1"/>
    </w:lvlOverride>
  </w:num>
  <w:num w:numId="910">
    <w:abstractNumId w:val="1"/>
    <w:lvlOverride w:ilvl="0">
      <w:startOverride w:val="1"/>
    </w:lvlOverride>
  </w:num>
  <w:num w:numId="91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ParaAnnexHeading" w:customStyle="true">
    <w:name w:val="Annex heading"/>
    <w:basedOn w:val="Normal"/>
    <w:pPr>
      <w:spacing w:before="480" w:after="240"/>
      <w:outlineLvl xmlns:w="http://schemas.openxmlformats.org/wordprocessingml/2006/main" w:val="5"/>
    </w:pPr>
    <w:rPr>
      <w:b/>
      <w:sz w:val="28"/>
    </w:rPr>
  </w:style>
  <w:style w:type="paragraph" w:styleId="ParaTableCaption" w:customStyle="true">
    <w:name w:val="Table caption"/>
    <w:basedOn w:val="Normal"/>
    <w:pPr>
      <w:spacing w:before="240" w:after="120"/>
      <w:jc w:val="center"/>
    </w:pPr>
    <w:rPr>
      <w:sz w:val="21"/>
    </w:rPr>
  </w:style>
  <w:style w:type="paragraph" w:styleId="ParaFinancialStatementLine" w:customStyle="true">
    <w:name w:val="Financial statement lead"/>
    <w:basedOn w:val="Normal"/>
    <w:pPr>
      <w:spacing w:before="240" w:after="120"/>
      <w:jc w:val="left"/>
    </w:pPr>
    <w:rPr>
      <w:b/>
      <w:sz w:val="21"/>
    </w:rPr>
  </w:style>
  <w:style w:type="paragraph" w:styleId="ParaTocEntryL2" w:customStyle="true">
    <w:name w:val="TOC entry level 2"/>
    <w:basedOn w:val="Normal"/>
    <w:pPr>
      <w:spacing w:after="60"/>
      <w:jc w:val="left"/>
    </w:pPr>
    <w:rPr>
      <w:sz w:val="21"/>
    </w:rPr>
  </w:style>
  <w:style w:type="paragraph" w:styleId="ParaHeading5" w:customStyle="true">
    <w:name w:val="Heading 5"/>
    <w:basedOn w:val="Normal"/>
    <w:pPr>
      <w:spacing w:before="120" w:after="60"/>
      <w:jc w:val="left"/>
      <w:outlineLvl xmlns:w="http://schemas.openxmlformats.org/wordprocessingml/2006/main" w:val="4"/>
    </w:pPr>
    <w:rPr>
      <w:rFonts w:ascii="Arial" w:hAnsi="Arial"/>
      <w:b/>
      <w:sz w:val="21"/>
    </w:rPr>
  </w:style>
  <w:style w:type="paragraph" w:styleId="ParaTblHeaderCell" w:customStyle="true">
    <w:name w:val="Header cell"/>
    <w:basedOn w:val="Normal"/>
    <w:pPr>
      <w:jc w:val="center"/>
    </w:pPr>
    <w:rPr>
      <w:b/>
      <w:sz w:val="21"/>
    </w:rPr>
  </w:style>
  <w:style w:type="paragraph" w:styleId="ParaCoverTitle" w:customStyle="true">
    <w:name w:val="Cover title"/>
    <w:basedOn w:val="Normal"/>
    <w:pPr>
      <w:spacing w:after="480"/>
      <w:jc w:val="center"/>
    </w:pPr>
    <w:rPr>
      <w:rFonts w:ascii="Garamond" w:hAnsi="Garamond" w:eastAsia="Heiti/SimHei"/>
      <w:b/>
      <w:sz w:val="44"/>
    </w:rPr>
  </w:style>
  <w:style w:type="paragraph" w:styleId="ParaTblStubCell" w:customStyle="true">
    <w:name w:val="Stub cell"/>
    <w:basedOn w:val="Normal"/>
    <w:pPr>
      <w:jc w:val="left"/>
    </w:pPr>
    <w:rPr>
      <w:sz w:val="21"/>
    </w:rPr>
  </w:style>
  <w:style w:type="paragraph" w:styleId="ParaLegalNotice" w:customStyle="true">
    <w:name w:val="Legal notice paragraph"/>
    <w:basedOn w:val="Normal"/>
    <w:pPr>
      <w:spacing w:after="120" w:line="276" w:lineRule="auto"/>
      <w:jc w:val="both"/>
    </w:pPr>
    <w:rPr>
      <w:sz w:val="21"/>
    </w:rPr>
  </w:style>
  <w:style w:type="paragraph" w:styleId="ParaHighlightLead" w:customStyle="true">
    <w:name w:val="Highlight lead"/>
    <w:basedOn w:val="Normal"/>
    <w:pPr>
      <w:spacing w:after="240"/>
      <w:jc w:val="left"/>
    </w:pPr>
    <w:rPr>
      <w:b/>
      <w:sz w:val="28"/>
    </w:rPr>
  </w:style>
  <w:style w:type="paragraph" w:styleId="ParaSubsectionHeading" w:customStyle="true">
    <w:name w:val="Heading 3"/>
    <w:basedOn w:val="Normal"/>
    <w:pPr>
      <w:spacing w:before="240" w:after="120"/>
      <w:outlineLvl xmlns:w="http://schemas.openxmlformats.org/wordprocessingml/2006/main" w:val="2"/>
    </w:pPr>
    <w:rPr>
      <w:b/>
      <w:sz w:val="24"/>
    </w:rPr>
  </w:style>
  <w:style w:type="paragraph" w:styleId="ParaTocEntryL1" w:customStyle="true">
    <w:name w:val="TOC entry level 1"/>
    <w:basedOn w:val="Normal"/>
    <w:pPr>
      <w:spacing w:before="120" w:after="120"/>
      <w:jc w:val="left"/>
    </w:pPr>
    <w:rPr>
      <w:sz w:val="24"/>
    </w:rPr>
  </w:style>
  <w:style w:type="paragraph" w:styleId="ParaSubsubsectionHeading" w:customStyle="true">
    <w:name w:val="Heading 4"/>
    <w:basedOn w:val="Normal"/>
    <w:pPr>
      <w:spacing w:before="180" w:after="60"/>
      <w:outlineLvl xmlns:w="http://schemas.openxmlformats.org/wordprocessingml/2006/main" w:val="3"/>
    </w:pPr>
    <w:rPr>
      <w:b/>
      <w:sz w:val="21"/>
    </w:rPr>
  </w:style>
  <w:style w:type="paragraph" w:styleId="ParaSegmentNarrative" w:customStyle="true">
    <w:name w:val="Segment narrative"/>
    <w:basedOn w:val="Normal"/>
    <w:pPr>
      <w:spacing w:after="120" w:line="360" w:lineRule="auto"/>
      <w:ind w:firstLine="720"/>
      <w:jc w:val="left"/>
    </w:pPr>
    <w:rPr>
      <w:sz w:val="21"/>
    </w:rPr>
  </w:style>
  <w:style w:type="paragraph" w:styleId="ParaNumberedList" w:customStyle="true">
    <w:name w:val="Numbered list"/>
    <w:basedOn w:val="Normal"/>
    <w:pPr>
      <w:spacing w:after="120" w:line="276" w:lineRule="auto"/>
    </w:pPr>
    <w:rPr>
      <w:sz w:val="24"/>
    </w:rPr>
  </w:style>
  <w:style w:type="paragraph" w:styleId="ParaBodyText" w:customStyle="true">
    <w:name w:val="Body text"/>
    <w:basedOn w:val="Normal"/>
    <w:pPr>
      <w:spacing w:after="240" w:line="276" w:lineRule="auto"/>
      <w:ind w:firstLine="720"/>
      <w:jc w:val="both"/>
    </w:pPr>
    <w:rPr>
      <w:sz w:val="24"/>
    </w:rPr>
  </w:style>
  <w:style w:type="paragraph" w:styleId="ParaSourceNote" w:customStyle="true">
    <w:name w:val="Source note"/>
    <w:basedOn w:val="Normal"/>
    <w:pPr>
      <w:spacing w:before="60" w:after="120"/>
      <w:jc w:val="left"/>
    </w:pPr>
    <w:rPr>
      <w:sz w:val="21"/>
    </w:rPr>
  </w:style>
  <w:style w:type="paragraph" w:styleId="ParaDisclosureNote" w:customStyle="true">
    <w:name w:val="Disclosure note paragraph"/>
    <w:basedOn w:val="Normal"/>
    <w:pPr>
      <w:spacing w:after="120" w:line="360" w:lineRule="exact"/>
      <w:ind w:hanging="360"/>
      <w:jc w:val="both"/>
    </w:pPr>
    <w:rPr>
      <w:sz w:val="21"/>
    </w:rPr>
  </w:style>
  <w:style w:type="paragraph" w:styleId="ParaLetterBody" w:customStyle="true">
    <w:name w:val="Letter body"/>
    <w:basedOn w:val="Normal"/>
    <w:pPr>
      <w:spacing w:after="240" w:line="360" w:lineRule="auto"/>
      <w:ind w:firstLine="720"/>
      <w:jc w:val="both"/>
    </w:pPr>
    <w:rPr>
      <w:sz w:val="24"/>
    </w:rPr>
  </w:style>
  <w:style w:type="paragraph" w:styleId="ParaSectionHeading" w:customStyle="true">
    <w:name w:val="Heading 2"/>
    <w:basedOn w:val="Normal"/>
    <w:pPr>
      <w:spacing w:before="360" w:after="180"/>
      <w:outlineLvl xmlns:w="http://schemas.openxmlformats.org/wordprocessingml/2006/main" w:val="1"/>
    </w:pPr>
    <w:rPr>
      <w:b/>
      <w:sz w:val="28"/>
    </w:rPr>
  </w:style>
  <w:style w:type="paragraph" w:styleId="ParaChapterHeading" w:customStyle="true">
    <w:name w:val="Heading 1"/>
    <w:basedOn w:val="Normal"/>
    <w:pPr>
      <w:spacing w:before="480" w:after="240"/>
      <w:outlineLvl xmlns:w="http://schemas.openxmlformats.org/wordprocessingml/2006/main" w:val="0"/>
    </w:pPr>
    <w:rPr>
      <w:b/>
      <w:sz w:val="32"/>
    </w:rPr>
  </w:style>
  <w:style w:type="paragraph" w:styleId="ParaTblDataCell" w:customStyle="true">
    <w:name w:val="Data cell"/>
    <w:basedOn w:val="Normal"/>
    <w:pPr>
      <w:jc w:val="center"/>
    </w:pPr>
    <w:rPr>
      <w:sz w:val="21"/>
    </w:rPr>
  </w:style>
  <w:style w:type="paragraph" w:styleId="ParaFigureCaption" w:customStyle="true">
    <w:name w:val="Figure caption"/>
    <w:basedOn w:val="Normal"/>
    <w:pPr>
      <w:spacing w:before="120" w:after="240"/>
      <w:jc w:val="center"/>
    </w:pPr>
    <w:rPr>
      <w:sz w:val="21"/>
    </w:rPr>
  </w:style>
  <w:style w:type="paragraph" w:styleId="ParaBulletList" w:customStyle="true">
    <w:name w:val="Bulleted list"/>
    <w:basedOn w:val="Normal"/>
    <w:pPr>
      <w:spacing w:after="120" w:line="276" w:lineRule="auto"/>
    </w:pPr>
    <w:rPr>
      <w:sz w:val="24"/>
    </w:rPr>
  </w:style>
  <w:style w:type="paragraph" w:styleId="ParaContentsTitle" w:customStyle="true">
    <w:name w:val="Contents title"/>
    <w:basedOn w:val="Normal"/>
    <w:pPr>
      <w:spacing w:after="360"/>
      <w:jc w:val="center"/>
    </w:pPr>
    <w:rPr>
      <w:b/>
      <w:sz w:val="3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b129c2618944be7" /><Relationship Type="http://schemas.openxmlformats.org/officeDocument/2006/relationships/styles" Target="/word/styles.xml" Id="R9e2d45701ba9484d" /><Relationship Type="http://schemas.openxmlformats.org/officeDocument/2006/relationships/theme" Target="/word/theme/theme1.xml" Id="Rb0c27b19fcde41ec" /><Relationship Type="http://schemas.openxmlformats.org/officeDocument/2006/relationships/numbering" Target="/word/numbering.xml" Id="R546b76f70c674483" /><Relationship Type="http://schemas.openxmlformats.org/officeDocument/2006/relationships/image" Target="/media/image.png" Id="R5ddbbbedfa6840fc" /><Relationship Type="http://schemas.openxmlformats.org/officeDocument/2006/relationships/header" Target="/word/header1.xml" Id="R2324417332ef40a5" /><Relationship Type="http://schemas.openxmlformats.org/officeDocument/2006/relationships/footer" Target="/word/footer1.xml" Id="R1aed2e0e129e435a" /><Relationship Type="http://schemas.openxmlformats.org/officeDocument/2006/relationships/header" Target="/word/header2.xml" Id="R5c1c2197fd164771" /><Relationship Type="http://schemas.openxmlformats.org/officeDocument/2006/relationships/header" Target="/word/header3.xml" Id="R4a901b7b3fae487c" /><Relationship Type="http://schemas.openxmlformats.org/officeDocument/2006/relationships/footer" Target="/word/footer2.xml" Id="R4bc74ab6aebe4914" /><Relationship Type="http://schemas.openxmlformats.org/officeDocument/2006/relationships/image" Target="/media/image2.png" Id="Rfbbabcef11be4165" /><Relationship Type="http://schemas.openxmlformats.org/officeDocument/2006/relationships/header" Target="/word/header4.xml" Id="R8ac31b6ad9e94c32" /><Relationship Type="http://schemas.openxmlformats.org/officeDocument/2006/relationships/footer" Target="/word/footer3.xml" Id="R24f36ce107db40a4" /><Relationship Type="http://schemas.openxmlformats.org/officeDocument/2006/relationships/image" Target="/media/image3.png" Id="Rfcbd853fb5db41cc" /><Relationship Type="http://schemas.openxmlformats.org/officeDocument/2006/relationships/header" Target="/word/header5.xml" Id="R16536147b2d94ae8" /><Relationship Type="http://schemas.openxmlformats.org/officeDocument/2006/relationships/footer" Target="/word/footer4.xml" Id="Rb3c8eecf8a384839" /><Relationship Type="http://schemas.openxmlformats.org/officeDocument/2006/relationships/image" Target="/media/image4.png" Id="R166c57c4613147b3" /><Relationship Type="http://schemas.openxmlformats.org/officeDocument/2006/relationships/image" Target="/media/image5.png" Id="R73f49cee59094b7c" /><Relationship Type="http://schemas.openxmlformats.org/officeDocument/2006/relationships/header" Target="/word/header6.xml" Id="Rada93c2fbd724319" /><Relationship Type="http://schemas.openxmlformats.org/officeDocument/2006/relationships/footer" Target="/word/footer5.xml" Id="R5484d20600824c06" /><Relationship Type="http://schemas.openxmlformats.org/officeDocument/2006/relationships/image" Target="/media/image6.png" Id="R9edd35dfcf2c4359" /><Relationship Type="http://schemas.openxmlformats.org/officeDocument/2006/relationships/header" Target="/word/header7.xml" Id="R2889a436eda34497" /><Relationship Type="http://schemas.openxmlformats.org/officeDocument/2006/relationships/footer" Target="/word/footer6.xml" Id="Rb690219a399d4574" /><Relationship Type="http://schemas.openxmlformats.org/officeDocument/2006/relationships/image" Target="/media/image7.png" Id="R57684ae658ee45cd" /><Relationship Type="http://schemas.openxmlformats.org/officeDocument/2006/relationships/header" Target="/word/header8.xml" Id="Rcf470f6b017a4e5a" /><Relationship Type="http://schemas.openxmlformats.org/officeDocument/2006/relationships/footer" Target="/word/footer7.xml" Id="R39709b39cf3041db" /><Relationship Type="http://schemas.openxmlformats.org/officeDocument/2006/relationships/header" Target="/word/header9.xml" Id="R36f8c85da4884c39" /><Relationship Type="http://schemas.openxmlformats.org/officeDocument/2006/relationships/footer" Target="/word/footer8.xml" Id="R821f17cb35b1400b" /><Relationship Type="http://schemas.openxmlformats.org/officeDocument/2006/relationships/header" Target="/word/header10.xml" Id="R77eb3e68d14b4cc2" /><Relationship Type="http://schemas.openxmlformats.org/officeDocument/2006/relationships/footer" Target="/word/footer9.xml" Id="Rda122c099cb84829" /><Relationship Type="http://schemas.openxmlformats.org/officeDocument/2006/relationships/header" Target="/word/header11.xml" Id="R91a09dfd93ac4c96" /><Relationship Type="http://schemas.openxmlformats.org/officeDocument/2006/relationships/footer" Target="/word/footer10.xml" Id="R93efffe3508240de" /><Relationship Type="http://schemas.openxmlformats.org/officeDocument/2006/relationships/header" Target="/word/header12.xml" Id="R8df36242962c4948" /><Relationship Type="http://schemas.openxmlformats.org/officeDocument/2006/relationships/footer" Target="/word/footer11.xml" Id="R2db580aec9014f1c" /><Relationship Type="http://schemas.openxmlformats.org/officeDocument/2006/relationships/header" Target="/word/header13.xml" Id="Rc8f36aec911a4086" /><Relationship Type="http://schemas.openxmlformats.org/officeDocument/2006/relationships/footer" Target="/word/footer12.xml" Id="R3b456118a0a249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2026-09-03T09:49:08Z</dcterms:created>
  <cp:lastModifiedBy>OfficeCLI</cp:lastModifiedBy>
  <dcterms:modified xsi:type="dcterms:W3CDTF">2026-09-03T09:49:08Z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1.0.146</vt:lpwstr>
  </op:property>
  <op:property fmtid="{D5CDD505-2E9C-101B-9397-08002B2CF9AE}" pid="3" name="OfficeCLI.LastModified">
    <vt:lpwstr xmlns:vt="http://schemas.openxmlformats.org/officeDocument/2006/docPropsVTypes">2026-09-03T09:49:39Z</vt:lpwstr>
  </op:property>
</op:Properties>
</file>