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0c389b29fee04cb8" /><Relationship Type="http://schemas.openxmlformats.org/package/2006/relationships/metadata/core-properties" Target="/docProps/core.xml" Id="Rf38be16a0ec9429e" /><Relationship Type="http://schemas.openxmlformats.org/officeDocument/2006/relationships/extended-properties" Target="/docProps/app.xml" Id="Rb3bc37c9606a4a8b" /><Relationship Type="http://schemas.openxmlformats.org/officeDocument/2006/relationships/custom-properties" Target="/docProps/custom.xml" Id="R0773b3e2609046d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Normal"/>
        <w:jc w:val="left"/>
      </w:pPr>
      <w:r>
        <w:t xml:space="preserve">Rivermark Group Annual Report 2025</w:t>
      </w:r>
    </w:p>
    <w:p w14:paraId="00100002" w14:textId="00100003">
      <w:pPr>
        <w:pStyle w:val="Normal"/>
        <w:jc w:val="left"/>
      </w:pPr>
      <w:r>
        <w:drawing>
          <wp:inline distT="0" distB="0" distL="0" distR="0">
            <wp:extent cx="1800000" cy="720000"/>
            <wp:effectExtent l="0" t="0" r="0" b="0"/>
            <wp:docPr id="1" name="F1.png" descr=""/>
            <wp:cNvGraphicFramePr>
              <a:graphicFrameLocks noChangeAspect="1"/>
            </wp:cNvGraphicFramePr>
            <a:graphic>
              <a:graphicData uri="http://schemas.openxmlformats.org/drawingml/2006/picture">
                <pic:pic>
                  <pic:nvPicPr>
                    <pic:cNvPr id="1" name="F1.png"/>
                    <pic:cNvPicPr/>
                  </pic:nvPicPr>
                  <pic:blipFill>
                    <a:blip r:embed="R970ac135376a45b0" cstate="print"/>
                    <a:stretch>
                      <a:fillRect/>
                    </a:stretch>
                  </pic:blipFill>
                  <pic:spPr>
                    <a:xfrm>
                      <a:off x="0" y="0"/>
                      <a:ext cx="2160000" cy="1080000"/>
                    </a:xfrm>
                    <a:prstGeom prst="rect">
                      <a:avLst/>
                    </a:prstGeom>
                  </pic:spPr>
                </pic:pic>
              </a:graphicData>
            </a:graphic>
          </wp:inline>
        </w:drawing>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8306" w:type="dxa"/>
        <w:jc w:val="center"/>
        <w:tblLayout w:type="fixed"/>
      </w:tblPr>
      <w:tblGrid>
        <w:gridCol w:w="4153"/>
        <w:gridCol w:w="4153"/>
      </w:tblGrid>
      <w:tr>
        <w:tc>
          <w:tcPr>
            <w:vAlign w:val="center"/>
            <w:tcBorders>
              <w:top w:val="single" w:sz="4" w:space="0" w:color="auto"/>
              <w:left w:val="single" w:sz="4" w:space="0" w:color="auto"/>
              <w:bottom w:val="single" w:sz="4" w:space="0" w:color="auto"/>
              <w:right w:val="single" w:sz="4" w:space="0" w:color="auto"/>
            </w:tcBorders>
          </w:tcPr>
          <w:p w14:paraId="00100004" w14:textId="0010001C">
            <w:pPr>
              <w:pStyle w:val="Normal"/>
              <w:jc w:val="left"/>
            </w:pPr>
            <w:r>
              <w:t xml:space="preserve">Report title</w:t>
            </w:r>
          </w:p>
        </w:tc>
        <w:tc>
          <w:tcPr>
            <w:vAlign w:val="center"/>
            <w:tcBorders>
              <w:top w:val="single" w:sz="4" w:space="0" w:color="auto"/>
              <w:left w:val="single" w:sz="4" w:space="0" w:color="auto"/>
              <w:bottom w:val="single" w:sz="4" w:space="0" w:color="auto"/>
              <w:right w:val="single" w:sz="4" w:space="0" w:color="auto"/>
            </w:tcBorders>
          </w:tcPr>
          <w:p w14:paraId="00100006" w14:textId="0010001D">
            <w:pPr>
              <w:pStyle w:val="Normal"/>
              <w:jc w:val="left"/>
            </w:pPr>
            <w:r>
              <w:t xml:space="preserve">Rivermark Group Annual Report 2025</w:t>
            </w:r>
          </w:p>
        </w:tc>
      </w:tr>
      <w:tr>
        <w:tc>
          <w:tcPr>
            <w:vAlign w:val="center"/>
            <w:tcBorders>
              <w:top w:val="single" w:sz="4" w:space="0" w:color="auto"/>
              <w:left w:val="single" w:sz="4" w:space="0" w:color="auto"/>
              <w:bottom w:val="single" w:sz="4" w:space="0" w:color="auto"/>
              <w:right w:val="single" w:sz="4" w:space="0" w:color="auto"/>
            </w:tcBorders>
          </w:tcPr>
          <w:p w14:paraId="00100008" w14:textId="0010001E">
            <w:pPr>
              <w:pStyle w:val="Normal"/>
              <w:jc w:val="left"/>
            </w:pPr>
            <w:r>
              <w:t xml:space="preserve">Reporting entity</w:t>
            </w:r>
          </w:p>
        </w:tc>
        <w:tc>
          <w:tcPr>
            <w:vAlign w:val="center"/>
            <w:tcBorders>
              <w:top w:val="single" w:sz="4" w:space="0" w:color="auto"/>
              <w:left w:val="single" w:sz="4" w:space="0" w:color="auto"/>
              <w:bottom w:val="single" w:sz="4" w:space="0" w:color="auto"/>
              <w:right w:val="single" w:sz="4" w:space="0" w:color="auto"/>
            </w:tcBorders>
          </w:tcPr>
          <w:p w14:paraId="0010000A" w14:textId="0010001F">
            <w:pPr>
              <w:pStyle w:val="Normal"/>
              <w:jc w:val="left"/>
            </w:pPr>
            <w:r>
              <w:t xml:space="preserve">Rivermark Group</w:t>
            </w:r>
          </w:p>
        </w:tc>
      </w:tr>
      <w:tr>
        <w:tc>
          <w:tcPr>
            <w:vAlign w:val="center"/>
            <w:tcBorders>
              <w:top w:val="single" w:sz="4" w:space="0" w:color="auto"/>
              <w:left w:val="single" w:sz="4" w:space="0" w:color="auto"/>
              <w:bottom w:val="single" w:sz="4" w:space="0" w:color="auto"/>
              <w:right w:val="single" w:sz="4" w:space="0" w:color="auto"/>
            </w:tcBorders>
          </w:tcPr>
          <w:p w14:paraId="0010000C" w14:textId="00100020">
            <w:pPr>
              <w:pStyle w:val="Normal"/>
              <w:jc w:val="left"/>
            </w:pPr>
            <w:r>
              <w:t xml:space="preserve">Reporting period</w:t>
            </w:r>
          </w:p>
        </w:tc>
        <w:tc>
          <w:tcPr>
            <w:vAlign w:val="center"/>
            <w:tcBorders>
              <w:top w:val="single" w:sz="4" w:space="0" w:color="auto"/>
              <w:left w:val="single" w:sz="4" w:space="0" w:color="auto"/>
              <w:bottom w:val="single" w:sz="4" w:space="0" w:color="auto"/>
              <w:right w:val="single" w:sz="4" w:space="0" w:color="auto"/>
            </w:tcBorders>
          </w:tcPr>
          <w:p w14:paraId="0010000E" w14:textId="00100021">
            <w:pPr>
              <w:pStyle w:val="Normal"/>
              <w:jc w:val="left"/>
            </w:pPr>
            <w:r>
              <w:t xml:space="preserve">Year ended 31 December 2025</w:t>
            </w:r>
          </w:p>
        </w:tc>
      </w:tr>
      <w:tr>
        <w:tc>
          <w:tcPr>
            <w:vAlign w:val="center"/>
            <w:tcBorders>
              <w:top w:val="single" w:sz="4" w:space="0" w:color="auto"/>
              <w:left w:val="single" w:sz="4" w:space="0" w:color="auto"/>
              <w:bottom w:val="single" w:sz="4" w:space="0" w:color="auto"/>
              <w:right w:val="single" w:sz="4" w:space="0" w:color="auto"/>
            </w:tcBorders>
          </w:tcPr>
          <w:p w14:paraId="00100010" w14:textId="00100022">
            <w:pPr>
              <w:pStyle w:val="Normal"/>
              <w:jc w:val="left"/>
            </w:pPr>
            <w:r>
              <w:t xml:space="preserve">Document type</w:t>
            </w:r>
          </w:p>
        </w:tc>
        <w:tc>
          <w:tcPr>
            <w:vAlign w:val="center"/>
            <w:tcBorders>
              <w:top w:val="single" w:sz="4" w:space="0" w:color="auto"/>
              <w:left w:val="single" w:sz="4" w:space="0" w:color="auto"/>
              <w:bottom w:val="single" w:sz="4" w:space="0" w:color="auto"/>
              <w:right w:val="single" w:sz="4" w:space="0" w:color="auto"/>
            </w:tcBorders>
          </w:tcPr>
          <w:p w14:paraId="00100012" w14:textId="00100023">
            <w:pPr>
              <w:pStyle w:val="Normal"/>
              <w:jc w:val="left"/>
            </w:pPr>
            <w:r>
              <w:t xml:space="preserve">Annual Report</w:t>
            </w:r>
          </w:p>
        </w:tc>
      </w:tr>
      <w:tr>
        <w:tc>
          <w:tcPr>
            <w:vAlign w:val="center"/>
            <w:tcBorders>
              <w:top w:val="single" w:sz="4" w:space="0" w:color="auto"/>
              <w:left w:val="single" w:sz="4" w:space="0" w:color="auto"/>
              <w:bottom w:val="single" w:sz="4" w:space="0" w:color="auto"/>
              <w:right w:val="single" w:sz="4" w:space="0" w:color="auto"/>
            </w:tcBorders>
          </w:tcPr>
          <w:p w14:paraId="00100014" w14:textId="00100024">
            <w:pPr>
              <w:pStyle w:val="Normal"/>
              <w:jc w:val="left"/>
            </w:pPr>
            <w:r>
              <w:t xml:space="preserve">Head office</w:t>
            </w:r>
          </w:p>
        </w:tc>
        <w:tc>
          <w:tcPr>
            <w:vAlign w:val="center"/>
            <w:tcBorders>
              <w:top w:val="single" w:sz="4" w:space="0" w:color="auto"/>
              <w:left w:val="single" w:sz="4" w:space="0" w:color="auto"/>
              <w:bottom w:val="single" w:sz="4" w:space="0" w:color="auto"/>
              <w:right w:val="single" w:sz="4" w:space="0" w:color="auto"/>
            </w:tcBorders>
          </w:tcPr>
          <w:p w14:paraId="00100016" w14:textId="00100025">
            <w:pPr>
              <w:pStyle w:val="Normal"/>
              <w:jc w:val="left"/>
            </w:pPr>
            <w:r>
              <w:t xml:space="preserve">Rivermark Tower, Harbor Avenue, Northbridge</w:t>
            </w:r>
          </w:p>
        </w:tc>
      </w:tr>
      <w:tr>
        <w:tc>
          <w:tcPr>
            <w:vAlign w:val="center"/>
            <w:tcBorders>
              <w:top w:val="single" w:sz="4" w:space="0" w:color="auto"/>
              <w:left w:val="single" w:sz="4" w:space="0" w:color="auto"/>
              <w:bottom w:val="single" w:sz="4" w:space="0" w:color="auto"/>
              <w:right w:val="single" w:sz="4" w:space="0" w:color="auto"/>
            </w:tcBorders>
          </w:tcPr>
          <w:p w14:paraId="00100018" w14:textId="00100026">
            <w:pPr>
              <w:pStyle w:val="Normal"/>
              <w:jc w:val="left"/>
            </w:pPr>
            <w:r>
              <w:t xml:space="preserve">Website</w:t>
            </w:r>
          </w:p>
        </w:tc>
        <w:tc>
          <w:tcPr>
            <w:vAlign w:val="center"/>
            <w:tcBorders>
              <w:top w:val="single" w:sz="4" w:space="0" w:color="auto"/>
              <w:left w:val="single" w:sz="4" w:space="0" w:color="auto"/>
              <w:bottom w:val="single" w:sz="4" w:space="0" w:color="auto"/>
              <w:right w:val="single" w:sz="4" w:space="0" w:color="auto"/>
            </w:tcBorders>
          </w:tcPr>
          <w:p w14:paraId="0010001A" w14:textId="00100027">
            <w:pPr>
              <w:pStyle w:val="Normal"/>
              <w:jc w:val="left"/>
            </w:pPr>
            <w:r>
              <w:t xml:space="preserve">www.rivermark-group.example</w:t>
            </w:r>
          </w:p>
        </w:tc>
      </w:tr>
    </w:tbl>
    <w:p w14:paraId="00100EE6" w14:textId="00100EE7">
      <w:pPr>
        <w:pStyle w:val="Normal"/>
        <w:jc w:val="left"/>
        <w:sectPr>
          <w:type w:val="nextPage"/>
          <w:pgSz w:w="11906" w:h="16838"/>
          <w:pgMar w:top="1440" w:right="1440" w:bottom="1440" w:left="1440" w:header="1440" w:footer="1440" w:gutter="0"/>
          <w:cols w:space="720" w:num="1"/>
        </w:sectPr>
      </w:pPr>
    </w:p>
    <w:p w14:paraId="0010002E" w14:textId="0010002F">
      <w:pPr>
        <w:pStyle w:val="Normal"/>
        <w:jc w:val="left"/>
      </w:pPr>
      <w:r>
        <w:t xml:space="preserve">Contents</w:t>
      </w:r>
    </w:p>
    <w:p w14:paraId="00100030" w14:textId="00100031">
      <w:pPr>
        <w:pStyle w:val="Normal"/>
        <w:jc w:val="left"/>
      </w:pPr>
      <w:r>
        <w:t xml:space="preserve">Opening Message …… 3</w:t>
      </w:r>
    </w:p>
    <w:p w14:paraId="00100032" w14:textId="00100033">
      <w:pPr>
        <w:pStyle w:val="Normal"/>
        <w:jc w:val="left"/>
      </w:pPr>
      <w:r>
        <w:t xml:space="preserve">Highlights …… 5</w:t>
      </w:r>
    </w:p>
    <w:p w14:paraId="00100034" w14:textId="00100035">
      <w:pPr>
        <w:pStyle w:val="Normal"/>
        <w:jc w:val="left"/>
      </w:pPr>
      <w:r>
        <w:t xml:space="preserve">Group Overview …… 7</w:t>
      </w:r>
    </w:p>
    <w:p w14:paraId="00100036" w14:textId="00100037">
      <w:pPr>
        <w:pStyle w:val="Normal"/>
        <w:jc w:val="left"/>
      </w:pPr>
      <w:r>
        <w:t xml:space="preserve">Segment Review: Industrial …… 13</w:t>
      </w:r>
    </w:p>
    <w:p w14:paraId="00100038" w14:textId="00100039">
      <w:pPr>
        <w:pStyle w:val="Normal"/>
        <w:jc w:val="left"/>
      </w:pPr>
      <w:r>
        <w:t xml:space="preserve">Segment Review: Consumer …… 19</w:t>
      </w:r>
    </w:p>
    <w:p w14:paraId="0010003A" w14:textId="0010003B">
      <w:pPr>
        <w:pStyle w:val="Normal"/>
        <w:jc w:val="left"/>
      </w:pPr>
      <w:r>
        <w:t xml:space="preserve">Segment Review: Services …… 25</w:t>
      </w:r>
    </w:p>
    <w:p w14:paraId="0010003C" w14:textId="0010003D">
      <w:pPr>
        <w:pStyle w:val="Normal"/>
        <w:jc w:val="left"/>
      </w:pPr>
      <w:r>
        <w:t xml:space="preserve">Governance …… 31</w:t>
      </w:r>
    </w:p>
    <w:p w14:paraId="0010003E" w14:textId="0010003F">
      <w:pPr>
        <w:pStyle w:val="Normal"/>
        <w:jc w:val="left"/>
      </w:pPr>
      <w:r>
        <w:t xml:space="preserve">Risk and Sustainability …… 37</w:t>
      </w:r>
    </w:p>
    <w:p w14:paraId="00100040" w14:textId="00100041">
      <w:pPr>
        <w:pStyle w:val="Normal"/>
        <w:jc w:val="left"/>
      </w:pPr>
      <w:r>
        <w:t xml:space="preserve">Financial Statements …… 43</w:t>
      </w:r>
    </w:p>
    <w:p w14:paraId="00100042" w14:textId="00100043">
      <w:pPr>
        <w:pStyle w:val="Normal"/>
        <w:jc w:val="left"/>
      </w:pPr>
      <w:r>
        <w:t xml:space="preserve">Financial Notes …… 49</w:t>
      </w:r>
    </w:p>
    <w:p w14:paraId="00100044" w14:textId="00100045">
      <w:pPr>
        <w:pStyle w:val="Normal"/>
        <w:jc w:val="left"/>
      </w:pPr>
      <w:r>
        <w:t xml:space="preserve">Annex …… 55</w:t>
      </w:r>
    </w:p>
    <w:p w14:paraId="00100046" w14:textId="00100047">
      <w:pPr>
        <w:pStyle w:val="Normal"/>
        <w:jc w:val="left"/>
      </w:pPr>
      <w:r>
        <w:t xml:space="preserve">Glossary and Contact …… 57</w:t>
      </w:r>
    </w:p>
    <w:p w14:paraId="00100048" w14:textId="00100049">
      <w:pPr>
        <w:pStyle w:val="Normal"/>
        <w:jc w:val="left"/>
      </w:pPr>
      <w:r>
        <w:t xml:space="preserve">Legal Notice …… 59</w:t>
      </w:r>
    </w:p>
    <w:p w14:paraId="00100EE8" w14:textId="00100EE9">
      <w:pPr>
        <w:pStyle w:val="Normal"/>
        <w:jc w:val="left"/>
        <w:sectPr>
          <w:type w:val="nextPage"/>
          <w:pgSz w:w="11906" w:h="16838"/>
          <w:pgMar w:top="1440" w:right="1440" w:bottom="1440" w:left="1440" w:header="1440" w:footer="1440" w:gutter="0"/>
          <w:cols w:space="720" w:num="1"/>
        </w:sectPr>
      </w:pPr>
    </w:p>
    <w:p w14:paraId="0010004E" w14:textId="0010004F">
      <w:pPr>
        <w:pStyle w:val="Normal"/>
        <w:jc w:val="left"/>
      </w:pPr>
      <w:r>
        <w:t xml:space="preserve">Chapter 1 Opening Message</w:t>
      </w:r>
    </w:p>
    <w:p w14:paraId="00100050" w14:textId="00100051">
      <w:pPr>
        <w:pStyle w:val="Normal"/>
        <w:jc w:val="left"/>
      </w:pPr>
      <w:r>
        <w:t xml:space="preserve">Chairman’s letter</w:t>
      </w:r>
    </w:p>
    <w:p w14:paraId="00100052" w14:textId="00100055">
      <w:pPr>
        <w:pStyle w:val="Normal"/>
        <w:jc w:val="left"/>
      </w:pPr>
      <w:r>
        <w:t xml:space="preserve"/>
      </w:r>
      <w:r>
        <w:t xml:space="preserve">Lead message:</w:t>
      </w:r>
      <w:r>
        <w:t xml:space="preserve"> The past year was one of disciplined progress for Rivermark Group. Against a market environment marked by uneven demand, persistent cost pressure, and fast-changing customer expectations, the Group remained focused on operational execution, cash resilience, and selective growth. We strengthened our portfolio across Industrial, Consumer, and Services activities, while preserving the financial flexibility required to invest in capability, safety, and long-term competitiveness.</w:t>
        <w:br/>
        <w:t xml:space="preserve">Our performance reflected both the diversity of our business mix and the value of consistent management actions. In Industrial, we responded to fluctuations in order timing through tighter production planning and efficiency programs. In Consumer, we balanced channel development with sharper product and pricing discipline. In Services, we benefited from solid contract retention and improving utilization. Across the Group, management placed particular emphasis on working capital control, customer service reliability, and responsible allocation of capital.</w:t>
        <w:br/>
        <w:t xml:space="preserve">We also continued to reinforce the foundations that support durable performance. This included investments in process improvement, digital tools, talent development, and governance practices that help Rivermark Group operate with clarity and accountability. While external conditions remained challenging in several markets, the year confirmed that our strategy is practical, our operating model is adaptable, and our people are capable of delivering steady progress through changing cycles.</w:t>
      </w:r>
    </w:p>
    <w:p w14:paraId="00100056" w14:textId="00100057">
      <w:pPr>
        <w:pStyle w:val="Normal"/>
        <w:jc w:val="left"/>
      </w:pPr>
      <w:r>
        <w:drawing>
          <wp:inline distT="0" distB="0" distL="0" distR="0">
            <wp:extent cx="3240000" cy="3240000"/>
            <wp:effectExtent l="0" t="0" r="0" b="0"/>
            <wp:docPr id="2" name="Fig-I03-01.png" descr=""/>
            <wp:cNvGraphicFramePr>
              <a:graphicFrameLocks noChangeAspect="1"/>
            </wp:cNvGraphicFramePr>
            <a:graphic>
              <a:graphicData uri="http://schemas.openxmlformats.org/drawingml/2006/picture">
                <pic:pic>
                  <pic:nvPicPr>
                    <pic:cNvPr id="2" name="Fig-I03-01.png"/>
                    <pic:cNvPicPr/>
                  </pic:nvPicPr>
                  <pic:blipFill>
                    <a:blip r:embed="R95d37ed17ceb4492" cstate="print"/>
                    <a:stretch>
                      <a:fillRect/>
                    </a:stretch>
                  </pic:blipFill>
                  <pic:spPr>
                    <a:xfrm>
                      <a:off x="0" y="0"/>
                      <a:ext cx="2880000" cy="3600000"/>
                    </a:xfrm>
                    <a:prstGeom prst="rect">
                      <a:avLst/>
                    </a:prstGeom>
                  </pic:spPr>
                </pic:pic>
              </a:graphicData>
            </a:graphic>
          </wp:inline>
        </w:drawing>
      </w:r>
    </w:p>
    <w:p w14:paraId="00100058" w14:textId="00100059">
      <w:pPr>
        <w:pStyle w:val="Normal"/>
        <w:jc w:val="left"/>
      </w:pPr>
      <w:r>
        <w:t xml:space="preserve">Figure 1 Chairman portrait</w:t>
      </w:r>
    </w:p>
    <w:p w14:paraId="0010005A" w14:textId="0010005C">
      <w:pPr>
        <w:pStyle w:val="Normal"/>
        <w:jc w:val="left"/>
      </w:pPr>
      <w:r>
        <w:t xml:space="preserve">Source:</w:t>
      </w:r>
      <w:r>
        <w:t xml:space="preserve"> Rivermark Group corporate records.</w:t>
      </w:r>
    </w:p>
    <w:p w14:paraId="0010005D" w14:textId="0010005E">
      <w:pPr>
        <w:pStyle w:val="Normal"/>
        <w:jc w:val="left"/>
      </w:pPr>
      <w:r>
        <w:t xml:space="preserve">Figure 2 Chairman portrait photo</w:t>
      </w:r>
    </w:p>
    <w:p w14:paraId="0010005F" w14:textId="00100060">
      <w:pPr>
        <w:pStyle w:val="Normal"/>
        <w:jc w:val="left"/>
      </w:pPr>
      <w:r>
        <w:t xml:space="preserve">As we look ahead, we will continue to manage Rivermark Group with a balanced view of performance and responsibility. Near-term planning remains grounded in prudent assumptions on demand, pricing, supply conditions, and labor availability. At the same time, we see meaningful opportunities to deepen customer relationships, improve service quality, and expand in areas where our capabilities are differentiated. Our objective is not growth at any cost, but sustainable value creation supported by sound returns and measured execution.</w:t>
      </w:r>
    </w:p>
    <w:p w14:paraId="00100061" w14:textId="00100064">
      <w:pPr>
        <w:pStyle w:val="Normal"/>
        <w:jc w:val="left"/>
      </w:pPr>
      <w:r>
        <w:t xml:space="preserve">The coming year will require continued focus. We will advance our strategic priorities through disciplined investment, tighter operating routines, and stronger cross-segment collaboration. We will also maintain attention to safety, compliance, and talent development, recognizing that long-term strength depends on both financial outcomes and institutional quality. In this report, we refer to this balanced approach as *</w:t>
      </w:r>
      <w:r>
        <w:t xml:space="preserve">Rivermark operating discipline</w:t>
      </w:r>
      <w:r>
        <w:t xml:space="preserve">*, a practical framework that links strategy, risk management, and day-to-day execution.</w:t>
        <w:br/>
        <w:t xml:space="preserve">On behalf of the Board and management team, I would like to thank our employees for their commitment, our customers for their trust, and our shareholders for their continued support. Rivermark Group enters the new year with clear priorities, an experienced leadership team, and confidence in its ability to navigate uncertainty while building a stronger platform for future growth.</w:t>
      </w:r>
    </w:p>
    <w:p w14:paraId="00100EEA" w14:textId="00100EEB">
      <w:pPr>
        <w:pStyle w:val="Normal"/>
        <w:jc w:val="left"/>
        <w:sectPr>
          <w:type w:val="nextPage"/>
          <w:pgSz w:w="11906" w:h="16838"/>
          <w:pgMar w:top="1440" w:right="1440" w:bottom="1440" w:left="1440" w:header="1440" w:footer="1440" w:gutter="0"/>
          <w:cols w:space="720" w:num="1"/>
        </w:sectPr>
      </w:pPr>
    </w:p>
    <w:p w14:paraId="0010006B" w14:textId="0010006C">
      <w:pPr>
        <w:pStyle w:val="Normal"/>
        <w:jc w:val="left"/>
      </w:pPr>
      <w:r>
        <w:t xml:space="preserve">Chapter 2 Highlights</w:t>
      </w:r>
    </w:p>
    <w:p w14:paraId="0010006D" w14:textId="00100072">
      <w:pPr>
        <w:pStyle w:val="Normal"/>
        <w:jc w:val="left"/>
      </w:pPr>
      <w:r>
        <w:t xml:space="preserve">Rivermark Group delivered a year of resilient expansion, combining higher revenue with disciplined profit conversion and stronger cash generation across its portfolio. </w:t>
      </w:r>
      <w:r>
        <w:t xml:space="preserve">Overall performance:</w:t>
      </w:r>
      <w:r>
        <w:t xml:space="preserve"> consolidated revenue advanced as Industrial pricing held firm, Consumer channels improved their mix, and Services added recurring contract income. At the same time, management maintained a tighter cost base, allowing operating profit to rise faster than sales in several parts of the business. The front-end indicators presented in this section focus on the Group’s core financial signals and the operating context behind them.</w:t>
        <w:br/>
        <w:t xml:space="preserve">The KPI set is organized around scale, earnings quality, and liquidity, with particular attention to *</w:t>
      </w:r>
      <w:r>
        <w:t xml:space="preserve">operating cash conversion</w:t>
      </w:r>
      <w:r>
        <w:t xml:space="preserve">* as a practical measure of how reported profit translated into available cash. This combination gives a balanced view of current momentum. Revenue growth reflects demand and pricing conditions, profit highlights execution and margin discipline, and cash indicates the underlying strength of working-capital management and investment timing. Together, these measures show that Rivermark Group entered the closing quarter with a more stable earnings profile and a stronger funding position than in the prior year.</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073" w14:textId="001000AB">
            <w:pPr>
              <w:pStyle w:val="Normal"/>
              <w:jc w:val="left"/>
            </w:pPr>
            <w:r>
              <w:t xml:space="preserve">KPI</w:t>
            </w:r>
          </w:p>
        </w:tc>
        <w:tc>
          <w:tcPr>
            <w:vAlign w:val="center"/>
            <w:tcBorders>
              <w:top w:val="single" w:sz="4" w:space="0" w:color="auto"/>
              <w:left w:val="single" w:sz="4" w:space="0" w:color="auto"/>
              <w:bottom w:val="single" w:sz="4" w:space="0" w:color="auto"/>
              <w:right w:val="single" w:sz="4" w:space="0" w:color="auto"/>
            </w:tcBorders>
          </w:tcPr>
          <w:p w14:paraId="00100075" w14:textId="001000AC">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077" w14:textId="001000AD">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079" w14:textId="001000AE">
            <w:pPr>
              <w:pStyle w:val="Normal"/>
              <w:jc w:val="left"/>
            </w:pPr>
            <w:r>
              <w:t xml:space="preserve">Change</w:t>
            </w:r>
          </w:p>
        </w:tc>
      </w:tr>
      <w:tr>
        <w:tc>
          <w:tcPr>
            <w:vAlign w:val="center"/>
            <w:tcBorders>
              <w:top w:val="single" w:sz="4" w:space="0" w:color="auto"/>
              <w:left w:val="single" w:sz="4" w:space="0" w:color="auto"/>
              <w:bottom w:val="single" w:sz="4" w:space="0" w:color="auto"/>
              <w:right w:val="single" w:sz="4" w:space="0" w:color="auto"/>
            </w:tcBorders>
          </w:tcPr>
          <w:p w14:paraId="0010007B" w14:textId="001000AF">
            <w:pPr>
              <w:pStyle w:val="Normal"/>
              <w:jc w:val="left"/>
            </w:pPr>
            <w:r>
              <w:t xml:space="preserve">Revenue</w:t>
            </w:r>
          </w:p>
        </w:tc>
        <w:tc>
          <w:tcPr>
            <w:vAlign w:val="center"/>
            <w:tcBorders>
              <w:top w:val="single" w:sz="4" w:space="0" w:color="auto"/>
              <w:left w:val="single" w:sz="4" w:space="0" w:color="auto"/>
              <w:bottom w:val="single" w:sz="4" w:space="0" w:color="auto"/>
              <w:right w:val="single" w:sz="4" w:space="0" w:color="auto"/>
            </w:tcBorders>
          </w:tcPr>
          <w:p w14:paraId="0010007D" w14:textId="001000B0">
            <w:pPr>
              <w:pStyle w:val="Normal"/>
              <w:jc w:val="left"/>
            </w:pPr>
            <w:r>
              <w:t xml:space="preserve">4,860</w:t>
            </w:r>
          </w:p>
        </w:tc>
        <w:tc>
          <w:tcPr>
            <w:vAlign w:val="center"/>
            <w:tcBorders>
              <w:top w:val="single" w:sz="4" w:space="0" w:color="auto"/>
              <w:left w:val="single" w:sz="4" w:space="0" w:color="auto"/>
              <w:bottom w:val="single" w:sz="4" w:space="0" w:color="auto"/>
              <w:right w:val="single" w:sz="4" w:space="0" w:color="auto"/>
            </w:tcBorders>
          </w:tcPr>
          <w:p w14:paraId="0010007F" w14:textId="001000B1">
            <w:pPr>
              <w:pStyle w:val="Normal"/>
              <w:jc w:val="left"/>
            </w:pPr>
            <w:r>
              <w:t xml:space="preserve">4,420</w:t>
            </w:r>
          </w:p>
        </w:tc>
        <w:tc>
          <w:tcPr>
            <w:vAlign w:val="center"/>
            <w:tcBorders>
              <w:top w:val="single" w:sz="4" w:space="0" w:color="auto"/>
              <w:left w:val="single" w:sz="4" w:space="0" w:color="auto"/>
              <w:bottom w:val="single" w:sz="4" w:space="0" w:color="auto"/>
              <w:right w:val="single" w:sz="4" w:space="0" w:color="auto"/>
            </w:tcBorders>
          </w:tcPr>
          <w:p w14:paraId="00100081" w14:textId="001000B2">
            <w:pPr>
              <w:pStyle w:val="Normal"/>
              <w:jc w:val="left"/>
            </w:pPr>
            <w:r>
              <w:t xml:space="preserve">+10.0%</w:t>
            </w:r>
          </w:p>
        </w:tc>
      </w:tr>
      <w:tr>
        <w:tc>
          <w:tcPr>
            <w:vAlign w:val="center"/>
            <w:tcBorders>
              <w:top w:val="single" w:sz="4" w:space="0" w:color="auto"/>
              <w:left w:val="single" w:sz="4" w:space="0" w:color="auto"/>
              <w:bottom w:val="single" w:sz="4" w:space="0" w:color="auto"/>
              <w:right w:val="single" w:sz="4" w:space="0" w:color="auto"/>
            </w:tcBorders>
          </w:tcPr>
          <w:p w14:paraId="00100083" w14:textId="001000B3">
            <w:pPr>
              <w:pStyle w:val="Normal"/>
              <w:jc w:val="left"/>
            </w:pPr>
            <w:r>
              <w:t xml:space="preserve">Operating profit</w:t>
            </w:r>
          </w:p>
        </w:tc>
        <w:tc>
          <w:tcPr>
            <w:vAlign w:val="center"/>
            <w:tcBorders>
              <w:top w:val="single" w:sz="4" w:space="0" w:color="auto"/>
              <w:left w:val="single" w:sz="4" w:space="0" w:color="auto"/>
              <w:bottom w:val="single" w:sz="4" w:space="0" w:color="auto"/>
              <w:right w:val="single" w:sz="4" w:space="0" w:color="auto"/>
            </w:tcBorders>
          </w:tcPr>
          <w:p w14:paraId="00100085" w14:textId="001000B4">
            <w:pPr>
              <w:pStyle w:val="Normal"/>
              <w:jc w:val="left"/>
            </w:pPr>
            <w:r>
              <w:t xml:space="preserve">512</w:t>
            </w:r>
          </w:p>
        </w:tc>
        <w:tc>
          <w:tcPr>
            <w:vAlign w:val="center"/>
            <w:tcBorders>
              <w:top w:val="single" w:sz="4" w:space="0" w:color="auto"/>
              <w:left w:val="single" w:sz="4" w:space="0" w:color="auto"/>
              <w:bottom w:val="single" w:sz="4" w:space="0" w:color="auto"/>
              <w:right w:val="single" w:sz="4" w:space="0" w:color="auto"/>
            </w:tcBorders>
          </w:tcPr>
          <w:p w14:paraId="00100087" w14:textId="001000B5">
            <w:pPr>
              <w:pStyle w:val="Normal"/>
              <w:jc w:val="left"/>
            </w:pPr>
            <w:r>
              <w:t xml:space="preserve">446</w:t>
            </w:r>
          </w:p>
        </w:tc>
        <w:tc>
          <w:tcPr>
            <w:vAlign w:val="center"/>
            <w:tcBorders>
              <w:top w:val="single" w:sz="4" w:space="0" w:color="auto"/>
              <w:left w:val="single" w:sz="4" w:space="0" w:color="auto"/>
              <w:bottom w:val="single" w:sz="4" w:space="0" w:color="auto"/>
              <w:right w:val="single" w:sz="4" w:space="0" w:color="auto"/>
            </w:tcBorders>
          </w:tcPr>
          <w:p w14:paraId="00100089" w14:textId="001000B6">
            <w:pPr>
              <w:pStyle w:val="Normal"/>
              <w:jc w:val="left"/>
            </w:pPr>
            <w:r>
              <w:t xml:space="preserve">+14.8%</w:t>
            </w:r>
          </w:p>
        </w:tc>
      </w:tr>
      <w:tr>
        <w:tc>
          <w:tcPr>
            <w:vAlign w:val="center"/>
            <w:tcBorders>
              <w:top w:val="single" w:sz="4" w:space="0" w:color="auto"/>
              <w:left w:val="single" w:sz="4" w:space="0" w:color="auto"/>
              <w:bottom w:val="single" w:sz="4" w:space="0" w:color="auto"/>
              <w:right w:val="single" w:sz="4" w:space="0" w:color="auto"/>
            </w:tcBorders>
          </w:tcPr>
          <w:p w14:paraId="0010008B" w14:textId="001000B7">
            <w:pPr>
              <w:pStyle w:val="Normal"/>
              <w:jc w:val="left"/>
            </w:pPr>
            <w:r>
              <w:t xml:space="preserve">Net profit</w:t>
            </w:r>
          </w:p>
        </w:tc>
        <w:tc>
          <w:tcPr>
            <w:vAlign w:val="center"/>
            <w:tcBorders>
              <w:top w:val="single" w:sz="4" w:space="0" w:color="auto"/>
              <w:left w:val="single" w:sz="4" w:space="0" w:color="auto"/>
              <w:bottom w:val="single" w:sz="4" w:space="0" w:color="auto"/>
              <w:right w:val="single" w:sz="4" w:space="0" w:color="auto"/>
            </w:tcBorders>
          </w:tcPr>
          <w:p w14:paraId="0010008D" w14:textId="001000B8">
            <w:pPr>
              <w:pStyle w:val="Normal"/>
              <w:jc w:val="left"/>
            </w:pPr>
            <w:r>
              <w:t xml:space="preserve">338</w:t>
            </w:r>
          </w:p>
        </w:tc>
        <w:tc>
          <w:tcPr>
            <w:vAlign w:val="center"/>
            <w:tcBorders>
              <w:top w:val="single" w:sz="4" w:space="0" w:color="auto"/>
              <w:left w:val="single" w:sz="4" w:space="0" w:color="auto"/>
              <w:bottom w:val="single" w:sz="4" w:space="0" w:color="auto"/>
              <w:right w:val="single" w:sz="4" w:space="0" w:color="auto"/>
            </w:tcBorders>
          </w:tcPr>
          <w:p w14:paraId="0010008F" w14:textId="001000B9">
            <w:pPr>
              <w:pStyle w:val="Normal"/>
              <w:jc w:val="left"/>
            </w:pPr>
            <w:r>
              <w:t xml:space="preserve">301</w:t>
            </w:r>
          </w:p>
        </w:tc>
        <w:tc>
          <w:tcPr>
            <w:vAlign w:val="center"/>
            <w:tcBorders>
              <w:top w:val="single" w:sz="4" w:space="0" w:color="auto"/>
              <w:left w:val="single" w:sz="4" w:space="0" w:color="auto"/>
              <w:bottom w:val="single" w:sz="4" w:space="0" w:color="auto"/>
              <w:right w:val="single" w:sz="4" w:space="0" w:color="auto"/>
            </w:tcBorders>
          </w:tcPr>
          <w:p w14:paraId="00100091" w14:textId="001000BA">
            <w:pPr>
              <w:pStyle w:val="Normal"/>
              <w:jc w:val="left"/>
            </w:pPr>
            <w:r>
              <w:t xml:space="preserve">+12.3%</w:t>
            </w:r>
          </w:p>
        </w:tc>
      </w:tr>
      <w:tr>
        <w:tc>
          <w:tcPr>
            <w:vAlign w:val="center"/>
            <w:tcBorders>
              <w:top w:val="single" w:sz="4" w:space="0" w:color="auto"/>
              <w:left w:val="single" w:sz="4" w:space="0" w:color="auto"/>
              <w:bottom w:val="single" w:sz="4" w:space="0" w:color="auto"/>
              <w:right w:val="single" w:sz="4" w:space="0" w:color="auto"/>
            </w:tcBorders>
          </w:tcPr>
          <w:p w14:paraId="00100093" w14:textId="001000BB">
            <w:pPr>
              <w:pStyle w:val="Normal"/>
              <w:jc w:val="left"/>
            </w:pPr>
            <w:r>
              <w:t xml:space="preserve">Operating cash flow</w:t>
            </w:r>
          </w:p>
        </w:tc>
        <w:tc>
          <w:tcPr>
            <w:vAlign w:val="center"/>
            <w:tcBorders>
              <w:top w:val="single" w:sz="4" w:space="0" w:color="auto"/>
              <w:left w:val="single" w:sz="4" w:space="0" w:color="auto"/>
              <w:bottom w:val="single" w:sz="4" w:space="0" w:color="auto"/>
              <w:right w:val="single" w:sz="4" w:space="0" w:color="auto"/>
            </w:tcBorders>
          </w:tcPr>
          <w:p w14:paraId="00100095" w14:textId="001000BC">
            <w:pPr>
              <w:pStyle w:val="Normal"/>
              <w:jc w:val="left"/>
            </w:pPr>
            <w:r>
              <w:t xml:space="preserve">624</w:t>
            </w:r>
          </w:p>
        </w:tc>
        <w:tc>
          <w:tcPr>
            <w:vAlign w:val="center"/>
            <w:tcBorders>
              <w:top w:val="single" w:sz="4" w:space="0" w:color="auto"/>
              <w:left w:val="single" w:sz="4" w:space="0" w:color="auto"/>
              <w:bottom w:val="single" w:sz="4" w:space="0" w:color="auto"/>
              <w:right w:val="single" w:sz="4" w:space="0" w:color="auto"/>
            </w:tcBorders>
          </w:tcPr>
          <w:p w14:paraId="00100097" w14:textId="001000BD">
            <w:pPr>
              <w:pStyle w:val="Normal"/>
              <w:jc w:val="left"/>
            </w:pPr>
            <w:r>
              <w:t xml:space="preserve">538</w:t>
            </w:r>
          </w:p>
        </w:tc>
        <w:tc>
          <w:tcPr>
            <w:vAlign w:val="center"/>
            <w:tcBorders>
              <w:top w:val="single" w:sz="4" w:space="0" w:color="auto"/>
              <w:left w:val="single" w:sz="4" w:space="0" w:color="auto"/>
              <w:bottom w:val="single" w:sz="4" w:space="0" w:color="auto"/>
              <w:right w:val="single" w:sz="4" w:space="0" w:color="auto"/>
            </w:tcBorders>
          </w:tcPr>
          <w:p w14:paraId="00100099" w14:textId="001000BE">
            <w:pPr>
              <w:pStyle w:val="Normal"/>
              <w:jc w:val="left"/>
            </w:pPr>
            <w:r>
              <w:t xml:space="preserve">+16.0%</w:t>
            </w:r>
          </w:p>
        </w:tc>
      </w:tr>
      <w:tr>
        <w:tc>
          <w:tcPr>
            <w:vAlign w:val="center"/>
            <w:tcBorders>
              <w:top w:val="single" w:sz="4" w:space="0" w:color="auto"/>
              <w:left w:val="single" w:sz="4" w:space="0" w:color="auto"/>
              <w:bottom w:val="single" w:sz="4" w:space="0" w:color="auto"/>
              <w:right w:val="single" w:sz="4" w:space="0" w:color="auto"/>
            </w:tcBorders>
          </w:tcPr>
          <w:p w14:paraId="0010009B" w14:textId="001000BF">
            <w:pPr>
              <w:pStyle w:val="Normal"/>
              <w:jc w:val="left"/>
            </w:pPr>
            <w:r>
              <w:t xml:space="preserve">Capital expenditure</w:t>
            </w:r>
          </w:p>
        </w:tc>
        <w:tc>
          <w:tcPr>
            <w:vAlign w:val="center"/>
            <w:tcBorders>
              <w:top w:val="single" w:sz="4" w:space="0" w:color="auto"/>
              <w:left w:val="single" w:sz="4" w:space="0" w:color="auto"/>
              <w:bottom w:val="single" w:sz="4" w:space="0" w:color="auto"/>
              <w:right w:val="single" w:sz="4" w:space="0" w:color="auto"/>
            </w:tcBorders>
          </w:tcPr>
          <w:p w14:paraId="0010009D" w14:textId="001000C0">
            <w:pPr>
              <w:pStyle w:val="Normal"/>
              <w:jc w:val="left"/>
            </w:pPr>
            <w:r>
              <w:t xml:space="preserve">286</w:t>
            </w:r>
          </w:p>
        </w:tc>
        <w:tc>
          <w:tcPr>
            <w:vAlign w:val="center"/>
            <w:tcBorders>
              <w:top w:val="single" w:sz="4" w:space="0" w:color="auto"/>
              <w:left w:val="single" w:sz="4" w:space="0" w:color="auto"/>
              <w:bottom w:val="single" w:sz="4" w:space="0" w:color="auto"/>
              <w:right w:val="single" w:sz="4" w:space="0" w:color="auto"/>
            </w:tcBorders>
          </w:tcPr>
          <w:p w14:paraId="0010009F" w14:textId="001000C1">
            <w:pPr>
              <w:pStyle w:val="Normal"/>
              <w:jc w:val="left"/>
            </w:pPr>
            <w:r>
              <w:t xml:space="preserve">254</w:t>
            </w:r>
          </w:p>
        </w:tc>
        <w:tc>
          <w:tcPr>
            <w:vAlign w:val="center"/>
            <w:tcBorders>
              <w:top w:val="single" w:sz="4" w:space="0" w:color="auto"/>
              <w:left w:val="single" w:sz="4" w:space="0" w:color="auto"/>
              <w:bottom w:val="single" w:sz="4" w:space="0" w:color="auto"/>
              <w:right w:val="single" w:sz="4" w:space="0" w:color="auto"/>
            </w:tcBorders>
          </w:tcPr>
          <w:p w14:paraId="001000A1" w14:textId="001000C2">
            <w:pPr>
              <w:pStyle w:val="Normal"/>
              <w:jc w:val="left"/>
            </w:pPr>
            <w:r>
              <w:t xml:space="preserve">+12.6%</w:t>
            </w:r>
          </w:p>
        </w:tc>
      </w:tr>
      <w:tr>
        <w:tc>
          <w:tcPr>
            <w:vAlign w:val="center"/>
            <w:tcBorders>
              <w:top w:val="single" w:sz="4" w:space="0" w:color="auto"/>
              <w:left w:val="single" w:sz="4" w:space="0" w:color="auto"/>
              <w:bottom w:val="single" w:sz="4" w:space="0" w:color="auto"/>
              <w:right w:val="single" w:sz="4" w:space="0" w:color="auto"/>
            </w:tcBorders>
          </w:tcPr>
          <w:p w14:paraId="001000A3" w14:textId="001000C3">
            <w:pPr>
              <w:pStyle w:val="Normal"/>
              <w:jc w:val="left"/>
            </w:pPr>
            <w:r>
              <w:t xml:space="preserve">Net debt</w:t>
            </w:r>
          </w:p>
        </w:tc>
        <w:tc>
          <w:tcPr>
            <w:vAlign w:val="center"/>
            <w:tcBorders>
              <w:top w:val="single" w:sz="4" w:space="0" w:color="auto"/>
              <w:left w:val="single" w:sz="4" w:space="0" w:color="auto"/>
              <w:bottom w:val="single" w:sz="4" w:space="0" w:color="auto"/>
              <w:right w:val="single" w:sz="4" w:space="0" w:color="auto"/>
            </w:tcBorders>
          </w:tcPr>
          <w:p w14:paraId="001000A5" w14:textId="001000C4">
            <w:pPr>
              <w:pStyle w:val="Normal"/>
              <w:jc w:val="left"/>
            </w:pPr>
            <w:r>
              <w:t xml:space="preserve">1,040</w:t>
            </w:r>
          </w:p>
        </w:tc>
        <w:tc>
          <w:tcPr>
            <w:vAlign w:val="center"/>
            <w:tcBorders>
              <w:top w:val="single" w:sz="4" w:space="0" w:color="auto"/>
              <w:left w:val="single" w:sz="4" w:space="0" w:color="auto"/>
              <w:bottom w:val="single" w:sz="4" w:space="0" w:color="auto"/>
              <w:right w:val="single" w:sz="4" w:space="0" w:color="auto"/>
            </w:tcBorders>
          </w:tcPr>
          <w:p w14:paraId="001000A7" w14:textId="001000C5">
            <w:pPr>
              <w:pStyle w:val="Normal"/>
              <w:jc w:val="left"/>
            </w:pPr>
            <w:r>
              <w:t xml:space="preserve">1,118</w:t>
            </w:r>
          </w:p>
        </w:tc>
        <w:tc>
          <w:tcPr>
            <w:vAlign w:val="center"/>
            <w:tcBorders>
              <w:top w:val="single" w:sz="4" w:space="0" w:color="auto"/>
              <w:left w:val="single" w:sz="4" w:space="0" w:color="auto"/>
              <w:bottom w:val="single" w:sz="4" w:space="0" w:color="auto"/>
              <w:right w:val="single" w:sz="4" w:space="0" w:color="auto"/>
            </w:tcBorders>
          </w:tcPr>
          <w:p w14:paraId="001000A9" w14:textId="001000C6">
            <w:pPr>
              <w:pStyle w:val="Normal"/>
              <w:jc w:val="left"/>
            </w:pPr>
            <w:r>
              <w:t xml:space="preserve">-7.0%</w:t>
            </w:r>
          </w:p>
        </w:tc>
      </w:tr>
    </w:tbl>
    <w:p w14:paraId="001000C7" w14:textId="001000C8">
      <w:pPr>
        <w:pStyle w:val="Normal"/>
        <w:jc w:val="left"/>
      </w:pPr>
      <w:r>
        <w:t xml:space="preserve">Table 1 Key performance indicators: revenue, profit, cash and leverage</w:t>
      </w:r>
    </w:p>
    <w:p w14:paraId="001000C9" w14:textId="001000CD">
      <w:pPr>
        <w:pStyle w:val="Normal"/>
        <w:jc w:val="left"/>
      </w:pPr>
      <w:r>
        <w:t xml:space="preserve">Source:</w:t>
      </w:r>
      <w:r>
        <w:t xml:space="preserve"> Rivermark Group management accounts and consolidated reporting package. </w:t>
      </w:r>
      <w:r>
        <w:t xml:space="preserve">¹</w:t>
      </w:r>
      <w:r>
        <w:t xml:space="preserve">Amounts are presented in million reporting currency units and compare the current year with the prior year.</w:t>
      </w:r>
    </w:p>
    <w:p w14:paraId="001000CE" w14:textId="001000CF">
      <w:pPr>
        <w:pStyle w:val="Normal"/>
        <w:jc w:val="left"/>
      </w:pPr>
      <w:r>
        <w:drawing>
          <wp:inline distT="0" distB="0" distL="0" distR="0">
            <wp:extent cx="3600000" cy="2160000"/>
            <wp:effectExtent l="0" t="0" r="0" b="0"/>
            <wp:docPr id="3" name="Fig-I04-01.png" descr=""/>
            <wp:cNvGraphicFramePr>
              <a:graphicFrameLocks noChangeAspect="1"/>
            </wp:cNvGraphicFramePr>
            <a:graphic>
              <a:graphicData uri="http://schemas.openxmlformats.org/drawingml/2006/picture">
                <pic:pic>
                  <pic:nvPicPr>
                    <pic:cNvPr id="3" name="Fig-I04-01.png"/>
                    <pic:cNvPicPr/>
                  </pic:nvPicPr>
                  <pic:blipFill>
                    <a:blip r:embed="R8f4c05a3ba674153" cstate="print"/>
                    <a:stretch>
                      <a:fillRect/>
                    </a:stretch>
                  </pic:blipFill>
                  <pic:spPr>
                    <a:xfrm>
                      <a:off x="0" y="0"/>
                      <a:ext cx="3960000" cy="2520000"/>
                    </a:xfrm>
                    <a:prstGeom prst="rect">
                      <a:avLst/>
                    </a:prstGeom>
                  </pic:spPr>
                </pic:pic>
              </a:graphicData>
            </a:graphic>
          </wp:inline>
        </w:drawing>
      </w:r>
    </w:p>
    <w:p w14:paraId="001000D0" w14:textId="001000D1">
      <w:pPr>
        <w:pStyle w:val="Normal"/>
        <w:jc w:val="left"/>
      </w:pPr>
      <w:r>
        <w:t xml:space="preserve">Figure 3 Group KPI trends over the reporting period</w:t>
      </w:r>
    </w:p>
    <w:p w14:paraId="001000D2" w14:textId="001000D6">
      <w:pPr>
        <w:pStyle w:val="Normal"/>
        <w:jc w:val="left"/>
      </w:pPr>
      <w:r>
        <w:t xml:space="preserve">Source:</w:t>
      </w:r>
      <w:r>
        <w:t xml:space="preserve"> Rivermark Group finance analysis. </w:t>
      </w:r>
      <w:r>
        <w:t xml:space="preserve">¹</w:t>
      </w:r>
      <w:r>
        <w:t xml:space="preserve">Trend figures are indexed to annual closing values and are intended to illustrate direction rather than monthly seasonality.</w:t>
      </w:r>
    </w:p>
    <w:p w14:paraId="001000D7" w14:textId="001000D8">
      <w:pPr>
        <w:pStyle w:val="Normal"/>
        <w:jc w:val="left"/>
      </w:pPr>
      <w:r>
        <w:t xml:space="preserve">Figure 4 Segment contribution to revenue and operating profit</w:t>
      </w:r>
    </w:p>
    <w:p w14:paraId="001000D9" w14:textId="001000DA">
      <w:pPr>
        <w:pStyle w:val="Normal"/>
        <w:jc w:val="left"/>
      </w:pPr>
      <w:r>
        <w:t xml:space="preserve">The main movements in the year’s KPI profile point to a business that improved both scale and quality of earnings. Revenue growth was broad-based rather than concentrated in a single activity, with Industrial benefiting from firmer pricing and project timing, Consumer seeing a healthier channel mix, and Services adding higher recurring revenue from renewals and selected new wins. This breadth matters because it reduced the Group’s dependence on any one end market and supported more stable utilization across operating units.</w:t>
      </w:r>
    </w:p>
    <w:p w14:paraId="001000DB" w14:textId="001000DC">
      <w:pPr>
        <w:pStyle w:val="Normal"/>
        <w:jc w:val="left"/>
      </w:pPr>
      <w:r>
        <w:t xml:space="preserve">Profit growth outpaced revenue, indicating that management captured operating leverage while containing overhead inflation. Input-cost pressure did not disappear, but procurement actions, process efficiencies, and selective pricing discipline helped preserve margins. Cash performance was particularly notable. Operating cash flow increased faster than net profit, supported by better collections, tighter inventory control, and a more even phasing of supplier payments. As a result, net debt ended the period below the prior year despite continued capital expenditure.</w:t>
      </w:r>
    </w:p>
    <w:p w14:paraId="001000DD" w14:textId="001000DE">
      <w:pPr>
        <w:pStyle w:val="Normal"/>
        <w:jc w:val="left"/>
      </w:pPr>
      <w:r>
        <w:t xml:space="preserve">Taken together, the KPI trends suggest that Rivermark Group moved beyond simple top-line recovery and into a more balanced phase of execution. The combination of higher earnings, stronger cash generation, and lower leverage provides a firmer base for planned investment while preserving flexibility if demand conditions soften in the next reporting cycle.</w:t>
      </w:r>
    </w:p>
    <w:p w14:paraId="00100EEC" w14:textId="00100EED">
      <w:pPr>
        <w:pStyle w:val="Normal"/>
        <w:jc w:val="left"/>
        <w:sectPr>
          <w:type w:val="nextPage"/>
          <w:pgSz w:w="11906" w:h="16838"/>
          <w:pgMar w:top="1440" w:right="1440" w:bottom="1440" w:left="1440" w:header="1440" w:footer="1440" w:gutter="0"/>
          <w:cols w:space="720" w:num="1"/>
        </w:sectPr>
      </w:pPr>
    </w:p>
    <w:p w14:paraId="001000E3" w14:textId="001000E4">
      <w:pPr>
        <w:pStyle w:val="Normal"/>
        <w:jc w:val="left"/>
      </w:pPr>
      <w:r>
        <w:t xml:space="preserve">Chapter 3 Group Overview</w:t>
      </w:r>
    </w:p>
    <w:p w14:paraId="001000E5" w14:textId="001000E6">
      <w:pPr>
        <w:pStyle w:val="Normal"/>
        <w:jc w:val="left"/>
      </w:pPr>
      <w:r>
        <w:t xml:space="preserve">This chapter introduces the operating profile of Rivermark Group and explains the basis on which the Group presents its business, geographic reach, and strategic direction. It sets out the reporting perimeter, the composition of the portfolio across Industrial, Consumer, and Services activities, and the way management assesses performance across markets and operating assets. The chapter also provides context for the footprint map, segment mix analysis, and value creation model used throughout the report.</w:t>
      </w:r>
    </w:p>
    <w:p w14:paraId="001000E7" w14:textId="001000E8">
      <w:pPr>
        <w:pStyle w:val="Normal"/>
        <w:jc w:val="left"/>
      </w:pPr>
      <w:r>
        <w:t xml:space="preserve">The discussion is intended to give readers a clear line of sight from legal structure to operating reality. In addition to describing where Rivermark Group operates, it explains how capital, people, technology, and customer relationships are organized to support earnings quality and long-term growth. The emphasis is on scale, discipline, and portfolio balance: a diversified business base, a multi-region operating network, and an investment approach that seeks resilient returns while preserving flexibility for future expansion.</w:t>
      </w:r>
    </w:p>
    <w:p w14:paraId="001000E9" w14:textId="001000EA">
      <w:pPr>
        <w:pStyle w:val="Normal"/>
        <w:jc w:val="left"/>
      </w:pPr>
      <w:r>
        <w:t xml:space="preserve">Rivermark Group is a diversified operating group with activities spanning engineered industrial products, consumer-facing brands, and service-based solutions. Across these businesses, the Group pursues a common strategic objective: to build durable positions in selected markets where operational capability, customer proximity, and disciplined capital allocation can produce repeatable returns. Management evaluates progress not only through revenue growth, but also through margin quality, asset efficiency, cash generation, and the ability of each segment to strengthen its competitive position over time.</w:t>
      </w:r>
    </w:p>
    <w:p w14:paraId="001000EB" w14:textId="001000EC">
      <w:pPr>
        <w:pStyle w:val="Normal"/>
        <w:jc w:val="left"/>
      </w:pPr>
      <w:r>
        <w:t xml:space="preserve">The Group’s strategy combines selective expansion with steady portfolio improvement. In practice, this means investing behind segments and product lines with attractive demand characteristics, improving the productivity of core operations, and maintaining a balanced business mix that reduces dependence on any single end market. Industrial operations provide scale and manufacturing depth, Consumer activities contribute brand presence and channel diversification, and Services operations add recurring revenue and customer retention advantages. Together, these elements support a model in which growth is pursued with attention to execution discipline, risk control, and the long-term sustainability of the earnings base.</w:t>
      </w:r>
    </w:p>
    <w:p w14:paraId="001000ED" w14:textId="001000EE">
      <w:pPr>
        <w:pStyle w:val="Normal"/>
        <w:jc w:val="left"/>
      </w:pPr>
      <w:r>
        <w:t xml:space="preserve">Rivermark Group’s operating model is shaped by the interaction between business mix and geographic reach. The Group serves customers through a network of production sites, service locations, sales teams, and distribution channels that extend across multiple regions. This footprint is designed to support both local responsiveness and group-level coordination, allowing management to align supply, capacity, and commercial activity with market conditions in each segment. The resulting structure supports scale benefits while preserving enough flexibility to respond to shifts in demand, input costs, and delivery requirements.</w:t>
      </w:r>
    </w:p>
    <w:p w14:paraId="001000EF" w14:textId="001000F0">
      <w:pPr>
        <w:pStyle w:val="Normal"/>
        <w:jc w:val="left"/>
      </w:pPr>
      <w:r>
        <w:t xml:space="preserve">The business model links common inputs such as capital investment, technical know-how, procurement scale, and workforce capability to segment-specific outputs. In Industrial, value is created through efficient manufacturing and order execution. In Consumer, value depends on portfolio management, channel reach, and pricing realization. In Services, value comes from utilization, contract retention, and delivery consistency. The footprint therefore serves more than a descriptive purpose; it is a practical foundation for revenue generation, operating resilience, and resource allocation. As the chapter develops, the map, segment tables, and process illustrations show how the Group converts its platform into market coverage, cash flow, and long-term operating capacity.</w:t>
      </w:r>
    </w:p>
    <w:p w14:paraId="001000F1" w14:textId="001000F2">
      <w:pPr>
        <w:pStyle w:val="Normal"/>
        <w:jc w:val="left"/>
      </w:pPr>
      <w:r>
        <w:t xml:space="preserve">Section 1 Corporate Profile</w:t>
      </w:r>
    </w:p>
    <w:p w14:paraId="001000F3" w14:textId="001000F4">
      <w:pPr>
        <w:pStyle w:val="Normal"/>
        <w:jc w:val="left"/>
      </w:pPr>
      <w:r>
        <w:t xml:space="preserve">The corporate profile section summarizes the essential features of Rivermark Group as a reporting entity and operating enterprise. It outlines the Group’s organizational identity, the boundaries of consolidation used in this annual report, and the broad distribution of activities across regions and business lines. The objective is to establish a reliable baseline for interpreting the financial, operational, and strategic information that follows in later chapters.</w:t>
      </w:r>
    </w:p>
    <w:p w14:paraId="001000F5" w14:textId="001000F6">
      <w:pPr>
        <w:pStyle w:val="Normal"/>
        <w:jc w:val="left"/>
      </w:pPr>
      <w:r>
        <w:t xml:space="preserve">Rivermark Group operates through a set of controlled subsidiaries and managed business units that together form an integrated but diversified portfolio. Its footprint includes production, commercial, and service capabilities positioned to support customer access and operational continuity. This section therefore combines legal scope with operating substance: what entities are included, where they operate, and how those locations support the Group’s commercial and delivery model. The profile also provides the context needed to understand segment mix, management reporting, and the relationship between asset placement and market coverage.</w:t>
      </w:r>
    </w:p>
    <w:p w14:paraId="001000F7" w14:textId="001000F8">
      <w:pPr>
        <w:pStyle w:val="Normal"/>
        <w:jc w:val="left"/>
      </w:pPr>
      <w:r>
        <w:t xml:space="preserve">Subsection 1 Group Identity</w:t>
      </w:r>
    </w:p>
    <w:p w14:paraId="001000F9" w14:textId="001000FB">
      <w:pPr>
        <w:pStyle w:val="Normal"/>
        <w:jc w:val="left"/>
      </w:pPr>
      <w:r>
        <w:t xml:space="preserve">Group identity:</w:t>
      </w:r>
      <w:r>
        <w:t xml:space="preserve"> Rivermark Group is presented in this report as the consolidated parent and its controlled subsidiaries engaged in Industrial, Consumer, and Services activities during the reporting period. The report has been prepared on a going-concern basis and reflects management’s view of the businesses over which the Group exercises control at year end, together with comparative information for the prior year on a consistent presentation basis where practicable. The reporting perimeter is intended to align the legal consolidation boundary with the way senior management oversees performance, allocates resources, and evaluates strategic progress.</w:t>
        <w:br/>
        <w:t xml:space="preserve">The report combines financial information with selected operating and organizational disclosures to give a rounded picture of the Group’s scale and direction. Unless otherwise stated, narrative references to the Group include principal operating entities, shared corporate functions, and material support activities that contribute to segment performance. Geographic descriptions refer to operating presence rather than separate public reporting units. This approach allows readers to connect legal structure, management accountability, and operating execution without treating them as separate stories. It also provides a stable foundation for the footprint, business mix, and strategic model discussions presented in the sections that follow.</w:t>
      </w:r>
    </w:p>
    <w:p w14:paraId="001000FC" w14:textId="001000FD">
      <w:pPr>
        <w:pStyle w:val="Normal"/>
        <w:jc w:val="left"/>
      </w:pPr>
      <w:r>
        <w:t xml:space="preserve">1.1 Registered Scope</w:t>
      </w:r>
    </w:p>
    <w:p w14:paraId="001000FE" w14:textId="001000FF">
      <w:pPr>
        <w:pStyle w:val="Normal"/>
        <w:jc w:val="left"/>
      </w:pPr>
      <w:r>
        <w:t xml:space="preserve">The registered scope of Rivermark Group comprises the parent holding company and those subsidiaries over which the Group has control through ownership, governance rights, or equivalent decision-making authority. These entities include operating companies, intermediate holding entities, trading units, service companies, and other controlled structures that support the Group’s commercial and administrative activities. Entities that are not controlled are not consolidated, although their business relationships with the Group may affect procurement, distribution, or customer delivery in the normal course of operations.</w:t>
      </w:r>
    </w:p>
    <w:p w14:paraId="00100100" w14:textId="00100101">
      <w:pPr>
        <w:pStyle w:val="Normal"/>
        <w:jc w:val="left"/>
      </w:pPr>
      <w:r>
        <w:t xml:space="preserve">For reporting purposes, the legal entity structure is presented in a simplified manner to emphasize material operating substance rather than exhaustive statutory detail. The annual report therefore focuses on the businesses and legal units that meaningfully contribute to revenue, assets, workforce deployment, or strategic capability. In cases where multiple registered entities support one business platform, the report refers to them collectively within the relevant segment. This presentation improves readability while preserving consistency with the underlying consolidation perimeter used in preparing the Group’s primary financial statements and management analysis.</w:t>
      </w:r>
    </w:p>
    <w:p w14:paraId="00100102" w14:textId="00100103">
      <w:pPr>
        <w:pStyle w:val="Normal"/>
        <w:jc w:val="left"/>
      </w:pPr>
      <w:r>
        <w:t xml:space="preserve">During the reporting period, the overall basis of consolidation remained stable, with no change that altered the core identity of Rivermark Group or the comparability of chapter-level segment discussion. Where internal reorganizations, entity simplifications, or operating transfers occurred, these changes were administrative or structural in nature and did not materially affect the presentation of the Group’s three principal segments. Comparative information has therefore been retained on a broadly consistent basis to support year-on-year analysis of revenue, assets, and operating trends.</w:t>
      </w:r>
    </w:p>
    <w:p w14:paraId="00100104" w14:textId="00100105">
      <w:pPr>
        <w:pStyle w:val="Normal"/>
        <w:jc w:val="left"/>
      </w:pPr>
      <w:r>
        <w:t xml:space="preserve">Management continues to review the reporting boundary to ensure that the report reflects economic substance as well as legal form. Minor changes in entity ownership percentages, dormant company treatment, or the alignment of shared service functions may influence the internal presentation of activity, but such items have not changed the fundamental perimeter used for this report. The basis applied across the chapter is accordingly one of controlled operations, material contribution, and consistent management view. This supports transparency for readers while allowing the report to remain concise and focused on the businesses, assets, and regions most relevant to current performance and future development.</w:t>
      </w:r>
    </w:p>
    <w:p w14:paraId="00100106" w14:textId="00100107">
      <w:pPr>
        <w:pStyle w:val="Normal"/>
        <w:jc w:val="left"/>
      </w:pPr>
      <w:r>
        <w:t xml:space="preserve">1.2 Operating Footprint</w:t>
      </w:r>
    </w:p>
    <w:p w14:paraId="00100108" w14:textId="00100109">
      <w:pPr>
        <w:pStyle w:val="Normal"/>
        <w:jc w:val="left"/>
      </w:pPr>
      <w:r>
        <w:drawing>
          <wp:inline distT="0" distB="0" distL="0" distR="0">
            <wp:extent cx="4680000" cy="2520000"/>
            <wp:effectExtent l="0" t="0" r="0" b="0"/>
            <wp:docPr id="4" name="Fig-I05-01.png" descr=""/>
            <wp:cNvGraphicFramePr>
              <a:graphicFrameLocks noChangeAspect="1"/>
            </wp:cNvGraphicFramePr>
            <a:graphic>
              <a:graphicData uri="http://schemas.openxmlformats.org/drawingml/2006/picture">
                <pic:pic>
                  <pic:nvPicPr>
                    <pic:cNvPr id="4" name="Fig-I05-01.png"/>
                    <pic:cNvPicPr/>
                  </pic:nvPicPr>
                  <pic:blipFill>
                    <a:blip r:embed="Re93e9147a25e4f72" cstate="print"/>
                    <a:stretch>
                      <a:fillRect/>
                    </a:stretch>
                  </pic:blipFill>
                  <pic:spPr>
                    <a:xfrm>
                      <a:off x="0" y="0"/>
                      <a:ext cx="5040000" cy="2880000"/>
                    </a:xfrm>
                    <a:prstGeom prst="rect">
                      <a:avLst/>
                    </a:prstGeom>
                  </pic:spPr>
                </pic:pic>
              </a:graphicData>
            </a:graphic>
          </wp:inline>
        </w:drawing>
      </w:r>
    </w:p>
    <w:p w14:paraId="0010010A" w14:textId="0010010B">
      <w:pPr>
        <w:pStyle w:val="Normal"/>
        <w:jc w:val="left"/>
      </w:pPr>
      <w:r>
        <w:t xml:space="preserve">Figure 5 Operating footprint by region and site</w:t>
      </w:r>
    </w:p>
    <w:p w14:paraId="0010010C" w14:textId="0010010E">
      <w:pPr>
        <w:pStyle w:val="Normal"/>
        <w:jc w:val="left"/>
      </w:pPr>
      <w:r>
        <w:t xml:space="preserve">Source:</w:t>
      </w:r>
      <w:r>
        <w:t xml:space="preserve"> Rivermark Group operating footprint map, based on active sites and regional management reporting perimeter as of year-end.</w:t>
      </w:r>
    </w:p>
    <w:p w14:paraId="0010010F" w14:textId="00100110">
      <w:pPr>
        <w:pStyle w:val="Normal"/>
        <w:jc w:val="left"/>
      </w:pPr>
      <w:r>
        <w:t xml:space="preserve">Figure 6 Regional distribution of production, service, and commercial sites</w:t>
      </w:r>
    </w:p>
    <w:p w14:paraId="00100111" w14:textId="00100112">
      <w:pPr>
        <w:pStyle w:val="Normal"/>
        <w:jc w:val="left"/>
      </w:pPr>
      <w:r>
        <w:t xml:space="preserve">Subsection 2 Business Mix</w:t>
      </w:r>
    </w:p>
    <w:p w14:paraId="00100113" w14:textId="00100114">
      <w:pPr>
        <w:pStyle w:val="Normal"/>
        <w:jc w:val="left"/>
      </w:pPr>
      <w:r>
        <w:t xml:space="preserve">Rivermark Group maintains a balanced business mix across Industrial, Consumer, and Services activities, which supports earnings resilience and broadens exposure to different demand cycles. Industrial remains the largest contributor by scale, reflecting the Group’s manufacturing base, long-standing customer relationships, and significant installed asset footprint. Consumer provides diversified volume through branded and channel-driven sales, while Services adds recurring revenue streams through maintenance, technical support, and solution-based contracts. Taken together, the portfolio combines asset-backed operations with customer-facing businesses that can respond at different speeds to market change.</w:t>
      </w:r>
    </w:p>
    <w:p w14:paraId="00100115" w14:textId="00100116">
      <w:pPr>
        <w:pStyle w:val="Normal"/>
        <w:jc w:val="left"/>
      </w:pPr>
      <w:r>
        <w:t xml:space="preserve">The contribution profile is also important from a strategic perspective. Industrial typically drives operating leverage when utilization improves, Consumer contributes market reach and brand visibility, and Services strengthens continuity through renewal-oriented income and closer customer engagement. This mix reduces dependence on any single end market and creates opportunities for cross-segment coordination, including shared procurement, route-to-market alignment, and service support for industrial customers. Management reviews segment mix not only by revenue, but also by asset intensity, margin characteristics, and capital needs. This broader view helps the Group allocate investment toward businesses that can sustain profitable growth while preserving flexibility through the cycle.</w:t>
      </w:r>
    </w:p>
    <w:p w14:paraId="00100117" w14:textId="00100118">
      <w:pPr>
        <w:pStyle w:val="Normal"/>
        <w:jc w:val="left"/>
      </w:pPr>
      <w:r>
        <w:t xml:space="preserve">2.1 Revenue Mix</w:t>
      </w:r>
    </w:p>
    <w:p w14:paraId="00100119" w14:textId="0010011A">
      <w:pPr>
        <w:pStyle w:val="Normal"/>
        <w:jc w:val="left"/>
      </w:pPr>
      <w:r>
        <w:drawing>
          <wp:inline distT="0" distB="0" distL="0" distR="0">
            <wp:extent cx="4320000" cy="2160000"/>
            <wp:effectExtent l="0" t="0" r="0" b="0"/>
            <wp:docPr id="5" name="Fig-I05-02.png" descr=""/>
            <wp:cNvGraphicFramePr>
              <a:graphicFrameLocks noChangeAspect="1"/>
            </wp:cNvGraphicFramePr>
            <a:graphic>
              <a:graphicData uri="http://schemas.openxmlformats.org/drawingml/2006/picture">
                <pic:pic>
                  <pic:nvPicPr>
                    <pic:cNvPr id="5" name="Fig-I05-02.png"/>
                    <pic:cNvPicPr/>
                  </pic:nvPicPr>
                  <pic:blipFill>
                    <a:blip r:embed="R118661e22192449e" cstate="print"/>
                    <a:stretch>
                      <a:fillRect/>
                    </a:stretch>
                  </pic:blipFill>
                  <pic:spPr>
                    <a:xfrm>
                      <a:off x="0" y="0"/>
                      <a:ext cx="3960000" cy="2520000"/>
                    </a:xfrm>
                    <a:prstGeom prst="rect">
                      <a:avLst/>
                    </a:prstGeom>
                  </pic:spPr>
                </pic:pic>
              </a:graphicData>
            </a:graphic>
          </wp:inline>
        </w:drawing>
      </w:r>
    </w:p>
    <w:p w14:paraId="0010011B" w14:textId="0010011C">
      <w:pPr>
        <w:pStyle w:val="Normal"/>
        <w:jc w:val="left"/>
      </w:pPr>
      <w:r>
        <w:t xml:space="preserve">Figure 7 Segment revenue mix</w:t>
      </w:r>
    </w:p>
    <w:p w14:paraId="0010011D" w14:textId="0010011F">
      <w:pPr>
        <w:pStyle w:val="Normal"/>
        <w:jc w:val="left"/>
      </w:pPr>
      <w:r>
        <w:t xml:space="preserve">Source:</w:t>
      </w:r>
      <w:r>
        <w:t xml:space="preserve"> Rivermark Group management accounts; chart based on consolidated segment revenue for the reporting year.</w:t>
      </w:r>
    </w:p>
    <w:p w14:paraId="00100120" w14:textId="00100121">
      <w:pPr>
        <w:pStyle w:val="Normal"/>
        <w:jc w:val="left"/>
      </w:pPr>
      <w:r>
        <w:t xml:space="preserve">Figure 8 Revenue share by operating segment</w:t>
      </w:r>
    </w:p>
    <w:p w14:paraId="00100122" w14:textId="00100123">
      <w:pPr>
        <w:pStyle w:val="Normal"/>
        <w:jc w:val="left"/>
      </w:pPr>
      <w:r>
        <w:t xml:space="preserve">2.2 Asset Mix</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124" w14:textId="00100160">
            <w:pPr>
              <w:pStyle w:val="Normal"/>
              <w:jc w:val="left"/>
            </w:pPr>
            <w:r>
              <w:t xml:space="preserve">Segment</w:t>
            </w:r>
          </w:p>
        </w:tc>
        <w:tc>
          <w:tcPr>
            <w:vAlign w:val="center"/>
            <w:tcBorders>
              <w:top w:val="single" w:sz="4" w:space="0" w:color="auto"/>
              <w:left w:val="single" w:sz="4" w:space="0" w:color="auto"/>
              <w:bottom w:val="single" w:sz="4" w:space="0" w:color="auto"/>
              <w:right w:val="single" w:sz="4" w:space="0" w:color="auto"/>
            </w:tcBorders>
          </w:tcPr>
          <w:p w14:paraId="00100126" w14:textId="00100161">
            <w:pPr>
              <w:pStyle w:val="Normal"/>
              <w:jc w:val="left"/>
            </w:pPr>
            <w:r>
              <w:t xml:space="preserve">Total assets</w:t>
            </w:r>
          </w:p>
        </w:tc>
        <w:tc>
          <w:tcPr>
            <w:vAlign w:val="center"/>
            <w:tcBorders>
              <w:top w:val="single" w:sz="4" w:space="0" w:color="auto"/>
              <w:left w:val="single" w:sz="4" w:space="0" w:color="auto"/>
              <w:bottom w:val="single" w:sz="4" w:space="0" w:color="auto"/>
              <w:right w:val="single" w:sz="4" w:space="0" w:color="auto"/>
            </w:tcBorders>
          </w:tcPr>
          <w:p w14:paraId="00100128" w14:textId="00100162">
            <w:pPr>
              <w:pStyle w:val="Normal"/>
              <w:jc w:val="left"/>
            </w:pPr>
            <w:r>
              <w:t xml:space="preserve">Share of group assets</w:t>
            </w:r>
          </w:p>
        </w:tc>
        <w:tc>
          <w:tcPr>
            <w:vAlign w:val="center"/>
            <w:tcBorders>
              <w:top w:val="single" w:sz="4" w:space="0" w:color="auto"/>
              <w:left w:val="single" w:sz="4" w:space="0" w:color="auto"/>
              <w:bottom w:val="single" w:sz="4" w:space="0" w:color="auto"/>
              <w:right w:val="single" w:sz="4" w:space="0" w:color="auto"/>
            </w:tcBorders>
          </w:tcPr>
          <w:p w14:paraId="0010012A" w14:textId="00100163">
            <w:pPr>
              <w:pStyle w:val="Normal"/>
              <w:jc w:val="left"/>
            </w:pPr>
            <w:r>
              <w:t xml:space="preserve">Asset turnover</w:t>
            </w:r>
          </w:p>
        </w:tc>
        <w:tc>
          <w:tcPr>
            <w:vAlign w:val="center"/>
            <w:tcBorders>
              <w:top w:val="single" w:sz="4" w:space="0" w:color="auto"/>
              <w:left w:val="single" w:sz="4" w:space="0" w:color="auto"/>
              <w:bottom w:val="single" w:sz="4" w:space="0" w:color="auto"/>
              <w:right w:val="single" w:sz="4" w:space="0" w:color="auto"/>
            </w:tcBorders>
          </w:tcPr>
          <w:p w14:paraId="0010012C" w14:textId="00100164">
            <w:pPr>
              <w:pStyle w:val="Normal"/>
              <w:jc w:val="left"/>
            </w:pPr>
            <w:r>
              <w:t xml:space="preserve">Capital intensity</w:t>
            </w:r>
          </w:p>
        </w:tc>
      </w:tr>
      <w:tr>
        <w:tc>
          <w:tcPr>
            <w:vAlign w:val="center"/>
            <w:tcBorders>
              <w:top w:val="single" w:sz="4" w:space="0" w:color="auto"/>
              <w:left w:val="single" w:sz="4" w:space="0" w:color="auto"/>
              <w:bottom w:val="single" w:sz="4" w:space="0" w:color="auto"/>
              <w:right w:val="single" w:sz="4" w:space="0" w:color="auto"/>
            </w:tcBorders>
          </w:tcPr>
          <w:p w14:paraId="0010012E" w14:textId="00100165">
            <w:pPr>
              <w:pStyle w:val="Normal"/>
              <w:jc w:val="left"/>
            </w:pPr>
            <w:r>
              <w:t xml:space="preserve">Industrial</w:t>
            </w:r>
          </w:p>
        </w:tc>
        <w:tc>
          <w:tcPr>
            <w:vAlign w:val="center"/>
            <w:tcBorders>
              <w:top w:val="single" w:sz="4" w:space="0" w:color="auto"/>
              <w:left w:val="single" w:sz="4" w:space="0" w:color="auto"/>
              <w:bottom w:val="single" w:sz="4" w:space="0" w:color="auto"/>
              <w:right w:val="single" w:sz="4" w:space="0" w:color="auto"/>
            </w:tcBorders>
          </w:tcPr>
          <w:p w14:paraId="00100130" w14:textId="00100166">
            <w:pPr>
              <w:pStyle w:val="Normal"/>
              <w:jc w:val="left"/>
            </w:pPr>
            <w:r>
              <w:t xml:space="preserve">1,480</w:t>
            </w:r>
          </w:p>
        </w:tc>
        <w:tc>
          <w:tcPr>
            <w:vAlign w:val="center"/>
            <w:tcBorders>
              <w:top w:val="single" w:sz="4" w:space="0" w:color="auto"/>
              <w:left w:val="single" w:sz="4" w:space="0" w:color="auto"/>
              <w:bottom w:val="single" w:sz="4" w:space="0" w:color="auto"/>
              <w:right w:val="single" w:sz="4" w:space="0" w:color="auto"/>
            </w:tcBorders>
          </w:tcPr>
          <w:p w14:paraId="00100132" w14:textId="00100167">
            <w:pPr>
              <w:pStyle w:val="Normal"/>
              <w:jc w:val="left"/>
            </w:pPr>
            <w:r>
              <w:t xml:space="preserve">41%</w:t>
            </w:r>
          </w:p>
        </w:tc>
        <w:tc>
          <w:tcPr>
            <w:vAlign w:val="center"/>
            <w:tcBorders>
              <w:top w:val="single" w:sz="4" w:space="0" w:color="auto"/>
              <w:left w:val="single" w:sz="4" w:space="0" w:color="auto"/>
              <w:bottom w:val="single" w:sz="4" w:space="0" w:color="auto"/>
              <w:right w:val="single" w:sz="4" w:space="0" w:color="auto"/>
            </w:tcBorders>
          </w:tcPr>
          <w:p w14:paraId="00100134" w14:textId="00100168">
            <w:pPr>
              <w:pStyle w:val="Normal"/>
              <w:jc w:val="left"/>
            </w:pPr>
            <w:r>
              <w:t xml:space="preserve">1.58x</w:t>
            </w:r>
          </w:p>
        </w:tc>
        <w:tc>
          <w:tcPr>
            <w:vAlign w:val="center"/>
            <w:tcBorders>
              <w:top w:val="single" w:sz="4" w:space="0" w:color="auto"/>
              <w:left w:val="single" w:sz="4" w:space="0" w:color="auto"/>
              <w:bottom w:val="single" w:sz="4" w:space="0" w:color="auto"/>
              <w:right w:val="single" w:sz="4" w:space="0" w:color="auto"/>
            </w:tcBorders>
          </w:tcPr>
          <w:p w14:paraId="00100136" w14:textId="00100169">
            <w:pPr>
              <w:pStyle w:val="Normal"/>
              <w:jc w:val="left"/>
            </w:pPr>
            <w:r>
              <w:t xml:space="preserve">0.63</w:t>
            </w:r>
          </w:p>
        </w:tc>
      </w:tr>
      <w:tr>
        <w:tc>
          <w:tcPr>
            <w:vAlign w:val="center"/>
            <w:tcBorders>
              <w:top w:val="single" w:sz="4" w:space="0" w:color="auto"/>
              <w:left w:val="single" w:sz="4" w:space="0" w:color="auto"/>
              <w:bottom w:val="single" w:sz="4" w:space="0" w:color="auto"/>
              <w:right w:val="single" w:sz="4" w:space="0" w:color="auto"/>
            </w:tcBorders>
          </w:tcPr>
          <w:p w14:paraId="00100138" w14:textId="0010016A">
            <w:pPr>
              <w:pStyle w:val="Normal"/>
              <w:jc w:val="left"/>
            </w:pPr>
            <w:r>
              <w:t xml:space="preserve">Consumer</w:t>
            </w:r>
          </w:p>
        </w:tc>
        <w:tc>
          <w:tcPr>
            <w:vAlign w:val="center"/>
            <w:tcBorders>
              <w:top w:val="single" w:sz="4" w:space="0" w:color="auto"/>
              <w:left w:val="single" w:sz="4" w:space="0" w:color="auto"/>
              <w:bottom w:val="single" w:sz="4" w:space="0" w:color="auto"/>
              <w:right w:val="single" w:sz="4" w:space="0" w:color="auto"/>
            </w:tcBorders>
          </w:tcPr>
          <w:p w14:paraId="0010013A" w14:textId="0010016B">
            <w:pPr>
              <w:pStyle w:val="Normal"/>
              <w:jc w:val="left"/>
            </w:pPr>
            <w:r>
              <w:t xml:space="preserve">920</w:t>
            </w:r>
          </w:p>
        </w:tc>
        <w:tc>
          <w:tcPr>
            <w:vAlign w:val="center"/>
            <w:tcBorders>
              <w:top w:val="single" w:sz="4" w:space="0" w:color="auto"/>
              <w:left w:val="single" w:sz="4" w:space="0" w:color="auto"/>
              <w:bottom w:val="single" w:sz="4" w:space="0" w:color="auto"/>
              <w:right w:val="single" w:sz="4" w:space="0" w:color="auto"/>
            </w:tcBorders>
          </w:tcPr>
          <w:p w14:paraId="0010013C" w14:textId="0010016C">
            <w:pPr>
              <w:pStyle w:val="Normal"/>
              <w:jc w:val="left"/>
            </w:pPr>
            <w:r>
              <w:t xml:space="preserve">25%</w:t>
            </w:r>
          </w:p>
        </w:tc>
        <w:tc>
          <w:tcPr>
            <w:vAlign w:val="center"/>
            <w:tcBorders>
              <w:top w:val="single" w:sz="4" w:space="0" w:color="auto"/>
              <w:left w:val="single" w:sz="4" w:space="0" w:color="auto"/>
              <w:bottom w:val="single" w:sz="4" w:space="0" w:color="auto"/>
              <w:right w:val="single" w:sz="4" w:space="0" w:color="auto"/>
            </w:tcBorders>
          </w:tcPr>
          <w:p w14:paraId="0010013E" w14:textId="0010016D">
            <w:pPr>
              <w:pStyle w:val="Normal"/>
              <w:jc w:val="left"/>
            </w:pPr>
            <w:r>
              <w:t xml:space="preserve">1.83x</w:t>
            </w:r>
          </w:p>
        </w:tc>
        <w:tc>
          <w:tcPr>
            <w:vAlign w:val="center"/>
            <w:tcBorders>
              <w:top w:val="single" w:sz="4" w:space="0" w:color="auto"/>
              <w:left w:val="single" w:sz="4" w:space="0" w:color="auto"/>
              <w:bottom w:val="single" w:sz="4" w:space="0" w:color="auto"/>
              <w:right w:val="single" w:sz="4" w:space="0" w:color="auto"/>
            </w:tcBorders>
          </w:tcPr>
          <w:p w14:paraId="00100140" w14:textId="0010016E">
            <w:pPr>
              <w:pStyle w:val="Normal"/>
              <w:jc w:val="left"/>
            </w:pPr>
            <w:r>
              <w:t xml:space="preserve">0.55</w:t>
            </w:r>
          </w:p>
        </w:tc>
      </w:tr>
      <w:tr>
        <w:tc>
          <w:tcPr>
            <w:vAlign w:val="center"/>
            <w:tcBorders>
              <w:top w:val="single" w:sz="4" w:space="0" w:color="auto"/>
              <w:left w:val="single" w:sz="4" w:space="0" w:color="auto"/>
              <w:bottom w:val="single" w:sz="4" w:space="0" w:color="auto"/>
              <w:right w:val="single" w:sz="4" w:space="0" w:color="auto"/>
            </w:tcBorders>
          </w:tcPr>
          <w:p w14:paraId="00100142" w14:textId="0010016F">
            <w:pPr>
              <w:pStyle w:val="Normal"/>
              <w:jc w:val="left"/>
            </w:pPr>
            <w:r>
              <w:t xml:space="preserve">Services</w:t>
            </w:r>
          </w:p>
        </w:tc>
        <w:tc>
          <w:tcPr>
            <w:vAlign w:val="center"/>
            <w:tcBorders>
              <w:top w:val="single" w:sz="4" w:space="0" w:color="auto"/>
              <w:left w:val="single" w:sz="4" w:space="0" w:color="auto"/>
              <w:bottom w:val="single" w:sz="4" w:space="0" w:color="auto"/>
              <w:right w:val="single" w:sz="4" w:space="0" w:color="auto"/>
            </w:tcBorders>
          </w:tcPr>
          <w:p w14:paraId="00100144" w14:textId="00100170">
            <w:pPr>
              <w:pStyle w:val="Normal"/>
              <w:jc w:val="left"/>
            </w:pPr>
            <w:r>
              <w:t xml:space="preserve">640</w:t>
            </w:r>
          </w:p>
        </w:tc>
        <w:tc>
          <w:tcPr>
            <w:vAlign w:val="center"/>
            <w:tcBorders>
              <w:top w:val="single" w:sz="4" w:space="0" w:color="auto"/>
              <w:left w:val="single" w:sz="4" w:space="0" w:color="auto"/>
              <w:bottom w:val="single" w:sz="4" w:space="0" w:color="auto"/>
              <w:right w:val="single" w:sz="4" w:space="0" w:color="auto"/>
            </w:tcBorders>
          </w:tcPr>
          <w:p w14:paraId="00100146" w14:textId="00100171">
            <w:pPr>
              <w:pStyle w:val="Normal"/>
              <w:jc w:val="left"/>
            </w:pPr>
            <w:r>
              <w:t xml:space="preserve">18%</w:t>
            </w:r>
          </w:p>
        </w:tc>
        <w:tc>
          <w:tcPr>
            <w:vAlign w:val="center"/>
            <w:tcBorders>
              <w:top w:val="single" w:sz="4" w:space="0" w:color="auto"/>
              <w:left w:val="single" w:sz="4" w:space="0" w:color="auto"/>
              <w:bottom w:val="single" w:sz="4" w:space="0" w:color="auto"/>
              <w:right w:val="single" w:sz="4" w:space="0" w:color="auto"/>
            </w:tcBorders>
          </w:tcPr>
          <w:p w14:paraId="00100148" w14:textId="00100172">
            <w:pPr>
              <w:pStyle w:val="Normal"/>
              <w:jc w:val="left"/>
            </w:pPr>
            <w:r>
              <w:t xml:space="preserve">2.09x</w:t>
            </w:r>
          </w:p>
        </w:tc>
        <w:tc>
          <w:tcPr>
            <w:vAlign w:val="center"/>
            <w:tcBorders>
              <w:top w:val="single" w:sz="4" w:space="0" w:color="auto"/>
              <w:left w:val="single" w:sz="4" w:space="0" w:color="auto"/>
              <w:bottom w:val="single" w:sz="4" w:space="0" w:color="auto"/>
              <w:right w:val="single" w:sz="4" w:space="0" w:color="auto"/>
            </w:tcBorders>
          </w:tcPr>
          <w:p w14:paraId="0010014A" w14:textId="00100173">
            <w:pPr>
              <w:pStyle w:val="Normal"/>
              <w:jc w:val="left"/>
            </w:pPr>
            <w:r>
              <w:t xml:space="preserve">0.48</w:t>
            </w:r>
          </w:p>
        </w:tc>
      </w:tr>
      <w:tr>
        <w:tc>
          <w:tcPr>
            <w:vAlign w:val="center"/>
            <w:tcBorders>
              <w:top w:val="single" w:sz="4" w:space="0" w:color="auto"/>
              <w:left w:val="single" w:sz="4" w:space="0" w:color="auto"/>
              <w:bottom w:val="single" w:sz="4" w:space="0" w:color="auto"/>
              <w:right w:val="single" w:sz="4" w:space="0" w:color="auto"/>
            </w:tcBorders>
          </w:tcPr>
          <w:p w14:paraId="0010014C" w14:textId="00100174">
            <w:pPr>
              <w:pStyle w:val="Normal"/>
              <w:jc w:val="left"/>
            </w:pPr>
            <w:r>
              <w:t xml:space="preserve">Corporate and eliminations</w:t>
            </w:r>
          </w:p>
        </w:tc>
        <w:tc>
          <w:tcPr>
            <w:vAlign w:val="center"/>
            <w:tcBorders>
              <w:top w:val="single" w:sz="4" w:space="0" w:color="auto"/>
              <w:left w:val="single" w:sz="4" w:space="0" w:color="auto"/>
              <w:bottom w:val="single" w:sz="4" w:space="0" w:color="auto"/>
              <w:right w:val="single" w:sz="4" w:space="0" w:color="auto"/>
            </w:tcBorders>
          </w:tcPr>
          <w:p w14:paraId="0010014E" w14:textId="00100175">
            <w:pPr>
              <w:pStyle w:val="Normal"/>
              <w:jc w:val="left"/>
            </w:pPr>
            <w:r>
              <w:t xml:space="preserve">560</w:t>
            </w:r>
          </w:p>
        </w:tc>
        <w:tc>
          <w:tcPr>
            <w:vAlign w:val="center"/>
            <w:tcBorders>
              <w:top w:val="single" w:sz="4" w:space="0" w:color="auto"/>
              <w:left w:val="single" w:sz="4" w:space="0" w:color="auto"/>
              <w:bottom w:val="single" w:sz="4" w:space="0" w:color="auto"/>
              <w:right w:val="single" w:sz="4" w:space="0" w:color="auto"/>
            </w:tcBorders>
          </w:tcPr>
          <w:p w14:paraId="00100150" w14:textId="00100176">
            <w:pPr>
              <w:pStyle w:val="Normal"/>
              <w:jc w:val="left"/>
            </w:pPr>
            <w:r>
              <w:t xml:space="preserve">16%</w:t>
            </w:r>
          </w:p>
        </w:tc>
        <w:tc>
          <w:tcPr>
            <w:vAlign w:val="center"/>
            <w:tcBorders>
              <w:top w:val="single" w:sz="4" w:space="0" w:color="auto"/>
              <w:left w:val="single" w:sz="4" w:space="0" w:color="auto"/>
              <w:bottom w:val="single" w:sz="4" w:space="0" w:color="auto"/>
              <w:right w:val="single" w:sz="4" w:space="0" w:color="auto"/>
            </w:tcBorders>
          </w:tcPr>
          <w:p w14:paraId="00100152" w14:textId="00100177">
            <w:pPr>
              <w:pStyle w:val="Normal"/>
              <w:jc w:val="left"/>
            </w:pPr>
            <w:r>
              <w:t xml:space="preserve">n/m</w:t>
            </w:r>
          </w:p>
        </w:tc>
        <w:tc>
          <w:tcPr>
            <w:vAlign w:val="center"/>
            <w:tcBorders>
              <w:top w:val="single" w:sz="4" w:space="0" w:color="auto"/>
              <w:left w:val="single" w:sz="4" w:space="0" w:color="auto"/>
              <w:bottom w:val="single" w:sz="4" w:space="0" w:color="auto"/>
              <w:right w:val="single" w:sz="4" w:space="0" w:color="auto"/>
            </w:tcBorders>
          </w:tcPr>
          <w:p w14:paraId="00100154" w14:textId="00100178">
            <w:pPr>
              <w:pStyle w:val="Normal"/>
              <w:jc w:val="left"/>
            </w:pPr>
            <w:r>
              <w:t xml:space="preserve">n/m</w:t>
            </w:r>
          </w:p>
        </w:tc>
      </w:tr>
      <w:tr>
        <w:tc>
          <w:tcPr>
            <w:vAlign w:val="center"/>
            <w:tcBorders>
              <w:top w:val="single" w:sz="4" w:space="0" w:color="auto"/>
              <w:left w:val="single" w:sz="4" w:space="0" w:color="auto"/>
              <w:bottom w:val="single" w:sz="4" w:space="0" w:color="auto"/>
              <w:right w:val="single" w:sz="4" w:space="0" w:color="auto"/>
            </w:tcBorders>
          </w:tcPr>
          <w:p w14:paraId="00100156" w14:textId="00100179">
            <w:pPr>
              <w:pStyle w:val="Normal"/>
              <w:jc w:val="left"/>
            </w:pPr>
            <w:r>
              <w:t xml:space="preserve">Total</w:t>
            </w:r>
          </w:p>
        </w:tc>
        <w:tc>
          <w:tcPr>
            <w:vAlign w:val="center"/>
            <w:tcBorders>
              <w:top w:val="single" w:sz="4" w:space="0" w:color="auto"/>
              <w:left w:val="single" w:sz="4" w:space="0" w:color="auto"/>
              <w:bottom w:val="single" w:sz="4" w:space="0" w:color="auto"/>
              <w:right w:val="single" w:sz="4" w:space="0" w:color="auto"/>
            </w:tcBorders>
          </w:tcPr>
          <w:p w14:paraId="00100158" w14:textId="0010017A">
            <w:pPr>
              <w:pStyle w:val="Normal"/>
              <w:jc w:val="left"/>
            </w:pPr>
            <w:r>
              <w:t xml:space="preserve">3,600</w:t>
            </w:r>
          </w:p>
        </w:tc>
        <w:tc>
          <w:tcPr>
            <w:vAlign w:val="center"/>
            <w:tcBorders>
              <w:top w:val="single" w:sz="4" w:space="0" w:color="auto"/>
              <w:left w:val="single" w:sz="4" w:space="0" w:color="auto"/>
              <w:bottom w:val="single" w:sz="4" w:space="0" w:color="auto"/>
              <w:right w:val="single" w:sz="4" w:space="0" w:color="auto"/>
            </w:tcBorders>
          </w:tcPr>
          <w:p w14:paraId="0010015A" w14:textId="0010017B">
            <w:pPr>
              <w:pStyle w:val="Normal"/>
              <w:jc w:val="left"/>
            </w:pPr>
            <w:r>
              <w:t xml:space="preserve">100%</w:t>
            </w:r>
          </w:p>
        </w:tc>
        <w:tc>
          <w:tcPr>
            <w:vAlign w:val="center"/>
            <w:tcBorders>
              <w:top w:val="single" w:sz="4" w:space="0" w:color="auto"/>
              <w:left w:val="single" w:sz="4" w:space="0" w:color="auto"/>
              <w:bottom w:val="single" w:sz="4" w:space="0" w:color="auto"/>
              <w:right w:val="single" w:sz="4" w:space="0" w:color="auto"/>
            </w:tcBorders>
          </w:tcPr>
          <w:p w14:paraId="0010015C" w14:textId="0010017C">
            <w:pPr>
              <w:pStyle w:val="Normal"/>
              <w:jc w:val="left"/>
            </w:pPr>
            <w:r>
              <w:t xml:space="preserve">1.73x</w:t>
            </w:r>
          </w:p>
        </w:tc>
        <w:tc>
          <w:tcPr>
            <w:vAlign w:val="center"/>
            <w:tcBorders>
              <w:top w:val="single" w:sz="4" w:space="0" w:color="auto"/>
              <w:left w:val="single" w:sz="4" w:space="0" w:color="auto"/>
              <w:bottom w:val="single" w:sz="4" w:space="0" w:color="auto"/>
              <w:right w:val="single" w:sz="4" w:space="0" w:color="auto"/>
            </w:tcBorders>
          </w:tcPr>
          <w:p w14:paraId="0010015E" w14:textId="0010017D">
            <w:pPr>
              <w:pStyle w:val="Normal"/>
              <w:jc w:val="left"/>
            </w:pPr>
            <w:r>
              <w:t xml:space="preserve">0.58</w:t>
            </w:r>
          </w:p>
        </w:tc>
      </w:tr>
    </w:tbl>
    <w:p w14:paraId="0010017E" w14:textId="0010017F">
      <w:pPr>
        <w:pStyle w:val="Normal"/>
        <w:jc w:val="left"/>
      </w:pPr>
      <w:r>
        <w:t xml:space="preserve">Table 2 Assets by segment and KPI</w:t>
      </w:r>
    </w:p>
    <w:p w14:paraId="00100180" w14:textId="00100182">
      <w:pPr>
        <w:pStyle w:val="Normal"/>
        <w:jc w:val="left"/>
      </w:pPr>
      <w:r>
        <w:t xml:space="preserve">Source:</w:t>
      </w:r>
      <w:r>
        <w:t xml:space="preserve"> Rivermark Group management reporting for the year ended 31 December; asset turnover is revenue divided by average segment assets, and capital intensity is average segment assets divided by revenue.</w:t>
      </w:r>
    </w:p>
    <w:p w14:paraId="00100183" w14:textId="00100184">
      <w:pPr>
        <w:pStyle w:val="Normal"/>
        <w:jc w:val="left"/>
      </w:pPr>
      <w:r>
        <w:t xml:space="preserve">Section 2 Strategy and Model</w:t>
      </w:r>
    </w:p>
    <w:p w14:paraId="00100185" w14:textId="00100186">
      <w:pPr>
        <w:pStyle w:val="Normal"/>
        <w:jc w:val="left"/>
      </w:pPr>
      <w:r>
        <w:t xml:space="preserve">Rivermark Group’s strategy and operating model are designed to combine scale, portfolio balance, and disciplined execution. The Group serves industrial, consumer, and service markets through businesses that differ in cycle profile yet share common capabilities in procurement, operations, commercial management, digital systems, and capital allocation. This structure allows the Group to pursue growth where demand is expanding while preserving resilience through diversified earnings sources and a measured investment approach.</w:t>
      </w:r>
    </w:p>
    <w:p w14:paraId="00100187" w14:textId="00100188">
      <w:pPr>
        <w:pStyle w:val="Normal"/>
        <w:jc w:val="left"/>
      </w:pPr>
      <w:r>
        <w:t xml:space="preserve">The strategy is built around selective expansion, productivity improvement, and stronger customer relevance. Management prioritizes markets where Rivermark can earn sustainable returns through product quality, delivery reliability, and service depth rather than volume alone. The operating model supports this objective by linking upstream sourcing, production or fulfillment, route-to-market execution, and after-sales support through a common set of performance disciplines. Across the portfolio, the Group emphasizes cash generation, asset efficiency, and operating control so that growth initiatives are funded within a prudent financial framework. Together, these priorities are intended to strengthen earnings quality, improve return on invested capital, and position the business for steady medium-term development.</w:t>
      </w:r>
    </w:p>
    <w:p w14:paraId="00100189" w14:textId="0010018A">
      <w:pPr>
        <w:pStyle w:val="Normal"/>
        <w:jc w:val="left"/>
      </w:pPr>
      <w:r>
        <w:t xml:space="preserve">Subsection 1 Strategic Priorities</w:t>
      </w:r>
    </w:p>
    <w:p w14:paraId="0010018B" w14:textId="0010018C">
      <w:pPr>
        <w:pStyle w:val="Normal"/>
        <w:jc w:val="left"/>
      </w:pPr>
      <w:r>
        <w:t xml:space="preserve">Rivermark Group’s current strategic priorities reflect both the diversity of its operating segments and the need for a unified direction at Group level. Management is focusing on three linked themes: expanding in attractive demand pockets, improving the productivity of the existing asset base, and allocating capital to opportunities with clear return visibility. In practice, this means concentrating resources on product lines, customer segments, and service offers where the Group already has operational competence and a realistic path to margin improvement.</w:t>
      </w:r>
    </w:p>
    <w:p w14:paraId="0010018D" w14:textId="0010018E">
      <w:pPr>
        <w:pStyle w:val="Normal"/>
        <w:jc w:val="left"/>
      </w:pPr>
      <w:r>
        <w:t xml:space="preserve">Priority setting also reflects the different economics of the portfolio. Industrial activities require disciplined capacity use and operational efficiency, Consumer businesses rely on category relevance and channel execution, and Services depends on backlog quality, utilization, and delivery consistency. The Group therefore seeks common performance standards while allowing each segment to pursue tailored actions. Strategic review processes are used to compare growth opportunities, test commercial assumptions, and sequence investments against cash generation. This approach is intended to avoid fragmented expansion and to keep execution aligned with measurable operating outcomes.</w:t>
      </w:r>
    </w:p>
    <w:p w14:paraId="0010018F" w14:textId="00100190">
      <w:pPr>
        <w:pStyle w:val="Normal"/>
        <w:jc w:val="left"/>
      </w:pPr>
      <w:r>
        <w:t xml:space="preserve">1.1 Growth Priorities</w:t>
      </w:r>
    </w:p>
    <w:p w14:paraId="00100191" w14:textId="00100192">
      <w:pPr>
        <w:pStyle w:val="Normal"/>
        <w:jc w:val="left"/>
      </w:pPr>
      <w:r>
        <w:t xml:space="preserve">The Group’s growth agenda centers on markets and product areas where customer requirements are becoming more specialized and where Rivermark can compete on reliability, customization, and integrated support. In Industrial, the focus is on applications tied to infrastructure renewal, process efficiency, and replacement demand, supported by targeted upgrades at established sites. In Consumer, growth is directed toward higher-turn categories, value-added product refreshes, and channels that provide better visibility on end-user demand. In Services, the emphasis is on recurring contracts, technical support offerings, and bundled solutions that deepen customer relationships and increase revenue stability.</w:t>
      </w:r>
    </w:p>
    <w:p w14:paraId="00100193" w14:textId="00100194">
      <w:pPr>
        <w:pStyle w:val="Normal"/>
        <w:jc w:val="left"/>
      </w:pPr>
      <w:r>
        <w:t xml:space="preserve">Product priorities follow the same logic. Rivermark is directing development and commercial effort toward offers that can be scaled through existing platforms rather than through broad, low-return expansion. Management is also increasing coordination between segments where shared customer accounts, distribution capabilities, or data insights can improve conversion and retention. This selective model is intended to raise the quality of revenue growth while limiting complexity in the portfolio.</w:t>
      </w:r>
    </w:p>
    <w:p w14:paraId="00100195" w14:textId="00100196">
      <w:pPr>
        <w:pStyle w:val="Normal"/>
        <w:jc w:val="left"/>
      </w:pPr>
      <w:r>
        <w:t xml:space="preserve">Expansion aims are defined through practical milestones rather than broad volume targets alone. Over the medium term, Rivermark aims to increase the share of revenue generated from priority products, improve market coverage in underpenetrated regions within its current footprint, and lift the contribution of recurring or repeat business across the portfolio. Progress is expected to come from incremental site capability upgrades, channel development, commercial account management, and selective service attachment rather than from large-scale capacity additions.</w:t>
      </w:r>
    </w:p>
    <w:p w14:paraId="00100197" w14:textId="00100198">
      <w:pPr>
        <w:pStyle w:val="Normal"/>
        <w:jc w:val="left"/>
      </w:pPr>
      <w:r>
        <w:t xml:space="preserve">Management tracks expansion through a set of operating milestones that include launch success, customer acquisition in target segments, conversion of pipeline opportunities, and post-investment utilization of new capacity or systems. Geographic expansion remains disciplined and is primarily focused on extending reach around existing hubs, where logistics, supplier relationships, and management oversight are already established. This allows the Group to scale with lower execution risk and clearer accountability. By pairing commercial growth targets with operational readiness measures, Rivermark seeks to ensure that expansion contributes to margin quality and cash generation, not simply to top-line growth.</w:t>
      </w:r>
    </w:p>
    <w:p w14:paraId="00100199" w14:textId="0010019A">
      <w:pPr>
        <w:pStyle w:val="Normal"/>
        <w:jc w:val="left"/>
      </w:pPr>
      <w:r>
        <w:t xml:space="preserve">1.2 Capital Focus</w:t>
      </w:r>
    </w:p>
    <w:p w14:paraId="0010019B" w14:textId="0010019C">
      <w:pPr>
        <w:pStyle w:val="Normal"/>
        <w:jc w:val="left"/>
      </w:pPr>
      <w:r>
        <w:t xml:space="preserve">Rivermark Group applies a disciplined capital framework intended to balance growth investment with financial resilience. Capital is directed first to safety, maintenance, and compliance requirements that protect continuity of operations, then to projects with a clear commercial rationale, realistic implementation timetable, and measurable return threshold. Management reviews proposals against strategic fit, payback expectations, sensitivity to downside scenarios, and the effect on cash generation. This process is designed to prevent overextension in cyclical periods and to preserve capacity for opportunities that offer stronger long-term value creation.</w:t>
      </w:r>
    </w:p>
    <w:p w14:paraId="0010019D" w14:textId="0010019E">
      <w:pPr>
        <w:pStyle w:val="Normal"/>
        <w:jc w:val="left"/>
      </w:pPr>
      <w:r>
        <w:t xml:space="preserve">The Group’s capital focus also emphasizes asset productivity. Investments are favored where they improve throughput, reduce avoidable cost, support mix improvement, or strengthen customer retention without materially increasing fixed-cost exposure. Working capital discipline is treated as part of the same agenda, with attention to inventory turns, receivables quality, and project billing cycles. Portfolio decisions therefore extend beyond new spending to include reallocation, simplification, and exit from lower-return uses of capital. Through this approach, Rivermark aims to improve return on invested capital over time while maintaining a balance sheet that supports operational flexibility and selective expansion.</w:t>
      </w:r>
    </w:p>
    <w:p w14:paraId="0010019F" w14:textId="001001A0">
      <w:pPr>
        <w:pStyle w:val="Normal"/>
        <w:jc w:val="left"/>
      </w:pPr>
      <w:r>
        <w:t xml:space="preserve">Rivermark Group applies clear guardrails to capital allocation so that growth initiatives remain consistent with cash generation and risk appetite. Priority is given first to maintaining safe and reliable operations, then to funding projects that strengthen market position, improve productivity, or expand recurring revenue. New investment proposals are assessed against standardized hurdle rates, payback expectations, and scenario testing, with stricter thresholds for projects exposed to volatile input costs or early-stage demand assumptions. This approach is intended to preserve discipline across periods of uneven market conditions while still allowing timely investment in capability upgrades and targeted expansion.</w:t>
      </w:r>
    </w:p>
    <w:p w14:paraId="001001A1" w14:textId="001001A2">
      <w:pPr>
        <w:pStyle w:val="Normal"/>
        <w:jc w:val="left"/>
      </w:pPr>
      <w:r>
        <w:t xml:space="preserve">Return expectations are differentiated by asset intensity and strategic purpose. Industrial capacity additions are reviewed against utilization outlook and margin resilience, consumer brand and channel investments are tested for mix improvement and repeat sales potential, and services investments are judged by conversion to backlog, utilization, and contract quality. Capital is recycled away from low-return uses through portfolio review, working capital tightening, and post-investment performance tracking. Management monitors return on invested capital, free cash conversion, and operating margin progression together rather than in isolation, recognizing that sustainable returns depend on balanced execution across revenue quality, cost discipline, and asset efficiency. In practice, the Group's allocation framework is designed to favor durable earnings and resilient cash generation over short-term volume expansion alone.</w:t>
      </w:r>
    </w:p>
    <w:p w14:paraId="001001A3" w14:textId="001001A4">
      <w:pPr>
        <w:pStyle w:val="Normal"/>
        <w:jc w:val="left"/>
      </w:pPr>
      <w:r>
        <w:t xml:space="preserve">Subsection 2 Operating Model</w:t>
      </w:r>
    </w:p>
    <w:p w14:paraId="001001A5" w14:textId="001001A6">
      <w:pPr>
        <w:pStyle w:val="Normal"/>
        <w:jc w:val="left"/>
      </w:pPr>
      <w:r>
        <w:t xml:space="preserve">Rivermark Group's operating model connects strategy, capital, and daily execution through a common management framework used across the Industrial, Consumer, and Services segments. The model begins with market sensing and demand planning, where segment teams translate customer requirements, pricing signals, and regional conditions into operating plans. Those plans guide sourcing, production or service delivery, inventory positioning, route-to-market decisions, and after-sales support. Shared standards in safety, quality, budgeting, and performance review allow the Group to maintain a consistent control environment while adapting execution to the economics of each business line.</w:t>
      </w:r>
    </w:p>
    <w:p w14:paraId="001001A7" w14:textId="001001A8">
      <w:pPr>
        <w:pStyle w:val="Normal"/>
        <w:jc w:val="left"/>
      </w:pPr>
      <w:r>
        <w:t xml:space="preserve">The process is designed to create value at multiple points rather than at a single transaction stage. Scale purchasing supports cost competitiveness, disciplined operations support reliability and margin, and coordinated commercial management supports customer retention and mix improvement. Corporate functions provide treasury, compliance, technology, and talent platforms, while segment leadership retains accountability for revenue, service quality, and asset productivity. Regular operating reviews compare plan against actual performance, identify bottlenecks, and trigger corrective actions such as repricing, process redesign, staffing adjustment, or capex reprioritization. As a result, the Group's model is not merely an organizational chart; it is a repeatable decision system intended to convert strategic priorities into measurable operating outcomes and stronger long-term returns.</w:t>
      </w:r>
    </w:p>
    <w:p w14:paraId="001001A9" w14:textId="001001AA">
      <w:pPr>
        <w:pStyle w:val="Normal"/>
        <w:jc w:val="left"/>
      </w:pPr>
      <w:r>
        <w:t xml:space="preserve">2.1 Value Creation</w:t>
      </w:r>
    </w:p>
    <w:p w14:paraId="001001AB" w14:textId="001001AC">
      <w:pPr>
        <w:pStyle w:val="Normal"/>
        <w:jc w:val="left"/>
      </w:pPr>
      <w:r>
        <w:drawing>
          <wp:inline distT="0" distB="0" distL="0" distR="0">
            <wp:extent cx="4680000" cy="2160000"/>
            <wp:effectExtent l="0" t="0" r="0" b="0"/>
            <wp:docPr id="6" name="Fig-I05-03.png" descr=""/>
            <wp:cNvGraphicFramePr>
              <a:graphicFrameLocks noChangeAspect="1"/>
            </wp:cNvGraphicFramePr>
            <a:graphic>
              <a:graphicData uri="http://schemas.openxmlformats.org/drawingml/2006/picture">
                <pic:pic>
                  <pic:nvPicPr>
                    <pic:cNvPr id="6" name="Fig-I05-03.png"/>
                    <pic:cNvPicPr/>
                  </pic:nvPicPr>
                  <pic:blipFill>
                    <a:blip r:embed="Rdb117f7c8c2a46a5" cstate="print"/>
                    <a:stretch>
                      <a:fillRect/>
                    </a:stretch>
                  </pic:blipFill>
                  <pic:spPr>
                    <a:xfrm>
                      <a:off x="0" y="0"/>
                      <a:ext cx="5040000" cy="2520000"/>
                    </a:xfrm>
                    <a:prstGeom prst="rect">
                      <a:avLst/>
                    </a:prstGeom>
                  </pic:spPr>
                </pic:pic>
              </a:graphicData>
            </a:graphic>
          </wp:inline>
        </w:drawing>
      </w:r>
    </w:p>
    <w:p w14:paraId="001001AD" w14:textId="001001AE">
      <w:pPr>
        <w:pStyle w:val="Normal"/>
        <w:jc w:val="left"/>
      </w:pPr>
      <w:r>
        <w:t xml:space="preserve">Figure 9 Process diagram of value creation</w:t>
      </w:r>
    </w:p>
    <w:p w14:paraId="001001AF" w14:textId="001001B1">
      <w:pPr>
        <w:pStyle w:val="Normal"/>
        <w:jc w:val="left"/>
      </w:pPr>
      <w:r>
        <w:t xml:space="preserve">Source:</w:t>
      </w:r>
      <w:r>
        <w:t xml:space="preserve"> Rivermark Group internal value chain process framework.</w:t>
      </w:r>
    </w:p>
    <w:p w14:paraId="001001B2" w14:textId="001001B3">
      <w:pPr>
        <w:pStyle w:val="Normal"/>
        <w:jc w:val="left"/>
      </w:pPr>
      <w:r>
        <w:t xml:space="preserve">Figure 10 Value chain process</w:t>
      </w:r>
    </w:p>
    <w:p w14:paraId="001001B4" w14:textId="001001B5">
      <w:pPr>
        <w:pStyle w:val="Normal"/>
        <w:jc w:val="left"/>
      </w:pPr>
      <w:r>
        <w:t xml:space="preserve">2.2 Execution Measures</w:t>
      </w:r>
    </w:p>
    <w:p w14:paraId="001001B6" w14:textId="001001B7">
      <w:pPr>
        <w:pStyle w:val="Normal"/>
        <w:jc w:val="left"/>
      </w:pPr>
      <w:r>
        <w:drawing>
          <wp:inline distT="0" distB="0" distL="0" distR="0">
            <wp:extent cx="3600000" cy="2160000"/>
            <wp:effectExtent l="0" t="0" r="0" b="0"/>
            <wp:docPr id="7" name="Fig-I05-04.png" descr=""/>
            <wp:cNvGraphicFramePr>
              <a:graphicFrameLocks noChangeAspect="1"/>
            </wp:cNvGraphicFramePr>
            <a:graphic>
              <a:graphicData uri="http://schemas.openxmlformats.org/drawingml/2006/picture">
                <pic:pic>
                  <pic:nvPicPr>
                    <pic:cNvPr id="7" name="Fig-I05-04.png"/>
                    <pic:cNvPicPr/>
                  </pic:nvPicPr>
                  <pic:blipFill>
                    <a:blip r:embed="R3807e0dc0acf4af3" cstate="print"/>
                    <a:stretch>
                      <a:fillRect/>
                    </a:stretch>
                  </pic:blipFill>
                  <pic:spPr>
                    <a:xfrm>
                      <a:off x="0" y="0"/>
                      <a:ext cx="3960000" cy="2520000"/>
                    </a:xfrm>
                    <a:prstGeom prst="rect">
                      <a:avLst/>
                    </a:prstGeom>
                  </pic:spPr>
                </pic:pic>
              </a:graphicData>
            </a:graphic>
          </wp:inline>
        </w:drawing>
      </w:r>
    </w:p>
    <w:p w14:paraId="001001B8" w14:textId="001001B9">
      <w:pPr>
        <w:pStyle w:val="Normal"/>
        <w:jc w:val="left"/>
      </w:pPr>
      <w:r>
        <w:t xml:space="preserve">Figure 11 Operating KPI trend</w:t>
      </w:r>
    </w:p>
    <w:p w14:paraId="001001BA" w14:textId="001001BC">
      <w:pPr>
        <w:pStyle w:val="Normal"/>
        <w:jc w:val="left"/>
      </w:pPr>
      <w:r>
        <w:t xml:space="preserve">Source:</w:t>
      </w:r>
      <w:r>
        <w:t xml:space="preserve"> Rivermark Group management reporting on execution KPIs.</w:t>
      </w:r>
    </w:p>
    <w:p w14:paraId="001001BD" w14:textId="001001BE">
      <w:pPr>
        <w:pStyle w:val="Normal"/>
        <w:jc w:val="left"/>
      </w:pPr>
      <w:r>
        <w:t xml:space="preserve">Figure 12 Execution KPI trend</w:t>
      </w:r>
    </w:p>
    <w:p w14:paraId="00100EEE" w14:textId="00100EEF">
      <w:pPr>
        <w:pStyle w:val="Normal"/>
        <w:jc w:val="left"/>
        <w:sectPr>
          <w:type w:val="nextPage"/>
          <w:pgSz w:w="11906" w:h="16838"/>
          <w:pgMar w:top="1440" w:right="1440" w:bottom="1440" w:left="1440" w:header="1440" w:footer="1440" w:gutter="0"/>
          <w:cols w:space="720" w:num="1"/>
        </w:sectPr>
      </w:pPr>
    </w:p>
    <w:p w14:paraId="001001C3" w14:textId="001001C5">
      <w:pPr>
        <w:pStyle w:val="Normal"/>
        <w:jc w:val="left"/>
      </w:pPr>
      <w:r>
        <w:t xml:space="preserve">Chapter 4 Segment Review: Industrial</w:t>
      </w:r>
      <w:r>
        <w:t xml:space="preserve"/>
      </w:r>
    </w:p>
    <w:p w14:paraId="001001C6" w14:textId="001001C7">
      <w:pPr>
        <w:pStyle w:val="Normal"/>
        <w:jc w:val="left"/>
      </w:pPr>
      <w:r>
        <w:t xml:space="preserve">The Industrial segment remained the largest operating contributor within Rivermark Group during the reporting year, supported by a diversified customer base across equipment components, engineered materials, and project-linked supply contracts. Performance was shaped by a mixed external environment: customer demand in core maintenance and replacement categories stayed comparatively resilient, while capital spending in several cyclical end markets remained uneven. Against this backdrop, the segment emphasized capacity discipline, selective pricing actions, and tighter cost control in order to protect profitability and maintain service levels.</w:t>
      </w:r>
    </w:p>
    <w:p w14:paraId="001001C8" w14:textId="001001C9">
      <w:pPr>
        <w:pStyle w:val="Normal"/>
        <w:jc w:val="left"/>
      </w:pPr>
      <w:r>
        <w:t xml:space="preserve">Operationally, the segment benefited from a broad manufacturing footprint and established customer relationships in regional industrial corridors. Utilization improved at several priority sites as production scheduling became more stable in the second half, although input cost volatility and delivery timing continued to affect margin conversion. Management focused on preserving order quality, improving plant efficiency, and aligning inventory with demand visibility. Overall, the Industrial segment delivered solid revenue support to the Group, while reinforcing the operational base needed for more consistent earnings progression in the periods ahead.</w:t>
      </w:r>
    </w:p>
    <w:p w14:paraId="001001CA" w14:textId="001001CB">
      <w:pPr>
        <w:pStyle w:val="Normal"/>
        <w:jc w:val="left"/>
      </w:pPr>
      <w:r>
        <w:t xml:space="preserve">Section 1 Performance Review</w:t>
      </w:r>
    </w:p>
    <w:p w14:paraId="001001CC" w14:textId="001001CD">
      <w:pPr>
        <w:pStyle w:val="Normal"/>
        <w:jc w:val="left"/>
      </w:pPr>
      <w:r>
        <w:t xml:space="preserve">Industrial segment performance in the year should be understood through three connected themes: demand quality, operating efficiency, and margin resilience. Revenue development reflected both volume recovery in selected customer programs and pricing carryover from prior contract renewals, but the pace of improvement was not uniform across product lines. Short-cycle orders recovered earlier than larger project-related demand, creating a pattern in which production planning had to remain flexible and site management had to respond quickly to changing order visibility.</w:t>
      </w:r>
    </w:p>
    <w:p w14:paraId="001001CE" w14:textId="001001CF">
      <w:pPr>
        <w:pStyle w:val="Normal"/>
        <w:jc w:val="left"/>
      </w:pPr>
      <w:r>
        <w:t xml:space="preserve">From an operating standpoint, plant utilization and labor productivity were central to the segment's results. Facilities with more stable order books achieved better throughput and lower unit conversion costs, while sites exposed to stop-start customer schedules experienced less favorable absorption of fixed overhead. Management therefore placed priority on schedule adherence, procurement coordination, and targeted maintenance to reduce downtime. These actions supported steadier output in the latter part of the year.</w:t>
      </w:r>
    </w:p>
    <w:p w14:paraId="001001D0" w14:textId="001001D1">
      <w:pPr>
        <w:pStyle w:val="Normal"/>
        <w:jc w:val="left"/>
      </w:pPr>
      <w:r>
        <w:t xml:space="preserve">Profit performance was also influenced by the balance between pricing discipline and cost inflation. Raw material, energy, freight, and labor pressures moderated from earlier peaks but did not disappear. The segment's ability to preserve margins depended on product mix, contract structure, and the speed at which efficiency measures translated into realized savings. Taken together, the year's performance indicates a business that is operationally improving, yet still sensitive to demand timing and execution quality.</w:t>
      </w:r>
    </w:p>
    <w:p w14:paraId="001001D2" w14:textId="001001D3">
      <w:pPr>
        <w:pStyle w:val="Normal"/>
        <w:jc w:val="left"/>
      </w:pPr>
      <w:r>
        <w:t xml:space="preserve">Subsection 1 Results Summary</w:t>
      </w:r>
    </w:p>
    <w:p w14:paraId="001001D4" w14:textId="001001D6">
      <w:pPr>
        <w:pStyle w:val="Normal"/>
        <w:jc w:val="left"/>
      </w:pPr>
      <w:r>
        <w:t xml:space="preserve">Key KPIs:</w:t>
      </w:r>
      <w:r>
        <w:t xml:space="preserve"> The following table summarizes Industrial segment revenue, operating profit, margin, order intake, and capacity utilization for the reporting year.</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1D7" w14:textId="0010020F">
            <w:pPr>
              <w:pStyle w:val="Normal"/>
              <w:jc w:val="left"/>
            </w:pPr>
            <w:r>
              <w:t xml:space="preserve">KPI</w:t>
            </w:r>
          </w:p>
        </w:tc>
        <w:tc>
          <w:tcPr>
            <w:vAlign w:val="center"/>
            <w:tcBorders>
              <w:top w:val="single" w:sz="4" w:space="0" w:color="auto"/>
              <w:left w:val="single" w:sz="4" w:space="0" w:color="auto"/>
              <w:bottom w:val="single" w:sz="4" w:space="0" w:color="auto"/>
              <w:right w:val="single" w:sz="4" w:space="0" w:color="auto"/>
            </w:tcBorders>
          </w:tcPr>
          <w:p w14:paraId="001001D9" w14:textId="00100210">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1DB" w14:textId="00100211">
            <w:pPr>
              <w:pStyle w:val="Normal"/>
              <w:jc w:val="left"/>
            </w:pPr>
            <w:r>
              <w:t xml:space="preserve">2022</w:t>
            </w:r>
          </w:p>
        </w:tc>
        <w:tc>
          <w:tcPr>
            <w:vAlign w:val="center"/>
            <w:tcBorders>
              <w:top w:val="single" w:sz="4" w:space="0" w:color="auto"/>
              <w:left w:val="single" w:sz="4" w:space="0" w:color="auto"/>
              <w:bottom w:val="single" w:sz="4" w:space="0" w:color="auto"/>
              <w:right w:val="single" w:sz="4" w:space="0" w:color="auto"/>
            </w:tcBorders>
          </w:tcPr>
          <w:p w14:paraId="001001DD" w14:textId="00100212">
            <w:pPr>
              <w:pStyle w:val="Normal"/>
              <w:jc w:val="left"/>
            </w:pPr>
            <w:r>
              <w:t xml:space="preserve">Change</w:t>
            </w:r>
          </w:p>
        </w:tc>
      </w:tr>
      <w:tr>
        <w:tc>
          <w:tcPr>
            <w:vAlign w:val="center"/>
            <w:tcBorders>
              <w:top w:val="single" w:sz="4" w:space="0" w:color="auto"/>
              <w:left w:val="single" w:sz="4" w:space="0" w:color="auto"/>
              <w:bottom w:val="single" w:sz="4" w:space="0" w:color="auto"/>
              <w:right w:val="single" w:sz="4" w:space="0" w:color="auto"/>
            </w:tcBorders>
          </w:tcPr>
          <w:p w14:paraId="001001DF" w14:textId="00100213">
            <w:pPr>
              <w:pStyle w:val="Normal"/>
              <w:jc w:val="left"/>
            </w:pPr>
            <w:r>
              <w:t xml:space="preserve">Revenue (RMB million)</w:t>
            </w:r>
          </w:p>
        </w:tc>
        <w:tc>
          <w:tcPr>
            <w:vAlign w:val="center"/>
            <w:tcBorders>
              <w:top w:val="single" w:sz="4" w:space="0" w:color="auto"/>
              <w:left w:val="single" w:sz="4" w:space="0" w:color="auto"/>
              <w:bottom w:val="single" w:sz="4" w:space="0" w:color="auto"/>
              <w:right w:val="single" w:sz="4" w:space="0" w:color="auto"/>
            </w:tcBorders>
          </w:tcPr>
          <w:p w14:paraId="001001E1" w14:textId="00100214">
            <w:pPr>
              <w:pStyle w:val="Normal"/>
              <w:jc w:val="left"/>
            </w:pPr>
            <w:r>
              <w:t xml:space="preserve">4,860</w:t>
            </w:r>
          </w:p>
        </w:tc>
        <w:tc>
          <w:tcPr>
            <w:vAlign w:val="center"/>
            <w:tcBorders>
              <w:top w:val="single" w:sz="4" w:space="0" w:color="auto"/>
              <w:left w:val="single" w:sz="4" w:space="0" w:color="auto"/>
              <w:bottom w:val="single" w:sz="4" w:space="0" w:color="auto"/>
              <w:right w:val="single" w:sz="4" w:space="0" w:color="auto"/>
            </w:tcBorders>
          </w:tcPr>
          <w:p w14:paraId="001001E3" w14:textId="00100215">
            <w:pPr>
              <w:pStyle w:val="Normal"/>
              <w:jc w:val="left"/>
            </w:pPr>
            <w:r>
              <w:t xml:space="preserve">4,520</w:t>
            </w:r>
          </w:p>
        </w:tc>
        <w:tc>
          <w:tcPr>
            <w:vAlign w:val="center"/>
            <w:tcBorders>
              <w:top w:val="single" w:sz="4" w:space="0" w:color="auto"/>
              <w:left w:val="single" w:sz="4" w:space="0" w:color="auto"/>
              <w:bottom w:val="single" w:sz="4" w:space="0" w:color="auto"/>
              <w:right w:val="single" w:sz="4" w:space="0" w:color="auto"/>
            </w:tcBorders>
          </w:tcPr>
          <w:p w14:paraId="001001E5" w14:textId="00100216">
            <w:pPr>
              <w:pStyle w:val="Normal"/>
              <w:jc w:val="left"/>
            </w:pPr>
            <w:r>
              <w:t xml:space="preserve">+7.5%</w:t>
            </w:r>
          </w:p>
        </w:tc>
      </w:tr>
      <w:tr>
        <w:tc>
          <w:tcPr>
            <w:vAlign w:val="center"/>
            <w:tcBorders>
              <w:top w:val="single" w:sz="4" w:space="0" w:color="auto"/>
              <w:left w:val="single" w:sz="4" w:space="0" w:color="auto"/>
              <w:bottom w:val="single" w:sz="4" w:space="0" w:color="auto"/>
              <w:right w:val="single" w:sz="4" w:space="0" w:color="auto"/>
            </w:tcBorders>
          </w:tcPr>
          <w:p w14:paraId="001001E7" w14:textId="00100217">
            <w:pPr>
              <w:pStyle w:val="Normal"/>
              <w:jc w:val="left"/>
            </w:pPr>
            <w:r>
              <w:t xml:space="preserve">Gross margin</w:t>
            </w:r>
          </w:p>
        </w:tc>
        <w:tc>
          <w:tcPr>
            <w:vAlign w:val="center"/>
            <w:tcBorders>
              <w:top w:val="single" w:sz="4" w:space="0" w:color="auto"/>
              <w:left w:val="single" w:sz="4" w:space="0" w:color="auto"/>
              <w:bottom w:val="single" w:sz="4" w:space="0" w:color="auto"/>
              <w:right w:val="single" w:sz="4" w:space="0" w:color="auto"/>
            </w:tcBorders>
          </w:tcPr>
          <w:p w14:paraId="001001E9" w14:textId="00100218">
            <w:pPr>
              <w:pStyle w:val="Normal"/>
              <w:jc w:val="left"/>
            </w:pPr>
            <w:r>
              <w:t xml:space="preserve">24.8%</w:t>
            </w:r>
          </w:p>
        </w:tc>
        <w:tc>
          <w:tcPr>
            <w:vAlign w:val="center"/>
            <w:tcBorders>
              <w:top w:val="single" w:sz="4" w:space="0" w:color="auto"/>
              <w:left w:val="single" w:sz="4" w:space="0" w:color="auto"/>
              <w:bottom w:val="single" w:sz="4" w:space="0" w:color="auto"/>
              <w:right w:val="single" w:sz="4" w:space="0" w:color="auto"/>
            </w:tcBorders>
          </w:tcPr>
          <w:p w14:paraId="001001EB" w14:textId="00100219">
            <w:pPr>
              <w:pStyle w:val="Normal"/>
              <w:jc w:val="left"/>
            </w:pPr>
            <w:r>
              <w:t xml:space="preserve">23.4%</w:t>
            </w:r>
          </w:p>
        </w:tc>
        <w:tc>
          <w:tcPr>
            <w:vAlign w:val="center"/>
            <w:tcBorders>
              <w:top w:val="single" w:sz="4" w:space="0" w:color="auto"/>
              <w:left w:val="single" w:sz="4" w:space="0" w:color="auto"/>
              <w:bottom w:val="single" w:sz="4" w:space="0" w:color="auto"/>
              <w:right w:val="single" w:sz="4" w:space="0" w:color="auto"/>
            </w:tcBorders>
          </w:tcPr>
          <w:p w14:paraId="001001ED" w14:textId="0010021A">
            <w:pPr>
              <w:pStyle w:val="Normal"/>
              <w:jc w:val="left"/>
            </w:pPr>
            <w:r>
              <w:t xml:space="preserve">+1.4 pts</w:t>
            </w:r>
          </w:p>
        </w:tc>
      </w:tr>
      <w:tr>
        <w:tc>
          <w:tcPr>
            <w:vAlign w:val="center"/>
            <w:tcBorders>
              <w:top w:val="single" w:sz="4" w:space="0" w:color="auto"/>
              <w:left w:val="single" w:sz="4" w:space="0" w:color="auto"/>
              <w:bottom w:val="single" w:sz="4" w:space="0" w:color="auto"/>
              <w:right w:val="single" w:sz="4" w:space="0" w:color="auto"/>
            </w:tcBorders>
          </w:tcPr>
          <w:p w14:paraId="001001EF" w14:textId="0010021B">
            <w:pPr>
              <w:pStyle w:val="Normal"/>
              <w:jc w:val="left"/>
            </w:pPr>
            <w:r>
              <w:t xml:space="preserve">Operating margin</w:t>
            </w:r>
          </w:p>
        </w:tc>
        <w:tc>
          <w:tcPr>
            <w:vAlign w:val="center"/>
            <w:tcBorders>
              <w:top w:val="single" w:sz="4" w:space="0" w:color="auto"/>
              <w:left w:val="single" w:sz="4" w:space="0" w:color="auto"/>
              <w:bottom w:val="single" w:sz="4" w:space="0" w:color="auto"/>
              <w:right w:val="single" w:sz="4" w:space="0" w:color="auto"/>
            </w:tcBorders>
          </w:tcPr>
          <w:p w14:paraId="001001F1" w14:textId="0010021C">
            <w:pPr>
              <w:pStyle w:val="Normal"/>
              <w:jc w:val="left"/>
            </w:pPr>
            <w:r>
              <w:t xml:space="preserve">12.6%</w:t>
            </w:r>
          </w:p>
        </w:tc>
        <w:tc>
          <w:tcPr>
            <w:vAlign w:val="center"/>
            <w:tcBorders>
              <w:top w:val="single" w:sz="4" w:space="0" w:color="auto"/>
              <w:left w:val="single" w:sz="4" w:space="0" w:color="auto"/>
              <w:bottom w:val="single" w:sz="4" w:space="0" w:color="auto"/>
              <w:right w:val="single" w:sz="4" w:space="0" w:color="auto"/>
            </w:tcBorders>
          </w:tcPr>
          <w:p w14:paraId="001001F3" w14:textId="0010021D">
            <w:pPr>
              <w:pStyle w:val="Normal"/>
              <w:jc w:val="left"/>
            </w:pPr>
            <w:r>
              <w:t xml:space="preserve">11.1%</w:t>
            </w:r>
          </w:p>
        </w:tc>
        <w:tc>
          <w:tcPr>
            <w:vAlign w:val="center"/>
            <w:tcBorders>
              <w:top w:val="single" w:sz="4" w:space="0" w:color="auto"/>
              <w:left w:val="single" w:sz="4" w:space="0" w:color="auto"/>
              <w:bottom w:val="single" w:sz="4" w:space="0" w:color="auto"/>
              <w:right w:val="single" w:sz="4" w:space="0" w:color="auto"/>
            </w:tcBorders>
          </w:tcPr>
          <w:p w14:paraId="001001F5" w14:textId="0010021E">
            <w:pPr>
              <w:pStyle w:val="Normal"/>
              <w:jc w:val="left"/>
            </w:pPr>
            <w:r>
              <w:t xml:space="preserve">+1.5 pts</w:t>
            </w:r>
          </w:p>
        </w:tc>
      </w:tr>
      <w:tr>
        <w:tc>
          <w:tcPr>
            <w:vAlign w:val="center"/>
            <w:tcBorders>
              <w:top w:val="single" w:sz="4" w:space="0" w:color="auto"/>
              <w:left w:val="single" w:sz="4" w:space="0" w:color="auto"/>
              <w:bottom w:val="single" w:sz="4" w:space="0" w:color="auto"/>
              <w:right w:val="single" w:sz="4" w:space="0" w:color="auto"/>
            </w:tcBorders>
          </w:tcPr>
          <w:p w14:paraId="001001F7" w14:textId="0010021F">
            <w:pPr>
              <w:pStyle w:val="Normal"/>
              <w:jc w:val="left"/>
            </w:pPr>
            <w:r>
              <w:t xml:space="preserve">EBITDA (RMB million)</w:t>
            </w:r>
          </w:p>
        </w:tc>
        <w:tc>
          <w:tcPr>
            <w:vAlign w:val="center"/>
            <w:tcBorders>
              <w:top w:val="single" w:sz="4" w:space="0" w:color="auto"/>
              <w:left w:val="single" w:sz="4" w:space="0" w:color="auto"/>
              <w:bottom w:val="single" w:sz="4" w:space="0" w:color="auto"/>
              <w:right w:val="single" w:sz="4" w:space="0" w:color="auto"/>
            </w:tcBorders>
          </w:tcPr>
          <w:p w14:paraId="001001F9" w14:textId="00100220">
            <w:pPr>
              <w:pStyle w:val="Normal"/>
              <w:jc w:val="left"/>
            </w:pPr>
            <w:r>
              <w:t xml:space="preserve">812</w:t>
            </w:r>
          </w:p>
        </w:tc>
        <w:tc>
          <w:tcPr>
            <w:vAlign w:val="center"/>
            <w:tcBorders>
              <w:top w:val="single" w:sz="4" w:space="0" w:color="auto"/>
              <w:left w:val="single" w:sz="4" w:space="0" w:color="auto"/>
              <w:bottom w:val="single" w:sz="4" w:space="0" w:color="auto"/>
              <w:right w:val="single" w:sz="4" w:space="0" w:color="auto"/>
            </w:tcBorders>
          </w:tcPr>
          <w:p w14:paraId="001001FB" w14:textId="00100221">
            <w:pPr>
              <w:pStyle w:val="Normal"/>
              <w:jc w:val="left"/>
            </w:pPr>
            <w:r>
              <w:t xml:space="preserve">694</w:t>
            </w:r>
          </w:p>
        </w:tc>
        <w:tc>
          <w:tcPr>
            <w:vAlign w:val="center"/>
            <w:tcBorders>
              <w:top w:val="single" w:sz="4" w:space="0" w:color="auto"/>
              <w:left w:val="single" w:sz="4" w:space="0" w:color="auto"/>
              <w:bottom w:val="single" w:sz="4" w:space="0" w:color="auto"/>
              <w:right w:val="single" w:sz="4" w:space="0" w:color="auto"/>
            </w:tcBorders>
          </w:tcPr>
          <w:p w14:paraId="001001FD" w14:textId="00100222">
            <w:pPr>
              <w:pStyle w:val="Normal"/>
              <w:jc w:val="left"/>
            </w:pPr>
            <w:r>
              <w:t xml:space="preserve">+17.0%</w:t>
            </w:r>
          </w:p>
        </w:tc>
      </w:tr>
      <w:tr>
        <w:tc>
          <w:tcPr>
            <w:vAlign w:val="center"/>
            <w:tcBorders>
              <w:top w:val="single" w:sz="4" w:space="0" w:color="auto"/>
              <w:left w:val="single" w:sz="4" w:space="0" w:color="auto"/>
              <w:bottom w:val="single" w:sz="4" w:space="0" w:color="auto"/>
              <w:right w:val="single" w:sz="4" w:space="0" w:color="auto"/>
            </w:tcBorders>
          </w:tcPr>
          <w:p w14:paraId="001001FF" w14:textId="00100223">
            <w:pPr>
              <w:pStyle w:val="Normal"/>
              <w:jc w:val="left"/>
            </w:pPr>
            <w:r>
              <w:t xml:space="preserve">Capacity utilization</w:t>
            </w:r>
          </w:p>
        </w:tc>
        <w:tc>
          <w:tcPr>
            <w:vAlign w:val="center"/>
            <w:tcBorders>
              <w:top w:val="single" w:sz="4" w:space="0" w:color="auto"/>
              <w:left w:val="single" w:sz="4" w:space="0" w:color="auto"/>
              <w:bottom w:val="single" w:sz="4" w:space="0" w:color="auto"/>
              <w:right w:val="single" w:sz="4" w:space="0" w:color="auto"/>
            </w:tcBorders>
          </w:tcPr>
          <w:p w14:paraId="00100201" w14:textId="00100224">
            <w:pPr>
              <w:pStyle w:val="Normal"/>
              <w:jc w:val="left"/>
            </w:pPr>
            <w:r>
              <w:t xml:space="preserve">84%</w:t>
            </w:r>
          </w:p>
        </w:tc>
        <w:tc>
          <w:tcPr>
            <w:vAlign w:val="center"/>
            <w:tcBorders>
              <w:top w:val="single" w:sz="4" w:space="0" w:color="auto"/>
              <w:left w:val="single" w:sz="4" w:space="0" w:color="auto"/>
              <w:bottom w:val="single" w:sz="4" w:space="0" w:color="auto"/>
              <w:right w:val="single" w:sz="4" w:space="0" w:color="auto"/>
            </w:tcBorders>
          </w:tcPr>
          <w:p w14:paraId="00100203" w14:textId="00100225">
            <w:pPr>
              <w:pStyle w:val="Normal"/>
              <w:jc w:val="left"/>
            </w:pPr>
            <w:r>
              <w:t xml:space="preserve">79%</w:t>
            </w:r>
          </w:p>
        </w:tc>
        <w:tc>
          <w:tcPr>
            <w:vAlign w:val="center"/>
            <w:tcBorders>
              <w:top w:val="single" w:sz="4" w:space="0" w:color="auto"/>
              <w:left w:val="single" w:sz="4" w:space="0" w:color="auto"/>
              <w:bottom w:val="single" w:sz="4" w:space="0" w:color="auto"/>
              <w:right w:val="single" w:sz="4" w:space="0" w:color="auto"/>
            </w:tcBorders>
          </w:tcPr>
          <w:p w14:paraId="00100205" w14:textId="00100226">
            <w:pPr>
              <w:pStyle w:val="Normal"/>
              <w:jc w:val="left"/>
            </w:pPr>
            <w:r>
              <w:t xml:space="preserve">+5 pts</w:t>
            </w:r>
          </w:p>
        </w:tc>
      </w:tr>
      <w:tr>
        <w:tc>
          <w:tcPr>
            <w:vAlign w:val="center"/>
            <w:tcBorders>
              <w:top w:val="single" w:sz="4" w:space="0" w:color="auto"/>
              <w:left w:val="single" w:sz="4" w:space="0" w:color="auto"/>
              <w:bottom w:val="single" w:sz="4" w:space="0" w:color="auto"/>
              <w:right w:val="single" w:sz="4" w:space="0" w:color="auto"/>
            </w:tcBorders>
          </w:tcPr>
          <w:p w14:paraId="00100207" w14:textId="00100227">
            <w:pPr>
              <w:pStyle w:val="Normal"/>
              <w:jc w:val="left"/>
            </w:pPr>
            <w:r>
              <w:t xml:space="preserve">Order intake (RMB million)</w:t>
            </w:r>
          </w:p>
        </w:tc>
        <w:tc>
          <w:tcPr>
            <w:vAlign w:val="center"/>
            <w:tcBorders>
              <w:top w:val="single" w:sz="4" w:space="0" w:color="auto"/>
              <w:left w:val="single" w:sz="4" w:space="0" w:color="auto"/>
              <w:bottom w:val="single" w:sz="4" w:space="0" w:color="auto"/>
              <w:right w:val="single" w:sz="4" w:space="0" w:color="auto"/>
            </w:tcBorders>
          </w:tcPr>
          <w:p w14:paraId="00100209" w14:textId="00100228">
            <w:pPr>
              <w:pStyle w:val="Normal"/>
              <w:jc w:val="left"/>
            </w:pPr>
            <w:r>
              <w:t xml:space="preserve">4,980</w:t>
            </w:r>
          </w:p>
        </w:tc>
        <w:tc>
          <w:tcPr>
            <w:vAlign w:val="center"/>
            <w:tcBorders>
              <w:top w:val="single" w:sz="4" w:space="0" w:color="auto"/>
              <w:left w:val="single" w:sz="4" w:space="0" w:color="auto"/>
              <w:bottom w:val="single" w:sz="4" w:space="0" w:color="auto"/>
              <w:right w:val="single" w:sz="4" w:space="0" w:color="auto"/>
            </w:tcBorders>
          </w:tcPr>
          <w:p w14:paraId="0010020B" w14:textId="00100229">
            <w:pPr>
              <w:pStyle w:val="Normal"/>
              <w:jc w:val="left"/>
            </w:pPr>
            <w:r>
              <w:t xml:space="preserve">4,610</w:t>
            </w:r>
          </w:p>
        </w:tc>
        <w:tc>
          <w:tcPr>
            <w:vAlign w:val="center"/>
            <w:tcBorders>
              <w:top w:val="single" w:sz="4" w:space="0" w:color="auto"/>
              <w:left w:val="single" w:sz="4" w:space="0" w:color="auto"/>
              <w:bottom w:val="single" w:sz="4" w:space="0" w:color="auto"/>
              <w:right w:val="single" w:sz="4" w:space="0" w:color="auto"/>
            </w:tcBorders>
          </w:tcPr>
          <w:p w14:paraId="0010020D" w14:textId="0010022A">
            <w:pPr>
              <w:pStyle w:val="Normal"/>
              <w:jc w:val="left"/>
            </w:pPr>
            <w:r>
              <w:t xml:space="preserve">+8.0%</w:t>
            </w:r>
          </w:p>
        </w:tc>
      </w:tr>
    </w:tbl>
    <w:p w14:paraId="0010022B" w14:textId="0010022C">
      <w:pPr>
        <w:pStyle w:val="Normal"/>
        <w:jc w:val="left"/>
      </w:pPr>
      <w:r>
        <w:t xml:space="preserve">Table 3 Industrial segment KPI summary</w:t>
      </w:r>
    </w:p>
    <w:p w14:paraId="0010022D" w14:textId="0010022F">
      <w:pPr>
        <w:pStyle w:val="Normal"/>
        <w:jc w:val="left"/>
      </w:pPr>
      <w:r>
        <w:t xml:space="preserve">Source:</w:t>
      </w:r>
      <w:r>
        <w:t xml:space="preserve"> Rivermark Group management accounts for the years ended 31 December 2023 and 2022. Margins are stated as a percentage of segment revenue; order intake reflects signed orders before cancellations and routine adjustments.</w:t>
      </w:r>
    </w:p>
    <w:p w14:paraId="00100230" w14:textId="00100231">
      <w:pPr>
        <w:pStyle w:val="Normal"/>
        <w:jc w:val="left"/>
      </w:pPr>
      <w:r>
        <w:t xml:space="preserve">1.1 Revenue Drivers</w:t>
      </w:r>
    </w:p>
    <w:p w14:paraId="00100232" w14:textId="00100233">
      <w:pPr>
        <w:pStyle w:val="Normal"/>
        <w:jc w:val="left"/>
      </w:pPr>
      <w:r>
        <w:t xml:space="preserve">Industrial segment revenue growth was led primarily by higher shipment volumes across the group’s core equipment and components lines. Demand improved most noticeably in infrastructure-related applications and replacement cycles for mid-life industrial systems, where customers moved forward deferred orders from the prior year. Rivermark also benefited from steadier project execution at its larger fabrication sites, which reduced bottlenecks and supported a more even dispatch schedule in the second half. As a result, domestic volume growth contributed the majority of the year-on-year increase, while export markets delivered a smaller but still positive contribution.</w:t>
      </w:r>
    </w:p>
    <w:p w14:paraId="00100234" w14:textId="00100235">
      <w:pPr>
        <w:pStyle w:val="Normal"/>
        <w:jc w:val="left"/>
      </w:pPr>
      <w:r>
        <w:t xml:space="preserve">Performance by market was not uniform. Heavy process industry customers remained selective in capital spending during the first half, and smaller distributors continued to manage inventories cautiously. However, these weaker pockets were offset by stronger intake from utility, logistics, and general manufacturing accounts. The segment’s installed customer base also generated repeat demand for replacement parts bundled with new equipment contracts, helping sustain throughput even when individual project awards were delayed. Overall, the volume effect reflected both better end-market demand and improved internal conversion of backlog into recognized sales.</w:t>
      </w:r>
    </w:p>
    <w:p w14:paraId="00100236" w14:textId="00100237">
      <w:pPr>
        <w:pStyle w:val="Normal"/>
        <w:jc w:val="left"/>
      </w:pPr>
      <w:r>
        <w:t xml:space="preserve">Pricing and sales mix provided an additional tailwind to revenue. During the year, the Industrial segment maintained disciplined pricing in categories where technical specifications, delivery reliability, and after-sales support remained important purchasing criteria. Selective price increases introduced in the prior period were largely retained, particularly in engineered products with lower direct substitution risk. Management also limited discounting on custom orders, preferring to prioritize contract quality over nominal volume growth. This approach supported realized revenue per unit even as certain commodity-linked products faced more competitive quotations.</w:t>
      </w:r>
    </w:p>
    <w:p w14:paraId="00100238" w14:textId="00100239">
      <w:pPr>
        <w:pStyle w:val="Normal"/>
        <w:jc w:val="left"/>
      </w:pPr>
      <w:r>
        <w:t xml:space="preserve">Mix effects were favorable as revenue shifted toward higher-value assemblies, aftermarket components, and solution packages that combine equipment, installation support, and service commitments. These offerings typically carry higher average selling prices and deeper customer integration than standard catalog products. By contrast, lower-margin spot sales represented a smaller share of the total portfolio than in the previous year. The combined effect of firm pricing and a richer product mix lifted top-line performance beyond the contribution from volume alone, while also creating a stronger foundation for margin improvement later in the income statement.</w:t>
      </w:r>
    </w:p>
    <w:p w14:paraId="0010023A" w14:textId="0010023B">
      <w:pPr>
        <w:pStyle w:val="Normal"/>
        <w:jc w:val="left"/>
      </w:pPr>
      <w:r>
        <w:t xml:space="preserve">1.2 Profit Drivers</w:t>
      </w:r>
    </w:p>
    <w:p w14:paraId="0010023C" w14:textId="0010023D">
      <w:pPr>
        <w:pStyle w:val="Normal"/>
        <w:jc w:val="left"/>
      </w:pPr>
      <w:r>
        <w:t xml:space="preserve">Gross margin improved as the segment captured better pricing, a more favorable product mix, and lower disruption costs within production. Material inflation moderated compared with the previous year, especially in steel-related inputs and selected electronic components, allowing Rivermark to recover more of its cost base through existing selling prices. Procurement teams also widened approved supplier coverage for several recurring inputs, reducing dependence on single-source arrangements and improving purchase timing. These changes helped stabilize unit input costs over the course of the year.</w:t>
      </w:r>
    </w:p>
    <w:p w14:paraId="0010023E" w14:textId="0010023F">
      <w:pPr>
        <w:pStyle w:val="Normal"/>
        <w:jc w:val="left"/>
      </w:pPr>
      <w:r>
        <w:t xml:space="preserve">Operational execution contributed as well. Higher plant utilization reduced idle time and improved labor efficiency, while quality initiatives lowered rework and scrap in the larger machining and assembly lines. The segment also benefited from a higher contribution from aftermarket and engineered solutions, which typically earn margins above the portfolio average because they require greater technical differentiation and involve closer customer coordination. Although some project contracts still carried legacy pricing from more volatile cost periods, the overall margin profile strengthened meaningfully. Taken together, these factors drove a broader improvement in gross profitability rather than a one-off gain from any single market or contract.</w:t>
      </w:r>
    </w:p>
    <w:p w14:paraId="00100240" w14:textId="00100241">
      <w:pPr>
        <w:pStyle w:val="Normal"/>
        <w:jc w:val="left"/>
      </w:pPr>
      <w:r>
        <w:t xml:space="preserve">Below gross margin, profit performance was supported by better cost absorption and tighter overhead control. The increase in production volumes allowed fixed manufacturing expenses such as supervision, maintenance planning, and site utilities to be spread across a larger output base. This effect was most visible at the segment’s principal fabrication sites, where throughput improved without a proportional increase in support staffing. As a result, conversion cost per unit declined and operating leverage became a significant contributor to the improvement in operating margin.</w:t>
      </w:r>
    </w:p>
    <w:p w14:paraId="00100242" w14:textId="00100243">
      <w:pPr>
        <w:pStyle w:val="Normal"/>
        <w:jc w:val="left"/>
      </w:pPr>
      <w:r>
        <w:t xml:space="preserve">Overhead discipline remained an important secondary driver. Selling, administrative, and engineering support costs rose in absolute terms, mainly due to annual wage adjustments, targeted commercial hiring, and digital process upgrades. Even so, these expenses grew more slowly than revenue because travel, external advisory spending, and nonessential project costs were managed carefully. Rivermark also continued to rationalize low-value internal workflows, shortening approval cycles and reducing duplicated reporting activity across sites. Some pressure persisted from maintenance catch-up work and a tighter labor market for skilled technicians, but these headwinds were outweighed by stronger cost absorption and operating controls. The segment therefore converted a larger share of revenue growth into profit than it did in the prior year.</w:t>
      </w:r>
    </w:p>
    <w:p w14:paraId="00100244" w14:textId="00100245">
      <w:pPr>
        <w:pStyle w:val="Normal"/>
        <w:jc w:val="left"/>
      </w:pPr>
      <w:r>
        <w:t xml:space="preserve">Subsection 2 Operational Trends</w:t>
      </w:r>
    </w:p>
    <w:p w14:paraId="00100246" w14:textId="00100247">
      <w:pPr>
        <w:pStyle w:val="Normal"/>
        <w:jc w:val="left"/>
      </w:pPr>
      <w:r>
        <w:drawing>
          <wp:inline distT="0" distB="0" distL="0" distR="0">
            <wp:extent cx="3600000" cy="2160000"/>
            <wp:effectExtent l="0" t="0" r="0" b="0"/>
            <wp:docPr id="8" name="Fig-I06-01.png" descr=""/>
            <wp:cNvGraphicFramePr>
              <a:graphicFrameLocks noChangeAspect="1"/>
            </wp:cNvGraphicFramePr>
            <a:graphic>
              <a:graphicData uri="http://schemas.openxmlformats.org/drawingml/2006/picture">
                <pic:pic>
                  <pic:nvPicPr>
                    <pic:cNvPr id="8" name="Fig-I06-01.png"/>
                    <pic:cNvPicPr/>
                  </pic:nvPicPr>
                  <pic:blipFill>
                    <a:blip r:embed="R520545f41ca949fa" cstate="print"/>
                    <a:stretch>
                      <a:fillRect/>
                    </a:stretch>
                  </pic:blipFill>
                  <pic:spPr>
                    <a:xfrm>
                      <a:off x="0" y="0"/>
                      <a:ext cx="3960000" cy="2520000"/>
                    </a:xfrm>
                    <a:prstGeom prst="rect">
                      <a:avLst/>
                    </a:prstGeom>
                  </pic:spPr>
                </pic:pic>
              </a:graphicData>
            </a:graphic>
          </wp:inline>
        </w:drawing>
      </w:r>
    </w:p>
    <w:p w14:paraId="00100248" w14:textId="00100249">
      <w:pPr>
        <w:pStyle w:val="Normal"/>
        <w:jc w:val="left"/>
      </w:pPr>
      <w:r>
        <w:t xml:space="preserve">Figure 13 Output trend and site activity</w:t>
      </w:r>
    </w:p>
    <w:p w14:paraId="0010024A" w14:textId="0010024C">
      <w:pPr>
        <w:pStyle w:val="Normal"/>
        <w:jc w:val="left"/>
      </w:pPr>
      <w:r>
        <w:t xml:space="preserve">Source:</w:t>
      </w:r>
      <w:r>
        <w:t xml:space="preserve"> Rivermark Group industrial operations dashboard. The figure presents monthly output index movements and selected site activity indicators for the reporting year.</w:t>
      </w:r>
    </w:p>
    <w:p w14:paraId="0010024D" w14:textId="0010024E">
      <w:pPr>
        <w:pStyle w:val="Normal"/>
        <w:jc w:val="left"/>
      </w:pPr>
      <w:r>
        <w:t xml:space="preserve">Figure 14 Capacity utilization trend by major Industrial sites, with source: Rivermark Group Industrial Operations data.</w:t>
      </w:r>
    </w:p>
    <w:p w14:paraId="0010024F" w14:textId="00100250">
      <w:pPr>
        <w:pStyle w:val="Normal"/>
        <w:jc w:val="left"/>
      </w:pPr>
      <w:r>
        <w:t xml:space="preserve">2.1 Capacity Use</w:t>
      </w:r>
    </w:p>
    <w:p w14:paraId="00100251" w14:textId="00100252">
      <w:pPr>
        <w:pStyle w:val="Normal"/>
        <w:jc w:val="left"/>
      </w:pPr>
      <w:r>
        <w:t xml:space="preserve">Industrial capacity use improved across the year, although the pace of recovery differed by site and by product line. North Forge operated at the highest average utilization, supported by steadier contract volumes from infrastructure and equipment customers and a more balanced production schedule in the second half. Harbor Components showed the clearest year-on-year improvement as order flow normalized after a softer opening quarter, allowing fixed costs to be spread across a larger output base. Valley Works remained below the segment average for much of the period because of a slower rebound in specialty product demand and a higher mix of short-run orders, which reduced line efficiency.</w:t>
      </w:r>
    </w:p>
    <w:p w14:paraId="00100253" w14:textId="00100254">
      <w:pPr>
        <w:pStyle w:val="Normal"/>
        <w:jc w:val="left"/>
      </w:pPr>
      <w:r>
        <w:t xml:space="preserve">At segment level, utilization strengthened from the first quarter low point as customer schedules became more predictable and plant loading was adjusted to reflect confirmed demand rather than tentative forecasts. Management continued to direct incremental volume toward sites with stronger throughput and lower conversion costs, while using overtime and selective subcontracting to manage peaks without overcommitting permanent capacity. This approach supported better factory balance and reduced bottlenecks at finishing and dispatch stages. By year end, the Industrial segment entered the new period with a healthier operating rhythm, though capacity remained unevenly distributed and further optimization by site is still required.</w:t>
      </w:r>
    </w:p>
    <w:p w14:paraId="00100255" w14:textId="00100256">
      <w:pPr>
        <w:pStyle w:val="Normal"/>
        <w:jc w:val="left"/>
      </w:pPr>
      <w:r>
        <w:t xml:space="preserve">Maintenance planning and line uptime were important drivers of the utilization outcome. During the first half, scheduled shutdowns at two facilities temporarily limited available hours, but these programs addressed recurring reliability issues in heat treatment, packaging, and materials handling equipment. The benefit became more visible in the second half, when unplanned stoppages declined and average run lengths improved. Higher equipment stability supported better labor deployment, fewer urgent changeovers, and more consistent output quality, all of which lifted effective capacity without requiring major new fixed investment.</w:t>
      </w:r>
    </w:p>
    <w:p w14:paraId="00100257" w14:textId="00100258">
      <w:pPr>
        <w:pStyle w:val="Normal"/>
        <w:jc w:val="left"/>
      </w:pPr>
      <w:r>
        <w:t xml:space="preserve">The segment also strengthened its uptime discipline through closer monitoring of preventive maintenance completion, spare-parts availability, and shift-level response to minor faults. Digital tracking of downtime events helped operations teams identify repeated causes of interruption, particularly at older lines where small mechanical failures had previously created disproportionate disruption. While maintenance expense increased modestly during the year, the trade-off was favorable because better reliability reduced scrap, expedited freight, and recovery overtime. Even so, a number of assets remain sensitive to high-load operating patterns, and management expects uptime gains to continue depending on rigorous maintenance execution and disciplined production sequencing.</w:t>
      </w:r>
    </w:p>
    <w:p w14:paraId="00100259" w14:textId="0010025A">
      <w:pPr>
        <w:pStyle w:val="Normal"/>
        <w:jc w:val="left"/>
      </w:pPr>
      <w:r>
        <w:t xml:space="preserve">2.2 Order Intake</w:t>
      </w:r>
    </w:p>
    <w:p w14:paraId="0010025B" w14:textId="0010025C">
      <w:pPr>
        <w:pStyle w:val="Normal"/>
        <w:jc w:val="left"/>
      </w:pPr>
      <w:r>
        <w:t xml:space="preserve">Order intake reflected a mixed demand environment across customer channels. Project-related demand from industrial distributors and original equipment manufacturers improved gradually through the year, with larger customers placing more structured replenishment orders after running inventories at cautious levels in the prior period. Direct sales to strategic accounts were comparatively resilient, particularly where Rivermark Group supplied recurring components tied to maintenance cycles and installed-base support. By contrast, smaller spot orders from independent channels remained volatile, with customers tending to shorten visibility and defer commitments until closer to delivery dates.</w:t>
      </w:r>
    </w:p>
    <w:p w14:paraId="0010025D" w14:textId="0010025E">
      <w:pPr>
        <w:pStyle w:val="Normal"/>
        <w:jc w:val="left"/>
      </w:pPr>
      <w:r>
        <w:t xml:space="preserve">The mix of demand also changed over the year. Standard product categories benefited from quicker reorder activity and shorter sales cycles, while customized orders saw longer approval times as customers reviewed capital budgets more carefully. Export-oriented channels remained uneven because of freight timing and regional market softness, though selected cross-border programs improved late in the year. Overall, the order profile became healthier as the share of repeat business increased and cancellation levels stayed contained. This pattern suggests underlying demand has stabilized, but the segment still faces a market in which customers are highly selective on lead times, pricing, and service reliability.</w:t>
      </w:r>
    </w:p>
    <w:p w14:paraId="0010025F" w14:textId="00100260">
      <w:pPr>
        <w:pStyle w:val="Normal"/>
        <w:jc w:val="left"/>
      </w:pPr>
      <w:r>
        <w:t xml:space="preserve">Backlog moved in line with the order pattern and production catch-up efforts. The segment entered the year with a moderate backlog built on orders received in the previous period, but this position softened in the first half as shipments outpaced new intake in several product groups. During the second half, backlog rebuilt modestly as order conversion improved and customers placed more scheduled releases for the following quarters. The quality of backlog also improved, with a greater proportion tied to named programs and frame arrangements rather than one-off opportunistic orders.</w:t>
      </w:r>
    </w:p>
    <w:p w14:paraId="00100261" w14:textId="00100262">
      <w:pPr>
        <w:pStyle w:val="Normal"/>
        <w:jc w:val="left"/>
      </w:pPr>
      <w:r>
        <w:t xml:space="preserve">Timing remains an important consideration in interpreting backlog levels. A higher backlog is not automatically positive where delivery dates are uncertain or where customer release schedules can change with little notice. Management therefore focused not only on headline backlog value but also on age, margin profile, and near-term convertibility. Orders with stronger payment quality, firmer delivery windows, and better production fit were prioritized to support efficient throughput. At year end, backlog provided a reasonable base for the opening months of the new year, though visibility beyond the near term remains limited. The segment's planning posture continues to emphasize flexible scheduling so that production can respond quickly to either accelerated customer demand or renewed order deferrals.</w:t>
      </w:r>
    </w:p>
    <w:p w14:paraId="00100263" w14:textId="00100264">
      <w:pPr>
        <w:pStyle w:val="Normal"/>
        <w:jc w:val="left"/>
      </w:pPr>
      <w:r>
        <w:t xml:space="preserve">Section 2 Outlook and Actions</w:t>
      </w:r>
    </w:p>
    <w:p w14:paraId="00100265" w14:textId="00100266">
      <w:pPr>
        <w:pStyle w:val="Normal"/>
        <w:jc w:val="left"/>
      </w:pPr>
      <w:r>
        <w:t xml:space="preserve">The Industrial segment enters the new period with improved operating discipline, a more stable order base, and a clearer set of execution priorities. Near-term actions are centered on cost efficiency, selective commercial expansion, and tighter plant coordination across Rivermark Group's manufacturing network. Management intends to preserve the utilization gains achieved in the second half while avoiding excess inventory build or premature fixed-cost additions. Investment will therefore remain targeted toward reliability, process bottleneck removal, and customer programs that offer repeatable volume and acceptable margin quality.</w:t>
      </w:r>
    </w:p>
    <w:p w14:paraId="00100267" w14:textId="00100268">
      <w:pPr>
        <w:pStyle w:val="Normal"/>
        <w:jc w:val="left"/>
      </w:pPr>
      <w:r>
        <w:t xml:space="preserve">The operating environment nevertheless remains mixed. Customer demand is improving in maintenance-linked and core industrial categories, but larger project decisions may still be phased cautiously, and pricing conditions remain competitive in several end markets. Supply continuity has improved compared with the prior year, yet selected inputs and specialist labor remain areas of execution attention. In this context, the segment's short-term objective is to convert backlog efficiently, defend margin through product and account discipline, and strengthen responsiveness at site level. Progress against these priorities should support a steadier earnings profile, even if market recovery continues at an uneven pace across regions and channels.</w:t>
      </w:r>
    </w:p>
    <w:p w14:paraId="00100269" w14:textId="0010026A">
      <w:pPr>
        <w:pStyle w:val="Normal"/>
        <w:jc w:val="left"/>
      </w:pPr>
      <w:r>
        <w:drawing>
          <wp:inline distT="0" distB="0" distL="0" distR="0">
            <wp:extent cx="4680000" cy="2520000"/>
            <wp:effectExtent l="0" t="0" r="0" b="0"/>
            <wp:docPr id="9" name="Fig-I06-02.png" descr=""/>
            <wp:cNvGraphicFramePr>
              <a:graphicFrameLocks noChangeAspect="1"/>
            </wp:cNvGraphicFramePr>
            <a:graphic>
              <a:graphicData uri="http://schemas.openxmlformats.org/drawingml/2006/picture">
                <pic:pic>
                  <pic:nvPicPr>
                    <pic:cNvPr id="9" name="Fig-I06-02.png"/>
                    <pic:cNvPicPr/>
                  </pic:nvPicPr>
                  <pic:blipFill>
                    <a:blip r:embed="R1863dfcfa8f74952" cstate="print"/>
                    <a:stretch>
                      <a:fillRect/>
                    </a:stretch>
                  </pic:blipFill>
                  <pic:spPr>
                    <a:xfrm>
                      <a:off x="0" y="0"/>
                      <a:ext cx="4320000" cy="2880000"/>
                    </a:xfrm>
                    <a:prstGeom prst="rect">
                      <a:avLst/>
                    </a:prstGeom>
                  </pic:spPr>
                </pic:pic>
              </a:graphicData>
            </a:graphic>
          </wp:inline>
        </w:drawing>
      </w:r>
    </w:p>
    <w:p w14:paraId="0010026B" w14:textId="0010026C">
      <w:pPr>
        <w:pStyle w:val="Normal"/>
        <w:jc w:val="left"/>
      </w:pPr>
      <w:r>
        <w:t xml:space="preserve">Figure 15 Operations activity at an Industrial production site.</w:t>
      </w:r>
    </w:p>
    <w:p w14:paraId="0010026D" w14:textId="0010026F">
      <w:pPr>
        <w:pStyle w:val="Normal"/>
        <w:jc w:val="left"/>
      </w:pPr>
      <w:r>
        <w:t xml:space="preserve">Source:</w:t>
      </w:r>
      <w:r>
        <w:t xml:space="preserve"> Rivermark Group Industrial Operations photo archive.</w:t>
      </w:r>
    </w:p>
    <w:p w14:paraId="00100270" w14:textId="00100271">
      <w:pPr>
        <w:pStyle w:val="Normal"/>
        <w:jc w:val="left"/>
      </w:pPr>
      <w:r>
        <w:t xml:space="preserve">Figure 16 Industrial team activity supporting production and dispatch.</w:t>
      </w:r>
    </w:p>
    <w:p w14:paraId="00100272" w14:textId="00100273">
      <w:pPr>
        <w:pStyle w:val="Normal"/>
        <w:jc w:val="left"/>
      </w:pPr>
      <w:r>
        <w:t xml:space="preserve">Subsection 1 Key Initiatives</w:t>
      </w:r>
    </w:p>
    <w:p w14:paraId="00100274" w14:textId="00100275">
      <w:pPr>
        <w:pStyle w:val="Normal"/>
        <w:jc w:val="left"/>
      </w:pPr>
      <w:r>
        <w:t xml:space="preserve">During the year, Rivermark Group’s Industrial segment shifted from short-term stabilization toward a more disciplined action agenda aimed at restoring margin quality and improving order conversion. Management concentrated on initiatives that could raise earnings resilience without relying solely on cyclical recovery. The program therefore combined cost efficiency, plant productivity, selective commercial expansion, and tighter pricing governance across the segment’s core product lines.</w:t>
      </w:r>
    </w:p>
    <w:p w14:paraId="00100276" w14:textId="00100277">
      <w:pPr>
        <w:pStyle w:val="Normal"/>
        <w:jc w:val="left"/>
      </w:pPr>
      <w:r>
        <w:t xml:space="preserve">The first priority was to simplify how work moved through procurement, production, and delivery. Teams reviewed supplier concentration, material substitution options, plant scheduling, and inventory deployment to reduce avoidable cost and shorten lead times. The second priority was to strengthen the commercial engine by focusing sales resources on accounts, end markets, and product categories where Rivermark holds technical differentiation or service advantages. This included closer coordination between operations and sales so that bids reflected actual plant capacity, logistics conditions, and target margins.</w:t>
      </w:r>
    </w:p>
    <w:p w14:paraId="00100278" w14:textId="00100279">
      <w:pPr>
        <w:pStyle w:val="Normal"/>
        <w:jc w:val="left"/>
      </w:pPr>
      <w:r>
        <w:t xml:space="preserve">Taken together, these actions were designed to improve the quality of growth rather than pursue volume at any price. Early progress was visible in better schedule adherence, firmer bid discipline, and a more balanced pipeline, although full benefits are expected to build progressively as demand conditions normalize.</w:t>
      </w:r>
    </w:p>
    <w:p w14:paraId="0010027A" w14:textId="0010027B">
      <w:pPr>
        <w:pStyle w:val="Normal"/>
        <w:jc w:val="left"/>
      </w:pPr>
      <w:r>
        <w:t xml:space="preserve">1.1 Efficiency Program</w:t>
      </w:r>
    </w:p>
    <w:p w14:paraId="0010027C" w14:textId="0010027D">
      <w:pPr>
        <w:pStyle w:val="Normal"/>
        <w:jc w:val="left"/>
      </w:pPr>
      <w:r>
        <w:t xml:space="preserve">The efficiency program centered on process redesign and sourcing savings in categories where inflation and supplier volatility had weighed on input costs. Procurement teams renegotiated contracts for steel components, packaging materials, maintenance items, and freight lanes, using a mix of longer-term agreements, alternative supplier qualification, and more consolidated purchasing volumes. In parallel, engineering and operations staff reviewed product specifications to identify opportunities for material standardization, reduced scrap, and lower handling complexity without compromising performance or customer requirements.</w:t>
      </w:r>
    </w:p>
    <w:p w14:paraId="0010027E" w14:textId="0010027F">
      <w:pPr>
        <w:pStyle w:val="Normal"/>
        <w:jc w:val="left"/>
      </w:pPr>
      <w:r>
        <w:t xml:space="preserve">Administrative processes were also streamlined. The segment reduced duplicated purchasing steps, introduced tighter approval thresholds for indirect spend, and expanded the use of common supplier scorecards across major plants. These changes improved visibility over price movements and delivery performance, allowing management to intervene earlier when cost drift or supply disruption emerged. Savings from sourcing actions were not treated as one-off gains; instead, the segment embedded them into revised standard costs and monthly operating reviews.</w:t>
      </w:r>
    </w:p>
    <w:p w14:paraId="00100280" w14:textId="00100281">
      <w:pPr>
        <w:pStyle w:val="Normal"/>
        <w:jc w:val="left"/>
      </w:pPr>
      <w:r>
        <w:t xml:space="preserve">While external cost pressure remained present in energy, transportation, and selected imported inputs, the program helped offset part of that burden and improved purchasing discipline. The result was a steadier cost base and a more predictable margin profile entering the next reporting period.</w:t>
      </w:r>
    </w:p>
    <w:p w14:paraId="00100282" w14:textId="00100283">
      <w:pPr>
        <w:pStyle w:val="Normal"/>
        <w:jc w:val="left"/>
      </w:pPr>
      <w:r>
        <w:t xml:space="preserve">Plant productivity actions focused on throughput, labor efficiency, and better use of installed capacity across the Industrial network. Site leaders prioritized line balancing, preventive maintenance compliance, and changeover reduction in plants where output had been constrained by intermittent downtime or uneven staffing. Daily performance boards were expanded to track yield, schedule attainment, overtime use, and rework, giving local teams a clearer view of where operating losses were occurring and how quickly corrective measures were taking hold.</w:t>
      </w:r>
    </w:p>
    <w:p w14:paraId="00100284" w14:textId="00100285">
      <w:pPr>
        <w:pStyle w:val="Normal"/>
        <w:jc w:val="left"/>
      </w:pPr>
      <w:r>
        <w:t xml:space="preserve">A second workstream addressed labor deployment. Rivermark increased cross-training for critical roles, adjusted shift patterns in selected facilities, and linked production planning more closely to confirmed order profiles. This reduced the mismatch between labor availability and actual demand, particularly in periods of weaker order inflow. At the same time, maintenance teams focused on recurring bottlenecks in equipment with the highest effect on delivery reliability, allowing plants to improve run rates without major capital expenditure.</w:t>
      </w:r>
    </w:p>
    <w:p w14:paraId="00100286" w14:textId="00100287">
      <w:pPr>
        <w:pStyle w:val="Normal"/>
        <w:jc w:val="left"/>
      </w:pPr>
      <w:r>
        <w:t xml:space="preserve">These measures did not produce a uniform outcome at every site, but they lifted performance in the segment’s larger facilities and created a more repeatable operating rhythm. Management expects further gains as productivity routines mature and as backlog quality improves, supporting higher utilization with lower variability in conversion cost.</w:t>
      </w:r>
    </w:p>
    <w:p w14:paraId="00100288" w14:textId="00100289">
      <w:pPr>
        <w:pStyle w:val="Normal"/>
        <w:jc w:val="left"/>
      </w:pPr>
      <w:r>
        <w:t xml:space="preserve">1.2 Commercial Focus</w:t>
      </w:r>
    </w:p>
    <w:p w14:paraId="0010028A" w14:textId="0010028B">
      <w:pPr>
        <w:pStyle w:val="Normal"/>
        <w:jc w:val="left"/>
      </w:pPr>
      <w:r>
        <w:t xml:space="preserve">Commercial priorities were organized around account quality, market selection, and deeper customer engagement rather than broad-based volume pursuit. The Industrial segment concentrated selling effort on customers with recurring demand, technically specified applications, and service requirements that favor Rivermark’s operating footprint. Key account plans were refreshed for major industrial buyers, with dedicated teams assigned to multi-site customers to improve share of wallet and strengthen retention during competitive bidding cycles.</w:t>
      </w:r>
    </w:p>
    <w:p w14:paraId="0010028C" w14:textId="0010028D">
      <w:pPr>
        <w:pStyle w:val="Normal"/>
        <w:jc w:val="left"/>
      </w:pPr>
      <w:r>
        <w:t xml:space="preserve">Management also sharpened the segment’s sector focus. Sales resources were directed toward infrastructure-related, maintenance-intensive, and replacement-demand categories that tend to show greater continuity than purely discretionary industrial spending. In these markets, the segment emphasized reliability, application support, and delivery performance as differentiators. Cross-selling opportunities between product lines were pursued where customers could benefit from bundled supply arrangements or coordinated service support.</w:t>
      </w:r>
    </w:p>
    <w:p w14:paraId="0010028E" w14:textId="0010028F">
      <w:pPr>
        <w:pStyle w:val="Normal"/>
        <w:jc w:val="left"/>
      </w:pPr>
      <w:r>
        <w:t xml:space="preserve">This approach was intended to produce a healthier order mix, even if near-term volume growth remained moderate. By targeting accounts where Rivermark can defend value and manage execution effectively, the segment aims to improve both revenue quality and customer lifetime economics over the medium term.</w:t>
      </w:r>
    </w:p>
    <w:p w14:paraId="00100290" w14:textId="00100291">
      <w:pPr>
        <w:pStyle w:val="Normal"/>
        <w:jc w:val="left"/>
      </w:pPr>
      <w:r>
        <w:t xml:space="preserve">Pipeline management and pricing actions were tightened to ensure that commercial growth translated into acceptable returns. Opportunity reviews became more selective, with greater scrutiny of lead times, specification risk, logistics assumptions, and expected conversion margins before bids were finalized. Sales and operations teams jointly reviewed larger quotations, helping prevent underpricing in contracts that carry complex production requirements or volatile input exposure. This discipline was particularly important in a market where customers continued to seek concessions while delivery expectations remained high.</w:t>
      </w:r>
    </w:p>
    <w:p w14:paraId="00100292" w14:textId="00100293">
      <w:pPr>
        <w:pStyle w:val="Normal"/>
        <w:jc w:val="left"/>
      </w:pPr>
      <w:r>
        <w:t xml:space="preserve">Pricing actions were calibrated by product category and competitive position. In segments with stronger differentiation, Rivermark pursued price realization through value-based selling, technical support, and service responsiveness. In more competitive product areas, management emphasized mix improvement and minimum margin thresholds rather than chasing low-return orders. The segment also used shorter quote-validity periods and more structured pass-through language where material or freight costs remained unstable.</w:t>
      </w:r>
    </w:p>
    <w:p w14:paraId="00100294" w14:textId="00100295">
      <w:pPr>
        <w:pStyle w:val="Normal"/>
        <w:jc w:val="left"/>
      </w:pPr>
      <w:r>
        <w:t xml:space="preserve">As a result, the sales pipeline entering the new period was narrower in some lower-margin areas but stronger in terms of expected profitability and execution fit. Management views this as a constructive trade-off: a disciplined pipeline should support more stable margins and reduce the operational strain associated with poorly priced or operationally unsuitable orders.</w:t>
      </w:r>
    </w:p>
    <w:p w14:paraId="00100296" w14:textId="00100297">
      <w:pPr>
        <w:pStyle w:val="Normal"/>
        <w:jc w:val="left"/>
      </w:pPr>
      <w:r>
        <w:t xml:space="preserve">Subsection 2 Near-Term Outlook</w:t>
      </w:r>
    </w:p>
    <w:p w14:paraId="00100298" w14:textId="00100299">
      <w:pPr>
        <w:pStyle w:val="Normal"/>
        <w:jc w:val="left"/>
      </w:pPr>
      <w:r>
        <w:t xml:space="preserve">The near-term outlook for the Industrial segment remains cautiously constructive. Management expects trading conditions to stay mixed across end markets, with some customer groups maintaining conservative purchasing behavior while infrastructure, maintenance, and selected replacement cycles provide a steadier demand base. Against this backdrop, the segment’s near-term performance will depend not only on external order recovery but also on continued execution of efficiency, productivity, and pricing measures already underway.</w:t>
      </w:r>
    </w:p>
    <w:p w14:paraId="0010029A" w14:textId="0010029B">
      <w:pPr>
        <w:pStyle w:val="Normal"/>
        <w:jc w:val="left"/>
      </w:pPr>
      <w:r>
        <w:t xml:space="preserve">Visibility has improved modestly compared with earlier periods, supported by a more stable backlog and better internal alignment between commercial commitments and plant capacity. Even so, management is not assuming a rapid return to broad-based industrial expansion. Planning for the coming period therefore remains grounded in disciplined cost control, selective commercial investment, and close monitoring of customer order patterns. If demand improves faster than expected, Rivermark believes the segment is better positioned to capture volume without sacrificing margin quality; if conditions remain uneven, the current action program should help protect earnings resilience.</w:t>
      </w:r>
    </w:p>
    <w:p w14:paraId="0010029C" w14:textId="0010029D">
      <w:pPr>
        <w:pStyle w:val="Normal"/>
        <w:jc w:val="left"/>
      </w:pPr>
      <w:r>
        <w:t xml:space="preserve">2.1 Market Conditions</w:t>
      </w:r>
    </w:p>
    <w:p w14:paraId="0010029E" w14:textId="0010029F">
      <w:pPr>
        <w:pStyle w:val="Normal"/>
        <w:jc w:val="left"/>
      </w:pPr>
      <w:r>
        <w:t xml:space="preserve">Industrial demand is expected to remain uneven in the short term. Customers in project-based and export-linked categories continue to place orders with shorter visibility and greater caution, reflecting uncertainty around capital spending, inventory levels, and broader manufacturing activity. By contrast, maintenance-driven demand and essential replacement purchases have been more stable, particularly where equipment uptime and regulatory compliance limit the ability to defer spending. This creates a market environment in which order timing may fluctuate even when underlying customer need remains present.</w:t>
      </w:r>
    </w:p>
    <w:p w14:paraId="001002A0" w14:textId="001002A1">
      <w:pPr>
        <w:pStyle w:val="Normal"/>
        <w:jc w:val="left"/>
      </w:pPr>
      <w:r>
        <w:t xml:space="preserve">Pricing conditions are likewise expected to vary by product group. Competitive pressure persists in commoditized categories, especially where industry capacity is ample and customers are actively rebidding supply arrangements. However, Rivermark sees better pricing support in technically specified products, shorter lead-time requirements, and applications where service reliability matters more than lowest initial price. Input cost volatility has moderated from prior peaks, but selected materials, freight, and labor categories still require careful management.</w:t>
      </w:r>
    </w:p>
    <w:p w14:paraId="001002A2" w14:textId="001002A3">
      <w:pPr>
        <w:pStyle w:val="Normal"/>
        <w:jc w:val="left"/>
      </w:pPr>
      <w:r>
        <w:t xml:space="preserve">Overall, management expects demand to be serviceable rather than robust, with pricing discipline remaining essential to preserve profitability. The segment’s immediate focus is therefore to secure higher-quality orders, maintain close customer contact, and respond quickly to shifts in buying behavior so that revenue growth, when it occurs, is matched by acceptable margin performance.</w:t>
      </w:r>
    </w:p>
    <w:p w14:paraId="001002A4" w14:textId="001002A5">
      <w:pPr>
        <w:pStyle w:val="Normal"/>
        <w:jc w:val="left"/>
      </w:pPr>
      <w:r>
        <w:t xml:space="preserve">Industrial demand remained uneven across Rivermark Group’s regional customer base during the year. North Corridor customers continued to place replacement and maintenance orders at a steady pace, supported by infrastructure upkeep, warehouse automation upgrades, and selected energy-efficiency projects. In contrast, large expansion projects in the East Belt moved more slowly, as customers phased capital spending and deferred procurement decisions until downstream demand became clearer. In the South Coast region, order activity improved in the second half, particularly among packaging, light manufacturing, and logistics clients that required shorter lead-time equipment and service support.</w:t>
      </w:r>
    </w:p>
    <w:p w14:paraId="001002A6" w14:textId="001002A7">
      <w:pPr>
        <w:pStyle w:val="Normal"/>
        <w:jc w:val="left"/>
      </w:pPr>
      <w:r>
        <w:t xml:space="preserve">Customer purchasing behavior also became more selective by product category. Standardized components and recurring consumables held up better than project-based assemblies, while customers favored modular solutions that could be deployed in stages rather than through a single large installation. Negotiations were more detailed, with buyers requesting tighter delivery commitments, performance guarantees, and phased payment terms. Even where quotation volumes increased, conversion to firm orders often took longer than in the prior year.</w:t>
      </w:r>
    </w:p>
    <w:p w14:paraId="001002A8" w14:textId="001002A9">
      <w:pPr>
        <w:pStyle w:val="Normal"/>
        <w:jc w:val="left"/>
      </w:pPr>
      <w:r>
        <w:t xml:space="preserve">Overall, regional demand did not contract uniformly, but it lacked broad-based momentum. Management therefore continued to prioritize account-level forecasting, local sales coordination, and targeted capacity allocation so that the Industrial segment could respond quickly to pockets of stronger demand while protecting margin quality in slower markets.</w:t>
      </w:r>
    </w:p>
    <w:p w14:paraId="001002AA" w14:textId="001002AB">
      <w:pPr>
        <w:pStyle w:val="Normal"/>
        <w:jc w:val="left"/>
      </w:pPr>
      <w:r>
        <w:t xml:space="preserve">2.2 Execution Risks</w:t>
      </w:r>
    </w:p>
    <w:p w14:paraId="001002AC" w14:textId="001002AD">
      <w:pPr>
        <w:pStyle w:val="Normal"/>
        <w:jc w:val="left"/>
      </w:pPr>
      <w:r>
        <w:t xml:space="preserve">The principal execution risks for the Industrial segment remained centered on supply continuity and labor availability. Although material availability improved relative to the peak disruption period, selected inputs, including specialty castings, control modules, and certain fabricated parts, were still subject to extended lead times and occasional shipment rescheduling. This created planning complexity for multi-stage orders, particularly where a single delayed component could hold back final assembly or commissioning. To reduce disruption, the segment increased dual sourcing in priority categories, raised safety stocks for critical items, and used more frequent supplier reviews for high-risk vendors.</w:t>
      </w:r>
    </w:p>
    <w:p w14:paraId="001002AE" w14:textId="001002AF">
      <w:pPr>
        <w:pStyle w:val="Normal"/>
        <w:jc w:val="left"/>
      </w:pPr>
      <w:r>
        <w:t xml:space="preserve">Labor conditions also remained tight in several operating locations. Skilled maintenance technicians, machinists, and field service personnel were the most constrained groups, and recruitment cycles were longer than originally planned. Wage pressure was manageable but persistent, especially in regions with strong competition for technical talent. In response, Rivermark expanded cross-training, adjusted shift patterns, and accelerated targeted retention measures for key operational roles.</w:t>
      </w:r>
    </w:p>
    <w:p w14:paraId="001002B0" w14:textId="001002B1">
      <w:pPr>
        <w:pStyle w:val="Normal"/>
        <w:jc w:val="left"/>
      </w:pPr>
      <w:r>
        <w:t xml:space="preserve">These risks are not viewed as structural barriers to growth, but they can affect throughput, service responsiveness, and project timing if not actively managed. The segment’s focus therefore remains on workforce flexibility, supplier resilience, and earlier visibility into customer schedules so that resource bottlenecks can be addressed before they affect delivery performance.</w:t>
      </w:r>
    </w:p>
    <w:p w14:paraId="001002B2" w14:textId="001002B3">
      <w:pPr>
        <w:pStyle w:val="Normal"/>
        <w:jc w:val="left"/>
      </w:pPr>
      <w:r>
        <w:t xml:space="preserve">Delivery performance and cost volatility represented a second set of important execution risks during the period. Customer expectations for delivery precision increased, particularly on orders tied to shutdown windows, installation calendars, or contractual start-up milestones. Even modest slippage in one production stage could create downstream penalties, expedited freight costs, or temporary under-absorption of labor. The risk was most pronounced on customized orders that required coordination across procurement, fabrication, testing, and field installation. To strengthen control, the Industrial segment placed greater emphasis on milestone tracking, exception-based project reviews, and earlier escalation of schedule conflicts.</w:t>
      </w:r>
    </w:p>
    <w:p w14:paraId="001002B4" w14:textId="001002B5">
      <w:pPr>
        <w:pStyle w:val="Normal"/>
        <w:jc w:val="left"/>
      </w:pPr>
      <w:r>
        <w:t xml:space="preserve">Cost volatility also remained a management priority. Freight rates were less extreme than in the prior period but still moved unpredictably on certain lanes, while energy, packaging, and subcontracting costs varied by market. In addition, a mixed demand environment made it harder to maintain ideal plant loading, which can pressure unit costs when volumes shift quickly. Pricing actions and contract clauses provided partial protection, but not all increases could be passed through immediately.</w:t>
      </w:r>
    </w:p>
    <w:p w14:paraId="001002B6" w14:textId="001002B7">
      <w:pPr>
        <w:pStyle w:val="Normal"/>
        <w:jc w:val="left"/>
      </w:pPr>
      <w:r>
        <w:t xml:space="preserve">Management’s current approach is to protect execution discipline rather than rely solely on price recovery. More rigorous order screening, closer coordination between commercial and operations teams, and tighter control of change orders are intended to reduce avoidable cost leakage. If these measures remain effective, the segment should be better positioned to preserve service reliability and defend margins despite a still-variable operating environment.</w:t>
      </w:r>
    </w:p>
    <w:p w14:paraId="00100EF0" w14:textId="00100EF1">
      <w:pPr>
        <w:pStyle w:val="Normal"/>
        <w:jc w:val="left"/>
        <w:sectPr>
          <w:type w:val="nextPage"/>
          <w:pgSz w:w="11906" w:h="16838"/>
          <w:pgMar w:top="1440" w:right="1440" w:bottom="1440" w:left="1440" w:header="1440" w:footer="1440" w:gutter="0"/>
          <w:cols w:space="720" w:num="1"/>
        </w:sectPr>
      </w:pPr>
    </w:p>
    <w:p w14:paraId="001002BC" w14:textId="001002BE">
      <w:pPr>
        <w:pStyle w:val="Normal"/>
        <w:jc w:val="left"/>
      </w:pPr>
      <w:r>
        <w:t xml:space="preserve">Chapter 5 Segment Review: Consumer</w:t>
      </w:r>
      <w:r>
        <w:t xml:space="preserve"/>
      </w:r>
    </w:p>
    <w:p w14:paraId="001002BF" w14:textId="001002C0">
      <w:pPr>
        <w:pStyle w:val="Normal"/>
        <w:jc w:val="left"/>
      </w:pPr>
      <w:r>
        <w:t xml:space="preserve">Rivermark Group’s Consumer segment delivered resilient performance in the year despite a mixed demand environment across retail channels. Sales growth was supported by steady replenishment in core household categories, improved digital conversion, and a more selective promotional approach in the second half. Performance varied by product line: everyday and value-oriented ranges remained comparatively stable, while discretionary categories showed softer volumes during periods of lower consumer confidence. Even so, the segment preserved market presence through targeted launches, tighter assortment management, and closer coordination with channel partners.</w:t>
      </w:r>
    </w:p>
    <w:p w14:paraId="001002C1" w14:textId="001002C2">
      <w:pPr>
        <w:pStyle w:val="Normal"/>
        <w:jc w:val="left"/>
      </w:pPr>
      <w:r>
        <w:t xml:space="preserve">From a profitability perspective, the segment benefited from a better product mix, disciplined pricing actions, and gradual normalization in several input cost categories. Margin recovery was not uniform across the portfolio, as certain categories continued to face competitive price pressure and elevated distribution costs. Management therefore balanced growth and profitability by emphasizing sell-through quality, inventory efficiency, and brand investment in channels where returns were clearer. Overall, the Consumer segment ended the year with a broader channel base, a healthier mix profile, and improved operating visibility entering the next period.</w:t>
      </w:r>
    </w:p>
    <w:p w14:paraId="001002C3" w14:textId="001002C4">
      <w:pPr>
        <w:pStyle w:val="Normal"/>
        <w:jc w:val="left"/>
      </w:pPr>
      <w:r>
        <w:t xml:space="preserve">Section 1 Performance Review</w:t>
      </w:r>
    </w:p>
    <w:p w14:paraId="001002C5" w14:textId="001002C6">
      <w:pPr>
        <w:pStyle w:val="Normal"/>
        <w:jc w:val="left"/>
      </w:pPr>
      <w:r>
        <w:t xml:space="preserve">The Consumer segment’s sales mix continued to shift during the year, with online and modern trade channels contributing a higher share of revenue while certain traditional retail accounts remained more variable. This mix change influenced both growth quality and margin formation. Digital channels supported better access to targeted customer groups and faster response to product campaigns, but they also required more active price management and fulfillment discipline. Retail performance was steadier in staple categories, where repeat purchase behavior and shelf visibility remained important drivers of volume.</w:t>
      </w:r>
    </w:p>
    <w:p w14:paraId="001002C7" w14:textId="001002C8">
      <w:pPr>
        <w:pStyle w:val="Normal"/>
        <w:jc w:val="left"/>
      </w:pPr>
      <w:r>
        <w:t xml:space="preserve">Margin performance reflected a combination of pricing, product composition, and cost absorption. Higher contribution from premium and refreshed product lines supported unit economics, while more controlled discounting reduced the drag from promotional intensity seen in earlier periods. At the same time, packaging, freight, and selected raw material costs remained above historical norms in parts of the year, limiting the pace of full recovery. Management responded by prioritizing mix improvement, refining promotional calendars, and concentrating marketing spend on categories with stronger repeat demand. Taken together, the segment showed measured top-line progression with clearer signs of margin stabilization.</w:t>
      </w:r>
    </w:p>
    <w:p w14:paraId="001002C9" w14:textId="001002CA">
      <w:pPr>
        <w:pStyle w:val="Normal"/>
        <w:jc w:val="left"/>
      </w:pPr>
      <w:r>
        <w:t xml:space="preserve">Subsection 1 Results Summary</w:t>
      </w:r>
    </w:p>
    <w:p w14:paraId="001002CB" w14:textId="001002CC">
      <w:pPr>
        <w:pStyle w:val="Normal"/>
        <w:jc w:val="left"/>
      </w:pPr>
      <w:r>
        <w:t xml:space="preserve">Headline indicators for the Consumer segment showed moderate revenue growth and an improvement in operating margin relative to the prior year. Net sales advanced on a balanced contribution from core categories and newer product introductions, while channel expansion helped offset softer demand in more discretionary areas. Volume performance was mixed across the year, but average selling prices and mix management provided support to overall revenue quality. The strongest progress was seen in categories where Rivermark Group combined steady brand visibility with tighter assortment discipline and more effective campaign timing.</w:t>
      </w:r>
    </w:p>
    <w:p w14:paraId="001002CD" w14:textId="001002CE">
      <w:pPr>
        <w:pStyle w:val="Normal"/>
        <w:jc w:val="left"/>
      </w:pPr>
      <w:r>
        <w:t xml:space="preserve">Profitability improved as the segment captured benefits from selective price realization, lower promotional leakage, and better operating control across sourcing and distribution. Gross margin expanded modestly, although gains were partly moderated by ongoing investment in brand support, digital capability, and route-to-market execution. Working capital also improved as inventory planning became more aligned with sell-through patterns, reducing excess stock pressure in slower-moving lines. In summary, the Consumer segment produced a more balanced performance profile: growth was not uniform, but underlying KPIs pointed to firmer execution, healthier mix, and stronger commercial discipline by year-end.</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2CF" w14:textId="00100307">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2D1" w14:textId="00100308">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2D3" w14:textId="00100309">
            <w:pPr>
              <w:pStyle w:val="Normal"/>
              <w:jc w:val="left"/>
            </w:pPr>
            <w:r>
              <w:t xml:space="preserve">2022</w:t>
            </w:r>
          </w:p>
        </w:tc>
        <w:tc>
          <w:tcPr>
            <w:vAlign w:val="center"/>
            <w:tcBorders>
              <w:top w:val="single" w:sz="4" w:space="0" w:color="auto"/>
              <w:left w:val="single" w:sz="4" w:space="0" w:color="auto"/>
              <w:bottom w:val="single" w:sz="4" w:space="0" w:color="auto"/>
              <w:right w:val="single" w:sz="4" w:space="0" w:color="auto"/>
            </w:tcBorders>
          </w:tcPr>
          <w:p w14:paraId="001002D5" w14:textId="0010030A">
            <w:pPr>
              <w:pStyle w:val="Normal"/>
              <w:jc w:val="left"/>
            </w:pPr>
            <w:r>
              <w:t xml:space="preserve">Change</w:t>
            </w:r>
          </w:p>
        </w:tc>
      </w:tr>
      <w:tr>
        <w:tc>
          <w:tcPr>
            <w:vAlign w:val="center"/>
            <w:tcBorders>
              <w:top w:val="single" w:sz="4" w:space="0" w:color="auto"/>
              <w:left w:val="single" w:sz="4" w:space="0" w:color="auto"/>
              <w:bottom w:val="single" w:sz="4" w:space="0" w:color="auto"/>
              <w:right w:val="single" w:sz="4" w:space="0" w:color="auto"/>
            </w:tcBorders>
          </w:tcPr>
          <w:p w14:paraId="001002D7" w14:textId="0010030B">
            <w:pPr>
              <w:pStyle w:val="Normal"/>
              <w:jc w:val="left"/>
            </w:pPr>
            <w:r>
              <w:t xml:space="preserve">External sales</w:t>
            </w:r>
          </w:p>
        </w:tc>
        <w:tc>
          <w:tcPr>
            <w:vAlign w:val="center"/>
            <w:tcBorders>
              <w:top w:val="single" w:sz="4" w:space="0" w:color="auto"/>
              <w:left w:val="single" w:sz="4" w:space="0" w:color="auto"/>
              <w:bottom w:val="single" w:sz="4" w:space="0" w:color="auto"/>
              <w:right w:val="single" w:sz="4" w:space="0" w:color="auto"/>
            </w:tcBorders>
          </w:tcPr>
          <w:p w14:paraId="001002D9" w14:textId="0010030C">
            <w:pPr>
              <w:pStyle w:val="Normal"/>
              <w:jc w:val="left"/>
            </w:pPr>
            <w:r>
              <w:t xml:space="preserve">1,248</w:t>
            </w:r>
          </w:p>
        </w:tc>
        <w:tc>
          <w:tcPr>
            <w:vAlign w:val="center"/>
            <w:tcBorders>
              <w:top w:val="single" w:sz="4" w:space="0" w:color="auto"/>
              <w:left w:val="single" w:sz="4" w:space="0" w:color="auto"/>
              <w:bottom w:val="single" w:sz="4" w:space="0" w:color="auto"/>
              <w:right w:val="single" w:sz="4" w:space="0" w:color="auto"/>
            </w:tcBorders>
          </w:tcPr>
          <w:p w14:paraId="001002DB" w14:textId="0010030D">
            <w:pPr>
              <w:pStyle w:val="Normal"/>
              <w:jc w:val="left"/>
            </w:pPr>
            <w:r>
              <w:t xml:space="preserve">1,186</w:t>
            </w:r>
          </w:p>
        </w:tc>
        <w:tc>
          <w:tcPr>
            <w:vAlign w:val="center"/>
            <w:tcBorders>
              <w:top w:val="single" w:sz="4" w:space="0" w:color="auto"/>
              <w:left w:val="single" w:sz="4" w:space="0" w:color="auto"/>
              <w:bottom w:val="single" w:sz="4" w:space="0" w:color="auto"/>
              <w:right w:val="single" w:sz="4" w:space="0" w:color="auto"/>
            </w:tcBorders>
          </w:tcPr>
          <w:p w14:paraId="001002DD" w14:textId="0010030E">
            <w:pPr>
              <w:pStyle w:val="Normal"/>
              <w:jc w:val="left"/>
            </w:pPr>
            <w:r>
              <w:t xml:space="preserve">+5.2%</w:t>
            </w:r>
          </w:p>
        </w:tc>
      </w:tr>
      <w:tr>
        <w:tc>
          <w:tcPr>
            <w:vAlign w:val="center"/>
            <w:tcBorders>
              <w:top w:val="single" w:sz="4" w:space="0" w:color="auto"/>
              <w:left w:val="single" w:sz="4" w:space="0" w:color="auto"/>
              <w:bottom w:val="single" w:sz="4" w:space="0" w:color="auto"/>
              <w:right w:val="single" w:sz="4" w:space="0" w:color="auto"/>
            </w:tcBorders>
          </w:tcPr>
          <w:p w14:paraId="001002DF" w14:textId="0010030F">
            <w:pPr>
              <w:pStyle w:val="Normal"/>
              <w:jc w:val="left"/>
            </w:pPr>
            <w:r>
              <w:t xml:space="preserve">Gross margin</w:t>
            </w:r>
          </w:p>
        </w:tc>
        <w:tc>
          <w:tcPr>
            <w:vAlign w:val="center"/>
            <w:tcBorders>
              <w:top w:val="single" w:sz="4" w:space="0" w:color="auto"/>
              <w:left w:val="single" w:sz="4" w:space="0" w:color="auto"/>
              <w:bottom w:val="single" w:sz="4" w:space="0" w:color="auto"/>
              <w:right w:val="single" w:sz="4" w:space="0" w:color="auto"/>
            </w:tcBorders>
          </w:tcPr>
          <w:p w14:paraId="001002E1" w14:textId="00100310">
            <w:pPr>
              <w:pStyle w:val="Normal"/>
              <w:jc w:val="left"/>
            </w:pPr>
            <w:r>
              <w:t xml:space="preserve">31.4%</w:t>
            </w:r>
          </w:p>
        </w:tc>
        <w:tc>
          <w:tcPr>
            <w:vAlign w:val="center"/>
            <w:tcBorders>
              <w:top w:val="single" w:sz="4" w:space="0" w:color="auto"/>
              <w:left w:val="single" w:sz="4" w:space="0" w:color="auto"/>
              <w:bottom w:val="single" w:sz="4" w:space="0" w:color="auto"/>
              <w:right w:val="single" w:sz="4" w:space="0" w:color="auto"/>
            </w:tcBorders>
          </w:tcPr>
          <w:p w14:paraId="001002E3" w14:textId="00100311">
            <w:pPr>
              <w:pStyle w:val="Normal"/>
              <w:jc w:val="left"/>
            </w:pPr>
            <w:r>
              <w:t xml:space="preserve">30.1%</w:t>
            </w:r>
          </w:p>
        </w:tc>
        <w:tc>
          <w:tcPr>
            <w:vAlign w:val="center"/>
            <w:tcBorders>
              <w:top w:val="single" w:sz="4" w:space="0" w:color="auto"/>
              <w:left w:val="single" w:sz="4" w:space="0" w:color="auto"/>
              <w:bottom w:val="single" w:sz="4" w:space="0" w:color="auto"/>
              <w:right w:val="single" w:sz="4" w:space="0" w:color="auto"/>
            </w:tcBorders>
          </w:tcPr>
          <w:p w14:paraId="001002E5" w14:textId="00100312">
            <w:pPr>
              <w:pStyle w:val="Normal"/>
              <w:jc w:val="left"/>
            </w:pPr>
            <w:r>
              <w:t xml:space="preserve">+1.3 pts</w:t>
            </w:r>
          </w:p>
        </w:tc>
      </w:tr>
      <w:tr>
        <w:tc>
          <w:tcPr>
            <w:vAlign w:val="center"/>
            <w:tcBorders>
              <w:top w:val="single" w:sz="4" w:space="0" w:color="auto"/>
              <w:left w:val="single" w:sz="4" w:space="0" w:color="auto"/>
              <w:bottom w:val="single" w:sz="4" w:space="0" w:color="auto"/>
              <w:right w:val="single" w:sz="4" w:space="0" w:color="auto"/>
            </w:tcBorders>
          </w:tcPr>
          <w:p w14:paraId="001002E7" w14:textId="00100313">
            <w:pPr>
              <w:pStyle w:val="Normal"/>
              <w:jc w:val="left"/>
            </w:pPr>
            <w:r>
              <w:t xml:space="preserve">Online sales mix</w:t>
            </w:r>
          </w:p>
        </w:tc>
        <w:tc>
          <w:tcPr>
            <w:vAlign w:val="center"/>
            <w:tcBorders>
              <w:top w:val="single" w:sz="4" w:space="0" w:color="auto"/>
              <w:left w:val="single" w:sz="4" w:space="0" w:color="auto"/>
              <w:bottom w:val="single" w:sz="4" w:space="0" w:color="auto"/>
              <w:right w:val="single" w:sz="4" w:space="0" w:color="auto"/>
            </w:tcBorders>
          </w:tcPr>
          <w:p w14:paraId="001002E9" w14:textId="00100314">
            <w:pPr>
              <w:pStyle w:val="Normal"/>
              <w:jc w:val="left"/>
            </w:pPr>
            <w:r>
              <w:t xml:space="preserve">28%</w:t>
            </w:r>
          </w:p>
        </w:tc>
        <w:tc>
          <w:tcPr>
            <w:vAlign w:val="center"/>
            <w:tcBorders>
              <w:top w:val="single" w:sz="4" w:space="0" w:color="auto"/>
              <w:left w:val="single" w:sz="4" w:space="0" w:color="auto"/>
              <w:bottom w:val="single" w:sz="4" w:space="0" w:color="auto"/>
              <w:right w:val="single" w:sz="4" w:space="0" w:color="auto"/>
            </w:tcBorders>
          </w:tcPr>
          <w:p w14:paraId="001002EB" w14:textId="00100315">
            <w:pPr>
              <w:pStyle w:val="Normal"/>
              <w:jc w:val="left"/>
            </w:pPr>
            <w:r>
              <w:t xml:space="preserve">24%</w:t>
            </w:r>
          </w:p>
        </w:tc>
        <w:tc>
          <w:tcPr>
            <w:vAlign w:val="center"/>
            <w:tcBorders>
              <w:top w:val="single" w:sz="4" w:space="0" w:color="auto"/>
              <w:left w:val="single" w:sz="4" w:space="0" w:color="auto"/>
              <w:bottom w:val="single" w:sz="4" w:space="0" w:color="auto"/>
              <w:right w:val="single" w:sz="4" w:space="0" w:color="auto"/>
            </w:tcBorders>
          </w:tcPr>
          <w:p w14:paraId="001002ED" w14:textId="00100316">
            <w:pPr>
              <w:pStyle w:val="Normal"/>
              <w:jc w:val="left"/>
            </w:pPr>
            <w:r>
              <w:t xml:space="preserve">+4 pts</w:t>
            </w:r>
          </w:p>
        </w:tc>
      </w:tr>
      <w:tr>
        <w:tc>
          <w:tcPr>
            <w:vAlign w:val="center"/>
            <w:tcBorders>
              <w:top w:val="single" w:sz="4" w:space="0" w:color="auto"/>
              <w:left w:val="single" w:sz="4" w:space="0" w:color="auto"/>
              <w:bottom w:val="single" w:sz="4" w:space="0" w:color="auto"/>
              <w:right w:val="single" w:sz="4" w:space="0" w:color="auto"/>
            </w:tcBorders>
          </w:tcPr>
          <w:p w14:paraId="001002EF" w14:textId="00100317">
            <w:pPr>
              <w:pStyle w:val="Normal"/>
              <w:jc w:val="left"/>
            </w:pPr>
            <w:r>
              <w:t xml:space="preserve">Retail store sales mix</w:t>
            </w:r>
          </w:p>
        </w:tc>
        <w:tc>
          <w:tcPr>
            <w:vAlign w:val="center"/>
            <w:tcBorders>
              <w:top w:val="single" w:sz="4" w:space="0" w:color="auto"/>
              <w:left w:val="single" w:sz="4" w:space="0" w:color="auto"/>
              <w:bottom w:val="single" w:sz="4" w:space="0" w:color="auto"/>
              <w:right w:val="single" w:sz="4" w:space="0" w:color="auto"/>
            </w:tcBorders>
          </w:tcPr>
          <w:p w14:paraId="001002F1" w14:textId="00100318">
            <w:pPr>
              <w:pStyle w:val="Normal"/>
              <w:jc w:val="left"/>
            </w:pPr>
            <w:r>
              <w:t xml:space="preserve">56%</w:t>
            </w:r>
          </w:p>
        </w:tc>
        <w:tc>
          <w:tcPr>
            <w:vAlign w:val="center"/>
            <w:tcBorders>
              <w:top w:val="single" w:sz="4" w:space="0" w:color="auto"/>
              <w:left w:val="single" w:sz="4" w:space="0" w:color="auto"/>
              <w:bottom w:val="single" w:sz="4" w:space="0" w:color="auto"/>
              <w:right w:val="single" w:sz="4" w:space="0" w:color="auto"/>
            </w:tcBorders>
          </w:tcPr>
          <w:p w14:paraId="001002F3" w14:textId="00100319">
            <w:pPr>
              <w:pStyle w:val="Normal"/>
              <w:jc w:val="left"/>
            </w:pPr>
            <w:r>
              <w:t xml:space="preserve">60%</w:t>
            </w:r>
          </w:p>
        </w:tc>
        <w:tc>
          <w:tcPr>
            <w:vAlign w:val="center"/>
            <w:tcBorders>
              <w:top w:val="single" w:sz="4" w:space="0" w:color="auto"/>
              <w:left w:val="single" w:sz="4" w:space="0" w:color="auto"/>
              <w:bottom w:val="single" w:sz="4" w:space="0" w:color="auto"/>
              <w:right w:val="single" w:sz="4" w:space="0" w:color="auto"/>
            </w:tcBorders>
          </w:tcPr>
          <w:p w14:paraId="001002F5" w14:textId="0010031A">
            <w:pPr>
              <w:pStyle w:val="Normal"/>
              <w:jc w:val="left"/>
            </w:pPr>
            <w:r>
              <w:t xml:space="preserve">-4 pts</w:t>
            </w:r>
          </w:p>
        </w:tc>
      </w:tr>
      <w:tr>
        <w:tc>
          <w:tcPr>
            <w:vAlign w:val="center"/>
            <w:tcBorders>
              <w:top w:val="single" w:sz="4" w:space="0" w:color="auto"/>
              <w:left w:val="single" w:sz="4" w:space="0" w:color="auto"/>
              <w:bottom w:val="single" w:sz="4" w:space="0" w:color="auto"/>
              <w:right w:val="single" w:sz="4" w:space="0" w:color="auto"/>
            </w:tcBorders>
          </w:tcPr>
          <w:p w14:paraId="001002F7" w14:textId="0010031B">
            <w:pPr>
              <w:pStyle w:val="Normal"/>
              <w:jc w:val="left"/>
            </w:pPr>
            <w:r>
              <w:t xml:space="preserve">Average selling price index</w:t>
            </w:r>
          </w:p>
        </w:tc>
        <w:tc>
          <w:tcPr>
            <w:vAlign w:val="center"/>
            <w:tcBorders>
              <w:top w:val="single" w:sz="4" w:space="0" w:color="auto"/>
              <w:left w:val="single" w:sz="4" w:space="0" w:color="auto"/>
              <w:bottom w:val="single" w:sz="4" w:space="0" w:color="auto"/>
              <w:right w:val="single" w:sz="4" w:space="0" w:color="auto"/>
            </w:tcBorders>
          </w:tcPr>
          <w:p w14:paraId="001002F9" w14:textId="0010031C">
            <w:pPr>
              <w:pStyle w:val="Normal"/>
              <w:jc w:val="left"/>
            </w:pPr>
            <w:r>
              <w:t xml:space="preserve">103</w:t>
            </w:r>
          </w:p>
        </w:tc>
        <w:tc>
          <w:tcPr>
            <w:vAlign w:val="center"/>
            <w:tcBorders>
              <w:top w:val="single" w:sz="4" w:space="0" w:color="auto"/>
              <w:left w:val="single" w:sz="4" w:space="0" w:color="auto"/>
              <w:bottom w:val="single" w:sz="4" w:space="0" w:color="auto"/>
              <w:right w:val="single" w:sz="4" w:space="0" w:color="auto"/>
            </w:tcBorders>
          </w:tcPr>
          <w:p w14:paraId="001002FB" w14:textId="0010031D">
            <w:pPr>
              <w:pStyle w:val="Normal"/>
              <w:jc w:val="left"/>
            </w:pPr>
            <w:r>
              <w:t xml:space="preserve">100</w:t>
            </w:r>
          </w:p>
        </w:tc>
        <w:tc>
          <w:tcPr>
            <w:vAlign w:val="center"/>
            <w:tcBorders>
              <w:top w:val="single" w:sz="4" w:space="0" w:color="auto"/>
              <w:left w:val="single" w:sz="4" w:space="0" w:color="auto"/>
              <w:bottom w:val="single" w:sz="4" w:space="0" w:color="auto"/>
              <w:right w:val="single" w:sz="4" w:space="0" w:color="auto"/>
            </w:tcBorders>
          </w:tcPr>
          <w:p w14:paraId="001002FD" w14:textId="0010031E">
            <w:pPr>
              <w:pStyle w:val="Normal"/>
              <w:jc w:val="left"/>
            </w:pPr>
            <w:r>
              <w:t xml:space="preserve">+3.0%</w:t>
            </w:r>
          </w:p>
        </w:tc>
      </w:tr>
      <w:tr>
        <w:tc>
          <w:tcPr>
            <w:vAlign w:val="center"/>
            <w:tcBorders>
              <w:top w:val="single" w:sz="4" w:space="0" w:color="auto"/>
              <w:left w:val="single" w:sz="4" w:space="0" w:color="auto"/>
              <w:bottom w:val="single" w:sz="4" w:space="0" w:color="auto"/>
              <w:right w:val="single" w:sz="4" w:space="0" w:color="auto"/>
            </w:tcBorders>
          </w:tcPr>
          <w:p w14:paraId="001002FF" w14:textId="0010031F">
            <w:pPr>
              <w:pStyle w:val="Normal"/>
              <w:jc w:val="left"/>
            </w:pPr>
            <w:r>
              <w:t xml:space="preserve">Units sold (million)</w:t>
            </w:r>
          </w:p>
        </w:tc>
        <w:tc>
          <w:tcPr>
            <w:vAlign w:val="center"/>
            <w:tcBorders>
              <w:top w:val="single" w:sz="4" w:space="0" w:color="auto"/>
              <w:left w:val="single" w:sz="4" w:space="0" w:color="auto"/>
              <w:bottom w:val="single" w:sz="4" w:space="0" w:color="auto"/>
              <w:right w:val="single" w:sz="4" w:space="0" w:color="auto"/>
            </w:tcBorders>
          </w:tcPr>
          <w:p w14:paraId="00100301" w14:textId="00100320">
            <w:pPr>
              <w:pStyle w:val="Normal"/>
              <w:jc w:val="left"/>
            </w:pPr>
            <w:r>
              <w:t xml:space="preserve">42.6</w:t>
            </w:r>
          </w:p>
        </w:tc>
        <w:tc>
          <w:tcPr>
            <w:vAlign w:val="center"/>
            <w:tcBorders>
              <w:top w:val="single" w:sz="4" w:space="0" w:color="auto"/>
              <w:left w:val="single" w:sz="4" w:space="0" w:color="auto"/>
              <w:bottom w:val="single" w:sz="4" w:space="0" w:color="auto"/>
              <w:right w:val="single" w:sz="4" w:space="0" w:color="auto"/>
            </w:tcBorders>
          </w:tcPr>
          <w:p w14:paraId="00100303" w14:textId="00100321">
            <w:pPr>
              <w:pStyle w:val="Normal"/>
              <w:jc w:val="left"/>
            </w:pPr>
            <w:r>
              <w:t xml:space="preserve">43.8</w:t>
            </w:r>
          </w:p>
        </w:tc>
        <w:tc>
          <w:tcPr>
            <w:vAlign w:val="center"/>
            <w:tcBorders>
              <w:top w:val="single" w:sz="4" w:space="0" w:color="auto"/>
              <w:left w:val="single" w:sz="4" w:space="0" w:color="auto"/>
              <w:bottom w:val="single" w:sz="4" w:space="0" w:color="auto"/>
              <w:right w:val="single" w:sz="4" w:space="0" w:color="auto"/>
            </w:tcBorders>
          </w:tcPr>
          <w:p w14:paraId="00100305" w14:textId="00100322">
            <w:pPr>
              <w:pStyle w:val="Normal"/>
              <w:jc w:val="left"/>
            </w:pPr>
            <w:r>
              <w:t xml:space="preserve">-2.7%</w:t>
            </w:r>
          </w:p>
        </w:tc>
      </w:tr>
    </w:tbl>
    <w:p w14:paraId="00100323" w14:textId="00100324">
      <w:pPr>
        <w:pStyle w:val="Normal"/>
        <w:jc w:val="left"/>
      </w:pPr>
      <w:r>
        <w:t xml:space="preserve">Table 4 Consumer segment KPI summary: sales, margin, and channel mix</w:t>
      </w:r>
    </w:p>
    <w:p w14:paraId="00100325" w14:textId="00100327">
      <w:pPr>
        <w:pStyle w:val="Normal"/>
        <w:jc w:val="left"/>
      </w:pPr>
      <w:r>
        <w:t xml:space="preserve">Source:</w:t>
      </w:r>
      <w:r>
        <w:t xml:space="preserve"> Rivermark Group management reporting for the Consumer segment. Amounts are presented on a continuing-operations basis for the fiscal years ended 2023 and 2022; mix percentages are based on external sales, and average selling price index uses 2022 as the base period of 100.</w:t>
      </w:r>
    </w:p>
    <w:p w14:paraId="00100328" w14:textId="00100329">
      <w:pPr>
        <w:pStyle w:val="Normal"/>
        <w:jc w:val="left"/>
      </w:pPr>
      <w:r>
        <w:t xml:space="preserve">1.1 Channel Trends</w:t>
      </w:r>
    </w:p>
    <w:p w14:paraId="0010032A" w14:textId="0010032B">
      <w:pPr>
        <w:pStyle w:val="Normal"/>
        <w:jc w:val="left"/>
      </w:pPr>
      <w:r>
        <w:t xml:space="preserve">The Consumer segment recorded a visible shift in channel composition during the year. Physical retail remained the largest route to market, but its share of segment sales declined as online channels continued to scale. Retail store sales mix moved to 56% from 60% in the prior year, while online sales mix increased to 28% from 24%. The balance came from wholesale and distributor relationships, which remained broadly stable and continued to support regional reach where Rivermark Group has a lighter direct store presence.</w:t>
      </w:r>
    </w:p>
    <w:p w14:paraId="0010032C" w14:textId="0010032D">
      <w:pPr>
        <w:pStyle w:val="Normal"/>
        <w:jc w:val="left"/>
      </w:pPr>
      <w:r>
        <w:t xml:space="preserve">This movement in channel split reflects not only customer purchasing behavior but also management action. Digital storefront improvements, more responsive fulfillment, and better campaign targeting increased conversion on repeat purchases and seasonal promotions. At the same time, several mature store networks showed flatter foot traffic, particularly in urban locations where promotional intensity across the category remained high. Even so, stores continued to play an important role in new product display, brand visibility, and bundled selling, which helped support average ticket values in selected categories.</w:t>
      </w:r>
    </w:p>
    <w:p w14:paraId="0010032E" w14:textId="0010032F">
      <w:pPr>
        <w:pStyle w:val="Normal"/>
        <w:jc w:val="left"/>
      </w:pPr>
      <w:r>
        <w:t xml:space="preserve">Channel mix was influenced by a combination of demand patterns, portfolio changes, and execution choices across the year. Online growth was strongest in replenishment-oriented categories and in products with clearer digital search behavior, where customer acquisition costs remained manageable and delivery economics improved. Retail performance was more mixed: flagship locations and store-within-store formats performed steadily, while smaller legacy outlets were more exposed to local traffic softness and price-led competition.</w:t>
      </w:r>
    </w:p>
    <w:p w14:paraId="00100330" w14:textId="00100331">
      <w:pPr>
        <w:pStyle w:val="Normal"/>
        <w:jc w:val="left"/>
      </w:pPr>
      <w:r>
        <w:t xml:space="preserve">Another driver was the segment's approach to promotions and inventory allocation. Management directed more launch inventory and campaign support toward channels that could provide faster sell-through data, allowing replenishment decisions to be made with shorter lead times. This improved stock availability for digital campaigns and reduced markdown pressure on slower-moving store inventory. The resulting mix change modestly strengthened revenue quality, although it also increased dependence on fulfillment discipline, digital marketing efficiency, and platform service levels. Overall, the year showed that channel diversification is becoming a structural feature of the Consumer segment rather than a temporary sales response.</w:t>
      </w:r>
    </w:p>
    <w:p w14:paraId="00100332" w14:textId="00100333">
      <w:pPr>
        <w:pStyle w:val="Normal"/>
        <w:jc w:val="left"/>
      </w:pPr>
      <w:r>
        <w:t xml:space="preserve">1.2 Margin Trends</w:t>
      </w:r>
    </w:p>
    <w:p w14:paraId="00100334" w14:textId="00100335">
      <w:pPr>
        <w:pStyle w:val="Normal"/>
        <w:jc w:val="left"/>
      </w:pPr>
      <w:r>
        <w:t xml:space="preserve">Gross margin improved to 31.4% from 30.1%, supported in part by a more favorable product mix. Sales growth was concentrated in higher-margin categories, including premium household lines, refill-based offerings, and selected personal-use products with stronger brand recognition. These categories carry better pricing architecture and lower relative promotional intensity than entry-level assortments, which lifted the blended margin even though total unit volumes declined modestly.</w:t>
      </w:r>
    </w:p>
    <w:p w14:paraId="00100336" w14:textId="00100337">
      <w:pPr>
        <w:pStyle w:val="Normal"/>
        <w:jc w:val="left"/>
      </w:pPr>
      <w:r>
        <w:t xml:space="preserve">Mix quality also benefited from portfolio discipline. Rivermark Group reduced emphasis on lower-return stock-keeping units that generated revenue but consumed shelf space and working capital without contributing proportionately to earnings. In parallel, refreshed packaging and bundle design increased cross-sell performance in channels where customers were less price-sensitive. The effect was especially visible in online and organized retail formats, where premium presentation and curated assortments supported higher basket values. While the margin improvement was not uniform across all categories, the overall result indicates that category selection and product architecture have become more important earnings levers for the Consumer segment.</w:t>
      </w:r>
    </w:p>
    <w:p w14:paraId="00100338" w14:textId="00100339">
      <w:pPr>
        <w:pStyle w:val="Normal"/>
        <w:jc w:val="left"/>
      </w:pPr>
      <w:r>
        <w:t xml:space="preserve">Input cost and pricing also shaped the segment's margin trajectory. Packaging materials, selected agricultural inputs, and outbound logistics remained above historical averages during much of the year, although the rate of inflation moderated compared with the prior period. Management responded through supplier renegotiations, pack-size adjustments, and targeted reformulation where quality could be maintained without undermining brand positioning. These actions reduced some pressure, but benefits were phased rather than immediate because procurement contracts and inventory cycles delayed full recovery.</w:t>
      </w:r>
    </w:p>
    <w:p w14:paraId="0010033A" w14:textId="0010033B">
      <w:pPr>
        <w:pStyle w:val="Normal"/>
        <w:jc w:val="left"/>
      </w:pPr>
      <w:r>
        <w:t xml:space="preserve">Pricing actions helped offset the remaining cost burden. The segment implemented selective list-price increases in categories with stronger brand elasticity, while using promotional mechanics more carefully in price-sensitive lines. Rather than applying broad-based discounting, commercial teams focused on event-led campaigns, loyalty offers, and channel-specific bundles that preserved realized margin more effectively. The combination of firmer price realization and easing input inflation contributed to the year-on-year margin gain. However, management continues to monitor the balance between pricing discipline and volume resilience, especially in categories where consumers are trading down or switching across brands more readily.</w:t>
      </w:r>
    </w:p>
    <w:p w14:paraId="0010033C" w14:textId="0010033D">
      <w:pPr>
        <w:pStyle w:val="Normal"/>
        <w:jc w:val="left"/>
      </w:pPr>
      <w:r>
        <w:t xml:space="preserve">Subsection 2 Market Indicators</w:t>
      </w:r>
    </w:p>
    <w:p w14:paraId="0010033E" w14:textId="0010033F">
      <w:pPr>
        <w:pStyle w:val="Normal"/>
        <w:jc w:val="left"/>
      </w:pPr>
      <w:r>
        <w:t xml:space="preserve">Market indicators across the Consumer segment present a mixed but manageable demand picture. Unit sales softened during parts of the year, particularly in lower-priced discretionary categories, indicating that household budgets remained under pressure. At the same time, average selling price improved and online conversion trends strengthened, suggesting that brand-led and convenience-led demand remained resilient in selected product groups. Taken together, these signals indicate that underlying consumption has not weakened uniformly; instead, customers are prioritizing value, convenience, and trusted products while reducing less essential purchases.</w:t>
      </w:r>
    </w:p>
    <w:p w14:paraId="00100340" w14:textId="00100341">
      <w:pPr>
        <w:pStyle w:val="Normal"/>
        <w:jc w:val="left"/>
      </w:pPr>
      <w:r>
        <w:t xml:space="preserve">For management, the practical value of these indicators lies in how they connect market behavior to operating decisions. Volume movement gives an early read on category momentum, price realization shows the extent to which inflation recovery is sticking, and channel conversion data helps assess the return on promotional spend. When viewed together, these measures form a demand bridge between headline revenue and the underlying quality of sales. In the current environment, Rivermark Group is using this bridge to refine inventory placement, promotion timing, and portfolio emphasis so that growth can be pursued without sacrificing margin discipline.</w:t>
      </w:r>
    </w:p>
    <w:p w14:paraId="00100342" w14:textId="00100343">
      <w:pPr>
        <w:pStyle w:val="Normal"/>
        <w:jc w:val="left"/>
      </w:pPr>
      <w:r>
        <w:drawing>
          <wp:inline distT="0" distB="0" distL="0" distR="0">
            <wp:extent cx="4320000" cy="2880000"/>
            <wp:effectExtent l="0" t="0" r="0" b="0"/>
            <wp:docPr id="10" name="Fig-I07-01.png" descr=""/>
            <wp:cNvGraphicFramePr>
              <a:graphicFrameLocks noChangeAspect="1"/>
            </wp:cNvGraphicFramePr>
            <a:graphic>
              <a:graphicData uri="http://schemas.openxmlformats.org/drawingml/2006/picture">
                <pic:pic>
                  <pic:nvPicPr>
                    <pic:cNvPr id="10" name="Fig-I07-01.png"/>
                    <pic:cNvPicPr/>
                  </pic:nvPicPr>
                  <pic:blipFill>
                    <a:blip r:embed="R4e4b405e0ea24344" cstate="print"/>
                    <a:stretch>
                      <a:fillRect/>
                    </a:stretch>
                  </pic:blipFill>
                  <pic:spPr>
                    <a:xfrm>
                      <a:off x="0" y="0"/>
                      <a:ext cx="3960000" cy="2520000"/>
                    </a:xfrm>
                    <a:prstGeom prst="rect">
                      <a:avLst/>
                    </a:prstGeom>
                  </pic:spPr>
                </pic:pic>
              </a:graphicData>
            </a:graphic>
          </wp:inline>
        </w:drawing>
      </w:r>
    </w:p>
    <w:p w14:paraId="00100344" w14:textId="00100345">
      <w:pPr>
        <w:pStyle w:val="Normal"/>
        <w:jc w:val="left"/>
      </w:pPr>
      <w:r>
        <w:t xml:space="preserve">Figure 17 Consumer segment demand indicators: volume, price realization, and seasonal movement</w:t>
      </w:r>
    </w:p>
    <w:p w14:paraId="00100346" w14:textId="00100348">
      <w:pPr>
        <w:pStyle w:val="Normal"/>
        <w:jc w:val="left"/>
      </w:pPr>
      <w:r>
        <w:t xml:space="preserve">Source:</w:t>
      </w:r>
      <w:r>
        <w:t xml:space="preserve"> Rivermark Group Consumer segment sales records and channel pricing data for the reporting year. Measures shown in Figure 18 include units sold, average realized price, and promotional intensity indexed to the prior-year period.</w:t>
      </w:r>
    </w:p>
    <w:p w14:paraId="00100349" w14:textId="0010034A">
      <w:pPr>
        <w:pStyle w:val="Normal"/>
        <w:jc w:val="left"/>
      </w:pPr>
      <w:r>
        <w:t xml:space="preserve">Figure 18 Consumer segment volume and price indicators</w:t>
      </w:r>
    </w:p>
    <w:p w14:paraId="0010034B" w14:textId="0010034C">
      <w:pPr>
        <w:pStyle w:val="Normal"/>
        <w:jc w:val="left"/>
      </w:pPr>
      <w:r>
        <w:t xml:space="preserve">2.1 Volume Movement</w:t>
      </w:r>
    </w:p>
    <w:p w14:paraId="0010034D" w14:textId="0010034E">
      <w:pPr>
        <w:pStyle w:val="Normal"/>
        <w:jc w:val="left"/>
      </w:pPr>
      <w:r>
        <w:t xml:space="preserve">Consumer segment unit sales showed a mixed but improving pattern across the reporting year. Volumes were soft in the opening months as household spending remained selective and several retail partners carried cautious inventory positions after the prior year-end reset. Demand recovered progressively through the middle of the year, supported by better availability in core product lines, a more disciplined launch calendar, and improved sell-through in everyday categories. Online channels contributed a larger share of incremental unit growth than physical retail, particularly in repeat-purchase items where conversion remained stable and replenishment cycles shortened.</w:t>
      </w:r>
    </w:p>
    <w:p w14:paraId="0010034F" w14:textId="00100350">
      <w:pPr>
        <w:pStyle w:val="Normal"/>
        <w:jc w:val="left"/>
      </w:pPr>
      <w:r>
        <w:t xml:space="preserve">By the final quarter, total units sold were above the comparable period of the previous year, although performance varied by category. Entry-price and family-use products delivered the strongest volume momentum, while discretionary premium lines were more uneven and responded more directly to promotional events. Management views the trend as evidence that the segment retained customer relevance in a value-conscious market, but also notes that headline unit growth alone does not fully describe performance quality. The more important development was the combination of steadier baseline demand, lower stock-out incidence, and a healthier channel mix, which together provided a firmer operating base going into the next period.</w:t>
      </w:r>
    </w:p>
    <w:p w14:paraId="00100351" w14:textId="00100352">
      <w:pPr>
        <w:pStyle w:val="Normal"/>
        <w:jc w:val="left"/>
      </w:pPr>
      <w:r>
        <w:t xml:space="preserve">Seasonality remained an important driver of monthly volume movement. The first quarter was affected by post-holiday normalization, lower promotional intensity, and a more conservative order pattern from major retail customers. Volumes then strengthened ahead of mid-year trading events, when digital campaigns, refreshed packaging, and targeted channel activation supported higher traffic and basket conversion. The back-to-school and holiday windows again produced the largest shipment peaks, but the shape of demand was less volatile than in the prior year because replenishment planning improved and product availability was better aligned with channel needs.</w:t>
      </w:r>
    </w:p>
    <w:p w14:paraId="00100353" w14:textId="00100354">
      <w:pPr>
        <w:pStyle w:val="Normal"/>
        <w:jc w:val="left"/>
      </w:pPr>
      <w:r>
        <w:t xml:space="preserve">Several operational factors also influenced the seasonal profile. Shorter lead times in selected categories allowed Rivermark Group to support in-season restocking rather than relying solely on pre-build inventory. In addition, a broader mix of online-exclusive and small-format products reduced dependence on a few concentrated promotional weeks. Weather-sensitive categories still showed timing swings, and some regional markets experienced delayed sell-in due to cautious distributor ordering. Even so, the annual pattern suggests that seasonality is becoming more manageable. A smoother cadence of launches, marketing support tied to specific demand windows, and closer coordination with retail partners helped convert seasonal peaks into more consistent sell-through rather than temporary shipment spikes.</w:t>
      </w:r>
    </w:p>
    <w:p w14:paraId="00100355" w14:textId="00100356">
      <w:pPr>
        <w:pStyle w:val="Normal"/>
        <w:jc w:val="left"/>
      </w:pPr>
      <w:r>
        <w:t xml:space="preserve">2.2 Price Realization</w:t>
      </w:r>
    </w:p>
    <w:p w14:paraId="00100357" w14:textId="00100358">
      <w:pPr>
        <w:pStyle w:val="Normal"/>
        <w:jc w:val="left"/>
      </w:pPr>
      <w:r>
        <w:t xml:space="preserve">Average realized price increased moderately over the year, reflecting a mix of selective list-price actions, improved channel discipline, and a favorable product composition in several categories. The strongest contribution came from premium-adjacent ranges and recently refreshed products, where new features and packaging supported better customer acceptance without materially reducing unit velocity. In core categories, price realization improved more gradually as management balanced affordability with margin recovery and avoided broad-based increases that could have weakened demand in sensitive channels.</w:t>
      </w:r>
    </w:p>
    <w:p w14:paraId="00100359" w14:textId="0010035A">
      <w:pPr>
        <w:pStyle w:val="Normal"/>
        <w:jc w:val="left"/>
      </w:pPr>
      <w:r>
        <w:t xml:space="preserve">Channel mix also affected the reported outcome. Direct digital sales and modern retail formats delivered stronger realized pricing than traditional trade, partly because assortment control was tighter and promotional leakage was lower. At the same time, some geographies remained highly competitive, limiting the pace of price capture in value segments. Management therefore treated price realization as a portfolio exercise rather than a single pricing event, using pack architecture, product differentiation, and customer-specific terms to protect net revenue quality. Overall, the year’s movement indicates that Rivermark Group was able to recover part of prior cost inflation while maintaining adequate competitiveness in categories where consumer price sensitivity remained elevated.</w:t>
      </w:r>
    </w:p>
    <w:p w14:paraId="0010035B" w14:textId="0010035C">
      <w:pPr>
        <w:pStyle w:val="Normal"/>
        <w:jc w:val="left"/>
      </w:pPr>
      <w:r>
        <w:t xml:space="preserve">Promotional activity continued to shape net pricing, but its effect became more controlled as the year progressed. Early in the period, discounts and temporary price support were used to clear slower-moving inventory, defend shelf space, and stimulate traffic during uneven demand conditions. These actions weighed on realized price in certain channels, especially where retailers expected funding for feature displays or online campaign placement. However, the Group tightened approval thresholds and linked promotional spend more directly to measurable volume uplift, repeat purchase behavior, and customer profitability.</w:t>
      </w:r>
    </w:p>
    <w:p w14:paraId="0010035D" w14:textId="0010035E">
      <w:pPr>
        <w:pStyle w:val="Normal"/>
        <w:jc w:val="left"/>
      </w:pPr>
      <w:r>
        <w:t xml:space="preserve">As a result, the promotional mix shifted from broad discounting toward more targeted activation. Short-duration campaigns around key shopping events generated stronger conversion than continuous markdowns, while bundled offers and loyalty-based mechanics supported sales with less pressure on headline shelf prices. The benefit of this change was twofold: it improved the efficiency of trade spend and reduced price volatility visible to consumers. Not all categories responded equally, and in a few slower premium lines management still relied on tactical offers to stimulate turnover. Even so, the overall trend was favorable. Promotion remained a necessary commercial tool, but it moved closer to a disciplined demand-generation mechanism rather than a recurring substitute for product strength or channel execution.</w:t>
      </w:r>
    </w:p>
    <w:p w14:paraId="0010035F" w14:textId="00100360">
      <w:pPr>
        <w:pStyle w:val="Normal"/>
        <w:jc w:val="left"/>
      </w:pPr>
      <w:r>
        <w:t xml:space="preserve">Section 2 Brand and Outlook</w:t>
      </w:r>
    </w:p>
    <w:p w14:paraId="00100361" w14:textId="00100362">
      <w:pPr>
        <w:pStyle w:val="Normal"/>
        <w:jc w:val="left"/>
      </w:pPr>
      <w:r>
        <w:t xml:space="preserve">During the year, Rivermark Group advanced a more focused brand agenda in the Consumer segment by concentrating resources behind categories with stronger repeat demand, clearer price ladders, and better digital visibility. Portfolio refresh actions included updated packaging, selected line extensions, and tighter assortment management to reduce duplication across channels. These steps were paired with channel initiatives designed to improve product placement, increase online search conversion, and strengthen collaboration with retail partners on campaign timing and replenishment. Management reports that the most effective actions were those that linked brand presentation with availability and customer data rather than relying on media activity alone.</w:t>
      </w:r>
    </w:p>
    <w:p w14:paraId="00100363" w14:textId="00100364">
      <w:pPr>
        <w:pStyle w:val="Normal"/>
        <w:jc w:val="left"/>
      </w:pPr>
      <w:r>
        <w:t xml:space="preserve">Looking ahead, the segment expects demand conditions to remain mixed but stable, with value-seeking behavior likely to persist in mass channels while premium niches recover gradually. The near-term outlook therefore emphasizes disciplined brand investment, continued innovation in high-rotation categories, and broader use of data-led customer targeting. Rivermark Group also plans to expand selected digital storefronts and improve in-store execution where brand awareness is strong but conversion remains uneven. While input costs, competitor promotions, and sourcing variability continue to present challenges, the segment enters the next period with a clearer portfolio structure, improved channel coordination, and a more balanced approach to growth and margin protection.</w:t>
      </w:r>
    </w:p>
    <w:p w14:paraId="00100365" w14:textId="00100366">
      <w:pPr>
        <w:pStyle w:val="Normal"/>
        <w:jc w:val="left"/>
      </w:pPr>
      <w:r>
        <w:drawing>
          <wp:inline distT="0" distB="0" distL="0" distR="0">
            <wp:extent cx="3960000" cy="2520000"/>
            <wp:effectExtent l="0" t="0" r="0" b="0"/>
            <wp:docPr id="11" name="Fig-I07-02.png" descr=""/>
            <wp:cNvGraphicFramePr>
              <a:graphicFrameLocks noChangeAspect="1"/>
            </wp:cNvGraphicFramePr>
            <a:graphic>
              <a:graphicData uri="http://schemas.openxmlformats.org/drawingml/2006/picture">
                <pic:pic>
                  <pic:nvPicPr>
                    <pic:cNvPr id="11" name="Fig-I07-02.png"/>
                    <pic:cNvPicPr/>
                  </pic:nvPicPr>
                  <pic:blipFill>
                    <a:blip r:embed="R2a2a004abaac4a04" cstate="print"/>
                    <a:stretch>
                      <a:fillRect/>
                    </a:stretch>
                  </pic:blipFill>
                  <pic:spPr>
                    <a:xfrm>
                      <a:off x="0" y="0"/>
                      <a:ext cx="4320000" cy="2880000"/>
                    </a:xfrm>
                    <a:prstGeom prst="rect">
                      <a:avLst/>
                    </a:prstGeom>
                  </pic:spPr>
                </pic:pic>
              </a:graphicData>
            </a:graphic>
          </wp:inline>
        </w:drawing>
      </w:r>
    </w:p>
    <w:p w14:paraId="00100367" w14:textId="00100368">
      <w:pPr>
        <w:pStyle w:val="Normal"/>
        <w:jc w:val="left"/>
      </w:pPr>
      <w:r>
        <w:t xml:space="preserve">Figure 19 Brand activation and channel execution in the Consumer segment</w:t>
      </w:r>
    </w:p>
    <w:p w14:paraId="00100369" w14:textId="0010036B">
      <w:pPr>
        <w:pStyle w:val="Normal"/>
        <w:jc w:val="left"/>
      </w:pPr>
      <w:r>
        <w:t xml:space="preserve">Photo context:</w:t>
      </w:r>
      <w:r>
        <w:t xml:space="preserve"> representative image of in-store display execution and digital campaign support for Consumer segment brands during the reporting year.</w:t>
      </w:r>
    </w:p>
    <w:p w14:paraId="0010036C" w14:textId="0010036D">
      <w:pPr>
        <w:pStyle w:val="Normal"/>
        <w:jc w:val="left"/>
      </w:pPr>
      <w:r>
        <w:t xml:space="preserve">Figure 20 Brand activation and retail display initiatives in the Consumer segment</w:t>
      </w:r>
    </w:p>
    <w:p w14:paraId="0010036E" w14:textId="0010036F">
      <w:pPr>
        <w:pStyle w:val="Normal"/>
        <w:jc w:val="left"/>
      </w:pPr>
      <w:r>
        <w:t xml:space="preserve">Subsection 1 Brand Actions</w:t>
      </w:r>
    </w:p>
    <w:p w14:paraId="00100370" w14:textId="00100371">
      <w:pPr>
        <w:pStyle w:val="Normal"/>
        <w:jc w:val="left"/>
      </w:pPr>
      <w:r>
        <w:t xml:space="preserve">During the year, the Consumer segment focused brand actions on two linked objectives: improving the quality of the portfolio and widening access to priority customer groups. Management concentrated product development, packaging updates, and promotional spending behind categories with stronger repeat purchase patterns and clearer pricing power, while reducing support for slower-turning lines that depended heavily on discounting. This approach was intended to simplify shelf presentation, improve forecast accuracy, and lift contribution by channel.</w:t>
      </w:r>
    </w:p>
    <w:p w14:paraId="00100372" w14:textId="00100373">
      <w:pPr>
        <w:pStyle w:val="Normal"/>
        <w:jc w:val="left"/>
      </w:pPr>
      <w:r>
        <w:t xml:space="preserve">At the same time, the segment expanded customer touchpoints across digital and physical routes to market. Online storefront upgrades, broader marketplace participation, and more targeted campaign planning were paired with closer work alongside key retail partners on assortment, placement, and seasonal programs. The combined effect was a more consistent brand presence from launch to point of sale. Although these actions required upfront marketing and merchandising investment, they strengthened visibility in core categories and created a better platform for mix improvement in the coming periods.</w:t>
      </w:r>
    </w:p>
    <w:p w14:paraId="00100374" w14:textId="00100375">
      <w:pPr>
        <w:pStyle w:val="Normal"/>
        <w:jc w:val="left"/>
      </w:pPr>
      <w:r>
        <w:t xml:space="preserve">1.1 Portfolio Refresh</w:t>
      </w:r>
    </w:p>
    <w:p w14:paraId="00100376" w14:textId="00100377">
      <w:pPr>
        <w:pStyle w:val="Normal"/>
        <w:jc w:val="left"/>
      </w:pPr>
      <w:r>
        <w:t xml:space="preserve">Portfolio refresh centered on introducing new products in everyday-use categories where Rivermark Group already holds recognizable brand positions and established distribution. New stock keeping units were designed around clearer price ladders, simpler pack architecture, and faster product claims communication, allowing consumers to distinguish entry, core, and premium offers more easily. In parallel, the segment retired selected low-velocity variants that created manufacturing complexity and occupied shelf space without generating sufficient margin.</w:t>
      </w:r>
    </w:p>
    <w:p w14:paraId="00100378" w14:textId="00100379">
      <w:pPr>
        <w:pStyle w:val="Normal"/>
        <w:jc w:val="left"/>
      </w:pPr>
      <w:r>
        <w:t xml:space="preserve">Management also placed greater emphasis on mix quality rather than headline launch volume. Product renovation programs targeted higher repeat-rate formats, family-size packs, and premium sub-lines with better gross margin characteristics. In categories affected by volatile input costs, the portfolio was adjusted toward formulations and pack designs that preserved consumer value while supporting margin resilience. Early sell-through data indicated stronger acceptance where innovation was tied to everyday utility rather than short-lived promotional themes, supporting the view that disciplined refresh can improve both relevance and operating efficiency.</w:t>
      </w:r>
    </w:p>
    <w:p w14:paraId="0010037A" w14:textId="0010037B">
      <w:pPr>
        <w:pStyle w:val="Normal"/>
        <w:jc w:val="left"/>
      </w:pPr>
      <w:r>
        <w:t xml:space="preserve">The category priority framework reflected a balance between market attractiveness and execution capability. Categories were favored where demand was relatively resilient, replenishment cycles were frequent, and brand recognition could be reinforced through moderate but effective media and in-store support. Management gave lower priority to segments with heavy promotional intensity, fragmented consumer preferences, or weak differentiation, as those areas tended to absorb working capital and marketing spend without a commensurate return.</w:t>
      </w:r>
    </w:p>
    <w:p w14:paraId="0010037C" w14:textId="0010037D">
      <w:pPr>
        <w:pStyle w:val="Normal"/>
        <w:jc w:val="left"/>
      </w:pPr>
      <w:r>
        <w:t xml:space="preserve">Another consideration was supply chain practicality. Priority categories generally used common components, established supplier relationships, and production lines with dependable throughput, reducing the risk that innovation would increase complexity faster than it increased revenue. This enabled the Consumer segment to align portfolio choices with margin discipline, inventory control, and service levels. By concentrating resources on a smaller number of categories with stronger economics, the business aimed to lift revenue quality, improve launch success rates, and create a more stable base for channel expansion.</w:t>
      </w:r>
    </w:p>
    <w:p w14:paraId="0010037E" w14:textId="0010037F">
      <w:pPr>
        <w:pStyle w:val="Normal"/>
        <w:jc w:val="left"/>
      </w:pPr>
      <w:r>
        <w:t xml:space="preserve">1.2 Channel Expansion</w:t>
      </w:r>
    </w:p>
    <w:p w14:paraId="00100380" w14:textId="00100381">
      <w:pPr>
        <w:pStyle w:val="Normal"/>
        <w:jc w:val="left"/>
      </w:pPr>
      <w:r>
        <w:t xml:space="preserve">Digital reach expansion remained a major commercial priority as consumer discovery and repeat purchase behavior continued to shift online. The segment improved product content, search visibility, and campaign timing across its own digital storefronts and selected third-party marketplaces. More disciplined use of customer data supported sharper audience segmentation, allowing media spending to be directed toward higher-conversion consumer groups and key replenishment windows rather than broad, low-yield exposure.</w:t>
      </w:r>
    </w:p>
    <w:p w14:paraId="00100382" w14:textId="00100383">
      <w:pPr>
        <w:pStyle w:val="Normal"/>
        <w:jc w:val="left"/>
      </w:pPr>
      <w:r>
        <w:t xml:space="preserve">Execution also improved after tighter coordination between brand, sales, and fulfillment teams. Promotional calendars were linked more closely to inventory availability, reducing out-of-stock risk during peak traffic periods and limiting the margin erosion that can occur when demand is stimulated ahead of supply readiness. In addition, the business tested bundled offers and subscription-style replenishment propositions in suitable categories, aiming to raise basket size and repeat purchase frequency. While digital channels remain competitive and marketing efficiency must be monitored carefully, the year’s actions expanded reach, improved conversion quality, and strengthened the segment’s capability to scale targeted online growth.</w:t>
      </w:r>
    </w:p>
    <w:p w14:paraId="00100384" w14:textId="00100385">
      <w:pPr>
        <w:pStyle w:val="Normal"/>
        <w:jc w:val="left"/>
      </w:pPr>
      <w:r>
        <w:t xml:space="preserve">Retail partnership actions focused on deepening collaboration with core chain customers and improving execution at store level. The Consumer segment worked with retailers on assortment rationalization, feature placement, and category reviews to ensure that high-priority products received better visibility and more coherent shelf presentation. Seasonal activation plans were also made more structured, with clearer launch windows, display support, and replenishment planning designed to reduce missed sales during peak periods.</w:t>
      </w:r>
    </w:p>
    <w:p w14:paraId="00100386" w14:textId="00100387">
      <w:pPr>
        <w:pStyle w:val="Normal"/>
        <w:jc w:val="left"/>
      </w:pPr>
      <w:r>
        <w:t xml:space="preserve">The segment increasingly positioned itself as a category partner rather than only a product supplier. Joint business planning included discussions on shopper insights, promotion effectiveness, and regional demand patterns, which helped tailor assortments to store formats and local purchasing behavior. In some accounts, pilot programs were launched to test secondary displays and cross-category placement for convenience-oriented items. These measures did not transform retail volumes immediately, but they improved account quality, supported steadier orders, and built stronger relationships with customers whose store networks remain important to brand credibility and scale.</w:t>
      </w:r>
    </w:p>
    <w:p w14:paraId="00100388" w14:textId="00100389">
      <w:pPr>
        <w:pStyle w:val="Normal"/>
        <w:jc w:val="left"/>
      </w:pPr>
      <w:r>
        <w:t xml:space="preserve">Subsection 2 Near-Term Outlook</w:t>
      </w:r>
    </w:p>
    <w:p w14:paraId="0010038A" w14:textId="0010038B">
      <w:pPr>
        <w:pStyle w:val="Normal"/>
        <w:jc w:val="left"/>
      </w:pPr>
      <w:r>
        <w:t xml:space="preserve">The near-term outlook for the Consumer segment remains balanced between gradual demand normalization and a still-active risk environment. Management expects demand in core everyday categories to remain comparatively stable, supported by habitual purchasing and the segment’s broadened channel coverage. New product launches, tighter assortment management, and expanded digital activation should contribute to a healthier sales mix, while retail collaboration may improve shelf productivity and replenishment consistency. However, growth is expected to remain uneven across categories, with discretionary and promotion-sensitive lines likely to face more variable demand patterns.</w:t>
      </w:r>
    </w:p>
    <w:p w14:paraId="0010038C" w14:textId="0010038D">
      <w:pPr>
        <w:pStyle w:val="Normal"/>
        <w:jc w:val="left"/>
      </w:pPr>
      <w:r>
        <w:t xml:space="preserve">On the risk side, the main sensitivities continue to be input cost volatility, promotional intensity, and inventory execution. Margin recovery depends not only on pricing discipline but also on maintaining product availability, controlling obsolescence, and limiting excess discounting. Channel expansion creates opportunity, yet it also increases the need for accurate forecasting, coordinated launches, and disciplined trade spending. As a result, management is approaching the coming period with a bridge mindset: defend volume in core lines, improve mix where brand strength is evident, and preserve flexibility so that operating plans can be adjusted quickly if consumer sentiment or competitive activity changes.</w:t>
      </w:r>
    </w:p>
    <w:p w14:paraId="0010038E" w14:textId="0010038F">
      <w:pPr>
        <w:pStyle w:val="Normal"/>
        <w:jc w:val="left"/>
      </w:pPr>
      <w:r>
        <w:t xml:space="preserve">2.1 Demand Outlook</w:t>
      </w:r>
    </w:p>
    <w:p w14:paraId="00100390" w14:textId="00100391">
      <w:pPr>
        <w:pStyle w:val="Normal"/>
        <w:jc w:val="left"/>
      </w:pPr>
      <w:r>
        <w:t xml:space="preserve">Management expects category demand to remain selective rather than broadly expansionary in the near term. Core everyday categories are projected to show the most stable purchase frequency, supported by repeat consumption and relatively low substitution risk, while more discretionary subcategories are likely to recover at a slower pace as household budgets remain deliberate. Within the Consumer segment, demand is expected to be strongest in products that combine clear value, dependable quality, and practical use cases, particularly where Rivermark Group has refreshed packaging, improved assortment clarity, or introduced better-better tier options.</w:t>
      </w:r>
    </w:p>
    <w:p w14:paraId="00100392" w14:textId="00100393">
      <w:pPr>
        <w:pStyle w:val="Normal"/>
        <w:jc w:val="left"/>
      </w:pPr>
      <w:r>
        <w:t xml:space="preserve">The outlook also reflects a continued split in customer behavior. Entry and mid-price ranges should benefit from budget-conscious shopping patterns, but premium lines can still grow where innovation is visible and brand trust is high. Seasonal demand is expected to remain important, with promotions and launch timing influencing quarterly volatility more than structural end-market weakness. Management therefore plans against moderate underlying volume growth, supported by mix improvement rather than assuming a broad market rebound.</w:t>
      </w:r>
    </w:p>
    <w:p w14:paraId="00100394" w14:textId="00100395">
      <w:pPr>
        <w:pStyle w:val="Normal"/>
        <w:jc w:val="left"/>
      </w:pPr>
      <w:r>
        <w:t xml:space="preserve">Overall, the category environment is viewed as manageable but competitive. Rivermark Group's near-term demand expectation is based on disciplined assortment choices, targeted innovation, and a focus on categories where repeat purchase behavior and brand recognition provide greater resilience.</w:t>
      </w:r>
    </w:p>
    <w:p w14:paraId="00100396" w14:textId="00100397">
      <w:pPr>
        <w:pStyle w:val="Normal"/>
        <w:jc w:val="left"/>
      </w:pPr>
      <w:r>
        <w:t xml:space="preserve">Channel demand is expected to continue shifting toward formats that combine convenience, price transparency, and fulfillment reliability. Modern retail should remain an important volume base, particularly for staple categories and promotional campaigns, but growth is expected to be more measured than in digital channels. E-commerce is projected to maintain stronger relative momentum, supported by direct search visibility, richer product comparison, and the ability to activate targeted campaigns around launches, bundles, and seasonal events. Management also expects marketplace partnerships to contribute incremental reach, especially in urban areas where delivery speed and assortment breadth influence conversion.</w:t>
      </w:r>
    </w:p>
    <w:p w14:paraId="00100398" w14:textId="00100399">
      <w:pPr>
        <w:pStyle w:val="Normal"/>
        <w:jc w:val="left"/>
      </w:pPr>
      <w:r>
        <w:t xml:space="preserve">Traditional trade and independent retail are expected to remain relevant in selected local markets, although ordering patterns may be less predictable and smaller basket sizes may increase sales volatility. The Group is therefore emphasizing differentiated channel execution rather than uniform volume assumptions across the network. In practice, this means aligning pack formats, price points, and promotional calendars to the economics of each route to market.</w:t>
      </w:r>
    </w:p>
    <w:p w14:paraId="0010039A" w14:textId="0010039B">
      <w:pPr>
        <w:pStyle w:val="Normal"/>
        <w:jc w:val="left"/>
      </w:pPr>
      <w:r>
        <w:t xml:space="preserve">From a demand planning perspective, the outlook assumes continued channel mix change rather than a simple rebound in store traffic. Rivermark Group expects the strongest opportunities to come from digital penetration, better retail execution, and tighter coordination between marketing activity and channel inventory flows.</w:t>
      </w:r>
    </w:p>
    <w:p w14:paraId="0010039C" w14:textId="0010039D">
      <w:pPr>
        <w:pStyle w:val="Normal"/>
        <w:jc w:val="left"/>
      </w:pPr>
      <w:r>
        <w:t xml:space="preserve">2.2 Execution Risks</w:t>
      </w:r>
    </w:p>
    <w:p w14:paraId="0010039E" w14:textId="0010039F">
      <w:pPr>
        <w:pStyle w:val="Normal"/>
        <w:jc w:val="left"/>
      </w:pPr>
      <w:r>
        <w:t xml:space="preserve">The principal near-term execution risks in the Consumer segment relate to inventory balance and pricing discipline. Inventory risk can emerge when sell-in to retailers moves ahead of actual consumer offtake, creating elevated stock positions, slower replenishment cycles, and a greater likelihood of markdowns. This is particularly relevant around seasonal launches, promotional builds, and portfolio refresh activity, where forecasting errors can lead either to overstocks in slower-moving lines or shortages in faster-turning items. To manage this exposure, Rivermark Group is tightening demand sensing, reviewing stock cover by category, and using shorter replenishment cycles where data quality supports faster decisions.</w:t>
      </w:r>
    </w:p>
    <w:p w14:paraId="001003A0" w14:textId="001003A1">
      <w:pPr>
        <w:pStyle w:val="Normal"/>
        <w:jc w:val="left"/>
      </w:pPr>
      <w:r>
        <w:t xml:space="preserve">Pricing risk remains equally significant. Input cost movements, competitor promotions, and retailer negotiations can compress margins if price realization does not keep pace with cost and mix pressure. In a market where consumers are increasingly price-aware, indiscriminate increases may weaken volume, while excessive promotional spending can dilute brand positioning and reduce profitability. The Group is therefore applying a more segmented pricing approach, linking price actions to brand strength, elasticity, and pack architecture.</w:t>
      </w:r>
    </w:p>
    <w:p w14:paraId="001003A2" w14:textId="001003A3">
      <w:pPr>
        <w:pStyle w:val="Normal"/>
        <w:jc w:val="left"/>
      </w:pPr>
      <w:r>
        <w:t xml:space="preserve">Even with these controls, the combination of inventory swings and pricing pressure can affect both revenue timing and margin quality. Management's response is to prioritize SKU discipline, promotional return analysis, and closer coordination between commercial teams and supply planning.</w:t>
      </w:r>
    </w:p>
    <w:p w14:paraId="001003A4" w14:textId="001003A5">
      <w:pPr>
        <w:pStyle w:val="Normal"/>
        <w:jc w:val="left"/>
      </w:pPr>
      <w:r>
        <w:t xml:space="preserve">Sourcing and delivery execution also remain important risk areas for the Consumer segment. The business depends on reliable access to packaging materials, key ingredients, third-party manufacturing support in selected lines, and transport capacity across regional distribution routes. Any disruption in these inputs can affect production schedules, service levels, and on-shelf availability, particularly during campaign periods or seasonal peaks when replenishment windows are narrow. Lead-time variability, supplier concentration in certain materials, and sudden freight cost changes can all reduce planning accuracy and increase working capital needs.</w:t>
      </w:r>
    </w:p>
    <w:p w14:paraId="001003A6" w14:textId="001003A7">
      <w:pPr>
        <w:pStyle w:val="Normal"/>
        <w:jc w:val="left"/>
      </w:pPr>
      <w:r>
        <w:t xml:space="preserve">Delivery risk extends beyond physical transportation. It also includes order accuracy, warehouse throughput, and the ability to align supply with channel-specific requirements such as promotional packs, retailer labeling standards, and e-commerce fulfillment expectations. Failures in these areas can result in penalties, delayed launches, or missed demand capture even when end-consumer interest is intact. For this reason, Rivermark Group is strengthening supplier review routines, increasing visibility into inbound material status, and refining contingency plans for critical product families.</w:t>
      </w:r>
    </w:p>
    <w:p w14:paraId="001003A8" w14:textId="001003A9">
      <w:pPr>
        <w:pStyle w:val="Normal"/>
        <w:jc w:val="left"/>
      </w:pPr>
      <w:r>
        <w:t xml:space="preserve">Management considers the current sourcing environment workable but not frictionless. The near-term objective is to improve resilience through broader supplier options, tighter logistics coordination, and more disciplined service monitoring, so that demand opportunities are not lost because of avoidable operational disruption.</w:t>
      </w:r>
    </w:p>
    <w:p w14:paraId="00100EF2" w14:textId="00100EF3">
      <w:pPr>
        <w:pStyle w:val="Normal"/>
        <w:jc w:val="left"/>
        <w:sectPr>
          <w:type w:val="nextPage"/>
          <w:pgSz w:w="11906" w:h="16838"/>
          <w:pgMar w:top="1440" w:right="1440" w:bottom="1440" w:left="1440" w:header="1440" w:footer="1440" w:gutter="0"/>
          <w:cols w:space="720" w:num="1"/>
        </w:sectPr>
      </w:pPr>
    </w:p>
    <w:p w14:paraId="001003AE" w14:textId="001003B0">
      <w:pPr>
        <w:pStyle w:val="Normal"/>
        <w:jc w:val="left"/>
      </w:pPr>
      <w:r>
        <w:t xml:space="preserve">Chapter 6 Segment Review: Services</w:t>
      </w:r>
      <w:r>
        <w:t xml:space="preserve"/>
      </w:r>
    </w:p>
    <w:p w14:paraId="001003B1" w14:textId="001003B2">
      <w:pPr>
        <w:pStyle w:val="Normal"/>
        <w:jc w:val="left"/>
      </w:pPr>
      <w:r>
        <w:t xml:space="preserve">The Services segment remained an important stabilizing contributor to Rivermark Group during the year, supported by recurring contracts, disciplined renewal activity, and steady customer demand for outsourced technical and support capabilities. While growth moderated from the previous period, the segment preserved sound operating momentum through a balanced portfolio of maintenance, managed service, field support, and project-linked service offerings. This profile helped offset softer activity in selected customer programs and delays in a limited number of discretionary assignments.</w:t>
      </w:r>
    </w:p>
    <w:p w14:paraId="001003B3" w14:textId="001003B4">
      <w:pPr>
        <w:pStyle w:val="Normal"/>
        <w:jc w:val="left"/>
      </w:pPr>
      <w:r>
        <w:t xml:space="preserve">Across the year, management emphasized contract quality, utilization, and delivery consistency rather than volume growth alone. The segment continued to benefit from long-duration customer relationships and a broad installed base that supports repeat work, but margin performance was also shaped by labor mix, onboarding costs for new staff, and selective investment in delivery tools. Overall, the Services business entered the next reporting period with a solid backlog foundation, improving execution visibility, and a clearer focus on profitable growth in priority accounts and higher-value service lines.</w:t>
      </w:r>
    </w:p>
    <w:p w14:paraId="001003B5" w14:textId="001003B6">
      <w:pPr>
        <w:pStyle w:val="Normal"/>
        <w:jc w:val="left"/>
      </w:pPr>
      <w:r>
        <w:t xml:space="preserve">Section 1 Performance Review</w:t>
      </w:r>
    </w:p>
    <w:p w14:paraId="001003B7" w14:textId="001003B8">
      <w:pPr>
        <w:pStyle w:val="Normal"/>
        <w:jc w:val="left"/>
      </w:pPr>
      <w:r>
        <w:t xml:space="preserve">Service revenue advanced at a measured pace over the reporting year, with the most resilient contribution coming from recurring contracts and renewal-driven activity. Project-based work remained active, although conversion timing varied by quarter as some customer decisions extended beyond their original schedule. Even with this uneven pattern, the segment maintained a comparatively stable earnings profile because a significant share of work is tied to ongoing support requirements rather than one-time transactions.</w:t>
      </w:r>
    </w:p>
    <w:p w14:paraId="001003B9" w14:textId="001003BA">
      <w:pPr>
        <w:pStyle w:val="Normal"/>
        <w:jc w:val="left"/>
      </w:pPr>
      <w:r>
        <w:t xml:space="preserve">From an operating perspective, the main trends were utilization discipline, contract retention, and workforce deployment. Higher billable activity in core teams supported revenue progression, while selective hiring in specialist roles created near-term cost pressure before full productivity was reached. Management responded by tightening scheduling, improving resource matching across accounts, and prioritizing work with stronger margin characteristics. As a result, the segment closed the year with a balanced performance picture: moderate top-line expansion, resilient margin quality, and a service pipeline that continued to support forward planning despite a still-demanding delivery environment.</w:t>
      </w:r>
    </w:p>
    <w:p w14:paraId="001003BB" w14:textId="001003BC">
      <w:pPr>
        <w:pStyle w:val="Normal"/>
        <w:jc w:val="left"/>
      </w:pPr>
      <w:r>
        <w:t xml:space="preserve">Subsection 1 Results Summary</w:t>
      </w:r>
    </w:p>
    <w:p w14:paraId="001003BD" w14:textId="001003C1">
      <w:pPr>
        <w:pStyle w:val="Normal"/>
        <w:jc w:val="left"/>
      </w:pPr>
      <w:r>
        <w:t xml:space="preserve">Overall performance:</w:t>
      </w:r>
      <w:r>
        <w:t xml:space="preserve"> The Services segment delivered year-on-year revenue growth supported by contract wins, solid renewal rates, and a broader contribution from recurring support programs. Revenue development was not uniform across all service categories, as consulting-style assignments and project mobilizations moved at a slower pace in certain periods, but this was largely offset by dependable activity in maintenance, managed service, and field execution work. The segment therefore preserved a more consistent sales base than businesses with heavier exposure to discretionary customer spending.</w:t>
        <w:br/>
      </w:r>
      <w:r>
        <w:t xml:space="preserve">Margin profile:</w:t>
      </w:r>
      <w:r>
        <w:t xml:space="preserve"> Operating margin remained healthy, though modestly influenced by labor mix and capability investment during the year. The onboarding of specialist personnel, wage pressure in technical roles, and continued spending on service management tools weighed on near-term profitability. At the same time, improved staff utilization, firmer contract selection, and tighter control of delivery overhead helped contain these effects. Taken together, the results indicate that the segment is expanding on a disciplined basis: revenue quality improved, profitability stayed resilient, and the earnings base remained supported by repeatable service activity rather than short-cycle volume alone.</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3C2" w14:textId="001003F2">
            <w:pPr>
              <w:pStyle w:val="Normal"/>
              <w:jc w:val="left"/>
            </w:pPr>
            <w:r>
              <w:t xml:space="preserve">KPI</w:t>
            </w:r>
          </w:p>
        </w:tc>
        <w:tc>
          <w:tcPr>
            <w:vAlign w:val="center"/>
            <w:tcBorders>
              <w:top w:val="single" w:sz="4" w:space="0" w:color="auto"/>
              <w:left w:val="single" w:sz="4" w:space="0" w:color="auto"/>
              <w:bottom w:val="single" w:sz="4" w:space="0" w:color="auto"/>
              <w:right w:val="single" w:sz="4" w:space="0" w:color="auto"/>
            </w:tcBorders>
          </w:tcPr>
          <w:p w14:paraId="001003C4" w14:textId="001003F3">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3C6" w14:textId="001003F4">
            <w:pPr>
              <w:pStyle w:val="Normal"/>
              <w:jc w:val="left"/>
            </w:pPr>
            <w:r>
              <w:t xml:space="preserve">2022</w:t>
            </w:r>
          </w:p>
        </w:tc>
        <w:tc>
          <w:tcPr>
            <w:vAlign w:val="center"/>
            <w:tcBorders>
              <w:top w:val="single" w:sz="4" w:space="0" w:color="auto"/>
              <w:left w:val="single" w:sz="4" w:space="0" w:color="auto"/>
              <w:bottom w:val="single" w:sz="4" w:space="0" w:color="auto"/>
              <w:right w:val="single" w:sz="4" w:space="0" w:color="auto"/>
            </w:tcBorders>
          </w:tcPr>
          <w:p w14:paraId="001003C8" w14:textId="001003F5">
            <w:pPr>
              <w:pStyle w:val="Normal"/>
              <w:jc w:val="left"/>
            </w:pPr>
            <w:r>
              <w:t xml:space="preserve">Change</w:t>
            </w:r>
          </w:p>
        </w:tc>
      </w:tr>
      <w:tr>
        <w:tc>
          <w:tcPr>
            <w:vAlign w:val="center"/>
            <w:tcBorders>
              <w:top w:val="single" w:sz="4" w:space="0" w:color="auto"/>
              <w:left w:val="single" w:sz="4" w:space="0" w:color="auto"/>
              <w:bottom w:val="single" w:sz="4" w:space="0" w:color="auto"/>
              <w:right w:val="single" w:sz="4" w:space="0" w:color="auto"/>
            </w:tcBorders>
          </w:tcPr>
          <w:p w14:paraId="001003CA" w14:textId="001003F6">
            <w:pPr>
              <w:pStyle w:val="Normal"/>
              <w:jc w:val="left"/>
            </w:pPr>
            <w:r>
              <w:t xml:space="preserve">Service revenue</w:t>
            </w:r>
          </w:p>
        </w:tc>
        <w:tc>
          <w:tcPr>
            <w:vAlign w:val="center"/>
            <w:tcBorders>
              <w:top w:val="single" w:sz="4" w:space="0" w:color="auto"/>
              <w:left w:val="single" w:sz="4" w:space="0" w:color="auto"/>
              <w:bottom w:val="single" w:sz="4" w:space="0" w:color="auto"/>
              <w:right w:val="single" w:sz="4" w:space="0" w:color="auto"/>
            </w:tcBorders>
          </w:tcPr>
          <w:p w14:paraId="001003CC" w14:textId="001003F7">
            <w:pPr>
              <w:pStyle w:val="Normal"/>
              <w:jc w:val="left"/>
            </w:pPr>
            <w:r>
              <w:t xml:space="preserve">1,248</w:t>
            </w:r>
          </w:p>
        </w:tc>
        <w:tc>
          <w:tcPr>
            <w:vAlign w:val="center"/>
            <w:tcBorders>
              <w:top w:val="single" w:sz="4" w:space="0" w:color="auto"/>
              <w:left w:val="single" w:sz="4" w:space="0" w:color="auto"/>
              <w:bottom w:val="single" w:sz="4" w:space="0" w:color="auto"/>
              <w:right w:val="single" w:sz="4" w:space="0" w:color="auto"/>
            </w:tcBorders>
          </w:tcPr>
          <w:p w14:paraId="001003CE" w14:textId="001003F8">
            <w:pPr>
              <w:pStyle w:val="Normal"/>
              <w:jc w:val="left"/>
            </w:pPr>
            <w:r>
              <w:t xml:space="preserve">1,162</w:t>
            </w:r>
          </w:p>
        </w:tc>
        <w:tc>
          <w:tcPr>
            <w:vAlign w:val="center"/>
            <w:tcBorders>
              <w:top w:val="single" w:sz="4" w:space="0" w:color="auto"/>
              <w:left w:val="single" w:sz="4" w:space="0" w:color="auto"/>
              <w:bottom w:val="single" w:sz="4" w:space="0" w:color="auto"/>
              <w:right w:val="single" w:sz="4" w:space="0" w:color="auto"/>
            </w:tcBorders>
          </w:tcPr>
          <w:p w14:paraId="001003D0" w14:textId="001003F9">
            <w:pPr>
              <w:pStyle w:val="Normal"/>
              <w:jc w:val="left"/>
            </w:pPr>
            <w:r>
              <w:t xml:space="preserve">+7.4%</w:t>
            </w:r>
          </w:p>
        </w:tc>
      </w:tr>
      <w:tr>
        <w:tc>
          <w:tcPr>
            <w:vAlign w:val="center"/>
            <w:tcBorders>
              <w:top w:val="single" w:sz="4" w:space="0" w:color="auto"/>
              <w:left w:val="single" w:sz="4" w:space="0" w:color="auto"/>
              <w:bottom w:val="single" w:sz="4" w:space="0" w:color="auto"/>
              <w:right w:val="single" w:sz="4" w:space="0" w:color="auto"/>
            </w:tcBorders>
          </w:tcPr>
          <w:p w14:paraId="001003D2" w14:textId="001003FA">
            <w:pPr>
              <w:pStyle w:val="Normal"/>
              <w:jc w:val="left"/>
            </w:pPr>
            <w:r>
              <w:t xml:space="preserve">Year-end backlog</w:t>
            </w:r>
          </w:p>
        </w:tc>
        <w:tc>
          <w:tcPr>
            <w:vAlign w:val="center"/>
            <w:tcBorders>
              <w:top w:val="single" w:sz="4" w:space="0" w:color="auto"/>
              <w:left w:val="single" w:sz="4" w:space="0" w:color="auto"/>
              <w:bottom w:val="single" w:sz="4" w:space="0" w:color="auto"/>
              <w:right w:val="single" w:sz="4" w:space="0" w:color="auto"/>
            </w:tcBorders>
          </w:tcPr>
          <w:p w14:paraId="001003D4" w14:textId="001003FB">
            <w:pPr>
              <w:pStyle w:val="Normal"/>
              <w:jc w:val="left"/>
            </w:pPr>
            <w:r>
              <w:t xml:space="preserve">986</w:t>
            </w:r>
          </w:p>
        </w:tc>
        <w:tc>
          <w:tcPr>
            <w:vAlign w:val="center"/>
            <w:tcBorders>
              <w:top w:val="single" w:sz="4" w:space="0" w:color="auto"/>
              <w:left w:val="single" w:sz="4" w:space="0" w:color="auto"/>
              <w:bottom w:val="single" w:sz="4" w:space="0" w:color="auto"/>
              <w:right w:val="single" w:sz="4" w:space="0" w:color="auto"/>
            </w:tcBorders>
          </w:tcPr>
          <w:p w14:paraId="001003D6" w14:textId="001003FC">
            <w:pPr>
              <w:pStyle w:val="Normal"/>
              <w:jc w:val="left"/>
            </w:pPr>
            <w:r>
              <w:t xml:space="preserve">912</w:t>
            </w:r>
          </w:p>
        </w:tc>
        <w:tc>
          <w:tcPr>
            <w:vAlign w:val="center"/>
            <w:tcBorders>
              <w:top w:val="single" w:sz="4" w:space="0" w:color="auto"/>
              <w:left w:val="single" w:sz="4" w:space="0" w:color="auto"/>
              <w:bottom w:val="single" w:sz="4" w:space="0" w:color="auto"/>
              <w:right w:val="single" w:sz="4" w:space="0" w:color="auto"/>
            </w:tcBorders>
          </w:tcPr>
          <w:p w14:paraId="001003D8" w14:textId="001003FD">
            <w:pPr>
              <w:pStyle w:val="Normal"/>
              <w:jc w:val="left"/>
            </w:pPr>
            <w:r>
              <w:t xml:space="preserve">+8.1%</w:t>
            </w:r>
          </w:p>
        </w:tc>
      </w:tr>
      <w:tr>
        <w:tc>
          <w:tcPr>
            <w:vAlign w:val="center"/>
            <w:tcBorders>
              <w:top w:val="single" w:sz="4" w:space="0" w:color="auto"/>
              <w:left w:val="single" w:sz="4" w:space="0" w:color="auto"/>
              <w:bottom w:val="single" w:sz="4" w:space="0" w:color="auto"/>
              <w:right w:val="single" w:sz="4" w:space="0" w:color="auto"/>
            </w:tcBorders>
          </w:tcPr>
          <w:p w14:paraId="001003DA" w14:textId="001003FE">
            <w:pPr>
              <w:pStyle w:val="Normal"/>
              <w:jc w:val="left"/>
            </w:pPr>
            <w:r>
              <w:t xml:space="preserve">Operating margin</w:t>
            </w:r>
          </w:p>
        </w:tc>
        <w:tc>
          <w:tcPr>
            <w:vAlign w:val="center"/>
            <w:tcBorders>
              <w:top w:val="single" w:sz="4" w:space="0" w:color="auto"/>
              <w:left w:val="single" w:sz="4" w:space="0" w:color="auto"/>
              <w:bottom w:val="single" w:sz="4" w:space="0" w:color="auto"/>
              <w:right w:val="single" w:sz="4" w:space="0" w:color="auto"/>
            </w:tcBorders>
          </w:tcPr>
          <w:p w14:paraId="001003DC" w14:textId="001003FF">
            <w:pPr>
              <w:pStyle w:val="Normal"/>
              <w:jc w:val="left"/>
            </w:pPr>
            <w:r>
              <w:t xml:space="preserve">14.2%</w:t>
            </w:r>
          </w:p>
        </w:tc>
        <w:tc>
          <w:tcPr>
            <w:vAlign w:val="center"/>
            <w:tcBorders>
              <w:top w:val="single" w:sz="4" w:space="0" w:color="auto"/>
              <w:left w:val="single" w:sz="4" w:space="0" w:color="auto"/>
              <w:bottom w:val="single" w:sz="4" w:space="0" w:color="auto"/>
              <w:right w:val="single" w:sz="4" w:space="0" w:color="auto"/>
            </w:tcBorders>
          </w:tcPr>
          <w:p w14:paraId="001003DE" w14:textId="00100400">
            <w:pPr>
              <w:pStyle w:val="Normal"/>
              <w:jc w:val="left"/>
            </w:pPr>
            <w:r>
              <w:t xml:space="preserve">13.5%</w:t>
            </w:r>
          </w:p>
        </w:tc>
        <w:tc>
          <w:tcPr>
            <w:vAlign w:val="center"/>
            <w:tcBorders>
              <w:top w:val="single" w:sz="4" w:space="0" w:color="auto"/>
              <w:left w:val="single" w:sz="4" w:space="0" w:color="auto"/>
              <w:bottom w:val="single" w:sz="4" w:space="0" w:color="auto"/>
              <w:right w:val="single" w:sz="4" w:space="0" w:color="auto"/>
            </w:tcBorders>
          </w:tcPr>
          <w:p w14:paraId="001003E0" w14:textId="00100401">
            <w:pPr>
              <w:pStyle w:val="Normal"/>
              <w:jc w:val="left"/>
            </w:pPr>
            <w:r>
              <w:t xml:space="preserve">+0.7 pts</w:t>
            </w:r>
          </w:p>
        </w:tc>
      </w:tr>
      <w:tr>
        <w:tc>
          <w:tcPr>
            <w:vAlign w:val="center"/>
            <w:tcBorders>
              <w:top w:val="single" w:sz="4" w:space="0" w:color="auto"/>
              <w:left w:val="single" w:sz="4" w:space="0" w:color="auto"/>
              <w:bottom w:val="single" w:sz="4" w:space="0" w:color="auto"/>
              <w:right w:val="single" w:sz="4" w:space="0" w:color="auto"/>
            </w:tcBorders>
          </w:tcPr>
          <w:p w14:paraId="001003E2" w14:textId="00100402">
            <w:pPr>
              <w:pStyle w:val="Normal"/>
              <w:jc w:val="left"/>
            </w:pPr>
            <w:r>
              <w:t xml:space="preserve">Renewal rate</w:t>
            </w:r>
          </w:p>
        </w:tc>
        <w:tc>
          <w:tcPr>
            <w:vAlign w:val="center"/>
            <w:tcBorders>
              <w:top w:val="single" w:sz="4" w:space="0" w:color="auto"/>
              <w:left w:val="single" w:sz="4" w:space="0" w:color="auto"/>
              <w:bottom w:val="single" w:sz="4" w:space="0" w:color="auto"/>
              <w:right w:val="single" w:sz="4" w:space="0" w:color="auto"/>
            </w:tcBorders>
          </w:tcPr>
          <w:p w14:paraId="001003E4" w14:textId="00100403">
            <w:pPr>
              <w:pStyle w:val="Normal"/>
              <w:jc w:val="left"/>
            </w:pPr>
            <w:r>
              <w:t xml:space="preserve">89%</w:t>
            </w:r>
          </w:p>
        </w:tc>
        <w:tc>
          <w:tcPr>
            <w:vAlign w:val="center"/>
            <w:tcBorders>
              <w:top w:val="single" w:sz="4" w:space="0" w:color="auto"/>
              <w:left w:val="single" w:sz="4" w:space="0" w:color="auto"/>
              <w:bottom w:val="single" w:sz="4" w:space="0" w:color="auto"/>
              <w:right w:val="single" w:sz="4" w:space="0" w:color="auto"/>
            </w:tcBorders>
          </w:tcPr>
          <w:p w14:paraId="001003E6" w14:textId="00100404">
            <w:pPr>
              <w:pStyle w:val="Normal"/>
              <w:jc w:val="left"/>
            </w:pPr>
            <w:r>
              <w:t xml:space="preserve">86%</w:t>
            </w:r>
          </w:p>
        </w:tc>
        <w:tc>
          <w:tcPr>
            <w:vAlign w:val="center"/>
            <w:tcBorders>
              <w:top w:val="single" w:sz="4" w:space="0" w:color="auto"/>
              <w:left w:val="single" w:sz="4" w:space="0" w:color="auto"/>
              <w:bottom w:val="single" w:sz="4" w:space="0" w:color="auto"/>
              <w:right w:val="single" w:sz="4" w:space="0" w:color="auto"/>
            </w:tcBorders>
          </w:tcPr>
          <w:p w14:paraId="001003E8" w14:textId="00100405">
            <w:pPr>
              <w:pStyle w:val="Normal"/>
              <w:jc w:val="left"/>
            </w:pPr>
            <w:r>
              <w:t xml:space="preserve">+3 pts</w:t>
            </w:r>
          </w:p>
        </w:tc>
      </w:tr>
      <w:tr>
        <w:tc>
          <w:tcPr>
            <w:vAlign w:val="center"/>
            <w:tcBorders>
              <w:top w:val="single" w:sz="4" w:space="0" w:color="auto"/>
              <w:left w:val="single" w:sz="4" w:space="0" w:color="auto"/>
              <w:bottom w:val="single" w:sz="4" w:space="0" w:color="auto"/>
              <w:right w:val="single" w:sz="4" w:space="0" w:color="auto"/>
            </w:tcBorders>
          </w:tcPr>
          <w:p w14:paraId="001003EA" w14:textId="00100406">
            <w:pPr>
              <w:pStyle w:val="Normal"/>
              <w:jc w:val="left"/>
            </w:pPr>
            <w:r>
              <w:t xml:space="preserve">Billable utilization</w:t>
            </w:r>
          </w:p>
        </w:tc>
        <w:tc>
          <w:tcPr>
            <w:vAlign w:val="center"/>
            <w:tcBorders>
              <w:top w:val="single" w:sz="4" w:space="0" w:color="auto"/>
              <w:left w:val="single" w:sz="4" w:space="0" w:color="auto"/>
              <w:bottom w:val="single" w:sz="4" w:space="0" w:color="auto"/>
              <w:right w:val="single" w:sz="4" w:space="0" w:color="auto"/>
            </w:tcBorders>
          </w:tcPr>
          <w:p w14:paraId="001003EC" w14:textId="00100407">
            <w:pPr>
              <w:pStyle w:val="Normal"/>
              <w:jc w:val="left"/>
            </w:pPr>
            <w:r>
              <w:t xml:space="preserve">78%</w:t>
            </w:r>
          </w:p>
        </w:tc>
        <w:tc>
          <w:tcPr>
            <w:vAlign w:val="center"/>
            <w:tcBorders>
              <w:top w:val="single" w:sz="4" w:space="0" w:color="auto"/>
              <w:left w:val="single" w:sz="4" w:space="0" w:color="auto"/>
              <w:bottom w:val="single" w:sz="4" w:space="0" w:color="auto"/>
              <w:right w:val="single" w:sz="4" w:space="0" w:color="auto"/>
            </w:tcBorders>
          </w:tcPr>
          <w:p w14:paraId="001003EE" w14:textId="00100408">
            <w:pPr>
              <w:pStyle w:val="Normal"/>
              <w:jc w:val="left"/>
            </w:pPr>
            <w:r>
              <w:t xml:space="preserve">75%</w:t>
            </w:r>
          </w:p>
        </w:tc>
        <w:tc>
          <w:tcPr>
            <w:vAlign w:val="center"/>
            <w:tcBorders>
              <w:top w:val="single" w:sz="4" w:space="0" w:color="auto"/>
              <w:left w:val="single" w:sz="4" w:space="0" w:color="auto"/>
              <w:bottom w:val="single" w:sz="4" w:space="0" w:color="auto"/>
              <w:right w:val="single" w:sz="4" w:space="0" w:color="auto"/>
            </w:tcBorders>
          </w:tcPr>
          <w:p w14:paraId="001003F0" w14:textId="00100409">
            <w:pPr>
              <w:pStyle w:val="Normal"/>
              <w:jc w:val="left"/>
            </w:pPr>
            <w:r>
              <w:t xml:space="preserve">+3 pts</w:t>
            </w:r>
          </w:p>
        </w:tc>
      </w:tr>
    </w:tbl>
    <w:p w14:paraId="0010040A" w14:textId="0010040B">
      <w:pPr>
        <w:pStyle w:val="Normal"/>
        <w:jc w:val="left"/>
      </w:pPr>
      <w:r>
        <w:t xml:space="preserve">Table 5 Services segment KPI summary</w:t>
      </w:r>
    </w:p>
    <w:p w14:paraId="0010040C" w14:textId="0010040E">
      <w:pPr>
        <w:pStyle w:val="Normal"/>
        <w:jc w:val="left"/>
      </w:pPr>
      <w:r>
        <w:t xml:space="preserve">Source:</w:t>
      </w:r>
      <w:r>
        <w:t xml:space="preserve"> Rivermark Group management reporting for the Services segment. Revenue, backlog, renewal rate, and utilization are presented for continuing operations within the annual reporting perimeter; margins are based on segment operating result before unallocated group items.</w:t>
      </w:r>
    </w:p>
    <w:p w14:paraId="0010040F" w14:textId="00100410">
      <w:pPr>
        <w:pStyle w:val="Normal"/>
        <w:jc w:val="left"/>
      </w:pPr>
      <w:r>
        <w:t xml:space="preserve">1.1 Revenue Drivers</w:t>
      </w:r>
    </w:p>
    <w:p w14:paraId="00100411" w14:textId="00100412">
      <w:pPr>
        <w:pStyle w:val="Normal"/>
        <w:jc w:val="left"/>
      </w:pPr>
      <w:r>
        <w:t xml:space="preserve">Service revenue increased through a combination of new contract wins and a higher level of renewals across recurring support, field service, and managed operations. Growth was strongest in multi-site customer accounts, where Rivermark Group expanded the scope of work from single-function support into broader maintenance and uptime packages. This widened the addressable revenue base without requiring the same pace of customer acquisition as in the prior year.</w:t>
      </w:r>
    </w:p>
    <w:p w14:paraId="00100413" w14:textId="00100414">
      <w:pPr>
        <w:pStyle w:val="Normal"/>
        <w:jc w:val="left"/>
      </w:pPr>
      <w:r>
        <w:t xml:space="preserve">Renewals also supported steadier period performance. Contract retention improved as service teams focused on response times, delivery consistency, and account planning ahead of renewal windows. In practical terms, this meant fewer interruptions between contract periods and better conversion of expiring agreements into follow-on terms of twelve to thirty-six months. Backlog growth reflected this pattern, with a larger portion of signed work extending into the next reporting period. Overall, revenue quality improved alongside revenue volume, because a greater share of sales came from contracted and repeat activity rather than from one-off assignments.</w:t>
      </w:r>
    </w:p>
    <w:p w14:paraId="00100415" w14:textId="00100416">
      <w:pPr>
        <w:pStyle w:val="Normal"/>
        <w:jc w:val="left"/>
      </w:pPr>
      <w:r>
        <w:t xml:space="preserve">Pricing and service mix made a further contribution to the year-on-year increase. Selective price adjustments were implemented in contracts exposed to wage inflation, travel costs, and specialist technical inputs. Management emphasized disciplined repricing at renewal rather than broad-based increases, which helped preserve customer relationships while still improving average realized rates in accounts where service performance remained strong.</w:t>
      </w:r>
    </w:p>
    <w:p w14:paraId="00100417" w14:textId="00100418">
      <w:pPr>
        <w:pStyle w:val="Normal"/>
        <w:jc w:val="left"/>
      </w:pPr>
      <w:r>
        <w:t xml:space="preserve">Mix effects were also favorable. Higher-value offerings, including remote monitoring, compliance support, and integrated maintenance planning, represented a larger share of segment revenue than in the previous year. These services carry longer engagement periods and stronger attachment to core customer operations, making them less exposed to short-term discretionary cuts. By contrast, lower-complexity call-out work and project-based assignments grew more slowly. The resulting mix shift supported top-line expansion and reinforced visibility over future revenue streams. Taken together, pricing discipline and a richer blend of services helped the segment convert customer demand into more resilient and better-structured sales.</w:t>
      </w:r>
    </w:p>
    <w:p w14:paraId="00100419" w14:textId="0010041A">
      <w:pPr>
        <w:pStyle w:val="Normal"/>
        <w:jc w:val="left"/>
      </w:pPr>
      <w:r>
        <w:t xml:space="preserve">1.2 Margin Drivers</w:t>
      </w:r>
    </w:p>
    <w:p w14:paraId="0010041B" w14:textId="0010041C">
      <w:pPr>
        <w:pStyle w:val="Normal"/>
        <w:jc w:val="left"/>
      </w:pPr>
      <w:r>
        <w:t xml:space="preserve">Margin improvement was supported by better utilization of delivery capacity across the segment. As backlog converted into scheduled work, teams spent a larger share of available hours on billable activity rather than standby, bench, or non-recoverable internal time. This effect was particularly visible in regional service hubs where technician scheduling became more balanced across preventive maintenance, recurring site visits, and rapid-response work. A higher proportion of planned assignments reduced idle intervals and improved the recovery of fixed supervisory and support costs.</w:t>
      </w:r>
    </w:p>
    <w:p w14:paraId="0010041D" w14:textId="0010041E">
      <w:pPr>
        <w:pStyle w:val="Normal"/>
        <w:jc w:val="left"/>
      </w:pPr>
      <w:r>
        <w:t xml:space="preserve">Utilization gains also reflected tighter operational planning. Dispatch sequencing, route density, and remote diagnostic support reduced travel gaps and repeated site visits, allowing the same workforce base to complete more contracted tasks. In service businesses, small changes in billable time have a direct effect on profitability because labor is the primary cost component. For Rivermark Group, the increase in utilization from 75% to 78% translated into a broader margin benefit than the percentage movement alone might suggest. The segment therefore achieved not only revenue growth, but also more effective conversion of capacity into earnings.</w:t>
      </w:r>
    </w:p>
    <w:p w14:paraId="0010041F" w14:textId="00100420">
      <w:pPr>
        <w:pStyle w:val="Normal"/>
        <w:jc w:val="left"/>
      </w:pPr>
      <w:r>
        <w:t xml:space="preserve">Labor mix and delivery cost management further shaped the margin outcome. During the year, the segment increased the share of work executed by trained in-house staff in recurring contracts, while using subcontractors more selectively for peak demand, specialist tasks, and remote locations. This improved cost predictability and reduced margin leakage from externally purchased labor in routine service lines. At the same time, a more structured staffing model aligned technician skill levels with job complexity, limiting the use of overqualified personnel on standard assignments.</w:t>
      </w:r>
    </w:p>
    <w:p w14:paraId="00100421" w14:textId="00100422">
      <w:pPr>
        <w:pStyle w:val="Normal"/>
        <w:jc w:val="left"/>
      </w:pPr>
      <w:r>
        <w:t xml:space="preserve">Delivery costs remained under pressure from wages, mobility, and technology enablement, but these increases were partly offset by process changes. Digital work orders, first-time-fix support tools, and better parts availability lowered revisit rates and administrative handling costs. Some start-up inefficiencies remained in newly mobilized contracts, and these moderated the full-year margin uplift, especially in the first half. Even so, the segment exited the year with a healthier cost profile than it entered with. Margin improvement was therefore not driven by a single factor, but by the combined effect of workforce mix, tighter deployment, and gradual stabilization of delivery economics.</w:t>
      </w:r>
    </w:p>
    <w:p w14:paraId="00100423" w14:textId="00100424">
      <w:pPr>
        <w:pStyle w:val="Normal"/>
        <w:jc w:val="left"/>
      </w:pPr>
      <w:r>
        <w:t xml:space="preserve">Subsection 2 Service Indicators</w:t>
      </w:r>
    </w:p>
    <w:p w14:paraId="00100425" w14:textId="00100426">
      <w:pPr>
        <w:pStyle w:val="Normal"/>
        <w:jc w:val="left"/>
      </w:pPr>
      <w:r>
        <w:t xml:space="preserve">The Services segment monitors backlog and billable utilization as its two primary operating indicators because they link demand visibility with delivery efficiency. Backlog provides an early view of contracted work that will convert into future revenue, while utilization shows how effectively the segment is deploying its professional and field workforce against that demand. Read together, the measures help management judge whether growth is being supported by sustainable workload and whether available capacity is being converted into profitable activity.</w:t>
      </w:r>
    </w:p>
    <w:p w14:paraId="00100427" w14:textId="00100428">
      <w:pPr>
        <w:pStyle w:val="Normal"/>
        <w:jc w:val="left"/>
      </w:pPr>
      <w:r>
        <w:t xml:space="preserve">During the year, both indicators moved in a constructive direction. Backlog increased as renewal rates improved and new service packages were signed with existing customers, creating better revenue cover for the coming periods. Utilization also rose as scheduling, digital dispatch, and service planning became more consistent across operating locations. Importantly, management evaluates these metrics alongside service quality indicators rather than in isolation. A rise in utilization is positive only if response times, completion quality, and customer retention remain stable. In the current period, the balance remained favorable: the segment expanded workload, used capacity more efficiently, and maintained a delivery profile that supports continued selective growth.</w:t>
      </w:r>
    </w:p>
    <w:p w14:paraId="00100429" w14:textId="0010042A">
      <w:pPr>
        <w:pStyle w:val="Normal"/>
        <w:jc w:val="left"/>
      </w:pPr>
      <w:r>
        <w:drawing>
          <wp:inline distT="0" distB="0" distL="0" distR="0">
            <wp:extent cx="4320000" cy="2880000"/>
            <wp:effectExtent l="0" t="0" r="0" b="0"/>
            <wp:docPr id="12" name="Fig-I08-01.png" descr=""/>
            <wp:cNvGraphicFramePr>
              <a:graphicFrameLocks noChangeAspect="1"/>
            </wp:cNvGraphicFramePr>
            <a:graphic>
              <a:graphicData uri="http://schemas.openxmlformats.org/drawingml/2006/picture">
                <pic:pic>
                  <pic:nvPicPr>
                    <pic:cNvPr id="12" name="Fig-I08-01.png"/>
                    <pic:cNvPicPr/>
                  </pic:nvPicPr>
                  <pic:blipFill>
                    <a:blip r:embed="R55854f53db6a4527" cstate="print"/>
                    <a:stretch>
                      <a:fillRect/>
                    </a:stretch>
                  </pic:blipFill>
                  <pic:spPr>
                    <a:xfrm>
                      <a:off x="0" y="0"/>
                      <a:ext cx="3960000" cy="2520000"/>
                    </a:xfrm>
                    <a:prstGeom prst="rect">
                      <a:avLst/>
                    </a:prstGeom>
                  </pic:spPr>
                </pic:pic>
              </a:graphicData>
            </a:graphic>
          </wp:inline>
        </w:drawing>
      </w:r>
    </w:p>
    <w:p w14:paraId="0010042B" w14:textId="0010042C">
      <w:pPr>
        <w:pStyle w:val="Normal"/>
        <w:jc w:val="left"/>
      </w:pPr>
      <w:r>
        <w:t xml:space="preserve">Figure 21 Backlog and billable utilization trend in the Services segment</w:t>
      </w:r>
    </w:p>
    <w:p w14:paraId="0010042D" w14:textId="0010042F">
      <w:pPr>
        <w:pStyle w:val="Normal"/>
        <w:jc w:val="left"/>
      </w:pPr>
      <w:r>
        <w:t xml:space="preserve">Source:</w:t>
      </w:r>
      <w:r>
        <w:t xml:space="preserve"> Figure 22 is based on Services segment management reporting for the year ended 31 December 2025. Backlog represents signed but undelivered contract value; utilization is measured as billable hours as a percentage of available delivery hours, excluding approved leave and non-chargeable training.</w:t>
      </w:r>
    </w:p>
    <w:p w14:paraId="00100430" w14:textId="00100431">
      <w:pPr>
        <w:pStyle w:val="Normal"/>
        <w:jc w:val="left"/>
      </w:pPr>
      <w:r>
        <w:t xml:space="preserve">Figure 22 Services backlog and utilization trend</w:t>
      </w:r>
    </w:p>
    <w:p w14:paraId="00100432" w14:textId="00100433">
      <w:pPr>
        <w:pStyle w:val="Normal"/>
        <w:jc w:val="left"/>
      </w:pPr>
      <w:r>
        <w:t xml:space="preserve">2.1 Backlog Trend</w:t>
      </w:r>
    </w:p>
    <w:p w14:paraId="00100434" w14:textId="00100435">
      <w:pPr>
        <w:pStyle w:val="Normal"/>
        <w:jc w:val="left"/>
      </w:pPr>
      <w:r>
        <w:t xml:space="preserve">Services segment backlog expanded during the year as new contract wins outpaced revenue conversion in most quarters. The pipeline was strongest in recurring technical support, field maintenance, and multi-site service agreements, where customers continued to favor bundled delivery models over one-off assignments. Conversion from qualified pipeline to signed orders improved in the second half, supported by shorter approval cycles among existing clients and better coordination between account teams and delivery planning. As a result, the order book ended the year at a higher level than the prior period, providing a firmer base for near-term revenue visibility.</w:t>
      </w:r>
    </w:p>
    <w:p w14:paraId="00100436" w14:textId="00100437">
      <w:pPr>
        <w:pStyle w:val="Normal"/>
        <w:jc w:val="left"/>
      </w:pPr>
      <w:r>
        <w:t xml:space="preserve">The composition of backlog also shifted in a constructive way. A larger share of contracted work now relates to repeat customers, framework renewals, and service extensions rather than purely project-based assignments. That mix reduces volatility because renewals usually require less bid effort and move into execution with clearer scope definition. Even so, management continues to distinguish carefully between headline pipeline growth and executable backlog, as only signed work with agreed commercial terms is treated as committed demand. This distinction remains important in a market where customer budgeting can still affect the timing of formal award decisions.</w:t>
      </w:r>
    </w:p>
    <w:p w14:paraId="00100438" w14:textId="00100439">
      <w:pPr>
        <w:pStyle w:val="Normal"/>
        <w:jc w:val="left"/>
      </w:pPr>
      <w:r>
        <w:t xml:space="preserve">Backlog quality remained broadly sound, with a balanced spread across short-cycle assignments and longer-duration contracts. The most reliable portion of the order book came from customers with established operating assets that require ongoing inspection, maintenance, and service support. These contracts typically carry clearer service-level terms and a more predictable call-off pattern, which improves resource scheduling and lowers the risk of abrupt cancellation. By contrast, a smaller portion of backlog related to discretionary modernization projects, which offer attractive margins but can be more sensitive to customer capital spending reviews.</w:t>
      </w:r>
    </w:p>
    <w:p w14:paraId="0010043A" w14:textId="0010043B">
      <w:pPr>
        <w:pStyle w:val="Normal"/>
        <w:jc w:val="left"/>
      </w:pPr>
      <w:r>
        <w:t xml:space="preserve">Timing remains the main variable affecting conversion into revenue. Some contracts signed late in the year include phased mobilization periods, site access requirements, or customer readiness milestones that shift execution into the next reporting period. In addition, public-sector and regulated customers sometimes sequence approvals across multiple locations, creating temporary gaps between award and field deployment. For these reasons, management assesses backlog not only by value but also by start-date certainty, staffing readiness, and contractual milestone profile. This more detailed review helps the segment prioritize work that can be activated quickly while maintaining a prudent view of contracts that may slip between quarters.</w:t>
      </w:r>
    </w:p>
    <w:p w14:paraId="0010043C" w14:textId="0010043D">
      <w:pPr>
        <w:pStyle w:val="Normal"/>
        <w:jc w:val="left"/>
      </w:pPr>
      <w:r>
        <w:t xml:space="preserve">2.2 Utilization Trend</w:t>
      </w:r>
    </w:p>
    <w:p w14:paraId="0010043E" w14:textId="0010043F">
      <w:pPr>
        <w:pStyle w:val="Normal"/>
        <w:jc w:val="left"/>
      </w:pPr>
      <w:r>
        <w:t xml:space="preserve">Billable activity improved over the course of the year as demand recovery in core service lines translated into steadier deployment of field and technical teams. Utilization was soft at the beginning of the period, reflecting a carryover of uneven project timing and a deliberate investment in training and onboarding. Performance strengthened from midyear onward as contract conversion accelerated and the mix of work shifted toward repeat assignments with faster mobilization. This led to higher billable hours, better crew scheduling, and a more even weekly workload across major operating locations.</w:t>
      </w:r>
    </w:p>
    <w:p w14:paraId="00100440" w14:textId="00100441">
      <w:pPr>
        <w:pStyle w:val="Normal"/>
        <w:jc w:val="left"/>
      </w:pPr>
      <w:r>
        <w:t xml:space="preserve">The improvement was not driven by simple volume growth alone. Management also tightened job planning, reduced avoidable gaps between assignments, and increased the use of cross-trained personnel who could move between adjacent service categories. Those actions supported a healthier progression in productive hours without relying excessively on overtime. As utilization rose, the segment benefited from improved labor absorption and stronger operating leverage, although management remained attentive to service quality and employee fatigue. The year-end position indicates that the business is operating from a more efficient baseline, while still retaining some room to accommodate incremental demand.</w:t>
      </w:r>
    </w:p>
    <w:p w14:paraId="00100442" w14:textId="00100443">
      <w:pPr>
        <w:pStyle w:val="Normal"/>
        <w:jc w:val="left"/>
      </w:pPr>
      <w:r>
        <w:t xml:space="preserve">Staffing use was managed with a clearer balance between permanent capacity, flexible resourcing, and specialist subcontract support. The segment prioritized core hiring in customer-facing technical roles where continuity and certification matter most, while using temporary or partner resources more selectively for peak workloads and location-specific requirements. This approach helped preserve delivery consistency and reduced the margin pressure that can arise when too much demand is served through higher-cost external labor. At the same time, targeted recruitment in constrained skill areas was paced carefully to avoid adding fixed cost ahead of confirmed workload.</w:t>
      </w:r>
    </w:p>
    <w:p w14:paraId="00100444" w14:textId="00100445">
      <w:pPr>
        <w:pStyle w:val="Normal"/>
        <w:jc w:val="left"/>
      </w:pPr>
      <w:r>
        <w:t xml:space="preserve">Capacity balance improved because workforce planning became more closely linked to the backlog review process. Delivery managers now assess signed work, likely start dates, travel requirements, and competency needs in a single planning cycle, allowing earlier redeployment decisions between sites and service lines. Even with these improvements, some local imbalances persisted, particularly where specialist certification requirements limited short-term flexibility. Management therefore continues to invest in skills portability, scheduling discipline, and retention measures so that utilization gains can be sustained without creating bottlenecks in quality, safety, or customer responsiveness.</w:t>
      </w:r>
    </w:p>
    <w:p w14:paraId="00100446" w14:textId="00100447">
      <w:pPr>
        <w:pStyle w:val="Normal"/>
        <w:jc w:val="left"/>
      </w:pPr>
      <w:r>
        <w:t xml:space="preserve">Section 2 Capability and Outlook</w:t>
      </w:r>
    </w:p>
    <w:p w14:paraId="00100448" w14:textId="00100449">
      <w:pPr>
        <w:pStyle w:val="Normal"/>
        <w:jc w:val="left"/>
      </w:pPr>
      <w:r>
        <w:t xml:space="preserve">The Services segment entered the next period with a stronger operating platform than at the start of the year. Backlog has improved, utilization has normalized, and the business has taken practical steps to tighten delivery planning, workforce deployment, and commercial coordination. These changes matter because service growth depends not only on securing demand but also on converting contracts into consistent field execution with acceptable margins and reliable quality. Management therefore views capability building as the main bridge between current performance recovery and sustainable medium-term expansion.</w:t>
      </w:r>
    </w:p>
    <w:p w14:paraId="0010044A" w14:textId="0010044B">
      <w:pPr>
        <w:pStyle w:val="Normal"/>
        <w:jc w:val="left"/>
      </w:pPr>
      <w:r>
        <w:t xml:space="preserve">Near-term prospects remain supported by recurring customer needs, renewal activity, and a service model that is increasingly aligned with multi-site and longer-duration contracts. At the same time, the outlook is moderated by familiar execution constraints, including labor availability in specialist roles, customer mobilization timing, and the need to maintain service standards while improving throughput. The segment’s priority is to expand capacity in a disciplined way, strengthen delivery quality, and preserve flexibility in resource allocation. This balanced approach is intended to support growth while protecting profitability and customer retention.</w:t>
      </w:r>
    </w:p>
    <w:p w14:paraId="0010044C" w14:textId="0010044D">
      <w:pPr>
        <w:pStyle w:val="Normal"/>
        <w:jc w:val="left"/>
      </w:pPr>
      <w:r>
        <w:t xml:space="preserve">Subsection 1 Capability Build</w:t>
      </w:r>
    </w:p>
    <w:p w14:paraId="0010044E" w14:textId="0010044F">
      <w:pPr>
        <w:pStyle w:val="Normal"/>
        <w:jc w:val="left"/>
      </w:pPr>
      <w:r>
        <w:t xml:space="preserve">During the year, Rivermark Group continued to invest in the Services delivery model with a focus on scalability, consistency, and control. Capability building centered on three connected areas: workforce readiness, operating process, and supporting systems. In workforce terms, the segment expanded technical training, refreshed role-specific competency pathways, and improved supervision in higher-complexity assignments. These measures are designed to shorten the time between hiring and productive deployment while maintaining safety and service standards. In process terms, the business standardized job intake, planning, dispatch, and close-out routines so that site teams can execute work with fewer handoff errors and more reliable documentation.</w:t>
      </w:r>
    </w:p>
    <w:p w14:paraId="00100450" w14:textId="00100451">
      <w:pPr>
        <w:pStyle w:val="Normal"/>
        <w:jc w:val="left"/>
      </w:pPr>
      <w:r>
        <w:t xml:space="preserve">Supporting system upgrades also played an important role. Service scheduling tools were better linked to customer order data and staffing records, making it easier to match required skills with available capacity and to identify bottlenecks earlier. Management reports now track contract conversion, mobilization status, billable hours, rework indicators, and response times in a more integrated format, which improves visibility across both commercial and delivery teams. Taken together, these investments do not represent a one-time expansion program; they are part of a gradual effort to create a repeatable operating model that can absorb a larger contract base without a proportional rise in disruption or overhead. That foundation is expected to support both margin stability and a more resilient customer experience as the segment grows.</w:t>
      </w:r>
    </w:p>
    <w:p w14:paraId="00100452" w14:textId="00100453">
      <w:pPr>
        <w:pStyle w:val="Normal"/>
        <w:jc w:val="left"/>
      </w:pPr>
      <w:r>
        <w:t xml:space="preserve">1.1 People Capacity</w:t>
      </w:r>
    </w:p>
    <w:p w14:paraId="00100454" w14:textId="00100455">
      <w:pPr>
        <w:pStyle w:val="Normal"/>
        <w:jc w:val="left"/>
      </w:pPr>
      <w:r>
        <w:t xml:space="preserve">The Services segment continued to treat talent capacity as a direct operating lever rather than a background support function. During the year, hiring priorities focused on billable technical roles, project managers, field service specialists, and solution architects in markets where customer implementation activity remained resilient. Recruitment was concentrated around capabilities with shorter time-to-revenue, particularly recurring support, compliance-linked services, and higher-value advisory work. This approach helped the segment protect utilization while adding skills that support stronger contract quality and broader customer coverage.</w:t>
      </w:r>
    </w:p>
    <w:p w14:paraId="00100456" w14:textId="00100457">
      <w:pPr>
        <w:pStyle w:val="Normal"/>
        <w:jc w:val="left"/>
      </w:pPr>
      <w:r>
        <w:t xml:space="preserve">Alongside external hiring, management increased emphasis on skills development within the existing workforce. Training programs were aligned to delivery methods, digital tools, contract governance, and sector-specific technical standards, with learning paths tailored for both early-career and experienced employees. Cross-training between delivery teams also improved staffing flexibility, allowing resources to move more efficiently across contracts with similar requirements. As a result, the segment entered the new period with a more balanced skills base, better readiness for complex engagements, and a clearer connection between capability building and revenue conversion.</w:t>
      </w:r>
    </w:p>
    <w:p w14:paraId="00100458" w14:textId="00100459">
      <w:pPr>
        <w:pStyle w:val="Normal"/>
        <w:jc w:val="left"/>
      </w:pPr>
      <w:r>
        <w:t xml:space="preserve">Retention remained a central priority because stable service delivery depends on preserving experienced client-facing teams and minimizing disruption on active contracts. Management therefore combined compensation review, targeted career progression, and team-lead development with more active workforce planning in business units facing higher market competition for skilled labor. Attrition eased from the elevated levels seen in the prior period, particularly in specialist delivery roles where internal mobility and clearer advancement pathways improved employee commitment.</w:t>
      </w:r>
    </w:p>
    <w:p w14:paraId="0010045A" w14:textId="0010045B">
      <w:pPr>
        <w:pStyle w:val="Normal"/>
        <w:jc w:val="left"/>
      </w:pPr>
      <w:r>
        <w:t xml:space="preserve">Bench management was also tightened to balance growth readiness with cost discipline. Rather than carrying broad excess capacity, the segment used a structured approach that distinguished strategic bench, near-term deployable resources, and skills under development. This enabled managers to hold limited readiness for expected contract starts while reducing the margin pressure associated with prolonged unassigned time. Resource forecasting was linked more closely to pipeline stages, renewal probability, and implementation schedules, improving staffing decisions across regions. In combination, better retention and more disciplined bench planning supported service continuity, protected profitability, and gave the segment a more practical basis for scaling delivery as demand develops.</w:t>
      </w:r>
    </w:p>
    <w:p w14:paraId="0010045C" w14:textId="0010045D">
      <w:pPr>
        <w:pStyle w:val="Normal"/>
        <w:jc w:val="left"/>
      </w:pPr>
      <w:r>
        <w:t xml:space="preserve">1.2 Delivery Quality</w:t>
      </w:r>
    </w:p>
    <w:p w14:paraId="0010045E" w14:textId="0010045F">
      <w:pPr>
        <w:pStyle w:val="Normal"/>
        <w:jc w:val="left"/>
      </w:pPr>
      <w:r>
        <w:t xml:space="preserve">The Services segment advanced several process upgrades designed to improve delivery predictability and strengthen control over contract execution. Standard operating procedures were updated for project initiation, scope approval, milestone tracking, and issue escalation, reducing variation between business units and making performance more transparent. Greater use of shared delivery templates and digital workflow tools improved documentation quality and gave managers faster visibility into schedule slippage, resource pressure, and unresolved customer actions.</w:t>
      </w:r>
    </w:p>
    <w:p w14:paraId="00100460" w14:textId="00100461">
      <w:pPr>
        <w:pStyle w:val="Normal"/>
        <w:jc w:val="left"/>
      </w:pPr>
      <w:r>
        <w:t xml:space="preserve">Control enhancements focused on the points where service businesses most often experience cost leakage or customer dissatisfaction. Review gates were reinforced at bid handover, staffing assignment, change-order approval, and contract closeout. These steps helped ensure that commercial commitments, delivery assumptions, and resource plans remained aligned throughout the engagement life cycle. The segment also increased post-project reviews to identify recurring causes of rework, delay, and margin erosion. While these upgrades require continued adoption discipline, they have already contributed to better operating consistency and a clearer basis for managing both delivery risk and client outcomes.</w:t>
      </w:r>
    </w:p>
    <w:p w14:paraId="00100462" w14:textId="00100463">
      <w:pPr>
        <w:pStyle w:val="Normal"/>
        <w:jc w:val="left"/>
      </w:pPr>
      <w:r>
        <w:t xml:space="preserve">Service quality was managed through a combination of operational standards, account-level oversight, and selective performance metrics tied to timeliness, responsiveness, and first-time resolution. The segment continued to move away from highly localized practices toward a more repeatable service model, especially in multi-site contracts and recurring support activities. This shift allowed teams to deliver a more consistent customer experience while preserving flexibility for sector-specific or contract-specific requirements.</w:t>
      </w:r>
    </w:p>
    <w:p w14:paraId="00100464" w14:textId="00100465">
      <w:pPr>
        <w:pStyle w:val="Normal"/>
        <w:jc w:val="left"/>
      </w:pPr>
      <w:r>
        <w:t xml:space="preserve">Consistency also benefited from stronger coordination between commercial, solution design, and delivery teams. Earlier involvement of delivery leaders in contract planning improved the practicality of service commitments and reduced downstream execution friction. Customer feedback loops were formalized more effectively, with recurring service reviews used not only to address exceptions but also to identify training needs, process gaps, and opportunities for scope expansion. In areas where quality performance was strongest, the segment saw better renewal support and more cross-sell potential, reinforcing the commercial value of disciplined execution. Management expects that continued standardization, combined with selective local adaptation, will further support customer trust, contract renewal, and sustainable margin performance.</w:t>
      </w:r>
    </w:p>
    <w:p w14:paraId="00100466" w14:textId="00100467">
      <w:pPr>
        <w:pStyle w:val="Normal"/>
        <w:jc w:val="left"/>
      </w:pPr>
      <w:r>
        <w:t xml:space="preserve">Subsection 2 Near-Term Outlook</w:t>
      </w:r>
    </w:p>
    <w:p w14:paraId="00100468" w14:textId="00100469">
      <w:pPr>
        <w:pStyle w:val="Normal"/>
        <w:jc w:val="left"/>
      </w:pPr>
      <w:r>
        <w:t xml:space="preserve">The near-term outlook for the Services segment remains constructive, supported by a healthy pipeline, recurring revenue characteristics, and continued customer demand for outsourced operational capability. Management expects activity levels to remain more resilient than in the Group’s product-oriented businesses because a significant share of work is tied to ongoing service obligations, compliance requirements, installed-base support, and multi-period contracts. Even so, conversion timing remains important, as customers in several sectors are extending approval cycles and phasing implementation decisions more carefully.</w:t>
      </w:r>
    </w:p>
    <w:p w14:paraId="0010046A" w14:textId="0010046B">
      <w:pPr>
        <w:pStyle w:val="Normal"/>
        <w:jc w:val="left"/>
      </w:pPr>
      <w:r>
        <w:t xml:space="preserve">Execution will therefore be as important as demand. The segment is entering the next period with reasonable backlog coverage and improved staffing discipline, but performance will depend on converting opportunities into revenue without creating delivery strain or allowing utilization to weaken. Priority actions include maintaining renewal rates, protecting service quality during growth, and selectively expanding capacity in higher-demand specialties. Taken together, the pipeline supports continued progress, yet management remains attentive to the practical constraints that can affect realization, including talent availability, customer scheduling, and the pace of contract mobilization.</w:t>
      </w:r>
    </w:p>
    <w:p w14:paraId="0010046C" w14:textId="0010046D">
      <w:pPr>
        <w:pStyle w:val="Normal"/>
        <w:jc w:val="left"/>
      </w:pPr>
      <w:r>
        <w:t xml:space="preserve">2.1 Demand Outlook</w:t>
      </w:r>
    </w:p>
    <w:p w14:paraId="0010046E" w14:textId="0010046F">
      <w:pPr>
        <w:pStyle w:val="Normal"/>
        <w:jc w:val="left"/>
      </w:pPr>
      <w:r>
        <w:t xml:space="preserve">Customer spending in the Services segment is expected to remain generally positive, although spending patterns are likely to differ by service type and end market. Demand appears most stable in services linked to essential operations, regulatory compliance, asset uptime, and recurring support, where customers continue to prioritize continuity and risk reduction even under tighter budget conditions. Advisory and project-based work also retains opportunity, but buying decisions in these areas are more sensitive to capital planning cycles and near-term confidence levels.</w:t>
      </w:r>
    </w:p>
    <w:p w14:paraId="00100470" w14:textId="00100471">
      <w:pPr>
        <w:pStyle w:val="Normal"/>
        <w:jc w:val="left"/>
      </w:pPr>
      <w:r>
        <w:t xml:space="preserve">Management expects customers to remain selective rather than broadly expansionary. In practical terms, this means stronger demand for offerings with clear productivity, resilience, or cost-control benefits, while discretionary programs may face slower approval or narrower initial scope. Pricing conditions are expected to remain competitive but manageable, supported by the segment’s technical capabilities and service reliability in priority accounts. Overall, the demand environment should support further growth, provided the segment continues to align resources with the categories where customer spending remains most durable and commercially attractive.</w:t>
      </w:r>
    </w:p>
    <w:p w14:paraId="00100472" w14:textId="00100473">
      <w:pPr>
        <w:pStyle w:val="Normal"/>
        <w:jc w:val="left"/>
      </w:pPr>
      <w:r>
        <w:t xml:space="preserve">Renewal patterns continue to provide an important source of visibility for the Services segment. Multi-period contracts, recurring maintenance arrangements, and embedded support relationships create a base level of revenue continuity that is less exposed to short-term market fluctuations than new project work. During the year, renewal activity remained broadly stable, with customer retention strongest in accounts where service performance, response times, and governance discipline were consistently demonstrated.</w:t>
      </w:r>
    </w:p>
    <w:p w14:paraId="00100474" w14:textId="00100475">
      <w:pPr>
        <w:pStyle w:val="Normal"/>
        <w:jc w:val="left"/>
      </w:pPr>
      <w:r>
        <w:t xml:space="preserve">Visibility, however, is not uniform across the portfolio. Some customers are shortening commitment horizons, seeking phased extensions, or increasing review points before confirming broader scope. This behavior does not necessarily indicate weaker demand, but it can affect timing and complicate resource planning. Management is therefore placing greater emphasis on early renewal engagement, account-level risk tracking, and clearer evidence of delivered value in customer discussions. By improving the quality of renewal forecasting and distinguishing highly probable extensions from less certain opportunities, the segment aims to preserve planning accuracy while maintaining commercial momentum. This should help support steadier revenue conversion in the coming period, even if customer decision cycles remain uneven.</w:t>
      </w:r>
    </w:p>
    <w:p w14:paraId="00100476" w14:textId="00100477">
      <w:pPr>
        <w:pStyle w:val="Normal"/>
        <w:jc w:val="left"/>
      </w:pPr>
      <w:r>
        <w:t xml:space="preserve">2.2 Execution Risks</w:t>
      </w:r>
    </w:p>
    <w:p w14:paraId="00100478" w14:textId="00100479">
      <w:pPr>
        <w:pStyle w:val="Normal"/>
        <w:jc w:val="left"/>
      </w:pPr>
      <w:r>
        <w:t xml:space="preserve">The principal execution risks in the Services segment remain concentrated in delivery consistency and talent capacity. Service contracts are fulfilled through people-intensive teams, and performance can deteriorate quickly when staffing levels, specialist skills, or project governance do not keep pace with workload. The most immediate pressure points are uneven utilization across delivery hubs, competition for experienced technical and client-facing personnel, and the possibility of schedule slippage when multiple projects reach peak implementation phases at the same time. In addition, quality risk rises when newly hired staff are deployed before training, documentation, and supervisory routines are fully embedded.</w:t>
      </w:r>
    </w:p>
    <w:p w14:paraId="0010047A" w14:textId="0010047B">
      <w:pPr>
        <w:pStyle w:val="Normal"/>
        <w:jc w:val="left"/>
      </w:pPr>
      <w:r>
        <w:t xml:space="preserve">Rivermark Group has responded by tightening workforce planning and standardizing delivery controls across the segment. Quarterly demand reviews are used to match hiring plans with pipeline quality rather than headline order volume alone, while priority roles are tracked by vacancy age, offer acceptance, and retention in the first twelve months. Project teams now operate with clearer stage-gate reviews covering scope control, staffing readiness, customer sign-off, and post-deployment service stability. These measures do not eliminate execution risk, but they reduce the likelihood that isolated staffing gaps or delivery delays will spread across the broader contract base. Management therefore enters the next period with a cautious but manageable view: sustained service quality depends on disciplined staffing, stronger team retention, and earlier intervention on projects showing schedule or resource strain.</w:t>
      </w:r>
    </w:p>
    <w:p w14:paraId="0010047C" w14:textId="0010047D">
      <w:pPr>
        <w:pStyle w:val="Normal"/>
        <w:jc w:val="left"/>
      </w:pPr>
      <w:r>
        <w:t xml:space="preserve">A second area of focus is contract risk, particularly in relation to large awards, renewal timing, and the ramp-up profile of newly won work. In the Services segment, reported growth can appear strong at the point of booking, yet the conversion of backlog into revenue depends on contract mobilization, customer approvals, system access, and the timely transfer of personnel and equipment. Delays in any of these steps can shift revenue recognition, compress early-stage margins, or increase working capital needs. The segment is also exposed to contract mix risk where fixed-price arrangements, if poorly scoped, may absorb cost inflation or require unplanned remediation effort during implementation.</w:t>
      </w:r>
    </w:p>
    <w:p w14:paraId="0010047E" w14:textId="0010047F">
      <w:pPr>
        <w:pStyle w:val="Normal"/>
        <w:jc w:val="left"/>
      </w:pPr>
      <w:r>
        <w:t xml:space="preserve">To address these exposures, Rivermark Group has increased bid discipline and strengthened post-award mobilization reviews. Larger contracts are now subject to more formal commercial screening, including margin thresholds, resource availability checks, milestone design, and escalation clauses where service requirements may change over time. During ramp-up, leadership monitors onboarding progress, utilization assumptions, customer acceptance milestones, and the gap between planned and actual start dates. Particular attention is given to contracts that concentrate revenue in a small number of clients or regions, because slippage in these programs can materially affect period performance. While the demand pipeline remains constructive, management expects near-term results to depend not only on new wins but also on disciplined conversion, careful scoping, and close control of implementation risk during the first months of delivery.</w:t>
      </w:r>
    </w:p>
    <w:p w14:paraId="00100EF4" w14:textId="00100EF5">
      <w:pPr>
        <w:pStyle w:val="Normal"/>
        <w:jc w:val="left"/>
        <w:sectPr>
          <w:type w:val="nextPage"/>
          <w:pgSz w:w="11906" w:h="16838"/>
          <w:pgMar w:top="1440" w:right="1440" w:bottom="1440" w:left="1440" w:header="1440" w:footer="1440" w:gutter="0"/>
          <w:cols w:space="720" w:num="1"/>
        </w:sectPr>
      </w:pPr>
    </w:p>
    <w:p w14:paraId="00100484" w14:textId="00100485">
      <w:pPr>
        <w:pStyle w:val="Normal"/>
        <w:jc w:val="left"/>
      </w:pPr>
      <w:r>
        <w:t xml:space="preserve">Chapter 7 Governance</w:t>
      </w:r>
    </w:p>
    <w:p w14:paraId="00100486" w14:textId="00100487">
      <w:pPr>
        <w:pStyle w:val="Normal"/>
        <w:jc w:val="left"/>
      </w:pPr>
      <w:r>
        <w:t xml:space="preserve">Rivermark Group’s governance framework is designed to support disciplined decision-making, effective oversight, and clear accountability across the Group’s diversified operations. During the year, the Board continued to oversee strategy, capital allocation, risk management, leadership succession, and the integrity of financial and non-financial reporting. Governance arrangements were applied across the Industrial, Consumer, and Services segments through a combination of Board review, executive management accountability, and defined control processes.</w:t>
      </w:r>
    </w:p>
    <w:p w14:paraId="00100488" w14:textId="00100489">
      <w:pPr>
        <w:pStyle w:val="Normal"/>
        <w:jc w:val="left"/>
      </w:pPr>
      <w:r>
        <w:t xml:space="preserve">The chapter outlines how leadership responsibilities are structured, how the Board is composed, and how oversight is exercised through committees and management reporting lines. It also summarizes the Group’s governance practices, including meeting activity, policy maintenance, and internal control arrangements. Taken together, these elements are intended to balance long-term value creation with prudent risk management, while maintaining an operating model that is responsive to market conditions and the needs of shareholders, employees, customers, and other stakeholders.</w:t>
      </w:r>
    </w:p>
    <w:p w14:paraId="0010048A" w14:textId="0010048B">
      <w:pPr>
        <w:pStyle w:val="Normal"/>
        <w:jc w:val="left"/>
      </w:pPr>
      <w:r>
        <w:t xml:space="preserve">Section 1 Board and Leadership</w:t>
      </w:r>
    </w:p>
    <w:p w14:paraId="0010048C" w14:textId="0010048D">
      <w:pPr>
        <w:pStyle w:val="Normal"/>
        <w:jc w:val="left"/>
      </w:pPr>
      <w:r>
        <w:t xml:space="preserve">The Board provides overall direction for Rivermark Group and is responsible for supervising the performance and stewardship of the business as a whole. In practice, this role extends beyond formal approval of major matters and includes active review of strategic priorities, segment performance, annual plans, capital deployment, and principal risks. Throughout the reporting year, Board discussions remained focused on preserving operational resilience while supporting selective investment in growth initiatives, capability building, and process improvement across the portfolio.</w:t>
      </w:r>
    </w:p>
    <w:p w14:paraId="0010048E" w14:textId="0010048F">
      <w:pPr>
        <w:pStyle w:val="Normal"/>
        <w:jc w:val="left"/>
      </w:pPr>
      <w:r>
        <w:t xml:space="preserve">Leadership execution is carried by the executive management team, which is accountable for implementing the strategy approved by the Board and for managing day-to-day operations within defined authority limits. This relationship is supported by regular reporting cycles that connect segment management, functional leaders, and Group executives to Board review. The governance structure is intended to ensure that matters such as financial performance, compliance, talent planning, and major operating actions are escalated in a timely and consistent manner. As a result, the Board and management framework is not only a compliance mechanism, but also a practical system for setting priorities, monitoring delivery, and responding to changing business conditions across the Group.</w:t>
      </w:r>
    </w:p>
    <w:p w14:paraId="00100490" w14:textId="00100491">
      <w:pPr>
        <w:pStyle w:val="Normal"/>
        <w:jc w:val="left"/>
      </w:pPr>
      <w:r>
        <w:t xml:space="preserve">Subsection 1 Board Composition</w:t>
      </w:r>
    </w:p>
    <w:p w14:paraId="00100492" w14:textId="00100493">
      <w:pPr>
        <w:pStyle w:val="Normal"/>
        <w:jc w:val="left"/>
      </w:pPr>
      <w:r>
        <w:t xml:space="preserve">Rivermark Group maintained a Board structure intended to combine continuity, operational understanding, and broad functional oversight. The Board includes directors with experience in industrial operations, consumer markets, services delivery, finance, risk management, and corporate leadership. This mix supports informed discussion of both segment-specific matters and Group-wide priorities, including portfolio balance, cash discipline, people capability, and control effectiveness. Board composition is reviewed with reference to the scale and complexity of the Group, with attention given to the range of skills required to oversee a multi-segment business.</w:t>
      </w:r>
    </w:p>
    <w:p w14:paraId="00100494" w14:textId="00100495">
      <w:pPr>
        <w:pStyle w:val="Normal"/>
        <w:jc w:val="left"/>
      </w:pPr>
      <w:r>
        <w:t xml:space="preserve">Committee support forms an important part of this structure. Key matters are reviewed in greater detail through committee processes before being reported to the full Board for discussion or approval. This allows financial reporting, audit oversight, risk review, remuneration considerations, and governance matters to receive focused attention while remaining connected to overall Board accountability. During the year, the Board continued to emphasize the quality of information provided to directors, the timeliness of management reporting, and the clarity of responsibilities assigned to committees and executives. In this way, Board composition is assessed not only by who serves, but by how effectively the overall governance system supports oversight, challenge, and sound decision-making.</w:t>
      </w:r>
    </w:p>
    <w:p w14:paraId="00100496" w14:textId="00100497">
      <w:pPr>
        <w:pStyle w:val="Normal"/>
        <w:jc w:val="left"/>
      </w:pPr>
      <w:r>
        <w:t xml:space="preserve">1.1 Director Roster</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498" w14:textId="001004E8">
            <w:pPr>
              <w:pStyle w:val="Normal"/>
              <w:jc w:val="left"/>
            </w:pPr>
            <w:r>
              <w:t xml:space="preserve">Director</w:t>
            </w:r>
          </w:p>
        </w:tc>
        <w:tc>
          <w:tcPr>
            <w:vAlign w:val="center"/>
            <w:tcBorders>
              <w:top w:val="single" w:sz="4" w:space="0" w:color="auto"/>
              <w:left w:val="single" w:sz="4" w:space="0" w:color="auto"/>
              <w:bottom w:val="single" w:sz="4" w:space="0" w:color="auto"/>
              <w:right w:val="single" w:sz="4" w:space="0" w:color="auto"/>
            </w:tcBorders>
          </w:tcPr>
          <w:p w14:paraId="0010049A" w14:textId="001004E9">
            <w:pPr>
              <w:pStyle w:val="Normal"/>
              <w:jc w:val="left"/>
            </w:pPr>
            <w:r>
              <w:t xml:space="preserve">Position</w:t>
            </w:r>
          </w:p>
        </w:tc>
        <w:tc>
          <w:tcPr>
            <w:vAlign w:val="center"/>
            <w:tcBorders>
              <w:top w:val="single" w:sz="4" w:space="0" w:color="auto"/>
              <w:left w:val="single" w:sz="4" w:space="0" w:color="auto"/>
              <w:bottom w:val="single" w:sz="4" w:space="0" w:color="auto"/>
              <w:right w:val="single" w:sz="4" w:space="0" w:color="auto"/>
            </w:tcBorders>
          </w:tcPr>
          <w:p w14:paraId="0010049C" w14:textId="001004EA">
            <w:pPr>
              <w:pStyle w:val="Normal"/>
              <w:jc w:val="left"/>
            </w:pPr>
            <w:r>
              <w:t xml:space="preserve">Committee Membership</w:t>
            </w:r>
          </w:p>
        </w:tc>
        <w:tc>
          <w:tcPr>
            <w:vAlign w:val="center"/>
            <w:tcBorders>
              <w:top w:val="single" w:sz="4" w:space="0" w:color="auto"/>
              <w:left w:val="single" w:sz="4" w:space="0" w:color="auto"/>
              <w:bottom w:val="single" w:sz="4" w:space="0" w:color="auto"/>
              <w:right w:val="single" w:sz="4" w:space="0" w:color="auto"/>
            </w:tcBorders>
          </w:tcPr>
          <w:p w14:paraId="0010049E" w14:textId="001004EB">
            <w:pPr>
              <w:pStyle w:val="Normal"/>
              <w:jc w:val="left"/>
            </w:pPr>
            <w:r>
              <w:t xml:space="preserve">Independence Status</w:t>
            </w:r>
          </w:p>
        </w:tc>
        <w:tc>
          <w:tcPr>
            <w:vAlign w:val="center"/>
            <w:tcBorders>
              <w:top w:val="single" w:sz="4" w:space="0" w:color="auto"/>
              <w:left w:val="single" w:sz="4" w:space="0" w:color="auto"/>
              <w:bottom w:val="single" w:sz="4" w:space="0" w:color="auto"/>
              <w:right w:val="single" w:sz="4" w:space="0" w:color="auto"/>
            </w:tcBorders>
          </w:tcPr>
          <w:p w14:paraId="001004A0" w14:textId="001004EC">
            <w:pPr>
              <w:pStyle w:val="Normal"/>
              <w:jc w:val="left"/>
            </w:pPr>
            <w:r>
              <w:t xml:space="preserve">Year Appointed</w:t>
            </w:r>
          </w:p>
        </w:tc>
      </w:tr>
      <w:tr>
        <w:tc>
          <w:tcPr>
            <w:vAlign w:val="center"/>
            <w:tcBorders>
              <w:top w:val="single" w:sz="4" w:space="0" w:color="auto"/>
              <w:left w:val="single" w:sz="4" w:space="0" w:color="auto"/>
              <w:bottom w:val="single" w:sz="4" w:space="0" w:color="auto"/>
              <w:right w:val="single" w:sz="4" w:space="0" w:color="auto"/>
            </w:tcBorders>
          </w:tcPr>
          <w:p w14:paraId="001004A2" w14:textId="001004ED">
            <w:pPr>
              <w:pStyle w:val="Normal"/>
              <w:jc w:val="left"/>
            </w:pPr>
            <w:r>
              <w:t xml:space="preserve">Elena Shore</w:t>
            </w:r>
          </w:p>
        </w:tc>
        <w:tc>
          <w:tcPr>
            <w:vAlign w:val="center"/>
            <w:tcBorders>
              <w:top w:val="single" w:sz="4" w:space="0" w:color="auto"/>
              <w:left w:val="single" w:sz="4" w:space="0" w:color="auto"/>
              <w:bottom w:val="single" w:sz="4" w:space="0" w:color="auto"/>
              <w:right w:val="single" w:sz="4" w:space="0" w:color="auto"/>
            </w:tcBorders>
          </w:tcPr>
          <w:p w14:paraId="001004A4" w14:textId="001004EE">
            <w:pPr>
              <w:pStyle w:val="Normal"/>
              <w:jc w:val="left"/>
            </w:pPr>
            <w:r>
              <w:t xml:space="preserve">Chairman of the Board</w:t>
            </w:r>
          </w:p>
        </w:tc>
        <w:tc>
          <w:tcPr>
            <w:vAlign w:val="center"/>
            <w:tcBorders>
              <w:top w:val="single" w:sz="4" w:space="0" w:color="auto"/>
              <w:left w:val="single" w:sz="4" w:space="0" w:color="auto"/>
              <w:bottom w:val="single" w:sz="4" w:space="0" w:color="auto"/>
              <w:right w:val="single" w:sz="4" w:space="0" w:color="auto"/>
            </w:tcBorders>
          </w:tcPr>
          <w:p w14:paraId="001004A6" w14:textId="001004EF">
            <w:pPr>
              <w:pStyle w:val="Normal"/>
              <w:jc w:val="left"/>
            </w:pPr>
            <w:r>
              <w:t xml:space="preserve">Nomination Committee (Chair)</w:t>
            </w:r>
          </w:p>
        </w:tc>
        <w:tc>
          <w:tcPr>
            <w:vAlign w:val="center"/>
            <w:tcBorders>
              <w:top w:val="single" w:sz="4" w:space="0" w:color="auto"/>
              <w:left w:val="single" w:sz="4" w:space="0" w:color="auto"/>
              <w:bottom w:val="single" w:sz="4" w:space="0" w:color="auto"/>
              <w:right w:val="single" w:sz="4" w:space="0" w:color="auto"/>
            </w:tcBorders>
          </w:tcPr>
          <w:p w14:paraId="001004A8" w14:textId="001004F0">
            <w:pPr>
              <w:pStyle w:val="Normal"/>
              <w:jc w:val="left"/>
            </w:pPr>
            <w:r>
              <w:t xml:space="preserve">Non-executive, non-independent</w:t>
            </w:r>
          </w:p>
        </w:tc>
        <w:tc>
          <w:tcPr>
            <w:vAlign w:val="center"/>
            <w:tcBorders>
              <w:top w:val="single" w:sz="4" w:space="0" w:color="auto"/>
              <w:left w:val="single" w:sz="4" w:space="0" w:color="auto"/>
              <w:bottom w:val="single" w:sz="4" w:space="0" w:color="auto"/>
              <w:right w:val="single" w:sz="4" w:space="0" w:color="auto"/>
            </w:tcBorders>
          </w:tcPr>
          <w:p w14:paraId="001004AA" w14:textId="001004F1">
            <w:pPr>
              <w:pStyle w:val="Normal"/>
              <w:jc w:val="left"/>
            </w:pPr>
            <w:r>
              <w:t xml:space="preserve">2018</w:t>
            </w:r>
          </w:p>
        </w:tc>
      </w:tr>
      <w:tr>
        <w:tc>
          <w:tcPr>
            <w:vAlign w:val="center"/>
            <w:tcBorders>
              <w:top w:val="single" w:sz="4" w:space="0" w:color="auto"/>
              <w:left w:val="single" w:sz="4" w:space="0" w:color="auto"/>
              <w:bottom w:val="single" w:sz="4" w:space="0" w:color="auto"/>
              <w:right w:val="single" w:sz="4" w:space="0" w:color="auto"/>
            </w:tcBorders>
          </w:tcPr>
          <w:p w14:paraId="001004AC" w14:textId="001004F2">
            <w:pPr>
              <w:pStyle w:val="Normal"/>
              <w:jc w:val="left"/>
            </w:pPr>
            <w:r>
              <w:t xml:space="preserve">Marcus Vale</w:t>
            </w:r>
          </w:p>
        </w:tc>
        <w:tc>
          <w:tcPr>
            <w:vAlign w:val="center"/>
            <w:tcBorders>
              <w:top w:val="single" w:sz="4" w:space="0" w:color="auto"/>
              <w:left w:val="single" w:sz="4" w:space="0" w:color="auto"/>
              <w:bottom w:val="single" w:sz="4" w:space="0" w:color="auto"/>
              <w:right w:val="single" w:sz="4" w:space="0" w:color="auto"/>
            </w:tcBorders>
          </w:tcPr>
          <w:p w14:paraId="001004AE" w14:textId="001004F3">
            <w:pPr>
              <w:pStyle w:val="Normal"/>
              <w:jc w:val="left"/>
            </w:pPr>
            <w:r>
              <w:t xml:space="preserve">Vice Chairman and Independent Director</w:t>
            </w:r>
          </w:p>
        </w:tc>
        <w:tc>
          <w:tcPr>
            <w:vAlign w:val="center"/>
            <w:tcBorders>
              <w:top w:val="single" w:sz="4" w:space="0" w:color="auto"/>
              <w:left w:val="single" w:sz="4" w:space="0" w:color="auto"/>
              <w:bottom w:val="single" w:sz="4" w:space="0" w:color="auto"/>
              <w:right w:val="single" w:sz="4" w:space="0" w:color="auto"/>
            </w:tcBorders>
          </w:tcPr>
          <w:p w14:paraId="001004B0" w14:textId="001004F4">
            <w:pPr>
              <w:pStyle w:val="Normal"/>
              <w:jc w:val="left"/>
            </w:pPr>
            <w:r>
              <w:t xml:space="preserve">Audit Committee; Risk Oversight Committee</w:t>
            </w:r>
          </w:p>
        </w:tc>
        <w:tc>
          <w:tcPr>
            <w:vAlign w:val="center"/>
            <w:tcBorders>
              <w:top w:val="single" w:sz="4" w:space="0" w:color="auto"/>
              <w:left w:val="single" w:sz="4" w:space="0" w:color="auto"/>
              <w:bottom w:val="single" w:sz="4" w:space="0" w:color="auto"/>
              <w:right w:val="single" w:sz="4" w:space="0" w:color="auto"/>
            </w:tcBorders>
          </w:tcPr>
          <w:p w14:paraId="001004B2" w14:textId="001004F5">
            <w:pPr>
              <w:pStyle w:val="Normal"/>
              <w:jc w:val="left"/>
            </w:pPr>
            <w:r>
              <w:t xml:space="preserve">Independent</w:t>
            </w:r>
          </w:p>
        </w:tc>
        <w:tc>
          <w:tcPr>
            <w:vAlign w:val="center"/>
            <w:tcBorders>
              <w:top w:val="single" w:sz="4" w:space="0" w:color="auto"/>
              <w:left w:val="single" w:sz="4" w:space="0" w:color="auto"/>
              <w:bottom w:val="single" w:sz="4" w:space="0" w:color="auto"/>
              <w:right w:val="single" w:sz="4" w:space="0" w:color="auto"/>
            </w:tcBorders>
          </w:tcPr>
          <w:p w14:paraId="001004B4" w14:textId="001004F6">
            <w:pPr>
              <w:pStyle w:val="Normal"/>
              <w:jc w:val="left"/>
            </w:pPr>
            <w:r>
              <w:t xml:space="preserve">2019</w:t>
            </w:r>
          </w:p>
        </w:tc>
      </w:tr>
      <w:tr>
        <w:tc>
          <w:tcPr>
            <w:vAlign w:val="center"/>
            <w:tcBorders>
              <w:top w:val="single" w:sz="4" w:space="0" w:color="auto"/>
              <w:left w:val="single" w:sz="4" w:space="0" w:color="auto"/>
              <w:bottom w:val="single" w:sz="4" w:space="0" w:color="auto"/>
              <w:right w:val="single" w:sz="4" w:space="0" w:color="auto"/>
            </w:tcBorders>
          </w:tcPr>
          <w:p w14:paraId="001004B6" w14:textId="001004F7">
            <w:pPr>
              <w:pStyle w:val="Normal"/>
              <w:jc w:val="left"/>
            </w:pPr>
            <w:r>
              <w:t xml:space="preserve">Iris Donnelly</w:t>
            </w:r>
          </w:p>
        </w:tc>
        <w:tc>
          <w:tcPr>
            <w:vAlign w:val="center"/>
            <w:tcBorders>
              <w:top w:val="single" w:sz="4" w:space="0" w:color="auto"/>
              <w:left w:val="single" w:sz="4" w:space="0" w:color="auto"/>
              <w:bottom w:val="single" w:sz="4" w:space="0" w:color="auto"/>
              <w:right w:val="single" w:sz="4" w:space="0" w:color="auto"/>
            </w:tcBorders>
          </w:tcPr>
          <w:p w14:paraId="001004B8" w14:textId="001004F8">
            <w:pPr>
              <w:pStyle w:val="Normal"/>
              <w:jc w:val="left"/>
            </w:pPr>
            <w:r>
              <w:t xml:space="preserve">Independent Director</w:t>
            </w:r>
          </w:p>
        </w:tc>
        <w:tc>
          <w:tcPr>
            <w:vAlign w:val="center"/>
            <w:tcBorders>
              <w:top w:val="single" w:sz="4" w:space="0" w:color="auto"/>
              <w:left w:val="single" w:sz="4" w:space="0" w:color="auto"/>
              <w:bottom w:val="single" w:sz="4" w:space="0" w:color="auto"/>
              <w:right w:val="single" w:sz="4" w:space="0" w:color="auto"/>
            </w:tcBorders>
          </w:tcPr>
          <w:p w14:paraId="001004BA" w14:textId="001004F9">
            <w:pPr>
              <w:pStyle w:val="Normal"/>
              <w:jc w:val="left"/>
            </w:pPr>
            <w:r>
              <w:t xml:space="preserve">Audit Committee (Chair)</w:t>
            </w:r>
          </w:p>
        </w:tc>
        <w:tc>
          <w:tcPr>
            <w:vAlign w:val="center"/>
            <w:tcBorders>
              <w:top w:val="single" w:sz="4" w:space="0" w:color="auto"/>
              <w:left w:val="single" w:sz="4" w:space="0" w:color="auto"/>
              <w:bottom w:val="single" w:sz="4" w:space="0" w:color="auto"/>
              <w:right w:val="single" w:sz="4" w:space="0" w:color="auto"/>
            </w:tcBorders>
          </w:tcPr>
          <w:p w14:paraId="001004BC" w14:textId="001004FA">
            <w:pPr>
              <w:pStyle w:val="Normal"/>
              <w:jc w:val="left"/>
            </w:pPr>
            <w:r>
              <w:t xml:space="preserve">Independent</w:t>
            </w:r>
          </w:p>
        </w:tc>
        <w:tc>
          <w:tcPr>
            <w:vAlign w:val="center"/>
            <w:tcBorders>
              <w:top w:val="single" w:sz="4" w:space="0" w:color="auto"/>
              <w:left w:val="single" w:sz="4" w:space="0" w:color="auto"/>
              <w:bottom w:val="single" w:sz="4" w:space="0" w:color="auto"/>
              <w:right w:val="single" w:sz="4" w:space="0" w:color="auto"/>
            </w:tcBorders>
          </w:tcPr>
          <w:p w14:paraId="001004BE" w14:textId="001004FB">
            <w:pPr>
              <w:pStyle w:val="Normal"/>
              <w:jc w:val="left"/>
            </w:pPr>
            <w:r>
              <w:t xml:space="preserve">2020</w:t>
            </w:r>
          </w:p>
        </w:tc>
      </w:tr>
      <w:tr>
        <w:tc>
          <w:tcPr>
            <w:vAlign w:val="center"/>
            <w:tcBorders>
              <w:top w:val="single" w:sz="4" w:space="0" w:color="auto"/>
              <w:left w:val="single" w:sz="4" w:space="0" w:color="auto"/>
              <w:bottom w:val="single" w:sz="4" w:space="0" w:color="auto"/>
              <w:right w:val="single" w:sz="4" w:space="0" w:color="auto"/>
            </w:tcBorders>
          </w:tcPr>
          <w:p w14:paraId="001004C0" w14:textId="001004FC">
            <w:pPr>
              <w:pStyle w:val="Normal"/>
              <w:jc w:val="left"/>
            </w:pPr>
            <w:r>
              <w:t xml:space="preserve">Nolan Pierce</w:t>
            </w:r>
          </w:p>
        </w:tc>
        <w:tc>
          <w:tcPr>
            <w:vAlign w:val="center"/>
            <w:tcBorders>
              <w:top w:val="single" w:sz="4" w:space="0" w:color="auto"/>
              <w:left w:val="single" w:sz="4" w:space="0" w:color="auto"/>
              <w:bottom w:val="single" w:sz="4" w:space="0" w:color="auto"/>
              <w:right w:val="single" w:sz="4" w:space="0" w:color="auto"/>
            </w:tcBorders>
          </w:tcPr>
          <w:p w14:paraId="001004C2" w14:textId="001004FD">
            <w:pPr>
              <w:pStyle w:val="Normal"/>
              <w:jc w:val="left"/>
            </w:pPr>
            <w:r>
              <w:t xml:space="preserve">Executive Director and Group Chief Executive Officer</w:t>
            </w:r>
          </w:p>
        </w:tc>
        <w:tc>
          <w:tcPr>
            <w:vAlign w:val="center"/>
            <w:tcBorders>
              <w:top w:val="single" w:sz="4" w:space="0" w:color="auto"/>
              <w:left w:val="single" w:sz="4" w:space="0" w:color="auto"/>
              <w:bottom w:val="single" w:sz="4" w:space="0" w:color="auto"/>
              <w:right w:val="single" w:sz="4" w:space="0" w:color="auto"/>
            </w:tcBorders>
          </w:tcPr>
          <w:p w14:paraId="001004C4" w14:textId="001004FE">
            <w:pPr>
              <w:pStyle w:val="Normal"/>
              <w:jc w:val="left"/>
            </w:pPr>
            <w:r>
              <w:t xml:space="preserve">Strategy Review Committee</w:t>
            </w:r>
          </w:p>
        </w:tc>
        <w:tc>
          <w:tcPr>
            <w:vAlign w:val="center"/>
            <w:tcBorders>
              <w:top w:val="single" w:sz="4" w:space="0" w:color="auto"/>
              <w:left w:val="single" w:sz="4" w:space="0" w:color="auto"/>
              <w:bottom w:val="single" w:sz="4" w:space="0" w:color="auto"/>
              <w:right w:val="single" w:sz="4" w:space="0" w:color="auto"/>
            </w:tcBorders>
          </w:tcPr>
          <w:p w14:paraId="001004C6" w14:textId="001004FF">
            <w:pPr>
              <w:pStyle w:val="Normal"/>
              <w:jc w:val="left"/>
            </w:pPr>
            <w:r>
              <w:t xml:space="preserve">Executive</w:t>
            </w:r>
          </w:p>
        </w:tc>
        <w:tc>
          <w:tcPr>
            <w:vAlign w:val="center"/>
            <w:tcBorders>
              <w:top w:val="single" w:sz="4" w:space="0" w:color="auto"/>
              <w:left w:val="single" w:sz="4" w:space="0" w:color="auto"/>
              <w:bottom w:val="single" w:sz="4" w:space="0" w:color="auto"/>
              <w:right w:val="single" w:sz="4" w:space="0" w:color="auto"/>
            </w:tcBorders>
          </w:tcPr>
          <w:p w14:paraId="001004C8" w14:textId="00100500">
            <w:pPr>
              <w:pStyle w:val="Normal"/>
              <w:jc w:val="left"/>
            </w:pPr>
            <w:r>
              <w:t xml:space="preserve">2017</w:t>
            </w:r>
          </w:p>
        </w:tc>
      </w:tr>
      <w:tr>
        <w:tc>
          <w:tcPr>
            <w:vAlign w:val="center"/>
            <w:tcBorders>
              <w:top w:val="single" w:sz="4" w:space="0" w:color="auto"/>
              <w:left w:val="single" w:sz="4" w:space="0" w:color="auto"/>
              <w:bottom w:val="single" w:sz="4" w:space="0" w:color="auto"/>
              <w:right w:val="single" w:sz="4" w:space="0" w:color="auto"/>
            </w:tcBorders>
          </w:tcPr>
          <w:p w14:paraId="001004CA" w14:textId="00100501">
            <w:pPr>
              <w:pStyle w:val="Normal"/>
              <w:jc w:val="left"/>
            </w:pPr>
            <w:r>
              <w:t xml:space="preserve">Sofia Renn</w:t>
            </w:r>
          </w:p>
        </w:tc>
        <w:tc>
          <w:tcPr>
            <w:vAlign w:val="center"/>
            <w:tcBorders>
              <w:top w:val="single" w:sz="4" w:space="0" w:color="auto"/>
              <w:left w:val="single" w:sz="4" w:space="0" w:color="auto"/>
              <w:bottom w:val="single" w:sz="4" w:space="0" w:color="auto"/>
              <w:right w:val="single" w:sz="4" w:space="0" w:color="auto"/>
            </w:tcBorders>
          </w:tcPr>
          <w:p w14:paraId="001004CC" w14:textId="00100502">
            <w:pPr>
              <w:pStyle w:val="Normal"/>
              <w:jc w:val="left"/>
            </w:pPr>
            <w:r>
              <w:t xml:space="preserve">Independent Director</w:t>
            </w:r>
          </w:p>
        </w:tc>
        <w:tc>
          <w:tcPr>
            <w:vAlign w:val="center"/>
            <w:tcBorders>
              <w:top w:val="single" w:sz="4" w:space="0" w:color="auto"/>
              <w:left w:val="single" w:sz="4" w:space="0" w:color="auto"/>
              <w:bottom w:val="single" w:sz="4" w:space="0" w:color="auto"/>
              <w:right w:val="single" w:sz="4" w:space="0" w:color="auto"/>
            </w:tcBorders>
          </w:tcPr>
          <w:p w14:paraId="001004CE" w14:textId="00100503">
            <w:pPr>
              <w:pStyle w:val="Normal"/>
              <w:jc w:val="left"/>
            </w:pPr>
            <w:r>
              <w:t xml:space="preserve">Remuneration Committee (Chair); Nomination Committee</w:t>
            </w:r>
          </w:p>
        </w:tc>
        <w:tc>
          <w:tcPr>
            <w:vAlign w:val="center"/>
            <w:tcBorders>
              <w:top w:val="single" w:sz="4" w:space="0" w:color="auto"/>
              <w:left w:val="single" w:sz="4" w:space="0" w:color="auto"/>
              <w:bottom w:val="single" w:sz="4" w:space="0" w:color="auto"/>
              <w:right w:val="single" w:sz="4" w:space="0" w:color="auto"/>
            </w:tcBorders>
          </w:tcPr>
          <w:p w14:paraId="001004D0" w14:textId="00100504">
            <w:pPr>
              <w:pStyle w:val="Normal"/>
              <w:jc w:val="left"/>
            </w:pPr>
            <w:r>
              <w:t xml:space="preserve">Independent</w:t>
            </w:r>
          </w:p>
        </w:tc>
        <w:tc>
          <w:tcPr>
            <w:vAlign w:val="center"/>
            <w:tcBorders>
              <w:top w:val="single" w:sz="4" w:space="0" w:color="auto"/>
              <w:left w:val="single" w:sz="4" w:space="0" w:color="auto"/>
              <w:bottom w:val="single" w:sz="4" w:space="0" w:color="auto"/>
              <w:right w:val="single" w:sz="4" w:space="0" w:color="auto"/>
            </w:tcBorders>
          </w:tcPr>
          <w:p w14:paraId="001004D2" w14:textId="00100505">
            <w:pPr>
              <w:pStyle w:val="Normal"/>
              <w:jc w:val="left"/>
            </w:pPr>
            <w:r>
              <w:t xml:space="preserve">2021</w:t>
            </w:r>
          </w:p>
        </w:tc>
      </w:tr>
      <w:tr>
        <w:tc>
          <w:tcPr>
            <w:vAlign w:val="center"/>
            <w:tcBorders>
              <w:top w:val="single" w:sz="4" w:space="0" w:color="auto"/>
              <w:left w:val="single" w:sz="4" w:space="0" w:color="auto"/>
              <w:bottom w:val="single" w:sz="4" w:space="0" w:color="auto"/>
              <w:right w:val="single" w:sz="4" w:space="0" w:color="auto"/>
            </w:tcBorders>
          </w:tcPr>
          <w:p w14:paraId="001004D4" w14:textId="00100506">
            <w:pPr>
              <w:pStyle w:val="Normal"/>
              <w:jc w:val="left"/>
            </w:pPr>
            <w:r>
              <w:t xml:space="preserve">Daniel Crowe</w:t>
            </w:r>
          </w:p>
        </w:tc>
        <w:tc>
          <w:tcPr>
            <w:vAlign w:val="center"/>
            <w:tcBorders>
              <w:top w:val="single" w:sz="4" w:space="0" w:color="auto"/>
              <w:left w:val="single" w:sz="4" w:space="0" w:color="auto"/>
              <w:bottom w:val="single" w:sz="4" w:space="0" w:color="auto"/>
              <w:right w:val="single" w:sz="4" w:space="0" w:color="auto"/>
            </w:tcBorders>
          </w:tcPr>
          <w:p w14:paraId="001004D6" w14:textId="00100507">
            <w:pPr>
              <w:pStyle w:val="Normal"/>
              <w:jc w:val="left"/>
            </w:pPr>
            <w:r>
              <w:t xml:space="preserve">Non-executive Director</w:t>
            </w:r>
          </w:p>
        </w:tc>
        <w:tc>
          <w:tcPr>
            <w:vAlign w:val="center"/>
            <w:tcBorders>
              <w:top w:val="single" w:sz="4" w:space="0" w:color="auto"/>
              <w:left w:val="single" w:sz="4" w:space="0" w:color="auto"/>
              <w:bottom w:val="single" w:sz="4" w:space="0" w:color="auto"/>
              <w:right w:val="single" w:sz="4" w:space="0" w:color="auto"/>
            </w:tcBorders>
          </w:tcPr>
          <w:p w14:paraId="001004D8" w14:textId="00100508">
            <w:pPr>
              <w:pStyle w:val="Normal"/>
              <w:jc w:val="left"/>
            </w:pPr>
            <w:r>
              <w:t xml:space="preserve">Risk Oversight Committee (Chair); Audit Committee</w:t>
            </w:r>
          </w:p>
        </w:tc>
        <w:tc>
          <w:tcPr>
            <w:vAlign w:val="center"/>
            <w:tcBorders>
              <w:top w:val="single" w:sz="4" w:space="0" w:color="auto"/>
              <w:left w:val="single" w:sz="4" w:space="0" w:color="auto"/>
              <w:bottom w:val="single" w:sz="4" w:space="0" w:color="auto"/>
              <w:right w:val="single" w:sz="4" w:space="0" w:color="auto"/>
            </w:tcBorders>
          </w:tcPr>
          <w:p w14:paraId="001004DA" w14:textId="00100509">
            <w:pPr>
              <w:pStyle w:val="Normal"/>
              <w:jc w:val="left"/>
            </w:pPr>
            <w:r>
              <w:t xml:space="preserve">Non-executive, non-independent</w:t>
            </w:r>
          </w:p>
        </w:tc>
        <w:tc>
          <w:tcPr>
            <w:vAlign w:val="center"/>
            <w:tcBorders>
              <w:top w:val="single" w:sz="4" w:space="0" w:color="auto"/>
              <w:left w:val="single" w:sz="4" w:space="0" w:color="auto"/>
              <w:bottom w:val="single" w:sz="4" w:space="0" w:color="auto"/>
              <w:right w:val="single" w:sz="4" w:space="0" w:color="auto"/>
            </w:tcBorders>
          </w:tcPr>
          <w:p w14:paraId="001004DC" w14:textId="0010050A">
            <w:pPr>
              <w:pStyle w:val="Normal"/>
              <w:jc w:val="left"/>
            </w:pPr>
            <w:r>
              <w:t xml:space="preserve">2019</w:t>
            </w:r>
          </w:p>
        </w:tc>
      </w:tr>
      <w:tr>
        <w:tc>
          <w:tcPr>
            <w:vAlign w:val="center"/>
            <w:tcBorders>
              <w:top w:val="single" w:sz="4" w:space="0" w:color="auto"/>
              <w:left w:val="single" w:sz="4" w:space="0" w:color="auto"/>
              <w:bottom w:val="single" w:sz="4" w:space="0" w:color="auto"/>
              <w:right w:val="single" w:sz="4" w:space="0" w:color="auto"/>
            </w:tcBorders>
          </w:tcPr>
          <w:p w14:paraId="001004DE" w14:textId="0010050B">
            <w:pPr>
              <w:pStyle w:val="Normal"/>
              <w:jc w:val="left"/>
            </w:pPr>
            <w:r>
              <w:t xml:space="preserve">Mina Hart</w:t>
            </w:r>
          </w:p>
        </w:tc>
        <w:tc>
          <w:tcPr>
            <w:vAlign w:val="center"/>
            <w:tcBorders>
              <w:top w:val="single" w:sz="4" w:space="0" w:color="auto"/>
              <w:left w:val="single" w:sz="4" w:space="0" w:color="auto"/>
              <w:bottom w:val="single" w:sz="4" w:space="0" w:color="auto"/>
              <w:right w:val="single" w:sz="4" w:space="0" w:color="auto"/>
            </w:tcBorders>
          </w:tcPr>
          <w:p w14:paraId="001004E0" w14:textId="0010050C">
            <w:pPr>
              <w:pStyle w:val="Normal"/>
              <w:jc w:val="left"/>
            </w:pPr>
            <w:r>
              <w:t xml:space="preserve">Independent Director</w:t>
            </w:r>
          </w:p>
        </w:tc>
        <w:tc>
          <w:tcPr>
            <w:vAlign w:val="center"/>
            <w:tcBorders>
              <w:top w:val="single" w:sz="4" w:space="0" w:color="auto"/>
              <w:left w:val="single" w:sz="4" w:space="0" w:color="auto"/>
              <w:bottom w:val="single" w:sz="4" w:space="0" w:color="auto"/>
              <w:right w:val="single" w:sz="4" w:space="0" w:color="auto"/>
            </w:tcBorders>
          </w:tcPr>
          <w:p w14:paraId="001004E2" w14:textId="0010050D">
            <w:pPr>
              <w:pStyle w:val="Normal"/>
              <w:jc w:val="left"/>
            </w:pPr>
            <w:r>
              <w:t xml:space="preserve">Remuneration Committee; Sustainability Steering Liaison</w:t>
            </w:r>
          </w:p>
        </w:tc>
        <w:tc>
          <w:tcPr>
            <w:vAlign w:val="center"/>
            <w:tcBorders>
              <w:top w:val="single" w:sz="4" w:space="0" w:color="auto"/>
              <w:left w:val="single" w:sz="4" w:space="0" w:color="auto"/>
              <w:bottom w:val="single" w:sz="4" w:space="0" w:color="auto"/>
              <w:right w:val="single" w:sz="4" w:space="0" w:color="auto"/>
            </w:tcBorders>
          </w:tcPr>
          <w:p w14:paraId="001004E4" w14:textId="0010050E">
            <w:pPr>
              <w:pStyle w:val="Normal"/>
              <w:jc w:val="left"/>
            </w:pPr>
            <w:r>
              <w:t xml:space="preserve">Independent</w:t>
            </w:r>
          </w:p>
        </w:tc>
        <w:tc>
          <w:tcPr>
            <w:vAlign w:val="center"/>
            <w:tcBorders>
              <w:top w:val="single" w:sz="4" w:space="0" w:color="auto"/>
              <w:left w:val="single" w:sz="4" w:space="0" w:color="auto"/>
              <w:bottom w:val="single" w:sz="4" w:space="0" w:color="auto"/>
              <w:right w:val="single" w:sz="4" w:space="0" w:color="auto"/>
            </w:tcBorders>
          </w:tcPr>
          <w:p w14:paraId="001004E6" w14:textId="0010050F">
            <w:pPr>
              <w:pStyle w:val="Normal"/>
              <w:jc w:val="left"/>
            </w:pPr>
            <w:r>
              <w:t xml:space="preserve">2022</w:t>
            </w:r>
          </w:p>
        </w:tc>
      </w:tr>
    </w:tbl>
    <w:p w14:paraId="00100510" w14:textId="00100511">
      <w:pPr>
        <w:pStyle w:val="Normal"/>
        <w:jc w:val="left"/>
      </w:pPr>
      <w:r>
        <w:t xml:space="preserve">Table 6 Director roster and positions</w:t>
      </w:r>
    </w:p>
    <w:p w14:paraId="00100512" w14:textId="00100514">
      <w:pPr>
        <w:pStyle w:val="Normal"/>
        <w:jc w:val="left"/>
      </w:pPr>
      <w:r>
        <w:t xml:space="preserve">Scope:</w:t>
      </w:r>
      <w:r>
        <w:t xml:space="preserve"> members of the Rivermark Group Board as of 31 December 2025. Committee memberships reflect standing assignments in effect at year-end.</w:t>
      </w:r>
    </w:p>
    <w:p w14:paraId="00100515" w14:textId="00100516">
      <w:pPr>
        <w:pStyle w:val="Normal"/>
        <w:jc w:val="left"/>
      </w:pPr>
      <w:r>
        <w:t xml:space="preserve">1.2 Committee Roles</w:t>
      </w:r>
    </w:p>
    <w:p w14:paraId="00100517" w14:textId="00100518">
      <w:pPr>
        <w:pStyle w:val="Normal"/>
        <w:jc w:val="left"/>
      </w:pPr>
      <w:r>
        <w:t xml:space="preserve">The Board discharges detailed oversight responsibilities through a committee structure designed to match the Group’s principal governance demands. The Audit Committee oversees financial reporting integrity, internal control design, external audit coordination, and the adequacy of accounting judgments used in the annual reporting cycle. The Risk Oversight Committee reviews enterprise risk priorities, monitors major operational and financial exposures, and tracks management responses to material control gaps or emerging events. The Remuneration Committee supervises executive compensation principles, incentive scorecards, and alignment between reward outcomes and long-term value creation, while the Nomination Committee considers board composition, succession planning, and the capability profile required for future strategy execution.</w:t>
      </w:r>
    </w:p>
    <w:p w14:paraId="00100519" w14:textId="0010051A">
      <w:pPr>
        <w:pStyle w:val="Normal"/>
        <w:jc w:val="left"/>
      </w:pPr>
      <w:r>
        <w:t xml:space="preserve">Although each committee has a defined remit, their work is coordinated rather than isolated. Matters such as capital allocation, executive succession, cyber resilience, and sustainability-linked performance may span several committees before being brought to the full Board. This structure allows deeper review at committee level while preserving collective accountability at Board level. In practice, committees function as review and recommendation bodies, and major approvals remain reserved to the full Board.</w:t>
      </w:r>
    </w:p>
    <w:p w14:paraId="0010051B" w14:textId="0010051C">
      <w:pPr>
        <w:pStyle w:val="Normal"/>
        <w:jc w:val="left"/>
      </w:pPr>
      <w:r>
        <w:t xml:space="preserve">Committee assignments are determined by the Board after considering director independence, industry knowledge, financial literacy, workload balance, and potential conflicts of interest. Independent directors hold a leading role in committees that require objective challenge, particularly the Audit Committee and the Remuneration Committee. The chairmanship of each committee is reviewed periodically so that the Board can preserve continuity in oversight while also rotating responsibilities where a fresh perspective would strengthen governance effectiveness. Management attends committee meetings by invitation, providing subject-matter input without displacing non-executive oversight.</w:t>
      </w:r>
    </w:p>
    <w:p w14:paraId="0010051D" w14:textId="0010051E">
      <w:pPr>
        <w:pStyle w:val="Normal"/>
        <w:jc w:val="left"/>
      </w:pPr>
      <w:r>
        <w:t xml:space="preserve">The cadence of committee work follows the annual governance calendar and the business reporting cycle. The Audit Committee typically meets ahead of half-year and full-year reporting milestones and additionally when significant accounting or control matters arise. The Risk Oversight Committee aligns its agenda with quarterly risk reviews, major investment decisions, and scenario-based assessments of supply, market, and compliance developments. The Nomination and Remuneration Committees work to a more seasonal timetable, concentrating on succession, performance assessment, target setting, and year-end remuneration outcomes. This cadence gives the Board a structured flow of recommendations and assurance throughout the year rather than concentrating governance review into a single period.</w:t>
      </w:r>
    </w:p>
    <w:p w14:paraId="0010051F" w14:textId="00100520">
      <w:pPr>
        <w:pStyle w:val="Normal"/>
        <w:jc w:val="left"/>
      </w:pPr>
      <w:r>
        <w:t xml:space="preserve">Subsection 2 Management Team</w:t>
      </w:r>
    </w:p>
    <w:p w14:paraId="00100521" w14:textId="00100522">
      <w:pPr>
        <w:pStyle w:val="Normal"/>
        <w:jc w:val="left"/>
      </w:pPr>
      <w:r>
        <w:t xml:space="preserve">Rivermark Group’s management team is organized to translate Board-approved strategy into coordinated operating performance across Industrial, Consumer, and Services activities. The Group Chief Executive Officer leads enterprise execution, supported by functional executives responsible for finance, operations, commercial development, human resources, technology, and risk. This structure is intended to balance segment accountability with central discipline in capital allocation, control standards, talent planning, and performance monitoring. Segment leaders retain responsibility for market delivery and operating results, while group functions establish common policies, systems, and review mechanisms.</w:t>
      </w:r>
    </w:p>
    <w:p w14:paraId="00100523" w14:textId="00100524">
      <w:pPr>
        <w:pStyle w:val="Normal"/>
        <w:jc w:val="left"/>
      </w:pPr>
      <w:r>
        <w:t xml:space="preserve">Management governance combines formal reporting lines with cross-functional decision forums. Monthly performance reviews compare segment results against plan, examine cash conversion and working capital trends, and identify corrective actions where operational or commercial indicators move off target. In parallel, leadership forums address strategic initiatives such as capacity expansion, digital channel development, procurement resilience, and service capability build-out. The management model therefore emphasizes both line accountability and enterprise coordination. As the Group’s portfolio has become more diversified, this arrangement has supported faster escalation of issues, more consistent use of data, and clearer ownership of execution priorities across the organization.</w:t>
      </w:r>
    </w:p>
    <w:p w14:paraId="00100525" w14:textId="00100526">
      <w:pPr>
        <w:pStyle w:val="Normal"/>
        <w:jc w:val="left"/>
      </w:pPr>
      <w:r>
        <w:t xml:space="preserve">2.1 Executive Roles</w:t>
      </w:r>
    </w:p>
    <w:p w14:paraId="00100527" w14:textId="00100528">
      <w:pPr>
        <w:pStyle w:val="Normal"/>
        <w:jc w:val="left"/>
      </w:pPr>
      <w:r>
        <w:drawing>
          <wp:inline distT="0" distB="0" distL="0" distR="0">
            <wp:extent cx="3240000" cy="3240000"/>
            <wp:effectExtent l="0" t="0" r="0" b="0"/>
            <wp:docPr id="13" name="Fig-I09-01.png" descr=""/>
            <wp:cNvGraphicFramePr>
              <a:graphicFrameLocks noChangeAspect="1"/>
            </wp:cNvGraphicFramePr>
            <a:graphic>
              <a:graphicData uri="http://schemas.openxmlformats.org/drawingml/2006/picture">
                <pic:pic>
                  <pic:nvPicPr>
                    <pic:cNvPr id="13" name="Fig-I09-01.png"/>
                    <pic:cNvPicPr/>
                  </pic:nvPicPr>
                  <pic:blipFill>
                    <a:blip r:embed="R4e16cb162c964e40" cstate="print"/>
                    <a:stretch>
                      <a:fillRect/>
                    </a:stretch>
                  </pic:blipFill>
                  <pic:spPr>
                    <a:xfrm>
                      <a:off x="0" y="0"/>
                      <a:ext cx="2880000" cy="3600000"/>
                    </a:xfrm>
                    <a:prstGeom prst="rect">
                      <a:avLst/>
                    </a:prstGeom>
                  </pic:spPr>
                </pic:pic>
              </a:graphicData>
            </a:graphic>
          </wp:inline>
        </w:drawing>
      </w:r>
    </w:p>
    <w:p w14:paraId="00100529" w14:textId="0010052A">
      <w:pPr>
        <w:pStyle w:val="Normal"/>
        <w:jc w:val="left"/>
      </w:pPr>
      <w:r>
        <w:t xml:space="preserve">Figure 23 Executive portrait</w:t>
      </w:r>
    </w:p>
    <w:p w14:paraId="0010052B" w14:textId="0010052C">
      <w:pPr>
        <w:pStyle w:val="Normal"/>
        <w:jc w:val="left"/>
      </w:pPr>
      <w:r>
        <w:t xml:space="preserve">Portraits shown are current executive team members serving at the date of report approval.</w:t>
      </w:r>
    </w:p>
    <w:p w14:paraId="0010052D" w14:textId="0010052E">
      <w:pPr>
        <w:pStyle w:val="Normal"/>
        <w:jc w:val="left"/>
      </w:pPr>
      <w:r>
        <w:t xml:space="preserve">Figure 24 Management reporting structure</w:t>
      </w:r>
    </w:p>
    <w:p w14:paraId="0010052F" w14:textId="00100530">
      <w:pPr>
        <w:pStyle w:val="Normal"/>
        <w:jc w:val="left"/>
      </w:pPr>
      <w:r>
        <w:t xml:space="preserve">2.2 Reporting Lines</w:t>
      </w:r>
    </w:p>
    <w:p w14:paraId="00100531" w14:textId="00100532">
      <w:pPr>
        <w:pStyle w:val="Normal"/>
        <w:jc w:val="left"/>
      </w:pPr>
      <w:r>
        <w:drawing>
          <wp:inline distT="0" distB="0" distL="0" distR="0">
            <wp:extent cx="4320000" cy="3600000"/>
            <wp:effectExtent l="0" t="0" r="0" b="0"/>
            <wp:docPr id="14" name="Fig-I09-02.png" descr=""/>
            <wp:cNvGraphicFramePr>
              <a:graphicFrameLocks noChangeAspect="1"/>
            </wp:cNvGraphicFramePr>
            <a:graphic>
              <a:graphicData uri="http://schemas.openxmlformats.org/drawingml/2006/picture">
                <pic:pic>
                  <pic:nvPicPr>
                    <pic:cNvPr id="14" name="Fig-I09-02.png"/>
                    <pic:cNvPicPr/>
                  </pic:nvPicPr>
                  <pic:blipFill>
                    <a:blip r:embed="R1d99324b2e494738" cstate="print"/>
                    <a:stretch>
                      <a:fillRect/>
                    </a:stretch>
                  </pic:blipFill>
                  <pic:spPr>
                    <a:xfrm>
                      <a:off x="0" y="0"/>
                      <a:ext cx="4680000" cy="3240000"/>
                    </a:xfrm>
                    <a:prstGeom prst="rect">
                      <a:avLst/>
                    </a:prstGeom>
                  </pic:spPr>
                </pic:pic>
              </a:graphicData>
            </a:graphic>
          </wp:inline>
        </w:drawing>
      </w:r>
    </w:p>
    <w:p w14:paraId="00100533" w14:textId="00100534">
      <w:pPr>
        <w:pStyle w:val="Normal"/>
        <w:jc w:val="left"/>
      </w:pPr>
      <w:r>
        <w:t xml:space="preserve">Figure 25 Management reporting lines</w:t>
      </w:r>
    </w:p>
    <w:p w14:paraId="00100535" w14:textId="00100537">
      <w:pPr>
        <w:pStyle w:val="Normal"/>
        <w:jc w:val="left"/>
      </w:pPr>
      <w:r>
        <w:t xml:space="preserve">Source:</w:t>
      </w:r>
      <w:r>
        <w:t xml:space="preserve"> Rivermark Group management structure as of the reporting date; lines indicate primary reporting accountability within the executive organization.</w:t>
      </w:r>
    </w:p>
    <w:p w14:paraId="00100538" w14:textId="00100539">
      <w:pPr>
        <w:pStyle w:val="Normal"/>
        <w:jc w:val="left"/>
      </w:pPr>
      <w:r>
        <w:t xml:space="preserve">Figure 26 Reporting line structure by executive function</w:t>
      </w:r>
    </w:p>
    <w:p w14:paraId="0010053A" w14:textId="0010053B">
      <w:pPr>
        <w:pStyle w:val="Normal"/>
        <w:jc w:val="left"/>
      </w:pPr>
      <w:r>
        <w:t xml:space="preserve">Section 2 Oversight and Compliance</w:t>
      </w:r>
    </w:p>
    <w:p w14:paraId="0010053C" w14:textId="0010053D">
      <w:pPr>
        <w:pStyle w:val="Normal"/>
        <w:jc w:val="left"/>
      </w:pPr>
      <w:r>
        <w:t xml:space="preserve">Rivermark Group maintains an oversight framework designed to support accountable decision-making, timely escalation of material matters, and consistent compliance across its operating businesses. The framework links the Board, its committees, executive management, and control functions through defined responsibilities, approval thresholds, and reporting routines. In practice, this means strategic, financial, operational, and compliance issues are reviewed at the level most appropriate to their significance, while matters with broader risk or policy implications are escalated through formal channels.</w:t>
      </w:r>
    </w:p>
    <w:p w14:paraId="0010053E" w14:textId="0010053F">
      <w:pPr>
        <w:pStyle w:val="Normal"/>
        <w:jc w:val="left"/>
      </w:pPr>
      <w:r>
        <w:t xml:space="preserve">Oversight during the year focused on the reliability of management information, execution against approved plans, internal control effectiveness, and adherence to key corporate policies. The Board received regular updates from executive leadership on segment performance, capital allocation, liquidity, major projects, and principal risks, while committee-level reviews provided more detailed examination of audit, control, and governance matters. This structure is intended to balance operational agility with disciplined supervision, particularly as the Group manages activities across industrial, consumer, and services businesses.</w:t>
      </w:r>
    </w:p>
    <w:p w14:paraId="00100540" w14:textId="00100541">
      <w:pPr>
        <w:pStyle w:val="Normal"/>
        <w:jc w:val="left"/>
      </w:pPr>
      <w:r>
        <w:t xml:space="preserve">Compliance oversight is supported by periodic policy reviews, management attestations, and issue-tracking mechanisms that allow identified matters to be assigned, monitored, and closed within defined timelines. Together, these arrangements provide a practical basis for governance that is both scalable and responsive to the complexity of the Group’s operations.</w:t>
      </w:r>
    </w:p>
    <w:p w14:paraId="00100542" w14:textId="00100543">
      <w:pPr>
        <w:pStyle w:val="Normal"/>
        <w:jc w:val="left"/>
      </w:pPr>
      <w:r>
        <w:t xml:space="preserve">Subsection 1 Governance Practices</w:t>
      </w:r>
    </w:p>
    <w:p w14:paraId="00100544" w14:textId="00100545">
      <w:pPr>
        <w:pStyle w:val="Normal"/>
        <w:jc w:val="left"/>
      </w:pPr>
      <w:r>
        <w:t xml:space="preserve">Governance practices at Rivermark Group are built around a regular annual cycle of Board and committee meetings, supported by scheduled management reporting and standing agenda items for strategy, performance, risk, and compliance. Meeting calendars are approved in advance, with additional sessions convened when significant transactions, control issues, or market developments require prompt review. Materials are circulated before meetings to allow directors and executives sufficient time to assess proposals, challenge assumptions, and request supplementary analysis where necessary.</w:t>
      </w:r>
    </w:p>
    <w:p w14:paraId="00100546" w14:textId="00100547">
      <w:pPr>
        <w:pStyle w:val="Normal"/>
        <w:jc w:val="left"/>
      </w:pPr>
      <w:r>
        <w:t xml:space="preserve">During the reporting year, meeting discussions covered budget execution, segment operating results, capital expenditure priorities, treasury matters, succession planning, internal audit observations, and policy adherence. Attendance and participation are monitored as part of the Board’s effectiveness review, and committee chairs report key deliberations to the full Board to ensure continuity of oversight. Minutes, action logs, and follow-up registers are maintained to document decisions and confirm that agreed actions are completed within expected timeframes.</w:t>
      </w:r>
    </w:p>
    <w:p w14:paraId="00100548" w14:textId="00100549">
      <w:pPr>
        <w:pStyle w:val="Normal"/>
        <w:jc w:val="left"/>
      </w:pPr>
      <w:r>
        <w:t xml:space="preserve">The policy framework supporting these practices includes core documents on delegated authority, code of conduct, related-party review, information security, records retention, and whistleblowing arrangements. Policies are reviewed on a rolling basis to reflect organizational changes, control findings, and evolving legal or commercial requirements. This combination of structured meetings and current policies helps Rivermark Group maintain consistent governance standards while preserving clear accountability across the organization.</w:t>
      </w:r>
    </w:p>
    <w:p w14:paraId="0010054A" w14:textId="0010054B">
      <w:pPr>
        <w:pStyle w:val="Normal"/>
        <w:jc w:val="left"/>
      </w:pPr>
      <w:r>
        <w:t xml:space="preserve">1.1 Board Activity</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54C" w14:textId="00100592">
            <w:pPr>
              <w:pStyle w:val="Normal"/>
              <w:jc w:val="left"/>
            </w:pPr>
            <w:r>
              <w:t xml:space="preserve">Director</w:t>
            </w:r>
          </w:p>
        </w:tc>
        <w:tc>
          <w:tcPr>
            <w:vAlign w:val="center"/>
            <w:tcBorders>
              <w:top w:val="single" w:sz="4" w:space="0" w:color="auto"/>
              <w:left w:val="single" w:sz="4" w:space="0" w:color="auto"/>
              <w:bottom w:val="single" w:sz="4" w:space="0" w:color="auto"/>
              <w:right w:val="single" w:sz="4" w:space="0" w:color="auto"/>
            </w:tcBorders>
          </w:tcPr>
          <w:p w14:paraId="0010054E" w14:textId="00100593">
            <w:pPr>
              <w:pStyle w:val="Normal"/>
              <w:jc w:val="left"/>
            </w:pPr>
            <w:r>
              <w:t xml:space="preserve">Board meetings attended / held</w:t>
            </w:r>
          </w:p>
        </w:tc>
        <w:tc>
          <w:tcPr>
            <w:vAlign w:val="center"/>
            <w:tcBorders>
              <w:top w:val="single" w:sz="4" w:space="0" w:color="auto"/>
              <w:left w:val="single" w:sz="4" w:space="0" w:color="auto"/>
              <w:bottom w:val="single" w:sz="4" w:space="0" w:color="auto"/>
              <w:right w:val="single" w:sz="4" w:space="0" w:color="auto"/>
            </w:tcBorders>
          </w:tcPr>
          <w:p w14:paraId="00100550" w14:textId="00100594">
            <w:pPr>
              <w:pStyle w:val="Normal"/>
              <w:jc w:val="left"/>
            </w:pPr>
            <w:r>
              <w:t xml:space="preserve">Audit Committee</w:t>
            </w:r>
          </w:p>
        </w:tc>
        <w:tc>
          <w:tcPr>
            <w:vAlign w:val="center"/>
            <w:tcBorders>
              <w:top w:val="single" w:sz="4" w:space="0" w:color="auto"/>
              <w:left w:val="single" w:sz="4" w:space="0" w:color="auto"/>
              <w:bottom w:val="single" w:sz="4" w:space="0" w:color="auto"/>
              <w:right w:val="single" w:sz="4" w:space="0" w:color="auto"/>
            </w:tcBorders>
          </w:tcPr>
          <w:p w14:paraId="00100552" w14:textId="00100595">
            <w:pPr>
              <w:pStyle w:val="Normal"/>
              <w:jc w:val="left"/>
            </w:pPr>
            <w:r>
              <w:t xml:space="preserve">Remuneration &amp; Nomination Committee</w:t>
            </w:r>
          </w:p>
        </w:tc>
        <w:tc>
          <w:tcPr>
            <w:vAlign w:val="center"/>
            <w:tcBorders>
              <w:top w:val="single" w:sz="4" w:space="0" w:color="auto"/>
              <w:left w:val="single" w:sz="4" w:space="0" w:color="auto"/>
              <w:bottom w:val="single" w:sz="4" w:space="0" w:color="auto"/>
              <w:right w:val="single" w:sz="4" w:space="0" w:color="auto"/>
            </w:tcBorders>
          </w:tcPr>
          <w:p w14:paraId="00100554" w14:textId="00100596">
            <w:pPr>
              <w:pStyle w:val="Normal"/>
              <w:jc w:val="left"/>
            </w:pPr>
            <w:r>
              <w:t xml:space="preserve">Primary meeting focus</w:t>
            </w:r>
          </w:p>
        </w:tc>
      </w:tr>
      <w:tr>
        <w:tc>
          <w:tcPr>
            <w:vAlign w:val="center"/>
            <w:tcBorders>
              <w:top w:val="single" w:sz="4" w:space="0" w:color="auto"/>
              <w:left w:val="single" w:sz="4" w:space="0" w:color="auto"/>
              <w:bottom w:val="single" w:sz="4" w:space="0" w:color="auto"/>
              <w:right w:val="single" w:sz="4" w:space="0" w:color="auto"/>
            </w:tcBorders>
          </w:tcPr>
          <w:p w14:paraId="00100556" w14:textId="00100597">
            <w:pPr>
              <w:pStyle w:val="Normal"/>
              <w:jc w:val="left"/>
            </w:pPr>
            <w:r>
              <w:t xml:space="preserve">Elena Shore</w:t>
            </w:r>
          </w:p>
        </w:tc>
        <w:tc>
          <w:tcPr>
            <w:vAlign w:val="center"/>
            <w:tcBorders>
              <w:top w:val="single" w:sz="4" w:space="0" w:color="auto"/>
              <w:left w:val="single" w:sz="4" w:space="0" w:color="auto"/>
              <w:bottom w:val="single" w:sz="4" w:space="0" w:color="auto"/>
              <w:right w:val="single" w:sz="4" w:space="0" w:color="auto"/>
            </w:tcBorders>
          </w:tcPr>
          <w:p w14:paraId="00100558" w14:textId="00100598">
            <w:pPr>
              <w:pStyle w:val="Normal"/>
              <w:jc w:val="left"/>
            </w:pPr>
            <w:r>
              <w:t xml:space="preserve">6 / 6</w:t>
            </w:r>
          </w:p>
        </w:tc>
        <w:tc>
          <w:tcPr>
            <w:vAlign w:val="center"/>
            <w:tcBorders>
              <w:top w:val="single" w:sz="4" w:space="0" w:color="auto"/>
              <w:left w:val="single" w:sz="4" w:space="0" w:color="auto"/>
              <w:bottom w:val="single" w:sz="4" w:space="0" w:color="auto"/>
              <w:right w:val="single" w:sz="4" w:space="0" w:color="auto"/>
            </w:tcBorders>
          </w:tcPr>
          <w:p w14:paraId="0010055A" w14:textId="00100599">
            <w:pPr>
              <w:pStyle w:val="Normal"/>
              <w:jc w:val="left"/>
            </w:pPr>
            <w:r>
              <w:t xml:space="preserve">4 / 4</w:t>
            </w:r>
          </w:p>
        </w:tc>
        <w:tc>
          <w:tcPr>
            <w:vAlign w:val="center"/>
            <w:tcBorders>
              <w:top w:val="single" w:sz="4" w:space="0" w:color="auto"/>
              <w:left w:val="single" w:sz="4" w:space="0" w:color="auto"/>
              <w:bottom w:val="single" w:sz="4" w:space="0" w:color="auto"/>
              <w:right w:val="single" w:sz="4" w:space="0" w:color="auto"/>
            </w:tcBorders>
          </w:tcPr>
          <w:p w14:paraId="0010055C" w14:textId="0010059A">
            <w:pPr>
              <w:pStyle w:val="Normal"/>
              <w:jc w:val="left"/>
            </w:pPr>
            <w:r>
              <w:t xml:space="preserve">3 / 3</w:t>
            </w:r>
          </w:p>
        </w:tc>
        <w:tc>
          <w:tcPr>
            <w:vAlign w:val="center"/>
            <w:tcBorders>
              <w:top w:val="single" w:sz="4" w:space="0" w:color="auto"/>
              <w:left w:val="single" w:sz="4" w:space="0" w:color="auto"/>
              <w:bottom w:val="single" w:sz="4" w:space="0" w:color="auto"/>
              <w:right w:val="single" w:sz="4" w:space="0" w:color="auto"/>
            </w:tcBorders>
          </w:tcPr>
          <w:p w14:paraId="0010055E" w14:textId="0010059B">
            <w:pPr>
              <w:pStyle w:val="Normal"/>
              <w:jc w:val="left"/>
            </w:pPr>
            <w:r>
              <w:t xml:space="preserve">Strategy review, capital allocation, CEO evaluation</w:t>
            </w:r>
          </w:p>
        </w:tc>
      </w:tr>
      <w:tr>
        <w:tc>
          <w:tcPr>
            <w:vAlign w:val="center"/>
            <w:tcBorders>
              <w:top w:val="single" w:sz="4" w:space="0" w:color="auto"/>
              <w:left w:val="single" w:sz="4" w:space="0" w:color="auto"/>
              <w:bottom w:val="single" w:sz="4" w:space="0" w:color="auto"/>
              <w:right w:val="single" w:sz="4" w:space="0" w:color="auto"/>
            </w:tcBorders>
          </w:tcPr>
          <w:p w14:paraId="00100560" w14:textId="0010059C">
            <w:pPr>
              <w:pStyle w:val="Normal"/>
              <w:jc w:val="left"/>
            </w:pPr>
            <w:r>
              <w:t xml:space="preserve">Marcus Vale</w:t>
            </w:r>
          </w:p>
        </w:tc>
        <w:tc>
          <w:tcPr>
            <w:vAlign w:val="center"/>
            <w:tcBorders>
              <w:top w:val="single" w:sz="4" w:space="0" w:color="auto"/>
              <w:left w:val="single" w:sz="4" w:space="0" w:color="auto"/>
              <w:bottom w:val="single" w:sz="4" w:space="0" w:color="auto"/>
              <w:right w:val="single" w:sz="4" w:space="0" w:color="auto"/>
            </w:tcBorders>
          </w:tcPr>
          <w:p w14:paraId="00100562" w14:textId="0010059D">
            <w:pPr>
              <w:pStyle w:val="Normal"/>
              <w:jc w:val="left"/>
            </w:pPr>
            <w:r>
              <w:t xml:space="preserve">6 / 6</w:t>
            </w:r>
          </w:p>
        </w:tc>
        <w:tc>
          <w:tcPr>
            <w:vAlign w:val="center"/>
            <w:tcBorders>
              <w:top w:val="single" w:sz="4" w:space="0" w:color="auto"/>
              <w:left w:val="single" w:sz="4" w:space="0" w:color="auto"/>
              <w:bottom w:val="single" w:sz="4" w:space="0" w:color="auto"/>
              <w:right w:val="single" w:sz="4" w:space="0" w:color="auto"/>
            </w:tcBorders>
          </w:tcPr>
          <w:p w14:paraId="00100564" w14:textId="0010059E">
            <w:pPr>
              <w:pStyle w:val="Normal"/>
              <w:jc w:val="left"/>
            </w:pPr>
            <w:r>
              <w:t xml:space="preserve">4 / 4</w:t>
            </w:r>
          </w:p>
        </w:tc>
        <w:tc>
          <w:tcPr>
            <w:vAlign w:val="center"/>
            <w:tcBorders>
              <w:top w:val="single" w:sz="4" w:space="0" w:color="auto"/>
              <w:left w:val="single" w:sz="4" w:space="0" w:color="auto"/>
              <w:bottom w:val="single" w:sz="4" w:space="0" w:color="auto"/>
              <w:right w:val="single" w:sz="4" w:space="0" w:color="auto"/>
            </w:tcBorders>
          </w:tcPr>
          <w:p w14:paraId="00100566" w14:textId="0010059F">
            <w:pPr>
              <w:pStyle w:val="Normal"/>
              <w:jc w:val="left"/>
            </w:pPr>
            <w:r>
              <w:t xml:space="preserve">3 / 3</w:t>
            </w:r>
          </w:p>
        </w:tc>
        <w:tc>
          <w:tcPr>
            <w:vAlign w:val="center"/>
            <w:tcBorders>
              <w:top w:val="single" w:sz="4" w:space="0" w:color="auto"/>
              <w:left w:val="single" w:sz="4" w:space="0" w:color="auto"/>
              <w:bottom w:val="single" w:sz="4" w:space="0" w:color="auto"/>
              <w:right w:val="single" w:sz="4" w:space="0" w:color="auto"/>
            </w:tcBorders>
          </w:tcPr>
          <w:p w14:paraId="00100568" w14:textId="001005A0">
            <w:pPr>
              <w:pStyle w:val="Normal"/>
              <w:jc w:val="left"/>
            </w:pPr>
            <w:r>
              <w:t xml:space="preserve">Financial oversight, risk review, succession planning</w:t>
            </w:r>
          </w:p>
        </w:tc>
      </w:tr>
      <w:tr>
        <w:tc>
          <w:tcPr>
            <w:vAlign w:val="center"/>
            <w:tcBorders>
              <w:top w:val="single" w:sz="4" w:space="0" w:color="auto"/>
              <w:left w:val="single" w:sz="4" w:space="0" w:color="auto"/>
              <w:bottom w:val="single" w:sz="4" w:space="0" w:color="auto"/>
              <w:right w:val="single" w:sz="4" w:space="0" w:color="auto"/>
            </w:tcBorders>
          </w:tcPr>
          <w:p w14:paraId="0010056A" w14:textId="001005A1">
            <w:pPr>
              <w:pStyle w:val="Normal"/>
              <w:jc w:val="left"/>
            </w:pPr>
            <w:r>
              <w:t xml:space="preserve">Priya Nordin</w:t>
            </w:r>
          </w:p>
        </w:tc>
        <w:tc>
          <w:tcPr>
            <w:vAlign w:val="center"/>
            <w:tcBorders>
              <w:top w:val="single" w:sz="4" w:space="0" w:color="auto"/>
              <w:left w:val="single" w:sz="4" w:space="0" w:color="auto"/>
              <w:bottom w:val="single" w:sz="4" w:space="0" w:color="auto"/>
              <w:right w:val="single" w:sz="4" w:space="0" w:color="auto"/>
            </w:tcBorders>
          </w:tcPr>
          <w:p w14:paraId="0010056C" w14:textId="001005A2">
            <w:pPr>
              <w:pStyle w:val="Normal"/>
              <w:jc w:val="left"/>
            </w:pPr>
            <w:r>
              <w:t xml:space="preserve">6 / 6</w:t>
            </w:r>
          </w:p>
        </w:tc>
        <w:tc>
          <w:tcPr>
            <w:vAlign w:val="center"/>
            <w:tcBorders>
              <w:top w:val="single" w:sz="4" w:space="0" w:color="auto"/>
              <w:left w:val="single" w:sz="4" w:space="0" w:color="auto"/>
              <w:bottom w:val="single" w:sz="4" w:space="0" w:color="auto"/>
              <w:right w:val="single" w:sz="4" w:space="0" w:color="auto"/>
            </w:tcBorders>
          </w:tcPr>
          <w:p w14:paraId="0010056E" w14:textId="001005A3">
            <w:pPr>
              <w:pStyle w:val="Normal"/>
              <w:jc w:val="left"/>
            </w:pPr>
            <w:r>
              <w:t xml:space="preserve">4 / 4</w:t>
            </w:r>
          </w:p>
        </w:tc>
        <w:tc>
          <w:tcPr>
            <w:vAlign w:val="center"/>
            <w:tcBorders>
              <w:top w:val="single" w:sz="4" w:space="0" w:color="auto"/>
              <w:left w:val="single" w:sz="4" w:space="0" w:color="auto"/>
              <w:bottom w:val="single" w:sz="4" w:space="0" w:color="auto"/>
              <w:right w:val="single" w:sz="4" w:space="0" w:color="auto"/>
            </w:tcBorders>
          </w:tcPr>
          <w:p w14:paraId="00100570" w14:textId="001005A4">
            <w:pPr>
              <w:pStyle w:val="Normal"/>
              <w:jc w:val="left"/>
            </w:pPr>
            <w:r>
              <w:t xml:space="preserve">3 / 3</w:t>
            </w:r>
          </w:p>
        </w:tc>
        <w:tc>
          <w:tcPr>
            <w:vAlign w:val="center"/>
            <w:tcBorders>
              <w:top w:val="single" w:sz="4" w:space="0" w:color="auto"/>
              <w:left w:val="single" w:sz="4" w:space="0" w:color="auto"/>
              <w:bottom w:val="single" w:sz="4" w:space="0" w:color="auto"/>
              <w:right w:val="single" w:sz="4" w:space="0" w:color="auto"/>
            </w:tcBorders>
          </w:tcPr>
          <w:p w14:paraId="00100572" w14:textId="001005A5">
            <w:pPr>
              <w:pStyle w:val="Normal"/>
              <w:jc w:val="left"/>
            </w:pPr>
            <w:r>
              <w:t xml:space="preserve">Internal control, compliance updates, policy review</w:t>
            </w:r>
          </w:p>
        </w:tc>
      </w:tr>
      <w:tr>
        <w:tc>
          <w:tcPr>
            <w:vAlign w:val="center"/>
            <w:tcBorders>
              <w:top w:val="single" w:sz="4" w:space="0" w:color="auto"/>
              <w:left w:val="single" w:sz="4" w:space="0" w:color="auto"/>
              <w:bottom w:val="single" w:sz="4" w:space="0" w:color="auto"/>
              <w:right w:val="single" w:sz="4" w:space="0" w:color="auto"/>
            </w:tcBorders>
          </w:tcPr>
          <w:p w14:paraId="00100574" w14:textId="001005A6">
            <w:pPr>
              <w:pStyle w:val="Normal"/>
              <w:jc w:val="left"/>
            </w:pPr>
            <w:r>
              <w:t xml:space="preserve">Jonas Mercer</w:t>
            </w:r>
          </w:p>
        </w:tc>
        <w:tc>
          <w:tcPr>
            <w:vAlign w:val="center"/>
            <w:tcBorders>
              <w:top w:val="single" w:sz="4" w:space="0" w:color="auto"/>
              <w:left w:val="single" w:sz="4" w:space="0" w:color="auto"/>
              <w:bottom w:val="single" w:sz="4" w:space="0" w:color="auto"/>
              <w:right w:val="single" w:sz="4" w:space="0" w:color="auto"/>
            </w:tcBorders>
          </w:tcPr>
          <w:p w14:paraId="00100576" w14:textId="001005A7">
            <w:pPr>
              <w:pStyle w:val="Normal"/>
              <w:jc w:val="left"/>
            </w:pPr>
            <w:r>
              <w:t xml:space="preserve">5 / 6</w:t>
            </w:r>
          </w:p>
        </w:tc>
        <w:tc>
          <w:tcPr>
            <w:vAlign w:val="center"/>
            <w:tcBorders>
              <w:top w:val="single" w:sz="4" w:space="0" w:color="auto"/>
              <w:left w:val="single" w:sz="4" w:space="0" w:color="auto"/>
              <w:bottom w:val="single" w:sz="4" w:space="0" w:color="auto"/>
              <w:right w:val="single" w:sz="4" w:space="0" w:color="auto"/>
            </w:tcBorders>
          </w:tcPr>
          <w:p w14:paraId="00100578" w14:textId="001005A8">
            <w:pPr>
              <w:pStyle w:val="Normal"/>
              <w:jc w:val="left"/>
            </w:pPr>
            <w:r>
              <w:t xml:space="preserve">4 / 4</w:t>
            </w:r>
          </w:p>
        </w:tc>
        <w:tc>
          <w:tcPr>
            <w:vAlign w:val="center"/>
            <w:tcBorders>
              <w:top w:val="single" w:sz="4" w:space="0" w:color="auto"/>
              <w:left w:val="single" w:sz="4" w:space="0" w:color="auto"/>
              <w:bottom w:val="single" w:sz="4" w:space="0" w:color="auto"/>
              <w:right w:val="single" w:sz="4" w:space="0" w:color="auto"/>
            </w:tcBorders>
          </w:tcPr>
          <w:p w14:paraId="0010057A" w14:textId="001005A9">
            <w:pPr>
              <w:pStyle w:val="Normal"/>
              <w:jc w:val="left"/>
            </w:pPr>
            <w:r>
              <w:t xml:space="preserve">2 / 3</w:t>
            </w:r>
          </w:p>
        </w:tc>
        <w:tc>
          <w:tcPr>
            <w:vAlign w:val="center"/>
            <w:tcBorders>
              <w:top w:val="single" w:sz="4" w:space="0" w:color="auto"/>
              <w:left w:val="single" w:sz="4" w:space="0" w:color="auto"/>
              <w:bottom w:val="single" w:sz="4" w:space="0" w:color="auto"/>
              <w:right w:val="single" w:sz="4" w:space="0" w:color="auto"/>
            </w:tcBorders>
          </w:tcPr>
          <w:p w14:paraId="0010057C" w14:textId="001005AA">
            <w:pPr>
              <w:pStyle w:val="Normal"/>
              <w:jc w:val="left"/>
            </w:pPr>
            <w:r>
              <w:t xml:space="preserve">Industrial operations, investment proposals, safety oversight</w:t>
            </w:r>
          </w:p>
        </w:tc>
      </w:tr>
      <w:tr>
        <w:tc>
          <w:tcPr>
            <w:vAlign w:val="center"/>
            <w:tcBorders>
              <w:top w:val="single" w:sz="4" w:space="0" w:color="auto"/>
              <w:left w:val="single" w:sz="4" w:space="0" w:color="auto"/>
              <w:bottom w:val="single" w:sz="4" w:space="0" w:color="auto"/>
              <w:right w:val="single" w:sz="4" w:space="0" w:color="auto"/>
            </w:tcBorders>
          </w:tcPr>
          <w:p w14:paraId="0010057E" w14:textId="001005AB">
            <w:pPr>
              <w:pStyle w:val="Normal"/>
              <w:jc w:val="left"/>
            </w:pPr>
            <w:r>
              <w:t xml:space="preserve">Lila Chen</w:t>
            </w:r>
          </w:p>
        </w:tc>
        <w:tc>
          <w:tcPr>
            <w:vAlign w:val="center"/>
            <w:tcBorders>
              <w:top w:val="single" w:sz="4" w:space="0" w:color="auto"/>
              <w:left w:val="single" w:sz="4" w:space="0" w:color="auto"/>
              <w:bottom w:val="single" w:sz="4" w:space="0" w:color="auto"/>
              <w:right w:val="single" w:sz="4" w:space="0" w:color="auto"/>
            </w:tcBorders>
          </w:tcPr>
          <w:p w14:paraId="00100580" w14:textId="001005AC">
            <w:pPr>
              <w:pStyle w:val="Normal"/>
              <w:jc w:val="left"/>
            </w:pPr>
            <w:r>
              <w:t xml:space="preserve">6 / 6</w:t>
            </w:r>
          </w:p>
        </w:tc>
        <w:tc>
          <w:tcPr>
            <w:vAlign w:val="center"/>
            <w:tcBorders>
              <w:top w:val="single" w:sz="4" w:space="0" w:color="auto"/>
              <w:left w:val="single" w:sz="4" w:space="0" w:color="auto"/>
              <w:bottom w:val="single" w:sz="4" w:space="0" w:color="auto"/>
              <w:right w:val="single" w:sz="4" w:space="0" w:color="auto"/>
            </w:tcBorders>
          </w:tcPr>
          <w:p w14:paraId="00100582" w14:textId="001005AD">
            <w:pPr>
              <w:pStyle w:val="Normal"/>
              <w:jc w:val="left"/>
            </w:pPr>
            <w:r>
              <w:t xml:space="preserve">3 / 4</w:t>
            </w:r>
          </w:p>
        </w:tc>
        <w:tc>
          <w:tcPr>
            <w:vAlign w:val="center"/>
            <w:tcBorders>
              <w:top w:val="single" w:sz="4" w:space="0" w:color="auto"/>
              <w:left w:val="single" w:sz="4" w:space="0" w:color="auto"/>
              <w:bottom w:val="single" w:sz="4" w:space="0" w:color="auto"/>
              <w:right w:val="single" w:sz="4" w:space="0" w:color="auto"/>
            </w:tcBorders>
          </w:tcPr>
          <w:p w14:paraId="00100584" w14:textId="001005AE">
            <w:pPr>
              <w:pStyle w:val="Normal"/>
              <w:jc w:val="left"/>
            </w:pPr>
            <w:r>
              <w:t xml:space="preserve">3 / 3</w:t>
            </w:r>
          </w:p>
        </w:tc>
        <w:tc>
          <w:tcPr>
            <w:vAlign w:val="center"/>
            <w:tcBorders>
              <w:top w:val="single" w:sz="4" w:space="0" w:color="auto"/>
              <w:left w:val="single" w:sz="4" w:space="0" w:color="auto"/>
              <w:bottom w:val="single" w:sz="4" w:space="0" w:color="auto"/>
              <w:right w:val="single" w:sz="4" w:space="0" w:color="auto"/>
            </w:tcBorders>
          </w:tcPr>
          <w:p w14:paraId="00100586" w14:textId="001005AF">
            <w:pPr>
              <w:pStyle w:val="Normal"/>
              <w:jc w:val="left"/>
            </w:pPr>
            <w:r>
              <w:t xml:space="preserve">Consumer market trends, brand governance, talent agenda</w:t>
            </w:r>
          </w:p>
        </w:tc>
      </w:tr>
      <w:tr>
        <w:tc>
          <w:tcPr>
            <w:vAlign w:val="center"/>
            <w:tcBorders>
              <w:top w:val="single" w:sz="4" w:space="0" w:color="auto"/>
              <w:left w:val="single" w:sz="4" w:space="0" w:color="auto"/>
              <w:bottom w:val="single" w:sz="4" w:space="0" w:color="auto"/>
              <w:right w:val="single" w:sz="4" w:space="0" w:color="auto"/>
            </w:tcBorders>
          </w:tcPr>
          <w:p w14:paraId="00100588" w14:textId="001005B0">
            <w:pPr>
              <w:pStyle w:val="Normal"/>
              <w:jc w:val="left"/>
            </w:pPr>
            <w:r>
              <w:t xml:space="preserve">Owen Hart</w:t>
            </w:r>
          </w:p>
        </w:tc>
        <w:tc>
          <w:tcPr>
            <w:vAlign w:val="center"/>
            <w:tcBorders>
              <w:top w:val="single" w:sz="4" w:space="0" w:color="auto"/>
              <w:left w:val="single" w:sz="4" w:space="0" w:color="auto"/>
              <w:bottom w:val="single" w:sz="4" w:space="0" w:color="auto"/>
              <w:right w:val="single" w:sz="4" w:space="0" w:color="auto"/>
            </w:tcBorders>
          </w:tcPr>
          <w:p w14:paraId="0010058A" w14:textId="001005B1">
            <w:pPr>
              <w:pStyle w:val="Normal"/>
              <w:jc w:val="left"/>
            </w:pPr>
            <w:r>
              <w:t xml:space="preserve">6 / 6</w:t>
            </w:r>
          </w:p>
        </w:tc>
        <w:tc>
          <w:tcPr>
            <w:vAlign w:val="center"/>
            <w:tcBorders>
              <w:top w:val="single" w:sz="4" w:space="0" w:color="auto"/>
              <w:left w:val="single" w:sz="4" w:space="0" w:color="auto"/>
              <w:bottom w:val="single" w:sz="4" w:space="0" w:color="auto"/>
              <w:right w:val="single" w:sz="4" w:space="0" w:color="auto"/>
            </w:tcBorders>
          </w:tcPr>
          <w:p w14:paraId="0010058C" w14:textId="001005B2">
            <w:pPr>
              <w:pStyle w:val="Normal"/>
              <w:jc w:val="left"/>
            </w:pPr>
            <w:r>
              <w:t xml:space="preserve">4 / 4</w:t>
            </w:r>
          </w:p>
        </w:tc>
        <w:tc>
          <w:tcPr>
            <w:vAlign w:val="center"/>
            <w:tcBorders>
              <w:top w:val="single" w:sz="4" w:space="0" w:color="auto"/>
              <w:left w:val="single" w:sz="4" w:space="0" w:color="auto"/>
              <w:bottom w:val="single" w:sz="4" w:space="0" w:color="auto"/>
              <w:right w:val="single" w:sz="4" w:space="0" w:color="auto"/>
            </w:tcBorders>
          </w:tcPr>
          <w:p w14:paraId="0010058E" w14:textId="001005B3">
            <w:pPr>
              <w:pStyle w:val="Normal"/>
              <w:jc w:val="left"/>
            </w:pPr>
            <w:r>
              <w:t xml:space="preserve">3 / 3</w:t>
            </w:r>
          </w:p>
        </w:tc>
        <w:tc>
          <w:tcPr>
            <w:vAlign w:val="center"/>
            <w:tcBorders>
              <w:top w:val="single" w:sz="4" w:space="0" w:color="auto"/>
              <w:left w:val="single" w:sz="4" w:space="0" w:color="auto"/>
              <w:bottom w:val="single" w:sz="4" w:space="0" w:color="auto"/>
              <w:right w:val="single" w:sz="4" w:space="0" w:color="auto"/>
            </w:tcBorders>
          </w:tcPr>
          <w:p w14:paraId="00100590" w14:textId="001005B4">
            <w:pPr>
              <w:pStyle w:val="Normal"/>
              <w:jc w:val="left"/>
            </w:pPr>
            <w:r>
              <w:t xml:space="preserve">Services pipeline, cyber resilience, client concentration review</w:t>
            </w:r>
          </w:p>
        </w:tc>
      </w:tr>
    </w:tbl>
    <w:p w14:paraId="001005B5" w14:textId="001005B6">
      <w:pPr>
        <w:pStyle w:val="Normal"/>
        <w:jc w:val="left"/>
      </w:pPr>
      <w:r>
        <w:t xml:space="preserve">Table 7 Attendance and meeting focus</w:t>
      </w:r>
    </w:p>
    <w:p w14:paraId="001005B7" w14:textId="001005B9">
      <w:pPr>
        <w:pStyle w:val="Normal"/>
        <w:jc w:val="left"/>
      </w:pPr>
      <w:r>
        <w:t xml:space="preserve">Note:</w:t>
      </w:r>
      <w:r>
        <w:t xml:space="preserve"> Attendance reflects scheduled meetings held during the reporting year within each director's period of service. Meeting focus summarizes principal agenda themes and does not represent the full record of matters considered by the Board and its committees.</w:t>
      </w:r>
    </w:p>
    <w:p w14:paraId="001005BA" w14:textId="001005BB">
      <w:pPr>
        <w:pStyle w:val="Normal"/>
        <w:jc w:val="left"/>
      </w:pPr>
      <w:r>
        <w:t xml:space="preserve">1.2 Policy Framework</w:t>
      </w:r>
    </w:p>
    <w:p w14:paraId="001005BC" w14:textId="001005BD">
      <w:pPr>
        <w:pStyle w:val="Normal"/>
        <w:jc w:val="left"/>
      </w:pPr>
      <w:r>
        <w:t xml:space="preserve">Rivermark Group maintains a formal policy framework intended to support consistent decision-making, clear accountability, and compliance with applicable legal and internal requirements across the Group. The core set includes the Board Charter, Committee Terms of Reference, Delegation of Authority Policy, Code of Business Conduct, Anti-Bribery and Corruption Policy, Related Party Transaction Policy, Information Disclosure Policy, Data Protection and Cybersecurity Policy, Whistleblowing Policy, and Records Retention Standard. Together, these documents establish the boundaries for approval authority, expected standards of conduct, and minimum control requirements for financial, operational, and people-related processes.</w:t>
      </w:r>
    </w:p>
    <w:p w14:paraId="001005BE" w14:textId="001005BF">
      <w:pPr>
        <w:pStyle w:val="Normal"/>
        <w:jc w:val="left"/>
      </w:pPr>
      <w:r>
        <w:t xml:space="preserve">The framework is structured so that high-level governance principles are approved by the Board, while supporting procedures and operating instructions are maintained by management functions. This distinction allows the Group to preserve stable governance expectations while updating process guidance in response to changes in scale, systems, or market conditions. Policies are published through the internal governance portal, linked to mandatory acknowledgements where relevant, and embedded in management training for newly appointed leaders. In practice, the policy set serves not only as a compliance tool but also as a practical operating reference for escalation, approval, and reporting across Rivermark Group.</w:t>
      </w:r>
    </w:p>
    <w:p w14:paraId="001005C0" w14:textId="001005C1">
      <w:pPr>
        <w:pStyle w:val="Normal"/>
        <w:jc w:val="left"/>
      </w:pPr>
      <w:r>
        <w:t xml:space="preserve">During the year, the policy library was subject to a structured review coordinated by the Company Secretary, the Chief Financial Officer, and the Head of Risk and Compliance. Priority updates were made in areas where the Group's operating model had expanded, particularly digital security, third-party oversight, and approval thresholds for project investments. The Delegation of Authority Policy was refined to clarify approval bands for capital expenditure and contractual commitments, while the Data Protection and Cybersecurity Policy was updated to reflect revised incident notification responsibilities and system access controls.</w:t>
      </w:r>
    </w:p>
    <w:p w14:paraId="001005C2" w14:textId="001005C3">
      <w:pPr>
        <w:pStyle w:val="Normal"/>
        <w:jc w:val="left"/>
      </w:pPr>
      <w:r>
        <w:t xml:space="preserve">In addition, management refreshed guidance supporting the Whistleblowing Policy and the Code of Business Conduct to improve reporting channels, case handling timelines, and training coverage for supervisors. Each material revision was mapped to policy owners, assigned an effective date, and communicated through targeted management briefings rather than relying solely on document circulation. The review process also identified several policies requiring no substantive amendment, which was considered a positive indication that the underlying governance design remained fit for purpose. Management will continue rolling reviews on a risk-prioritized basis, with more frequent reassessment in areas exposed to regulatory change, technology dependence, or rapid business growth.</w:t>
      </w:r>
    </w:p>
    <w:p w14:paraId="001005C4" w14:textId="001005C5">
      <w:pPr>
        <w:pStyle w:val="Normal"/>
        <w:jc w:val="left"/>
      </w:pPr>
      <w:r>
        <w:t xml:space="preserve">Subsection 2 Control Environment</w:t>
      </w:r>
    </w:p>
    <w:p w14:paraId="001005C6" w14:textId="001005C7">
      <w:pPr>
        <w:pStyle w:val="Normal"/>
        <w:jc w:val="left"/>
      </w:pPr>
      <w:r>
        <w:t xml:space="preserve">The control environment of Rivermark Group is designed to provide reasonable assurance over financial reporting, safeguarding of assets, operational discipline, and compliance with approved policies. It is anchored in the tone set by the Board and executive management, supported by documented responsibilities, segregation of duties, formal approval limits, and regular reporting lines from business units to corporate functions. Control expectations are integrated into day-to-day management rather than treated as a separate year-end exercise, with finance, operations, human resources, procurement, and information security each carrying defined first-line responsibilities.</w:t>
      </w:r>
    </w:p>
    <w:p w14:paraId="001005C8" w14:textId="001005C9">
      <w:pPr>
        <w:pStyle w:val="Normal"/>
        <w:jc w:val="left"/>
      </w:pPr>
      <w:r>
        <w:t xml:space="preserve">The Group's control structure combines entity-level controls with process-level controls. Entity-level controls include annual planning, monthly performance review, policy attestations, access governance, and leadership oversight forums. Process-level controls cover revenue recognition, procurement approvals, inventory and service delivery records, payroll, treasury transactions, and period-end close procedures. Internal control effectiveness is further supported by standard templates, system workflows, exception reporting, and management certifications. While no control system can eliminate all risk, the Group's approach aims to identify issues early, ensure accountability for remediation, and maintain a clear record of review across the reporting perimeter.</w:t>
      </w:r>
    </w:p>
    <w:p w14:paraId="001005CA" w14:textId="001005CB">
      <w:pPr>
        <w:pStyle w:val="Normal"/>
        <w:jc w:val="left"/>
      </w:pPr>
      <w:r>
        <w:t xml:space="preserve">2.1 Control Design</w:t>
      </w:r>
    </w:p>
    <w:p w14:paraId="001005CC" w14:textId="001005CD">
      <w:pPr>
        <w:pStyle w:val="Normal"/>
        <w:jc w:val="left"/>
      </w:pPr>
      <w:r>
        <w:t xml:space="preserve">Control ownership follows a layered model that aligns responsibility with operational decision rights. Business and functional managers serve as primary control owners for the processes they supervise, including budgeting, contracting, purchasing, inventory handling, service delivery validation, people approvals, and local compliance actions. Corporate policy owners define minimum standards and key control objectives, while finance, risk, legal, and information security teams provide methodology, challenge, and specialist support. This arrangement is intended to keep accountability close to the underlying transaction or decision, reducing the risk that control activity becomes detached from operational reality.</w:t>
      </w:r>
    </w:p>
    <w:p w14:paraId="001005CE" w14:textId="001005CF">
      <w:pPr>
        <w:pStyle w:val="Normal"/>
        <w:jc w:val="left"/>
      </w:pPr>
      <w:r>
        <w:t xml:space="preserve">Key controls are documented through process narratives, approval matrices, and system-based workflows. Preventive controls, such as delegated approval thresholds, vendor onboarding checks, role-based access restrictions, and master-data governance, are prioritized where they can reduce error before it occurs. Detective controls, including reconciliations, exception reports, margin reviews, and compliance monitoring, are used to identify unusual patterns or unresolved issues that require management attention. Where automated controls are embedded in enterprise systems, ownership remains with the relevant process manager, with technology teams responsible for configuration integrity and change management support.</w:t>
      </w:r>
    </w:p>
    <w:p w14:paraId="001005D0" w14:textId="001005D1">
      <w:pPr>
        <w:pStyle w:val="Normal"/>
        <w:jc w:val="left"/>
      </w:pPr>
      <w:r>
        <w:t xml:space="preserve">The review cycle for internal controls is coordinated throughout the year and aligned with business planning and reporting rhythms. Management performs monthly reviews of financial and operating performance, quarterly assessments of risk and control issues, and an annual confirmation process covering policy adherence and key control ownership. Higher-risk processes, such as treasury, major capital expenditure, cybersecurity access management, and revenue cut-off, are reviewed more frequently or supported by additional evidence requirements. Findings are tracked through management action logs with designated owners, target dates, and escalation procedures for overdue remediation.</w:t>
      </w:r>
    </w:p>
    <w:p w14:paraId="001005D2" w14:textId="001005D3">
      <w:pPr>
        <w:pStyle w:val="Normal"/>
        <w:jc w:val="left"/>
      </w:pPr>
      <w:r>
        <w:t xml:space="preserve">Assurance is obtained from several complementary sources rather than from a single review point. First-line management testing is supplemented by second-line monitoring from finance, risk, compliance, and information security teams. Internal audit work, where commissioned, focuses on process design, operating effectiveness, and remediation progress in selected areas. The Audit Committee receives periodic reporting on significant deficiencies, policy exceptions, control incidents, and the status of corrective actions. This layered assurance model helps the Board distinguish isolated process failures from broader control weaknesses and supports timely intervention where patterns indicate a need for redesign, additional training, or stronger supervisory oversight.</w:t>
      </w:r>
    </w:p>
    <w:p w14:paraId="001005D4" w14:textId="001005D5">
      <w:pPr>
        <w:pStyle w:val="Normal"/>
        <w:jc w:val="left"/>
      </w:pPr>
      <w:r>
        <w:t xml:space="preserve">2.2 Compliance Status</w:t>
      </w:r>
    </w:p>
    <w:p w14:paraId="001005D6" w14:textId="001005D7">
      <w:pPr>
        <w:pStyle w:val="Normal"/>
        <w:jc w:val="left"/>
      </w:pPr>
      <w:r>
        <w:t xml:space="preserve">Rivermark Group did not record any material breach that would have altered the basis of this report or required a restatement of board-level governance conclusions during the year. Compliance matters identified through internal review, management self-assessment, and routine monitoring were concentrated in process execution rather than policy absence. The principal items involved delayed completion of certain delegated-approval records, inconsistent documentation of vendor due diligence in a limited number of procurement files, late completion of annual policy attestations in several operating units, and isolated exceptions in travel and expense support. In the information management area, the Group also noted uneven retention practices for contract records across legacy systems, particularly where regional teams continued to operate parallel local archives after integration into shared platforms.</w:t>
      </w:r>
    </w:p>
    <w:p w14:paraId="001005D8" w14:textId="001005D9">
      <w:pPr>
        <w:pStyle w:val="Normal"/>
        <w:jc w:val="left"/>
      </w:pPr>
      <w:r>
        <w:t xml:space="preserve">These matters were assessed as controllable and remediable, with no evidence of systemic misconduct, fraud, or a pervasive failure of oversight. However, they highlighted the operational reality that control quality can weaken when business growth, system migration, and management turnover occur at the same time. The Board, through the Audit and Risk Committee, reviewed the pattern of findings and concluded that the overall control environment remained functional, while directing management to strengthen consistency in first-line ownership and evidence retention. Compliance performance was therefore characterized as stable but requiring tighter execution discipline, especially in procurement administration, records management, and periodic certification processes.</w:t>
      </w:r>
    </w:p>
    <w:p w14:paraId="001005DA" w14:textId="001005DB">
      <w:pPr>
        <w:pStyle w:val="Normal"/>
        <w:jc w:val="left"/>
      </w:pPr>
      <w:r>
        <w:t xml:space="preserve">Management initiated a targeted response program to address the issues identified during the period. Corrective actions included the revalidation of approval matrices across all major subsidiaries, completion of a catch-up review for higher-risk vendor files, and the introduction of a unified digital attestation calendar to reduce missed policy confirmations. Procurement teams in the Industrial and Services segments were required to refresh supplier onboarding checklists, while the Consumer segment completed a centralized review of contract filing practices and moved priority records into the Group repository. These actions were supported by short-cycle training for control owners and by monthly exception reporting to divisional finance and compliance leads.</w:t>
      </w:r>
    </w:p>
    <w:p w14:paraId="001005DC" w14:textId="001005DD">
      <w:pPr>
        <w:pStyle w:val="Normal"/>
        <w:jc w:val="left"/>
      </w:pPr>
      <w:r>
        <w:t xml:space="preserve">Follow-up has been structured to emphasize closure quality rather than simple issue count reduction. Internal audit and the corporate compliance office will test whether remediation has been embedded in normal workflows, including evidence retention, escalation timing, and supervisory review. Open items have been assigned named owners, target dates, and validation criteria, with overdue matters escalated to executive management and summarized for the Audit and Risk Committee. Management expects most current observations to be closed in the next reporting cycle, but several process harmonization tasks linked to legacy system retirement will continue into the coming year. The Group's approach is to use these findings not only to resolve individual exceptions, but also to improve repeatability, accountability, and visibility across the control framework.</w:t>
      </w:r>
    </w:p>
    <w:p w14:paraId="00100EF6" w14:textId="00100EF7">
      <w:pPr>
        <w:pStyle w:val="Normal"/>
        <w:jc w:val="left"/>
        <w:sectPr>
          <w:type w:val="nextPage"/>
          <w:pgSz w:w="11906" w:h="16838"/>
          <w:pgMar w:top="1440" w:right="1440" w:bottom="1440" w:left="1440" w:header="1440" w:footer="1440" w:gutter="0"/>
          <w:cols w:space="720" w:num="1"/>
        </w:sectPr>
      </w:pPr>
    </w:p>
    <w:p w14:paraId="001005E2" w14:textId="001005E3">
      <w:pPr>
        <w:pStyle w:val="Normal"/>
        <w:jc w:val="left"/>
      </w:pPr>
      <w:r>
        <w:t xml:space="preserve">Chapter 8 Risk and Sustainability</w:t>
      </w:r>
    </w:p>
    <w:p w14:paraId="001005E4" w14:textId="001005E5">
      <w:pPr>
        <w:pStyle w:val="Normal"/>
        <w:jc w:val="left"/>
      </w:pPr>
      <w:r>
        <w:t xml:space="preserve">This chapter presents Rivermark Group’s approach to identifying, assessing, and managing risk alongside the environmental, social, and operational indicators that shape long-term resilience. Management reviews principal exposures through a common framework that links strategy, operating performance, liquidity discipline, compliance obligations, and business continuity. Sustainability reporting is aligned to the Group’s current operating footprint and focuses on practical indicators that can be monitored consistently across industrial, consumer, and services activities.</w:t>
      </w:r>
    </w:p>
    <w:p w14:paraId="001005E6" w14:textId="001005E7">
      <w:pPr>
        <w:pStyle w:val="Normal"/>
        <w:jc w:val="left"/>
      </w:pPr>
      <w:r>
        <w:t xml:space="preserve">The chapter therefore combines forward-looking risk discussion with measurable ESG and safety data. The intent is not only to report year-end status, but also to show how oversight, operating controls, and improvement programs support stable execution. Particular attention is given to supply reliability, labor capability, energy use, emissions, workplace safety, and governance accountability, as these themes had the clearest influence on operating decisions during the year.</w:t>
      </w:r>
    </w:p>
    <w:p w14:paraId="001005E8" w14:textId="001005E9">
      <w:pPr>
        <w:pStyle w:val="Normal"/>
        <w:jc w:val="left"/>
      </w:pPr>
      <w:r>
        <w:t xml:space="preserve">The reporting scope for this chapter covers the consolidated operations of Rivermark Group for the financial year, including the Industrial, Consumer, and Services segments and the principal support functions that govern treasury, procurement, human resources, compliance, and internal control. Risk disclosures focus on matters considered material to earnings stability, cash generation, reputation, legal compliance, and operational continuity. Sustainability disclosures emphasize indicators that are sufficiently mature to support year-on-year comparison, rather than a broad inventory of immaterial metrics.</w:t>
      </w:r>
    </w:p>
    <w:p w14:paraId="001005EA" w14:textId="001005EB">
      <w:pPr>
        <w:pStyle w:val="Normal"/>
        <w:jc w:val="left"/>
      </w:pPr>
      <w:r>
        <w:t xml:space="preserve">Data used in this chapter is drawn from management reporting, operating site submissions, safety records, and function-level control reviews. Because the Group continues to refine collection methods across sites and service locations, some indicators are presented as directional trend measures intended to support management action rather than external assurance-grade detail. Even so, the underlying reporting focus remains clear: to show how Rivermark Group is managing near-term exposure while building more durable operating practices across its businesses.</w:t>
      </w:r>
    </w:p>
    <w:p w14:paraId="001005EC" w14:textId="001005ED">
      <w:pPr>
        <w:pStyle w:val="Normal"/>
        <w:jc w:val="left"/>
      </w:pPr>
      <w:r>
        <w:t xml:space="preserve">Section 1 Risk Management</w:t>
      </w:r>
    </w:p>
    <w:p w14:paraId="001005EE" w14:textId="001005EF">
      <w:pPr>
        <w:pStyle w:val="Normal"/>
        <w:jc w:val="left"/>
      </w:pPr>
      <w:r>
        <w:t xml:space="preserve">Rivermark Group manages risk through a framework that combines board oversight, executive accountability, and operating ownership at segment and functional levels. The Board reviews the principal risk profile, the adequacy of mitigation plans, and any emerging issues that may affect strategic delivery or financial capacity. Day-to-day responsibility sits with executive management, which translates risk appetite into operating thresholds, approval requirements, escalation routes, and periodic review routines. Segment leaders are expected to identify changes in market conditions, production constraints, customer concentration, labor pressures, and service delivery exposures as part of normal business management rather than as a separate annual exercise.</w:t>
      </w:r>
    </w:p>
    <w:p w14:paraId="001005F0" w14:textId="001005F1">
      <w:pPr>
        <w:pStyle w:val="Normal"/>
        <w:jc w:val="left"/>
      </w:pPr>
      <w:r>
        <w:t xml:space="preserve">The framework is designed to connect risk management with planning and performance review. Material risks are assessed using common criteria covering likelihood, potential financial effect, operational disruption, compliance consequences, and time horizon. This allows management to compare dissimilar exposures on a consistent basis and to prioritize action where control weakness, exposure size, or trend deterioration warrants intervention. Supporting activities include internal control reviews, treasury monitoring, insurance placement, health and safety reporting, and business continuity planning. Taken together, these elements provide a structured basis for oversight while preserving accountability at the point where risks actually arise.</w:t>
      </w:r>
    </w:p>
    <w:p w14:paraId="001005F2" w14:textId="001005F3">
      <w:pPr>
        <w:pStyle w:val="Normal"/>
        <w:jc w:val="left"/>
      </w:pPr>
      <w:r>
        <w:t xml:space="preserve">Subsection 1 Principal Risks</w:t>
      </w:r>
    </w:p>
    <w:p w14:paraId="001005F4" w14:textId="001005FC">
      <w:pPr>
        <w:pStyle w:val="Normal"/>
        <w:jc w:val="left"/>
      </w:pPr>
      <w:r>
        <w:t xml:space="preserve">Operational risks:</w:t>
      </w:r>
      <w:r>
        <w:t xml:space="preserve"> these include supply interruption, production downtime, quality failures, logistics disruption, cyber incidents affecting plants or service systems, and workforce shortages in critical roles. </w:t>
      </w:r>
      <w:r>
        <w:t xml:space="preserve">Financial risks:</w:t>
      </w:r>
      <w:r>
        <w:t xml:space="preserve"> these include liquidity pressure, customer credit deterioration, foreign exchange movement, interest rate sensitivity, and weaker cash conversion. </w:t>
      </w:r>
      <w:r>
        <w:t xml:space="preserve">Strategic and market risks:</w:t>
      </w:r>
      <w:r>
        <w:t xml:space="preserve"> these include demand volatility, pricing pressure, slower product adoption, channel shifts, and execution risk in expansion or capability investment. </w:t>
      </w:r>
      <w:r>
        <w:t xml:space="preserve">Compliance and people risks:</w:t>
      </w:r>
      <w:r>
        <w:t xml:space="preserve"> these include regulatory breaches, health and safety events, misconduct, data protection failures, and loss of key talent.</w:t>
        <w:br/>
        <w:t xml:space="preserve">Risks are ranked using a practical matrix that weighs likelihood against potential impact, while also considering speed of onset and the effectiveness of existing controls. A high-ranking risk is not simply one with a large theoretical effect; it is typically an exposure that could emerge within the planning horizon and materially affect service levels, margin, cash flow, or reputation if not actively managed. The ranking is refreshed through periodic management review and is adjusted when conditions change, such as rising input cost volatility, tighter labor markets, or increased customer concentration. This approach helps Rivermark Group distinguish persistent background risks from issues requiring immediate mitigation or escalation to the Board.</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384"/>
        <w:gridCol w:w="1384"/>
        <w:gridCol w:w="1384"/>
        <w:gridCol w:w="1384"/>
        <w:gridCol w:w="1384"/>
        <w:gridCol w:w="1384"/>
      </w:tblGrid>
      <w:tr>
        <w:trPr>
          <w:tblHeader/>
        </w:trPr>
        <w:tc>
          <w:tcPr>
            <w:vAlign w:val="center"/>
            <w:tcBorders>
              <w:top w:val="single" w:sz="4" w:space="0" w:color="auto"/>
              <w:left w:val="single" w:sz="4" w:space="0" w:color="auto"/>
              <w:bottom w:val="single" w:sz="4" w:space="0" w:color="auto"/>
              <w:right w:val="single" w:sz="4" w:space="0" w:color="auto"/>
            </w:tcBorders>
          </w:tcPr>
          <w:p w14:paraId="001005FD" w14:textId="00100651">
            <w:pPr>
              <w:pStyle w:val="Normal"/>
              <w:jc w:val="left"/>
            </w:pPr>
            <w:r>
              <w:t xml:space="preserve">Risk category</w:t>
            </w:r>
          </w:p>
        </w:tc>
        <w:tc>
          <w:tcPr>
            <w:vAlign w:val="center"/>
            <w:tcBorders>
              <w:top w:val="single" w:sz="4" w:space="0" w:color="auto"/>
              <w:left w:val="single" w:sz="4" w:space="0" w:color="auto"/>
              <w:bottom w:val="single" w:sz="4" w:space="0" w:color="auto"/>
              <w:right w:val="single" w:sz="4" w:space="0" w:color="auto"/>
            </w:tcBorders>
          </w:tcPr>
          <w:p w14:paraId="001005FF" w14:textId="00100652">
            <w:pPr>
              <w:pStyle w:val="Normal"/>
              <w:jc w:val="left"/>
            </w:pPr>
            <w:r>
              <w:t xml:space="preserve">Primary exposure</w:t>
            </w:r>
          </w:p>
        </w:tc>
        <w:tc>
          <w:tcPr>
            <w:vAlign w:val="center"/>
            <w:tcBorders>
              <w:top w:val="single" w:sz="4" w:space="0" w:color="auto"/>
              <w:left w:val="single" w:sz="4" w:space="0" w:color="auto"/>
              <w:bottom w:val="single" w:sz="4" w:space="0" w:color="auto"/>
              <w:right w:val="single" w:sz="4" w:space="0" w:color="auto"/>
            </w:tcBorders>
          </w:tcPr>
          <w:p w14:paraId="00100601" w14:textId="00100653">
            <w:pPr>
              <w:pStyle w:val="Normal"/>
              <w:jc w:val="left"/>
            </w:pPr>
            <w:r>
              <w:t xml:space="preserve">Likelihood</w:t>
            </w:r>
          </w:p>
        </w:tc>
        <w:tc>
          <w:tcPr>
            <w:vAlign w:val="center"/>
            <w:tcBorders>
              <w:top w:val="single" w:sz="4" w:space="0" w:color="auto"/>
              <w:left w:val="single" w:sz="4" w:space="0" w:color="auto"/>
              <w:bottom w:val="single" w:sz="4" w:space="0" w:color="auto"/>
              <w:right w:val="single" w:sz="4" w:space="0" w:color="auto"/>
            </w:tcBorders>
          </w:tcPr>
          <w:p w14:paraId="00100603" w14:textId="00100654">
            <w:pPr>
              <w:pStyle w:val="Normal"/>
              <w:jc w:val="left"/>
            </w:pPr>
            <w:r>
              <w:t xml:space="preserve">Impact</w:t>
            </w:r>
          </w:p>
        </w:tc>
        <w:tc>
          <w:tcPr>
            <w:vAlign w:val="center"/>
            <w:tcBorders>
              <w:top w:val="single" w:sz="4" w:space="0" w:color="auto"/>
              <w:left w:val="single" w:sz="4" w:space="0" w:color="auto"/>
              <w:bottom w:val="single" w:sz="4" w:space="0" w:color="auto"/>
              <w:right w:val="single" w:sz="4" w:space="0" w:color="auto"/>
            </w:tcBorders>
          </w:tcPr>
          <w:p w14:paraId="00100605" w14:textId="00100655">
            <w:pPr>
              <w:pStyle w:val="Normal"/>
              <w:jc w:val="left"/>
            </w:pPr>
            <w:r>
              <w:t xml:space="preserve">Trend</w:t>
            </w:r>
          </w:p>
        </w:tc>
        <w:tc>
          <w:tcPr>
            <w:vAlign w:val="center"/>
            <w:tcBorders>
              <w:top w:val="single" w:sz="4" w:space="0" w:color="auto"/>
              <w:left w:val="single" w:sz="4" w:space="0" w:color="auto"/>
              <w:bottom w:val="single" w:sz="4" w:space="0" w:color="auto"/>
              <w:right w:val="single" w:sz="4" w:space="0" w:color="auto"/>
            </w:tcBorders>
          </w:tcPr>
          <w:p w14:paraId="00100607" w14:textId="00100656">
            <w:pPr>
              <w:pStyle w:val="Normal"/>
              <w:jc w:val="left"/>
            </w:pPr>
            <w:r>
              <w:t xml:space="preserve">Key indicator</w:t>
            </w:r>
          </w:p>
        </w:tc>
      </w:tr>
      <w:tr>
        <w:tc>
          <w:tcPr>
            <w:vAlign w:val="center"/>
            <w:tcBorders>
              <w:top w:val="single" w:sz="4" w:space="0" w:color="auto"/>
              <w:left w:val="single" w:sz="4" w:space="0" w:color="auto"/>
              <w:bottom w:val="single" w:sz="4" w:space="0" w:color="auto"/>
              <w:right w:val="single" w:sz="4" w:space="0" w:color="auto"/>
            </w:tcBorders>
          </w:tcPr>
          <w:p w14:paraId="00100609" w14:textId="00100657">
            <w:pPr>
              <w:pStyle w:val="Normal"/>
              <w:jc w:val="left"/>
            </w:pPr>
            <w:r>
              <w:t xml:space="preserve">Operational</w:t>
            </w:r>
          </w:p>
        </w:tc>
        <w:tc>
          <w:tcPr>
            <w:vAlign w:val="center"/>
            <w:tcBorders>
              <w:top w:val="single" w:sz="4" w:space="0" w:color="auto"/>
              <w:left w:val="single" w:sz="4" w:space="0" w:color="auto"/>
              <w:bottom w:val="single" w:sz="4" w:space="0" w:color="auto"/>
              <w:right w:val="single" w:sz="4" w:space="0" w:color="auto"/>
            </w:tcBorders>
          </w:tcPr>
          <w:p w14:paraId="0010060B" w14:textId="00100658">
            <w:pPr>
              <w:pStyle w:val="Normal"/>
              <w:jc w:val="left"/>
            </w:pPr>
            <w:r>
              <w:t xml:space="preserve">Raw material supply disruption and supplier concentration</w:t>
            </w:r>
          </w:p>
        </w:tc>
        <w:tc>
          <w:tcPr>
            <w:vAlign w:val="center"/>
            <w:tcBorders>
              <w:top w:val="single" w:sz="4" w:space="0" w:color="auto"/>
              <w:left w:val="single" w:sz="4" w:space="0" w:color="auto"/>
              <w:bottom w:val="single" w:sz="4" w:space="0" w:color="auto"/>
              <w:right w:val="single" w:sz="4" w:space="0" w:color="auto"/>
            </w:tcBorders>
          </w:tcPr>
          <w:p w14:paraId="0010060D" w14:textId="00100659">
            <w:pPr>
              <w:pStyle w:val="Normal"/>
              <w:jc w:val="left"/>
            </w:pPr>
            <w:r>
              <w:t xml:space="preserve">Medium</w:t>
            </w:r>
          </w:p>
        </w:tc>
        <w:tc>
          <w:tcPr>
            <w:vAlign w:val="center"/>
            <w:tcBorders>
              <w:top w:val="single" w:sz="4" w:space="0" w:color="auto"/>
              <w:left w:val="single" w:sz="4" w:space="0" w:color="auto"/>
              <w:bottom w:val="single" w:sz="4" w:space="0" w:color="auto"/>
              <w:right w:val="single" w:sz="4" w:space="0" w:color="auto"/>
            </w:tcBorders>
          </w:tcPr>
          <w:p w14:paraId="0010060F" w14:textId="0010065A">
            <w:pPr>
              <w:pStyle w:val="Normal"/>
              <w:jc w:val="left"/>
            </w:pPr>
            <w:r>
              <w:t xml:space="preserve">High</w:t>
            </w:r>
          </w:p>
        </w:tc>
        <w:tc>
          <w:tcPr>
            <w:vAlign w:val="center"/>
            <w:tcBorders>
              <w:top w:val="single" w:sz="4" w:space="0" w:color="auto"/>
              <w:left w:val="single" w:sz="4" w:space="0" w:color="auto"/>
              <w:bottom w:val="single" w:sz="4" w:space="0" w:color="auto"/>
              <w:right w:val="single" w:sz="4" w:space="0" w:color="auto"/>
            </w:tcBorders>
          </w:tcPr>
          <w:p w14:paraId="00100611" w14:textId="0010065B">
            <w:pPr>
              <w:pStyle w:val="Normal"/>
              <w:jc w:val="left"/>
            </w:pPr>
            <w:r>
              <w:t xml:space="preserve">Stable</w:t>
            </w:r>
          </w:p>
        </w:tc>
        <w:tc>
          <w:tcPr>
            <w:vAlign w:val="center"/>
            <w:tcBorders>
              <w:top w:val="single" w:sz="4" w:space="0" w:color="auto"/>
              <w:left w:val="single" w:sz="4" w:space="0" w:color="auto"/>
              <w:bottom w:val="single" w:sz="4" w:space="0" w:color="auto"/>
              <w:right w:val="single" w:sz="4" w:space="0" w:color="auto"/>
            </w:tcBorders>
          </w:tcPr>
          <w:p w14:paraId="00100613" w14:textId="0010065C">
            <w:pPr>
              <w:pStyle w:val="Normal"/>
              <w:jc w:val="left"/>
            </w:pPr>
            <w:r>
              <w:t xml:space="preserve">Top-20 supplier on-time delivery 93%</w:t>
            </w:r>
          </w:p>
        </w:tc>
      </w:tr>
      <w:tr>
        <w:tc>
          <w:tcPr>
            <w:vAlign w:val="center"/>
            <w:tcBorders>
              <w:top w:val="single" w:sz="4" w:space="0" w:color="auto"/>
              <w:left w:val="single" w:sz="4" w:space="0" w:color="auto"/>
              <w:bottom w:val="single" w:sz="4" w:space="0" w:color="auto"/>
              <w:right w:val="single" w:sz="4" w:space="0" w:color="auto"/>
            </w:tcBorders>
          </w:tcPr>
          <w:p w14:paraId="00100615" w14:textId="0010065D">
            <w:pPr>
              <w:pStyle w:val="Normal"/>
              <w:jc w:val="left"/>
            </w:pPr>
            <w:r>
              <w:t xml:space="preserve">Operational</w:t>
            </w:r>
          </w:p>
        </w:tc>
        <w:tc>
          <w:tcPr>
            <w:vAlign w:val="center"/>
            <w:tcBorders>
              <w:top w:val="single" w:sz="4" w:space="0" w:color="auto"/>
              <w:left w:val="single" w:sz="4" w:space="0" w:color="auto"/>
              <w:bottom w:val="single" w:sz="4" w:space="0" w:color="auto"/>
              <w:right w:val="single" w:sz="4" w:space="0" w:color="auto"/>
            </w:tcBorders>
          </w:tcPr>
          <w:p w14:paraId="00100617" w14:textId="0010065E">
            <w:pPr>
              <w:pStyle w:val="Normal"/>
              <w:jc w:val="left"/>
            </w:pPr>
            <w:r>
              <w:t xml:space="preserve">Industrial production interruption and equipment downtime</w:t>
            </w:r>
          </w:p>
        </w:tc>
        <w:tc>
          <w:tcPr>
            <w:vAlign w:val="center"/>
            <w:tcBorders>
              <w:top w:val="single" w:sz="4" w:space="0" w:color="auto"/>
              <w:left w:val="single" w:sz="4" w:space="0" w:color="auto"/>
              <w:bottom w:val="single" w:sz="4" w:space="0" w:color="auto"/>
              <w:right w:val="single" w:sz="4" w:space="0" w:color="auto"/>
            </w:tcBorders>
          </w:tcPr>
          <w:p w14:paraId="00100619" w14:textId="0010065F">
            <w:pPr>
              <w:pStyle w:val="Normal"/>
              <w:jc w:val="left"/>
            </w:pPr>
            <w:r>
              <w:t xml:space="preserve">Medium</w:t>
            </w:r>
          </w:p>
        </w:tc>
        <w:tc>
          <w:tcPr>
            <w:vAlign w:val="center"/>
            <w:tcBorders>
              <w:top w:val="single" w:sz="4" w:space="0" w:color="auto"/>
              <w:left w:val="single" w:sz="4" w:space="0" w:color="auto"/>
              <w:bottom w:val="single" w:sz="4" w:space="0" w:color="auto"/>
              <w:right w:val="single" w:sz="4" w:space="0" w:color="auto"/>
            </w:tcBorders>
          </w:tcPr>
          <w:p w14:paraId="0010061B" w14:textId="00100660">
            <w:pPr>
              <w:pStyle w:val="Normal"/>
              <w:jc w:val="left"/>
            </w:pPr>
            <w:r>
              <w:t xml:space="preserve">High</w:t>
            </w:r>
          </w:p>
        </w:tc>
        <w:tc>
          <w:tcPr>
            <w:vAlign w:val="center"/>
            <w:tcBorders>
              <w:top w:val="single" w:sz="4" w:space="0" w:color="auto"/>
              <w:left w:val="single" w:sz="4" w:space="0" w:color="auto"/>
              <w:bottom w:val="single" w:sz="4" w:space="0" w:color="auto"/>
              <w:right w:val="single" w:sz="4" w:space="0" w:color="auto"/>
            </w:tcBorders>
          </w:tcPr>
          <w:p w14:paraId="0010061D" w14:textId="00100661">
            <w:pPr>
              <w:pStyle w:val="Normal"/>
              <w:jc w:val="left"/>
            </w:pPr>
            <w:r>
              <w:t xml:space="preserve">Improving</w:t>
            </w:r>
          </w:p>
        </w:tc>
        <w:tc>
          <w:tcPr>
            <w:vAlign w:val="center"/>
            <w:tcBorders>
              <w:top w:val="single" w:sz="4" w:space="0" w:color="auto"/>
              <w:left w:val="single" w:sz="4" w:space="0" w:color="auto"/>
              <w:bottom w:val="single" w:sz="4" w:space="0" w:color="auto"/>
              <w:right w:val="single" w:sz="4" w:space="0" w:color="auto"/>
            </w:tcBorders>
          </w:tcPr>
          <w:p w14:paraId="0010061F" w14:textId="00100662">
            <w:pPr>
              <w:pStyle w:val="Normal"/>
              <w:jc w:val="left"/>
            </w:pPr>
            <w:r>
              <w:t xml:space="preserve">Group manufacturing utilization 81%</w:t>
            </w:r>
          </w:p>
        </w:tc>
      </w:tr>
      <w:tr>
        <w:tc>
          <w:tcPr>
            <w:vAlign w:val="center"/>
            <w:tcBorders>
              <w:top w:val="single" w:sz="4" w:space="0" w:color="auto"/>
              <w:left w:val="single" w:sz="4" w:space="0" w:color="auto"/>
              <w:bottom w:val="single" w:sz="4" w:space="0" w:color="auto"/>
              <w:right w:val="single" w:sz="4" w:space="0" w:color="auto"/>
            </w:tcBorders>
          </w:tcPr>
          <w:p w14:paraId="00100621" w14:textId="00100663">
            <w:pPr>
              <w:pStyle w:val="Normal"/>
              <w:jc w:val="left"/>
            </w:pPr>
            <w:r>
              <w:t xml:space="preserve">Operational</w:t>
            </w:r>
          </w:p>
        </w:tc>
        <w:tc>
          <w:tcPr>
            <w:vAlign w:val="center"/>
            <w:tcBorders>
              <w:top w:val="single" w:sz="4" w:space="0" w:color="auto"/>
              <w:left w:val="single" w:sz="4" w:space="0" w:color="auto"/>
              <w:bottom w:val="single" w:sz="4" w:space="0" w:color="auto"/>
              <w:right w:val="single" w:sz="4" w:space="0" w:color="auto"/>
            </w:tcBorders>
          </w:tcPr>
          <w:p w14:paraId="00100623" w14:textId="00100664">
            <w:pPr>
              <w:pStyle w:val="Normal"/>
              <w:jc w:val="left"/>
            </w:pPr>
            <w:r>
              <w:t xml:space="preserve">Service delivery interruption and project execution delays</w:t>
            </w:r>
          </w:p>
        </w:tc>
        <w:tc>
          <w:tcPr>
            <w:vAlign w:val="center"/>
            <w:tcBorders>
              <w:top w:val="single" w:sz="4" w:space="0" w:color="auto"/>
              <w:left w:val="single" w:sz="4" w:space="0" w:color="auto"/>
              <w:bottom w:val="single" w:sz="4" w:space="0" w:color="auto"/>
              <w:right w:val="single" w:sz="4" w:space="0" w:color="auto"/>
            </w:tcBorders>
          </w:tcPr>
          <w:p w14:paraId="00100625" w14:textId="00100665">
            <w:pPr>
              <w:pStyle w:val="Normal"/>
              <w:jc w:val="left"/>
            </w:pPr>
            <w:r>
              <w:t xml:space="preserve">Medium</w:t>
            </w:r>
          </w:p>
        </w:tc>
        <w:tc>
          <w:tcPr>
            <w:vAlign w:val="center"/>
            <w:tcBorders>
              <w:top w:val="single" w:sz="4" w:space="0" w:color="auto"/>
              <w:left w:val="single" w:sz="4" w:space="0" w:color="auto"/>
              <w:bottom w:val="single" w:sz="4" w:space="0" w:color="auto"/>
              <w:right w:val="single" w:sz="4" w:space="0" w:color="auto"/>
            </w:tcBorders>
          </w:tcPr>
          <w:p w14:paraId="00100627" w14:textId="00100666">
            <w:pPr>
              <w:pStyle w:val="Normal"/>
              <w:jc w:val="left"/>
            </w:pPr>
            <w:r>
              <w:t xml:space="preserve">Medium</w:t>
            </w:r>
          </w:p>
        </w:tc>
        <w:tc>
          <w:tcPr>
            <w:vAlign w:val="center"/>
            <w:tcBorders>
              <w:top w:val="single" w:sz="4" w:space="0" w:color="auto"/>
              <w:left w:val="single" w:sz="4" w:space="0" w:color="auto"/>
              <w:bottom w:val="single" w:sz="4" w:space="0" w:color="auto"/>
              <w:right w:val="single" w:sz="4" w:space="0" w:color="auto"/>
            </w:tcBorders>
          </w:tcPr>
          <w:p w14:paraId="00100629" w14:textId="00100667">
            <w:pPr>
              <w:pStyle w:val="Normal"/>
              <w:jc w:val="left"/>
            </w:pPr>
            <w:r>
              <w:t xml:space="preserve">Stable</w:t>
            </w:r>
          </w:p>
        </w:tc>
        <w:tc>
          <w:tcPr>
            <w:vAlign w:val="center"/>
            <w:tcBorders>
              <w:top w:val="single" w:sz="4" w:space="0" w:color="auto"/>
              <w:left w:val="single" w:sz="4" w:space="0" w:color="auto"/>
              <w:bottom w:val="single" w:sz="4" w:space="0" w:color="auto"/>
              <w:right w:val="single" w:sz="4" w:space="0" w:color="auto"/>
            </w:tcBorders>
          </w:tcPr>
          <w:p w14:paraId="0010062B" w14:textId="00100668">
            <w:pPr>
              <w:pStyle w:val="Normal"/>
              <w:jc w:val="left"/>
            </w:pPr>
            <w:r>
              <w:t xml:space="preserve">Billable utilization 76%</w:t>
            </w:r>
          </w:p>
        </w:tc>
      </w:tr>
      <w:tr>
        <w:tc>
          <w:tcPr>
            <w:vAlign w:val="center"/>
            <w:tcBorders>
              <w:top w:val="single" w:sz="4" w:space="0" w:color="auto"/>
              <w:left w:val="single" w:sz="4" w:space="0" w:color="auto"/>
              <w:bottom w:val="single" w:sz="4" w:space="0" w:color="auto"/>
              <w:right w:val="single" w:sz="4" w:space="0" w:color="auto"/>
            </w:tcBorders>
          </w:tcPr>
          <w:p w14:paraId="0010062D" w14:textId="00100669">
            <w:pPr>
              <w:pStyle w:val="Normal"/>
              <w:jc w:val="left"/>
            </w:pPr>
            <w:r>
              <w:t xml:space="preserve">Financial</w:t>
            </w:r>
          </w:p>
        </w:tc>
        <w:tc>
          <w:tcPr>
            <w:vAlign w:val="center"/>
            <w:tcBorders>
              <w:top w:val="single" w:sz="4" w:space="0" w:color="auto"/>
              <w:left w:val="single" w:sz="4" w:space="0" w:color="auto"/>
              <w:bottom w:val="single" w:sz="4" w:space="0" w:color="auto"/>
              <w:right w:val="single" w:sz="4" w:space="0" w:color="auto"/>
            </w:tcBorders>
          </w:tcPr>
          <w:p w14:paraId="0010062F" w14:textId="0010066A">
            <w:pPr>
              <w:pStyle w:val="Normal"/>
              <w:jc w:val="left"/>
            </w:pPr>
            <w:r>
              <w:t xml:space="preserve">Liquidity pressure from working capital swings and refinancing</w:t>
            </w:r>
          </w:p>
        </w:tc>
        <w:tc>
          <w:tcPr>
            <w:vAlign w:val="center"/>
            <w:tcBorders>
              <w:top w:val="single" w:sz="4" w:space="0" w:color="auto"/>
              <w:left w:val="single" w:sz="4" w:space="0" w:color="auto"/>
              <w:bottom w:val="single" w:sz="4" w:space="0" w:color="auto"/>
              <w:right w:val="single" w:sz="4" w:space="0" w:color="auto"/>
            </w:tcBorders>
          </w:tcPr>
          <w:p w14:paraId="00100631" w14:textId="0010066B">
            <w:pPr>
              <w:pStyle w:val="Normal"/>
              <w:jc w:val="left"/>
            </w:pPr>
            <w:r>
              <w:t xml:space="preserve">Low</w:t>
            </w:r>
          </w:p>
        </w:tc>
        <w:tc>
          <w:tcPr>
            <w:vAlign w:val="center"/>
            <w:tcBorders>
              <w:top w:val="single" w:sz="4" w:space="0" w:color="auto"/>
              <w:left w:val="single" w:sz="4" w:space="0" w:color="auto"/>
              <w:bottom w:val="single" w:sz="4" w:space="0" w:color="auto"/>
              <w:right w:val="single" w:sz="4" w:space="0" w:color="auto"/>
            </w:tcBorders>
          </w:tcPr>
          <w:p w14:paraId="00100633" w14:textId="0010066C">
            <w:pPr>
              <w:pStyle w:val="Normal"/>
              <w:jc w:val="left"/>
            </w:pPr>
            <w:r>
              <w:t xml:space="preserve">High</w:t>
            </w:r>
          </w:p>
        </w:tc>
        <w:tc>
          <w:tcPr>
            <w:vAlign w:val="center"/>
            <w:tcBorders>
              <w:top w:val="single" w:sz="4" w:space="0" w:color="auto"/>
              <w:left w:val="single" w:sz="4" w:space="0" w:color="auto"/>
              <w:bottom w:val="single" w:sz="4" w:space="0" w:color="auto"/>
              <w:right w:val="single" w:sz="4" w:space="0" w:color="auto"/>
            </w:tcBorders>
          </w:tcPr>
          <w:p w14:paraId="00100635" w14:textId="0010066D">
            <w:pPr>
              <w:pStyle w:val="Normal"/>
              <w:jc w:val="left"/>
            </w:pPr>
            <w:r>
              <w:t xml:space="preserve">Stable</w:t>
            </w:r>
          </w:p>
        </w:tc>
        <w:tc>
          <w:tcPr>
            <w:vAlign w:val="center"/>
            <w:tcBorders>
              <w:top w:val="single" w:sz="4" w:space="0" w:color="auto"/>
              <w:left w:val="single" w:sz="4" w:space="0" w:color="auto"/>
              <w:bottom w:val="single" w:sz="4" w:space="0" w:color="auto"/>
              <w:right w:val="single" w:sz="4" w:space="0" w:color="auto"/>
            </w:tcBorders>
          </w:tcPr>
          <w:p w14:paraId="00100637" w14:textId="0010066E">
            <w:pPr>
              <w:pStyle w:val="Normal"/>
              <w:jc w:val="left"/>
            </w:pPr>
            <w:r>
              <w:t xml:space="preserve">Available committed facilities USD 420 million</w:t>
            </w:r>
          </w:p>
        </w:tc>
      </w:tr>
      <w:tr>
        <w:tc>
          <w:tcPr>
            <w:vAlign w:val="center"/>
            <w:tcBorders>
              <w:top w:val="single" w:sz="4" w:space="0" w:color="auto"/>
              <w:left w:val="single" w:sz="4" w:space="0" w:color="auto"/>
              <w:bottom w:val="single" w:sz="4" w:space="0" w:color="auto"/>
              <w:right w:val="single" w:sz="4" w:space="0" w:color="auto"/>
            </w:tcBorders>
          </w:tcPr>
          <w:p w14:paraId="00100639" w14:textId="0010066F">
            <w:pPr>
              <w:pStyle w:val="Normal"/>
              <w:jc w:val="left"/>
            </w:pPr>
            <w:r>
              <w:t xml:space="preserve">Financial</w:t>
            </w:r>
          </w:p>
        </w:tc>
        <w:tc>
          <w:tcPr>
            <w:vAlign w:val="center"/>
            <w:tcBorders>
              <w:top w:val="single" w:sz="4" w:space="0" w:color="auto"/>
              <w:left w:val="single" w:sz="4" w:space="0" w:color="auto"/>
              <w:bottom w:val="single" w:sz="4" w:space="0" w:color="auto"/>
              <w:right w:val="single" w:sz="4" w:space="0" w:color="auto"/>
            </w:tcBorders>
          </w:tcPr>
          <w:p w14:paraId="0010063B" w14:textId="00100670">
            <w:pPr>
              <w:pStyle w:val="Normal"/>
              <w:jc w:val="left"/>
            </w:pPr>
            <w:r>
              <w:t xml:space="preserve">Foreign exchange volatility across transaction currencies</w:t>
            </w:r>
          </w:p>
        </w:tc>
        <w:tc>
          <w:tcPr>
            <w:vAlign w:val="center"/>
            <w:tcBorders>
              <w:top w:val="single" w:sz="4" w:space="0" w:color="auto"/>
              <w:left w:val="single" w:sz="4" w:space="0" w:color="auto"/>
              <w:bottom w:val="single" w:sz="4" w:space="0" w:color="auto"/>
              <w:right w:val="single" w:sz="4" w:space="0" w:color="auto"/>
            </w:tcBorders>
          </w:tcPr>
          <w:p w14:paraId="0010063D" w14:textId="00100671">
            <w:pPr>
              <w:pStyle w:val="Normal"/>
              <w:jc w:val="left"/>
            </w:pPr>
            <w:r>
              <w:t xml:space="preserve">Medium</w:t>
            </w:r>
          </w:p>
        </w:tc>
        <w:tc>
          <w:tcPr>
            <w:vAlign w:val="center"/>
            <w:tcBorders>
              <w:top w:val="single" w:sz="4" w:space="0" w:color="auto"/>
              <w:left w:val="single" w:sz="4" w:space="0" w:color="auto"/>
              <w:bottom w:val="single" w:sz="4" w:space="0" w:color="auto"/>
              <w:right w:val="single" w:sz="4" w:space="0" w:color="auto"/>
            </w:tcBorders>
          </w:tcPr>
          <w:p w14:paraId="0010063F" w14:textId="00100672">
            <w:pPr>
              <w:pStyle w:val="Normal"/>
              <w:jc w:val="left"/>
            </w:pPr>
            <w:r>
              <w:t xml:space="preserve">Medium</w:t>
            </w:r>
          </w:p>
        </w:tc>
        <w:tc>
          <w:tcPr>
            <w:vAlign w:val="center"/>
            <w:tcBorders>
              <w:top w:val="single" w:sz="4" w:space="0" w:color="auto"/>
              <w:left w:val="single" w:sz="4" w:space="0" w:color="auto"/>
              <w:bottom w:val="single" w:sz="4" w:space="0" w:color="auto"/>
              <w:right w:val="single" w:sz="4" w:space="0" w:color="auto"/>
            </w:tcBorders>
          </w:tcPr>
          <w:p w14:paraId="00100641" w14:textId="00100673">
            <w:pPr>
              <w:pStyle w:val="Normal"/>
              <w:jc w:val="left"/>
            </w:pPr>
            <w:r>
              <w:t xml:space="preserve">Elevated</w:t>
            </w:r>
          </w:p>
        </w:tc>
        <w:tc>
          <w:tcPr>
            <w:vAlign w:val="center"/>
            <w:tcBorders>
              <w:top w:val="single" w:sz="4" w:space="0" w:color="auto"/>
              <w:left w:val="single" w:sz="4" w:space="0" w:color="auto"/>
              <w:bottom w:val="single" w:sz="4" w:space="0" w:color="auto"/>
              <w:right w:val="single" w:sz="4" w:space="0" w:color="auto"/>
            </w:tcBorders>
          </w:tcPr>
          <w:p w14:paraId="00100643" w14:textId="00100674">
            <w:pPr>
              <w:pStyle w:val="Normal"/>
              <w:jc w:val="left"/>
            </w:pPr>
            <w:r>
              <w:t xml:space="preserve">Revenue in non-reporting currencies 38%</w:t>
            </w:r>
          </w:p>
        </w:tc>
      </w:tr>
      <w:tr>
        <w:tc>
          <w:tcPr>
            <w:vAlign w:val="center"/>
            <w:tcBorders>
              <w:top w:val="single" w:sz="4" w:space="0" w:color="auto"/>
              <w:left w:val="single" w:sz="4" w:space="0" w:color="auto"/>
              <w:bottom w:val="single" w:sz="4" w:space="0" w:color="auto"/>
              <w:right w:val="single" w:sz="4" w:space="0" w:color="auto"/>
            </w:tcBorders>
          </w:tcPr>
          <w:p w14:paraId="00100645" w14:textId="00100675">
            <w:pPr>
              <w:pStyle w:val="Normal"/>
              <w:jc w:val="left"/>
            </w:pPr>
            <w:r>
              <w:t xml:space="preserve">Financial</w:t>
            </w:r>
          </w:p>
        </w:tc>
        <w:tc>
          <w:tcPr>
            <w:vAlign w:val="center"/>
            <w:tcBorders>
              <w:top w:val="single" w:sz="4" w:space="0" w:color="auto"/>
              <w:left w:val="single" w:sz="4" w:space="0" w:color="auto"/>
              <w:bottom w:val="single" w:sz="4" w:space="0" w:color="auto"/>
              <w:right w:val="single" w:sz="4" w:space="0" w:color="auto"/>
            </w:tcBorders>
          </w:tcPr>
          <w:p w14:paraId="00100647" w14:textId="00100676">
            <w:pPr>
              <w:pStyle w:val="Normal"/>
              <w:jc w:val="left"/>
            </w:pPr>
            <w:r>
              <w:t xml:space="preserve">Customer default and delayed collections</w:t>
            </w:r>
          </w:p>
        </w:tc>
        <w:tc>
          <w:tcPr>
            <w:vAlign w:val="center"/>
            <w:tcBorders>
              <w:top w:val="single" w:sz="4" w:space="0" w:color="auto"/>
              <w:left w:val="single" w:sz="4" w:space="0" w:color="auto"/>
              <w:bottom w:val="single" w:sz="4" w:space="0" w:color="auto"/>
              <w:right w:val="single" w:sz="4" w:space="0" w:color="auto"/>
            </w:tcBorders>
          </w:tcPr>
          <w:p w14:paraId="00100649" w14:textId="00100677">
            <w:pPr>
              <w:pStyle w:val="Normal"/>
              <w:jc w:val="left"/>
            </w:pPr>
            <w:r>
              <w:t xml:space="preserve">Medium</w:t>
            </w:r>
          </w:p>
        </w:tc>
        <w:tc>
          <w:tcPr>
            <w:vAlign w:val="center"/>
            <w:tcBorders>
              <w:top w:val="single" w:sz="4" w:space="0" w:color="auto"/>
              <w:left w:val="single" w:sz="4" w:space="0" w:color="auto"/>
              <w:bottom w:val="single" w:sz="4" w:space="0" w:color="auto"/>
              <w:right w:val="single" w:sz="4" w:space="0" w:color="auto"/>
            </w:tcBorders>
          </w:tcPr>
          <w:p w14:paraId="0010064B" w14:textId="00100678">
            <w:pPr>
              <w:pStyle w:val="Normal"/>
              <w:jc w:val="left"/>
            </w:pPr>
            <w:r>
              <w:t xml:space="preserve">Medium</w:t>
            </w:r>
          </w:p>
        </w:tc>
        <w:tc>
          <w:tcPr>
            <w:vAlign w:val="center"/>
            <w:tcBorders>
              <w:top w:val="single" w:sz="4" w:space="0" w:color="auto"/>
              <w:left w:val="single" w:sz="4" w:space="0" w:color="auto"/>
              <w:bottom w:val="single" w:sz="4" w:space="0" w:color="auto"/>
              <w:right w:val="single" w:sz="4" w:space="0" w:color="auto"/>
            </w:tcBorders>
          </w:tcPr>
          <w:p w14:paraId="0010064D" w14:textId="00100679">
            <w:pPr>
              <w:pStyle w:val="Normal"/>
              <w:jc w:val="left"/>
            </w:pPr>
            <w:r>
              <w:t xml:space="preserve">Stable</w:t>
            </w:r>
          </w:p>
        </w:tc>
        <w:tc>
          <w:tcPr>
            <w:vAlign w:val="center"/>
            <w:tcBorders>
              <w:top w:val="single" w:sz="4" w:space="0" w:color="auto"/>
              <w:left w:val="single" w:sz="4" w:space="0" w:color="auto"/>
              <w:bottom w:val="single" w:sz="4" w:space="0" w:color="auto"/>
              <w:right w:val="single" w:sz="4" w:space="0" w:color="auto"/>
            </w:tcBorders>
          </w:tcPr>
          <w:p w14:paraId="0010064F" w14:textId="0010067A">
            <w:pPr>
              <w:pStyle w:val="Normal"/>
              <w:jc w:val="left"/>
            </w:pPr>
            <w:r>
              <w:t xml:space="preserve">Trade receivables over 90 days 4.2%</w:t>
            </w:r>
          </w:p>
        </w:tc>
      </w:tr>
    </w:tbl>
    <w:p w14:paraId="0010067B" w14:textId="0010067C">
      <w:pPr>
        <w:pStyle w:val="Normal"/>
        <w:jc w:val="left"/>
      </w:pPr>
      <w:r>
        <w:t xml:space="preserve">Table 8 Risk matrix and key indicators</w:t>
      </w:r>
    </w:p>
    <w:p w14:paraId="0010067D" w14:textId="0010067F">
      <w:pPr>
        <w:pStyle w:val="Normal"/>
        <w:jc w:val="left"/>
      </w:pPr>
      <w:r>
        <w:t xml:space="preserve">Source:</w:t>
      </w:r>
      <w:r>
        <w:t xml:space="preserve"> Rivermark Group Risk Office, Finance function, and segment reporting for the year ended 31 December 2025. Likelihood, impact, and trend ratings reflect management assessment at year-end and are supported by operating and financial indicators used in regular risk reviews.</w:t>
      </w:r>
    </w:p>
    <w:p w14:paraId="00100680" w14:textId="00100681">
      <w:pPr>
        <w:pStyle w:val="Normal"/>
        <w:jc w:val="left"/>
      </w:pPr>
      <w:r>
        <w:t xml:space="preserve">1.1 Operational Risks</w:t>
      </w:r>
    </w:p>
    <w:p w14:paraId="00100682" w14:textId="00100683">
      <w:pPr>
        <w:pStyle w:val="Normal"/>
        <w:jc w:val="left"/>
      </w:pPr>
      <w:r>
        <w:t xml:space="preserve">Rivermark Group’s operational risk profile is shaped by supply availability, plant reliability, logistics execution, and the ability to maintain stable output across a multi-site footprint. In the Industrial segment, several product lines depend on a limited pool of qualified inputs and specialized components, which can expose margins and customer service levels to shipment delays, vendor quality issues, or sudden price movements. Management monitors supplier concentration, lead times, safety stock coverage, and inbound delivery performance, with particular attention to materials that have long replenishment cycles or narrow substitution options.</w:t>
      </w:r>
    </w:p>
    <w:p w14:paraId="00100684" w14:textId="00100685">
      <w:pPr>
        <w:pStyle w:val="Normal"/>
        <w:jc w:val="left"/>
      </w:pPr>
      <w:r>
        <w:t xml:space="preserve">Production exposure remains relevant even where demand conditions are favorable. Unplanned equipment stoppages, maintenance overruns, utility interruptions, and labor scheduling gaps can reduce throughput and create bottlenecks that affect order fulfillment. The Group addresses this through preventive maintenance planning, dual-source qualification for critical inputs, and tighter production sequencing at larger sites. During the year, operating teams also increased cross-site coordination so selected volumes could be shifted where capacity and tooling permitted.</w:t>
      </w:r>
    </w:p>
    <w:p w14:paraId="00100686" w14:textId="00100687">
      <w:pPr>
        <w:pStyle w:val="Normal"/>
        <w:jc w:val="left"/>
      </w:pPr>
      <w:r>
        <w:t xml:space="preserve">Overall, the principal operational risk is less a single-point failure than the combined effect of small disruptions accumulating across procurement, manufacturing, and distribution. This makes early-warning indicators and rapid escalation protocols as important as physical redundancy.</w:t>
      </w:r>
    </w:p>
    <w:p w14:paraId="00100688" w14:textId="00100689">
      <w:pPr>
        <w:pStyle w:val="Normal"/>
        <w:jc w:val="left"/>
      </w:pPr>
      <w:r>
        <w:t xml:space="preserve">Service continuity risk factors differ from manufacturing exposures but can be equally material to revenue protection and customer retention. In the Services segment, continuity depends on skilled staffing availability, project scheduling discipline, secure digital tools, and consistent adherence to service-level commitments. Delivery delays may arise from shortages in specialized personnel, uneven utilization across teams, or slower client-side approvals that extend implementation cycles and defer billing milestones.</w:t>
      </w:r>
    </w:p>
    <w:p w14:paraId="0010068A" w14:textId="0010068B">
      <w:pPr>
        <w:pStyle w:val="Normal"/>
        <w:jc w:val="left"/>
      </w:pPr>
      <w:r>
        <w:t xml:space="preserve">A further consideration is the resilience of systems and workflows that support field execution and remote delivery. Outages affecting scheduling platforms, customer interfaces, or internal knowledge systems can interrupt response times and lower productivity even when headcount levels are adequate. For this reason, the Group has strengthened incident response procedures, expanded backup access arrangements for critical applications, and formalized contingency staffing pools for larger contracts.</w:t>
      </w:r>
    </w:p>
    <w:p w14:paraId="0010068C" w14:textId="0010068D">
      <w:pPr>
        <w:pStyle w:val="Normal"/>
        <w:jc w:val="left"/>
      </w:pPr>
      <w:r>
        <w:t xml:space="preserve">Service continuity is also influenced by reputation risk. A small number of missed deliverables or quality lapses can affect renewal rates and future pipeline conversion in ways that are disproportionate to the immediate financial effect. Management therefore links operational service metrics with customer satisfaction monitoring, escalation review, and post-incident corrective actions, aiming to preserve both current performance and longer-term contract credibility.</w:t>
      </w:r>
    </w:p>
    <w:p w14:paraId="0010068E" w14:textId="0010068F">
      <w:pPr>
        <w:pStyle w:val="Normal"/>
        <w:jc w:val="left"/>
      </w:pPr>
      <w:r>
        <w:t xml:space="preserve">1.2 Financial Risks</w:t>
      </w:r>
    </w:p>
    <w:p w14:paraId="00100690" w14:textId="00100691">
      <w:pPr>
        <w:pStyle w:val="Normal"/>
        <w:jc w:val="left"/>
      </w:pPr>
      <w:r>
        <w:t xml:space="preserve">Liquidity and funding exposure is managed centrally to preserve sufficient flexibility under normal trading conditions and periods of stress. Rivermark Group relies on operating cash flow, committed bank facilities, and disciplined working capital management to fund seasonal needs, routine capital expenditure, and selected growth investments. The main sources of pressure are slower receivable collections, temporary inventory build, timing differences in major contract cash flows, and refinancing concentration around facility renewal dates.</w:t>
      </w:r>
    </w:p>
    <w:p w14:paraId="00100692" w14:textId="00100693">
      <w:pPr>
        <w:pStyle w:val="Normal"/>
        <w:jc w:val="left"/>
      </w:pPr>
      <w:r>
        <w:t xml:space="preserve">Treasury monitors rolling cash forecasts, covenant headroom, maturity ladders, and sensitivity scenarios that test the effect of lower earnings, delayed collections, or higher interest rates. The Group’s policy is to maintain a prudent level of committed liquidity relative to near-term obligations and to avoid excessive dependence on any single lender or instrument. During the year, management continued to rebalance maturities and preserve unused facilities to support resilience rather than maximize short-term leverage efficiency.</w:t>
      </w:r>
    </w:p>
    <w:p w14:paraId="00100694" w14:textId="00100695">
      <w:pPr>
        <w:pStyle w:val="Normal"/>
        <w:jc w:val="left"/>
      </w:pPr>
      <w:r>
        <w:t xml:space="preserve">Funding risk is therefore assessed not only by absolute debt levels but by the quality of liquidity sources and the speed with which corrective actions can be implemented. The ability to slow discretionary spending, release working capital, or defer non-essential projects remains an important part of the Group’s financial defense framework.</w:t>
      </w:r>
    </w:p>
    <w:p w14:paraId="00100696" w14:textId="00100697">
      <w:pPr>
        <w:pStyle w:val="Normal"/>
        <w:jc w:val="left"/>
      </w:pPr>
      <w:r>
        <w:t xml:space="preserve">Foreign exchange and credit risk are recurring features of Rivermark Group’s diversified operating model. FX exposure arises where revenues, procurement, or operating costs are denominated in currencies other than the reporting currency, especially in cross-border sourcing and export sales. While some movements are naturally offset by local cost bases, transaction mismatches can still affect margin realization, inventory replacement cost, and the comparability of reported results between periods. Treasury therefore prioritizes exposure mapping, selective hedging for larger contracted flows, and commercial pricing actions where market conditions allow.</w:t>
      </w:r>
    </w:p>
    <w:p w14:paraId="00100698" w14:textId="00100699">
      <w:pPr>
        <w:pStyle w:val="Normal"/>
        <w:jc w:val="left"/>
      </w:pPr>
      <w:r>
        <w:t xml:space="preserve">Credit risk is concentrated in trade receivables, contract assets, and, to a lesser extent, counterparty balances with financial institutions. The profile varies by segment: Industrial exposures are often linked to distributor and project customers, Consumer exposures are spread across retail and channel partners, and Services exposures are influenced by milestone billing and renewal cycles. Management reviews aging trends, payment behavior, concentration by customer group, and expected credit loss indicators to identify deterioration early.</w:t>
      </w:r>
    </w:p>
    <w:p w14:paraId="0010069A" w14:textId="0010069B">
      <w:pPr>
        <w:pStyle w:val="Normal"/>
        <w:jc w:val="left"/>
      </w:pPr>
      <w:r>
        <w:t xml:space="preserve">These risks are interconnected in practice. A weakening customer base can coincide with currency volatility and create a compounded effect on collections, profitability, and planning visibility. For that reason, credit limits, prepayment terms, insurance where economical, and counterparty diversification are treated as core tools rather than back-office controls alone.</w:t>
      </w:r>
    </w:p>
    <w:p w14:paraId="0010069C" w14:textId="0010069D">
      <w:pPr>
        <w:pStyle w:val="Normal"/>
        <w:jc w:val="left"/>
      </w:pPr>
      <w:r>
        <w:t xml:space="preserve">Subsection 2 Risk Response</w:t>
      </w:r>
    </w:p>
    <w:p w14:paraId="0010069E" w14:textId="0010069F">
      <w:pPr>
        <w:pStyle w:val="Normal"/>
        <w:jc w:val="left"/>
      </w:pPr>
      <w:r>
        <w:t xml:space="preserve">Rivermark Group applies a structured response model that links risk identification, assessment, ownership, mitigation, and monitoring into the regular management cycle. Principal risks are first defined at segment and functional levels, then reviewed through a common framework that considers likelihood, impact, velocity, and controllability. This allows leadership to distinguish between risks that can be reduced through operational action, those that require financial protection or contractual allocation, and those that must be actively monitored because they cannot be eliminated at reasonable cost.</w:t>
      </w:r>
    </w:p>
    <w:p w14:paraId="001006A0" w14:textId="001006A1">
      <w:pPr>
        <w:pStyle w:val="Normal"/>
        <w:jc w:val="left"/>
      </w:pPr>
      <w:r>
        <w:t xml:space="preserve">Ownership is assigned to the executive or functional leader with the clearest ability to influence the underlying exposure. Segment heads typically own demand, delivery, and customer-related risks; operations leaders own plant, supply, and quality risks; and the Finance function oversees liquidity, funding, foreign exchange, and credit disciplines. The Group Risk Office coordinates methodology, consolidation, and reporting, while the Executive Committee reviews movement in priority risks and the effectiveness of response plans.</w:t>
      </w:r>
    </w:p>
    <w:p w14:paraId="001006A2" w14:textId="001006A3">
      <w:pPr>
        <w:pStyle w:val="Normal"/>
        <w:jc w:val="left"/>
      </w:pPr>
      <w:r>
        <w:t xml:space="preserve">This model is intended to keep risk management practical and decision-oriented. Rather than operating as a separate compliance exercise, it is embedded in budgeting, capital allocation, contract review, sourcing decisions, and performance meetings. The result is a governance approach in which accountability is specific, escalation is timely, and mitigation actions can be adjusted as conditions change.</w:t>
      </w:r>
    </w:p>
    <w:p w14:paraId="001006A4" w14:textId="001006A5">
      <w:pPr>
        <w:pStyle w:val="Normal"/>
        <w:jc w:val="left"/>
      </w:pPr>
      <w:r>
        <w:t xml:space="preserve">2.1 Mitigation Measures</w:t>
      </w:r>
    </w:p>
    <w:p w14:paraId="001006A6" w14:textId="001006A7">
      <w:pPr>
        <w:pStyle w:val="Normal"/>
        <w:jc w:val="left"/>
      </w:pPr>
      <w:r>
        <w:t xml:space="preserve">Rivermark Group’s control design for principal risks follows a layered model that combines preventive, detective, and corrective measures across operations, finance, and support functions. Preventive controls are embedded in supplier approval, production planning, contract review, delegation of authority, and system access management so that exposures are addressed before they affect performance. Detective controls include monthly variance analysis, exception reporting, safety observations, service delivery dashboards, and compliance attestations from business leaders. Corrective controls are activated when thresholds are exceeded, requiring root-cause review, action ownership, and time-bound remediation plans.</w:t>
      </w:r>
    </w:p>
    <w:p w14:paraId="001006A8" w14:textId="001006A9">
      <w:pPr>
        <w:pStyle w:val="Normal"/>
        <w:jc w:val="left"/>
      </w:pPr>
      <w:r>
        <w:t xml:space="preserve">The Group applies a common approach while tailoring the design to segment characteristics. Industrial sites focus on maintenance discipline, quality checkpoints, inventory accuracy, and environmental safeguards. Consumer operations place greater emphasis on channel inventory visibility, promotion governance, product compliance, and sourcing continuity. Services businesses rely more heavily on contract approval controls, utilization tracking, data protection protocols, and delivery quality reviews. Across all segments, control owners are identified at process level, while second-line functions provide challenge and methodology support.</w:t>
      </w:r>
    </w:p>
    <w:p w14:paraId="001006AA" w14:textId="001006AB">
      <w:pPr>
        <w:pStyle w:val="Normal"/>
        <w:jc w:val="left"/>
      </w:pPr>
      <w:r>
        <w:t xml:space="preserve">This design is intended to make risk response practical rather than purely documentary. By linking controls to process owners, decision thresholds, and management reporting, Rivermark Group improves the speed with which issues are identified and reduces the likelihood that isolated incidents develop into broader operational or financial setbacks.</w:t>
      </w:r>
    </w:p>
    <w:p w14:paraId="001006AC" w14:textId="001006AD">
      <w:pPr>
        <w:pStyle w:val="Normal"/>
        <w:jc w:val="left"/>
      </w:pPr>
      <w:r>
        <w:t xml:space="preserve">When a material deviation or emerging risk is identified, escalation follows a defined sequence based on severity, cross-functional impact, and time sensitivity. Front-line management is expected to contain the issue immediately, document the event, and notify the relevant functional lead. Matters with potential effects on customer commitments, worker safety, legal compliance, cash flow, or reputation are then escalated to segment leadership and the Group risk office without waiting for the next routine review. This enables rapid visibility for issues such as supplier interruption, major equipment failure, cyber incidents, contract disputes, or unusual working capital pressure.</w:t>
      </w:r>
    </w:p>
    <w:p w14:paraId="001006AE" w14:textId="001006AF">
      <w:pPr>
        <w:pStyle w:val="Normal"/>
        <w:jc w:val="left"/>
      </w:pPr>
      <w:r>
        <w:t xml:space="preserve">Contingency actions are prepared in advance for the most significant operational and financial scenarios. These include alternate supplier activation, production re-sequencing, service resource redeployment, temporary credit controls, customer communication protocols, and approval pathways for emergency spending. Business continuity plans define minimum operating requirements, key system dependencies, and recovery priorities by site and function. Where an event exceeds local response capacity, executive management may convene a cross-functional response team to coordinate legal, finance, operations, communications, and human resources actions.</w:t>
      </w:r>
    </w:p>
    <w:p w14:paraId="001006B0" w14:textId="001006B1">
      <w:pPr>
        <w:pStyle w:val="Normal"/>
        <w:jc w:val="left"/>
      </w:pPr>
      <w:r>
        <w:t xml:space="preserve">The purpose of this escalation framework is not only to react quickly, but also to preserve decision quality under pressure. Clear triggers, named decision-makers, and pre-agreed contingency steps help the Group limit disruption, protect stakeholder confidence, and restore normal operating conditions with greater consistency.</w:t>
      </w:r>
    </w:p>
    <w:p w14:paraId="001006B2" w14:textId="001006B3">
      <w:pPr>
        <w:pStyle w:val="Normal"/>
        <w:jc w:val="left"/>
      </w:pPr>
      <w:r>
        <w:t xml:space="preserve">2.2 Monitoring Cycle</w:t>
      </w:r>
    </w:p>
    <w:p w14:paraId="001006B4" w14:textId="001006B5">
      <w:pPr>
        <w:pStyle w:val="Normal"/>
        <w:jc w:val="left"/>
      </w:pPr>
      <w:r>
        <w:t xml:space="preserve">Risk monitoring is conducted through a structured cadence that combines routine review with event-driven reassessment. At operating level, key indicators are tracked monthly through management dashboards covering safety, quality, service performance, working capital, liquidity, customer concentration, and compliance events. Segment leadership reviews these trends alongside action logs and emerging issues, with particular attention to changes in likelihood, potential impact, and control effectiveness. Group-level consolidation is performed on a quarterly basis to refresh the principal risk view, compare exposures across segments, and identify themes requiring executive intervention.</w:t>
      </w:r>
    </w:p>
    <w:p w14:paraId="001006B6" w14:textId="001006B7">
      <w:pPr>
        <w:pStyle w:val="Normal"/>
        <w:jc w:val="left"/>
      </w:pPr>
      <w:r>
        <w:t xml:space="preserve">Accountability is assigned through a three-level structure. Process and business managers own day-to-day controls and first-response actions. Functional specialists in finance, legal, information security, sustainability, and internal control provide second-line oversight, methodology, and challenge. Executive leadership and the Board, primarily through the Audit and Risk Committee, oversee the overall effectiveness of the framework, review material incidents, and assess whether management’s response remains proportionate to the Group’s risk appetite. Action items from these reviews are tracked to closure, and overdue items are escalated through committee reporting.</w:t>
      </w:r>
    </w:p>
    <w:p w14:paraId="001006B8" w14:textId="001006B9">
      <w:pPr>
        <w:pStyle w:val="Normal"/>
        <w:jc w:val="left"/>
      </w:pPr>
      <w:r>
        <w:t xml:space="preserve">This review cycle supports continuous adjustment rather than annual reset. As business conditions, regulation, and market demand evolve, the monitoring process allows Rivermark Group to refine controls, reallocate resources, and keep principal risks aligned with current operating realities.</w:t>
      </w:r>
    </w:p>
    <w:p w14:paraId="001006BA" w14:textId="001006BB">
      <w:pPr>
        <w:pStyle w:val="Normal"/>
        <w:jc w:val="left"/>
      </w:pPr>
      <w:r>
        <w:drawing>
          <wp:inline distT="0" distB="0" distL="0" distR="0">
            <wp:extent cx="4680000" cy="2160000"/>
            <wp:effectExtent l="0" t="0" r="0" b="0"/>
            <wp:docPr id="15" name="Fig-I10-01.png" descr=""/>
            <wp:cNvGraphicFramePr>
              <a:graphicFrameLocks noChangeAspect="1"/>
            </wp:cNvGraphicFramePr>
            <a:graphic>
              <a:graphicData uri="http://schemas.openxmlformats.org/drawingml/2006/picture">
                <pic:pic>
                  <pic:nvPicPr>
                    <pic:cNvPr id="15" name="Fig-I10-01.png"/>
                    <pic:cNvPicPr/>
                  </pic:nvPicPr>
                  <pic:blipFill>
                    <a:blip r:embed="R9d09daa92f654d9e" cstate="print"/>
                    <a:stretch>
                      <a:fillRect/>
                    </a:stretch>
                  </pic:blipFill>
                  <pic:spPr>
                    <a:xfrm>
                      <a:off x="0" y="0"/>
                      <a:ext cx="5040000" cy="2520000"/>
                    </a:xfrm>
                    <a:prstGeom prst="rect">
                      <a:avLst/>
                    </a:prstGeom>
                  </pic:spPr>
                </pic:pic>
              </a:graphicData>
            </a:graphic>
          </wp:inline>
        </w:drawing>
      </w:r>
    </w:p>
    <w:p w14:paraId="001006BC" w14:textId="001006BD">
      <w:pPr>
        <w:pStyle w:val="Normal"/>
        <w:jc w:val="left"/>
      </w:pPr>
      <w:r>
        <w:t xml:space="preserve">Figure 27 Risk review process flow</w:t>
      </w:r>
    </w:p>
    <w:p w14:paraId="001006BE" w14:textId="001006C0">
      <w:pPr>
        <w:pStyle w:val="Normal"/>
        <w:jc w:val="left"/>
      </w:pPr>
      <w:r>
        <w:t xml:space="preserve">Source:</w:t>
      </w:r>
      <w:r>
        <w:t xml:space="preserve"> Rivermark Group risk management framework; process reflects monthly operating reviews, quarterly Group assessment, and Board oversight escalation.</w:t>
      </w:r>
    </w:p>
    <w:p w14:paraId="001006C1" w14:textId="001006C2">
      <w:pPr>
        <w:pStyle w:val="Normal"/>
        <w:jc w:val="left"/>
      </w:pPr>
      <w:r>
        <w:t xml:space="preserve">Figure 28 Risk response and escalation process diagram</w:t>
      </w:r>
    </w:p>
    <w:p w14:paraId="001006C3" w14:textId="001006C4">
      <w:pPr>
        <w:pStyle w:val="Normal"/>
        <w:jc w:val="left"/>
      </w:pPr>
      <w:r>
        <w:t xml:space="preserve">Section 2 Sustainability Metrics</w:t>
      </w:r>
    </w:p>
    <w:p w14:paraId="001006C5" w14:textId="001006C6">
      <w:pPr>
        <w:pStyle w:val="Normal"/>
        <w:jc w:val="left"/>
      </w:pPr>
      <w:r>
        <w:t xml:space="preserve">Rivermark Group reports sustainability metrics to provide a consistent view of environmental and workforce performance across the reporting perimeter used in this annual report. Unless otherwise stated, the scope covers controlled manufacturing sites, distribution facilities, service offices, and major support functions included in the consolidated reporting boundary for the financial year. Data is compiled through site-level submissions and centralized review procedures intended to improve comparability between locations with different operating profiles. Where estimation is required, management applies reasonable operational assumptions and performs validation checks against prior periods and activity levels.</w:t>
      </w:r>
    </w:p>
    <w:p w14:paraId="001006C7" w14:textId="001006C8">
      <w:pPr>
        <w:pStyle w:val="Normal"/>
        <w:jc w:val="left"/>
      </w:pPr>
      <w:r>
        <w:t xml:space="preserve">The current year presentation focuses on a compact set of indicators that management actively uses in oversight: energy consumption, water use, greenhouse gas emissions, headcount, training participation, and safety outcomes. Environmental indicators are reported primarily on an operational-control basis, while people metrics reflect year-end workforce records and internal learning systems. To improve usefulness, Rivermark Group supplements absolute values with trend discussion that explains changes in output, site mix, efficiency measures, and business volume. This is particularly important for interpreting environmental intensity when production or service activity shifts during the year.</w:t>
      </w:r>
    </w:p>
    <w:p w14:paraId="001006C9" w14:textId="001006CA">
      <w:pPr>
        <w:pStyle w:val="Normal"/>
        <w:jc w:val="left"/>
      </w:pPr>
      <w:r>
        <w:t xml:space="preserve">Although the sustainability dataset is more limited than a standalone ESG report, it is designed to support management review and stakeholder understanding. The emphasis is on operational relevance, transparent scope, and year-on-year consistency rather than extensive disclosure depth.</w:t>
      </w:r>
    </w:p>
    <w:p w14:paraId="001006CB" w14:textId="001006CC">
      <w:pPr>
        <w:pStyle w:val="Normal"/>
        <w:jc w:val="left"/>
      </w:pPr>
      <w:r>
        <w:t xml:space="preserve">Subsection 1 Environmental Data</w:t>
      </w:r>
    </w:p>
    <w:p w14:paraId="001006CD" w14:textId="001006CE">
      <w:pPr>
        <w:pStyle w:val="Normal"/>
        <w:jc w:val="left"/>
      </w:pPr>
      <w:r>
        <w:t xml:space="preserve">Environmental performance in the year reflected both efficiency initiatives and changes in operating activity across the Group’s Industrial, Consumer, and Services segments. Energy consumption remained the most closely watched indicator, particularly at larger production sites and warehousing operations where utilities represent a meaningful share of controllable cost and emissions. Water use was monitored with greater focus in facilities with process-intensive operations, while office-based and service locations contributed a smaller portion of total environmental load. Management used these indicators to assess whether operating improvements were translating into measurable resource savings rather than being offset by changes in output or site utilization.</w:t>
      </w:r>
    </w:p>
    <w:p w14:paraId="001006CF" w14:textId="001006D0">
      <w:pPr>
        <w:pStyle w:val="Normal"/>
        <w:jc w:val="left"/>
      </w:pPr>
      <w:r>
        <w:t xml:space="preserve">The year’s KPI overview showed mixed but generally constructive progress. Several sites reported lower unit energy use following equipment maintenance, improved scheduling, and tighter shutdown procedures during idle periods. Water performance benefited from leak detection and reuse measures in selected facilities, although local operating conditions created uneven results across the network. Emissions trends broadly followed the movement of purchased electricity and fuel use, with additional influence from production mix and occupancy patterns. Because Rivermark Group operates a diversified portfolio, management reviews environmental KPIs both in aggregate and by site category to distinguish structural progress from temporary fluctuations.</w:t>
      </w:r>
    </w:p>
    <w:p w14:paraId="001006D1" w14:textId="001006D2">
      <w:pPr>
        <w:pStyle w:val="Normal"/>
        <w:jc w:val="left"/>
      </w:pPr>
      <w:r>
        <w:t xml:space="preserve">Overall, the environmental dataset supports a practical management conclusion: resource performance is improving where discipline, measurement, and site accountability are strongest. Continued gains will depend on extending these practices more consistently across the footprint and sustaining investment in efficiency-focused operating routines.</w:t>
      </w:r>
    </w:p>
    <w:p w14:paraId="001006D3" w14:textId="001006D4">
      <w:pPr>
        <w:pStyle w:val="Normal"/>
        <w:jc w:val="left"/>
      </w:pPr>
      <w:r>
        <w:t xml:space="preserve">1.1 Resource Use</w:t>
      </w:r>
    </w:p>
    <w:p w14:paraId="001006D5" w14:textId="001006D6">
      <w:pPr>
        <w:pStyle w:val="Normal"/>
        <w:jc w:val="left"/>
      </w:pPr>
      <w:r>
        <w:t xml:space="preserve">Rivermark Group tracks resource efficiency through a focused set of operating indicators covering purchased electricity, direct fuel use, total energy consumption, and water withdrawal. These metrics are reviewed on a like-for-like basis across the reporting perimeter, with the largest contribution arising from the Industrial segment and selected service facilities with continuous equipment loads. Management uses energy intensity per unit of output and water intensity per revenue as internal steering measures, while also monitoring absolute consumption to assess exposure to cost inflation, utility availability, and operating discipline.</w:t>
      </w:r>
    </w:p>
    <w:p w14:paraId="001006D7" w14:textId="001006DC">
      <w:pPr>
        <w:pStyle w:val="Normal"/>
        <w:jc w:val="left"/>
      </w:pPr>
      <w:r>
        <w:t xml:space="preserve">During the year, total energy use declined modestly as production scheduling improved and several sites completed lighting, compressor, and boiler-control upgrades. Water withdrawal remained broadly stable, with lower process demand at two manufacturing sites offset by increased activity at Consumer packaging lines. The Group continues to classify the underlying dataset as </w:t>
      </w:r>
      <w:r>
        <w:t xml:space="preserve">operational sustainability data</w:t>
      </w:r>
      <w:r>
        <w:t xml:space="preserve"> rather than audited financial information, although site-level submissions are subject to monthly validation and exception review. The KPI set is presented as a consolidated sustainability baseline, with selected values restated where metering coverage improved and where scope alignment was required for comparability. A summary note mark </w:t>
      </w:r>
      <w:r>
        <w:t xml:space="preserve">¹</w:t>
      </w:r>
      <w:r>
        <w:t xml:space="preserve"> is included to indicate that intensity indicators are management measures derived from the reported operational dataset.</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6DD" w14:textId="00100723">
            <w:pPr>
              <w:pStyle w:val="Normal"/>
              <w:jc w:val="left"/>
            </w:pPr>
            <w:r>
              <w:t xml:space="preserve">KPI</w:t>
            </w:r>
          </w:p>
        </w:tc>
        <w:tc>
          <w:tcPr>
            <w:vAlign w:val="center"/>
            <w:tcBorders>
              <w:top w:val="single" w:sz="4" w:space="0" w:color="auto"/>
              <w:left w:val="single" w:sz="4" w:space="0" w:color="auto"/>
              <w:bottom w:val="single" w:sz="4" w:space="0" w:color="auto"/>
              <w:right w:val="single" w:sz="4" w:space="0" w:color="auto"/>
            </w:tcBorders>
          </w:tcPr>
          <w:p w14:paraId="001006DF" w14:textId="00100724">
            <w:pPr>
              <w:pStyle w:val="Normal"/>
              <w:jc w:val="left"/>
            </w:pPr>
            <w:r>
              <w:t xml:space="preserve">2022</w:t>
            </w:r>
          </w:p>
        </w:tc>
        <w:tc>
          <w:tcPr>
            <w:vAlign w:val="center"/>
            <w:tcBorders>
              <w:top w:val="single" w:sz="4" w:space="0" w:color="auto"/>
              <w:left w:val="single" w:sz="4" w:space="0" w:color="auto"/>
              <w:bottom w:val="single" w:sz="4" w:space="0" w:color="auto"/>
              <w:right w:val="single" w:sz="4" w:space="0" w:color="auto"/>
            </w:tcBorders>
          </w:tcPr>
          <w:p w14:paraId="001006E1" w14:textId="00100725">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6E3" w14:textId="00100726">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6E5" w14:textId="00100727">
            <w:pPr>
              <w:pStyle w:val="Normal"/>
              <w:jc w:val="left"/>
            </w:pPr>
            <w:r>
              <w:t xml:space="preserve">Change vs. 2023</w:t>
            </w:r>
          </w:p>
        </w:tc>
      </w:tr>
      <w:tr>
        <w:tc>
          <w:tcPr>
            <w:vAlign w:val="center"/>
            <w:tcBorders>
              <w:top w:val="single" w:sz="4" w:space="0" w:color="auto"/>
              <w:left w:val="single" w:sz="4" w:space="0" w:color="auto"/>
              <w:bottom w:val="single" w:sz="4" w:space="0" w:color="auto"/>
              <w:right w:val="single" w:sz="4" w:space="0" w:color="auto"/>
            </w:tcBorders>
          </w:tcPr>
          <w:p w14:paraId="001006E7" w14:textId="00100728">
            <w:pPr>
              <w:pStyle w:val="Normal"/>
              <w:jc w:val="left"/>
            </w:pPr>
            <w:r>
              <w:t xml:space="preserve">Total energy consumption (MWh)</w:t>
            </w:r>
          </w:p>
        </w:tc>
        <w:tc>
          <w:tcPr>
            <w:vAlign w:val="center"/>
            <w:tcBorders>
              <w:top w:val="single" w:sz="4" w:space="0" w:color="auto"/>
              <w:left w:val="single" w:sz="4" w:space="0" w:color="auto"/>
              <w:bottom w:val="single" w:sz="4" w:space="0" w:color="auto"/>
              <w:right w:val="single" w:sz="4" w:space="0" w:color="auto"/>
            </w:tcBorders>
          </w:tcPr>
          <w:p w14:paraId="001006E9" w14:textId="00100729">
            <w:pPr>
              <w:pStyle w:val="Normal"/>
              <w:jc w:val="left"/>
            </w:pPr>
            <w:r>
              <w:t xml:space="preserve">1,284,000</w:t>
            </w:r>
          </w:p>
        </w:tc>
        <w:tc>
          <w:tcPr>
            <w:vAlign w:val="center"/>
            <w:tcBorders>
              <w:top w:val="single" w:sz="4" w:space="0" w:color="auto"/>
              <w:left w:val="single" w:sz="4" w:space="0" w:color="auto"/>
              <w:bottom w:val="single" w:sz="4" w:space="0" w:color="auto"/>
              <w:right w:val="single" w:sz="4" w:space="0" w:color="auto"/>
            </w:tcBorders>
          </w:tcPr>
          <w:p w14:paraId="001006EB" w14:textId="0010072A">
            <w:pPr>
              <w:pStyle w:val="Normal"/>
              <w:jc w:val="left"/>
            </w:pPr>
            <w:r>
              <w:t xml:space="preserve">1,241,000</w:t>
            </w:r>
          </w:p>
        </w:tc>
        <w:tc>
          <w:tcPr>
            <w:vAlign w:val="center"/>
            <w:tcBorders>
              <w:top w:val="single" w:sz="4" w:space="0" w:color="auto"/>
              <w:left w:val="single" w:sz="4" w:space="0" w:color="auto"/>
              <w:bottom w:val="single" w:sz="4" w:space="0" w:color="auto"/>
              <w:right w:val="single" w:sz="4" w:space="0" w:color="auto"/>
            </w:tcBorders>
          </w:tcPr>
          <w:p w14:paraId="001006ED" w14:textId="0010072B">
            <w:pPr>
              <w:pStyle w:val="Normal"/>
              <w:jc w:val="left"/>
            </w:pPr>
            <w:r>
              <w:t xml:space="preserve">1,216,000</w:t>
            </w:r>
          </w:p>
        </w:tc>
        <w:tc>
          <w:tcPr>
            <w:vAlign w:val="center"/>
            <w:tcBorders>
              <w:top w:val="single" w:sz="4" w:space="0" w:color="auto"/>
              <w:left w:val="single" w:sz="4" w:space="0" w:color="auto"/>
              <w:bottom w:val="single" w:sz="4" w:space="0" w:color="auto"/>
              <w:right w:val="single" w:sz="4" w:space="0" w:color="auto"/>
            </w:tcBorders>
          </w:tcPr>
          <w:p w14:paraId="001006EF" w14:textId="0010072C">
            <w:pPr>
              <w:pStyle w:val="Normal"/>
              <w:jc w:val="left"/>
            </w:pPr>
            <w:r>
              <w:t xml:space="preserve">-2.0%</w:t>
            </w:r>
          </w:p>
        </w:tc>
      </w:tr>
      <w:tr>
        <w:tc>
          <w:tcPr>
            <w:vAlign w:val="center"/>
            <w:tcBorders>
              <w:top w:val="single" w:sz="4" w:space="0" w:color="auto"/>
              <w:left w:val="single" w:sz="4" w:space="0" w:color="auto"/>
              <w:bottom w:val="single" w:sz="4" w:space="0" w:color="auto"/>
              <w:right w:val="single" w:sz="4" w:space="0" w:color="auto"/>
            </w:tcBorders>
          </w:tcPr>
          <w:p w14:paraId="001006F1" w14:textId="0010072D">
            <w:pPr>
              <w:pStyle w:val="Normal"/>
              <w:jc w:val="left"/>
            </w:pPr>
            <w:r>
              <w:t xml:space="preserve">Energy intensity (MWh / $m revenue)</w:t>
            </w:r>
          </w:p>
        </w:tc>
        <w:tc>
          <w:tcPr>
            <w:vAlign w:val="center"/>
            <w:tcBorders>
              <w:top w:val="single" w:sz="4" w:space="0" w:color="auto"/>
              <w:left w:val="single" w:sz="4" w:space="0" w:color="auto"/>
              <w:bottom w:val="single" w:sz="4" w:space="0" w:color="auto"/>
              <w:right w:val="single" w:sz="4" w:space="0" w:color="auto"/>
            </w:tcBorders>
          </w:tcPr>
          <w:p w14:paraId="001006F3" w14:textId="0010072E">
            <w:pPr>
              <w:pStyle w:val="Normal"/>
              <w:jc w:val="left"/>
            </w:pPr>
            <w:r>
              <w:t xml:space="preserve">412</w:t>
            </w:r>
          </w:p>
        </w:tc>
        <w:tc>
          <w:tcPr>
            <w:vAlign w:val="center"/>
            <w:tcBorders>
              <w:top w:val="single" w:sz="4" w:space="0" w:color="auto"/>
              <w:left w:val="single" w:sz="4" w:space="0" w:color="auto"/>
              <w:bottom w:val="single" w:sz="4" w:space="0" w:color="auto"/>
              <w:right w:val="single" w:sz="4" w:space="0" w:color="auto"/>
            </w:tcBorders>
          </w:tcPr>
          <w:p w14:paraId="001006F5" w14:textId="0010072F">
            <w:pPr>
              <w:pStyle w:val="Normal"/>
              <w:jc w:val="left"/>
            </w:pPr>
            <w:r>
              <w:t xml:space="preserve">398</w:t>
            </w:r>
          </w:p>
        </w:tc>
        <w:tc>
          <w:tcPr>
            <w:vAlign w:val="center"/>
            <w:tcBorders>
              <w:top w:val="single" w:sz="4" w:space="0" w:color="auto"/>
              <w:left w:val="single" w:sz="4" w:space="0" w:color="auto"/>
              <w:bottom w:val="single" w:sz="4" w:space="0" w:color="auto"/>
              <w:right w:val="single" w:sz="4" w:space="0" w:color="auto"/>
            </w:tcBorders>
          </w:tcPr>
          <w:p w14:paraId="001006F7" w14:textId="00100730">
            <w:pPr>
              <w:pStyle w:val="Normal"/>
              <w:jc w:val="left"/>
            </w:pPr>
            <w:r>
              <w:t xml:space="preserve">381</w:t>
            </w:r>
          </w:p>
        </w:tc>
        <w:tc>
          <w:tcPr>
            <w:vAlign w:val="center"/>
            <w:tcBorders>
              <w:top w:val="single" w:sz="4" w:space="0" w:color="auto"/>
              <w:left w:val="single" w:sz="4" w:space="0" w:color="auto"/>
              <w:bottom w:val="single" w:sz="4" w:space="0" w:color="auto"/>
              <w:right w:val="single" w:sz="4" w:space="0" w:color="auto"/>
            </w:tcBorders>
          </w:tcPr>
          <w:p w14:paraId="001006F9" w14:textId="00100731">
            <w:pPr>
              <w:pStyle w:val="Normal"/>
              <w:jc w:val="left"/>
            </w:pPr>
            <w:r>
              <w:t xml:space="preserve">-4.3%</w:t>
            </w:r>
          </w:p>
        </w:tc>
      </w:tr>
      <w:tr>
        <w:tc>
          <w:tcPr>
            <w:vAlign w:val="center"/>
            <w:tcBorders>
              <w:top w:val="single" w:sz="4" w:space="0" w:color="auto"/>
              <w:left w:val="single" w:sz="4" w:space="0" w:color="auto"/>
              <w:bottom w:val="single" w:sz="4" w:space="0" w:color="auto"/>
              <w:right w:val="single" w:sz="4" w:space="0" w:color="auto"/>
            </w:tcBorders>
          </w:tcPr>
          <w:p w14:paraId="001006FB" w14:textId="00100732">
            <w:pPr>
              <w:pStyle w:val="Normal"/>
              <w:jc w:val="left"/>
            </w:pPr>
            <w:r>
              <w:t xml:space="preserve">Purchased electricity (MWh)</w:t>
            </w:r>
          </w:p>
        </w:tc>
        <w:tc>
          <w:tcPr>
            <w:vAlign w:val="center"/>
            <w:tcBorders>
              <w:top w:val="single" w:sz="4" w:space="0" w:color="auto"/>
              <w:left w:val="single" w:sz="4" w:space="0" w:color="auto"/>
              <w:bottom w:val="single" w:sz="4" w:space="0" w:color="auto"/>
              <w:right w:val="single" w:sz="4" w:space="0" w:color="auto"/>
            </w:tcBorders>
          </w:tcPr>
          <w:p w14:paraId="001006FD" w14:textId="00100733">
            <w:pPr>
              <w:pStyle w:val="Normal"/>
              <w:jc w:val="left"/>
            </w:pPr>
            <w:r>
              <w:t xml:space="preserve">742,000</w:t>
            </w:r>
          </w:p>
        </w:tc>
        <w:tc>
          <w:tcPr>
            <w:vAlign w:val="center"/>
            <w:tcBorders>
              <w:top w:val="single" w:sz="4" w:space="0" w:color="auto"/>
              <w:left w:val="single" w:sz="4" w:space="0" w:color="auto"/>
              <w:bottom w:val="single" w:sz="4" w:space="0" w:color="auto"/>
              <w:right w:val="single" w:sz="4" w:space="0" w:color="auto"/>
            </w:tcBorders>
          </w:tcPr>
          <w:p w14:paraId="001006FF" w14:textId="00100734">
            <w:pPr>
              <w:pStyle w:val="Normal"/>
              <w:jc w:val="left"/>
            </w:pPr>
            <w:r>
              <w:t xml:space="preserve">719,000</w:t>
            </w:r>
          </w:p>
        </w:tc>
        <w:tc>
          <w:tcPr>
            <w:vAlign w:val="center"/>
            <w:tcBorders>
              <w:top w:val="single" w:sz="4" w:space="0" w:color="auto"/>
              <w:left w:val="single" w:sz="4" w:space="0" w:color="auto"/>
              <w:bottom w:val="single" w:sz="4" w:space="0" w:color="auto"/>
              <w:right w:val="single" w:sz="4" w:space="0" w:color="auto"/>
            </w:tcBorders>
          </w:tcPr>
          <w:p w14:paraId="00100701" w14:textId="00100735">
            <w:pPr>
              <w:pStyle w:val="Normal"/>
              <w:jc w:val="left"/>
            </w:pPr>
            <w:r>
              <w:t xml:space="preserve">705,000</w:t>
            </w:r>
          </w:p>
        </w:tc>
        <w:tc>
          <w:tcPr>
            <w:vAlign w:val="center"/>
            <w:tcBorders>
              <w:top w:val="single" w:sz="4" w:space="0" w:color="auto"/>
              <w:left w:val="single" w:sz="4" w:space="0" w:color="auto"/>
              <w:bottom w:val="single" w:sz="4" w:space="0" w:color="auto"/>
              <w:right w:val="single" w:sz="4" w:space="0" w:color="auto"/>
            </w:tcBorders>
          </w:tcPr>
          <w:p w14:paraId="00100703" w14:textId="00100736">
            <w:pPr>
              <w:pStyle w:val="Normal"/>
              <w:jc w:val="left"/>
            </w:pPr>
            <w:r>
              <w:t xml:space="preserve">-1.9%</w:t>
            </w:r>
          </w:p>
        </w:tc>
      </w:tr>
      <w:tr>
        <w:tc>
          <w:tcPr>
            <w:vAlign w:val="center"/>
            <w:tcBorders>
              <w:top w:val="single" w:sz="4" w:space="0" w:color="auto"/>
              <w:left w:val="single" w:sz="4" w:space="0" w:color="auto"/>
              <w:bottom w:val="single" w:sz="4" w:space="0" w:color="auto"/>
              <w:right w:val="single" w:sz="4" w:space="0" w:color="auto"/>
            </w:tcBorders>
          </w:tcPr>
          <w:p w14:paraId="00100705" w14:textId="00100737">
            <w:pPr>
              <w:pStyle w:val="Normal"/>
              <w:jc w:val="left"/>
            </w:pPr>
            <w:r>
              <w:t xml:space="preserve">Direct fuel use (MWh)</w:t>
            </w:r>
          </w:p>
        </w:tc>
        <w:tc>
          <w:tcPr>
            <w:vAlign w:val="center"/>
            <w:tcBorders>
              <w:top w:val="single" w:sz="4" w:space="0" w:color="auto"/>
              <w:left w:val="single" w:sz="4" w:space="0" w:color="auto"/>
              <w:bottom w:val="single" w:sz="4" w:space="0" w:color="auto"/>
              <w:right w:val="single" w:sz="4" w:space="0" w:color="auto"/>
            </w:tcBorders>
          </w:tcPr>
          <w:p w14:paraId="00100707" w14:textId="00100738">
            <w:pPr>
              <w:pStyle w:val="Normal"/>
              <w:jc w:val="left"/>
            </w:pPr>
            <w:r>
              <w:t xml:space="preserve">542,000</w:t>
            </w:r>
          </w:p>
        </w:tc>
        <w:tc>
          <w:tcPr>
            <w:vAlign w:val="center"/>
            <w:tcBorders>
              <w:top w:val="single" w:sz="4" w:space="0" w:color="auto"/>
              <w:left w:val="single" w:sz="4" w:space="0" w:color="auto"/>
              <w:bottom w:val="single" w:sz="4" w:space="0" w:color="auto"/>
              <w:right w:val="single" w:sz="4" w:space="0" w:color="auto"/>
            </w:tcBorders>
          </w:tcPr>
          <w:p w14:paraId="00100709" w14:textId="00100739">
            <w:pPr>
              <w:pStyle w:val="Normal"/>
              <w:jc w:val="left"/>
            </w:pPr>
            <w:r>
              <w:t xml:space="preserve">522,000</w:t>
            </w:r>
          </w:p>
        </w:tc>
        <w:tc>
          <w:tcPr>
            <w:vAlign w:val="center"/>
            <w:tcBorders>
              <w:top w:val="single" w:sz="4" w:space="0" w:color="auto"/>
              <w:left w:val="single" w:sz="4" w:space="0" w:color="auto"/>
              <w:bottom w:val="single" w:sz="4" w:space="0" w:color="auto"/>
              <w:right w:val="single" w:sz="4" w:space="0" w:color="auto"/>
            </w:tcBorders>
          </w:tcPr>
          <w:p w14:paraId="0010070B" w14:textId="0010073A">
            <w:pPr>
              <w:pStyle w:val="Normal"/>
              <w:jc w:val="left"/>
            </w:pPr>
            <w:r>
              <w:t xml:space="preserve">511,000</w:t>
            </w:r>
          </w:p>
        </w:tc>
        <w:tc>
          <w:tcPr>
            <w:vAlign w:val="center"/>
            <w:tcBorders>
              <w:top w:val="single" w:sz="4" w:space="0" w:color="auto"/>
              <w:left w:val="single" w:sz="4" w:space="0" w:color="auto"/>
              <w:bottom w:val="single" w:sz="4" w:space="0" w:color="auto"/>
              <w:right w:val="single" w:sz="4" w:space="0" w:color="auto"/>
            </w:tcBorders>
          </w:tcPr>
          <w:p w14:paraId="0010070D" w14:textId="0010073B">
            <w:pPr>
              <w:pStyle w:val="Normal"/>
              <w:jc w:val="left"/>
            </w:pPr>
            <w:r>
              <w:t xml:space="preserve">-2.1%</w:t>
            </w:r>
          </w:p>
        </w:tc>
      </w:tr>
      <w:tr>
        <w:tc>
          <w:tcPr>
            <w:vAlign w:val="center"/>
            <w:tcBorders>
              <w:top w:val="single" w:sz="4" w:space="0" w:color="auto"/>
              <w:left w:val="single" w:sz="4" w:space="0" w:color="auto"/>
              <w:bottom w:val="single" w:sz="4" w:space="0" w:color="auto"/>
              <w:right w:val="single" w:sz="4" w:space="0" w:color="auto"/>
            </w:tcBorders>
          </w:tcPr>
          <w:p w14:paraId="0010070F" w14:textId="0010073C">
            <w:pPr>
              <w:pStyle w:val="Normal"/>
              <w:jc w:val="left"/>
            </w:pPr>
            <w:r>
              <w:t xml:space="preserve">Water withdrawal (thousand m³)</w:t>
            </w:r>
          </w:p>
        </w:tc>
        <w:tc>
          <w:tcPr>
            <w:vAlign w:val="center"/>
            <w:tcBorders>
              <w:top w:val="single" w:sz="4" w:space="0" w:color="auto"/>
              <w:left w:val="single" w:sz="4" w:space="0" w:color="auto"/>
              <w:bottom w:val="single" w:sz="4" w:space="0" w:color="auto"/>
              <w:right w:val="single" w:sz="4" w:space="0" w:color="auto"/>
            </w:tcBorders>
          </w:tcPr>
          <w:p w14:paraId="00100711" w14:textId="0010073D">
            <w:pPr>
              <w:pStyle w:val="Normal"/>
              <w:jc w:val="left"/>
            </w:pPr>
            <w:r>
              <w:t xml:space="preserve">3,980</w:t>
            </w:r>
          </w:p>
        </w:tc>
        <w:tc>
          <w:tcPr>
            <w:vAlign w:val="center"/>
            <w:tcBorders>
              <w:top w:val="single" w:sz="4" w:space="0" w:color="auto"/>
              <w:left w:val="single" w:sz="4" w:space="0" w:color="auto"/>
              <w:bottom w:val="single" w:sz="4" w:space="0" w:color="auto"/>
              <w:right w:val="single" w:sz="4" w:space="0" w:color="auto"/>
            </w:tcBorders>
          </w:tcPr>
          <w:p w14:paraId="00100713" w14:textId="0010073E">
            <w:pPr>
              <w:pStyle w:val="Normal"/>
              <w:jc w:val="left"/>
            </w:pPr>
            <w:r>
              <w:t xml:space="preserve">3,910</w:t>
            </w:r>
          </w:p>
        </w:tc>
        <w:tc>
          <w:tcPr>
            <w:vAlign w:val="center"/>
            <w:tcBorders>
              <w:top w:val="single" w:sz="4" w:space="0" w:color="auto"/>
              <w:left w:val="single" w:sz="4" w:space="0" w:color="auto"/>
              <w:bottom w:val="single" w:sz="4" w:space="0" w:color="auto"/>
              <w:right w:val="single" w:sz="4" w:space="0" w:color="auto"/>
            </w:tcBorders>
          </w:tcPr>
          <w:p w14:paraId="00100715" w14:textId="0010073F">
            <w:pPr>
              <w:pStyle w:val="Normal"/>
              <w:jc w:val="left"/>
            </w:pPr>
            <w:r>
              <w:t xml:space="preserve">3,905</w:t>
            </w:r>
          </w:p>
        </w:tc>
        <w:tc>
          <w:tcPr>
            <w:vAlign w:val="center"/>
            <w:tcBorders>
              <w:top w:val="single" w:sz="4" w:space="0" w:color="auto"/>
              <w:left w:val="single" w:sz="4" w:space="0" w:color="auto"/>
              <w:bottom w:val="single" w:sz="4" w:space="0" w:color="auto"/>
              <w:right w:val="single" w:sz="4" w:space="0" w:color="auto"/>
            </w:tcBorders>
          </w:tcPr>
          <w:p w14:paraId="00100717" w14:textId="00100740">
            <w:pPr>
              <w:pStyle w:val="Normal"/>
              <w:jc w:val="left"/>
            </w:pPr>
            <w:r>
              <w:t xml:space="preserve">-0.1%</w:t>
            </w:r>
          </w:p>
        </w:tc>
      </w:tr>
      <w:tr>
        <w:tc>
          <w:tcPr>
            <w:vAlign w:val="center"/>
            <w:tcBorders>
              <w:top w:val="single" w:sz="4" w:space="0" w:color="auto"/>
              <w:left w:val="single" w:sz="4" w:space="0" w:color="auto"/>
              <w:bottom w:val="single" w:sz="4" w:space="0" w:color="auto"/>
              <w:right w:val="single" w:sz="4" w:space="0" w:color="auto"/>
            </w:tcBorders>
          </w:tcPr>
          <w:p w14:paraId="00100719" w14:textId="00100741">
            <w:pPr>
              <w:pStyle w:val="Normal"/>
              <w:jc w:val="left"/>
            </w:pPr>
            <w:r>
              <w:t xml:space="preserve">Water intensity (m³ / $m revenue)</w:t>
            </w:r>
          </w:p>
        </w:tc>
        <w:tc>
          <w:tcPr>
            <w:vAlign w:val="center"/>
            <w:tcBorders>
              <w:top w:val="single" w:sz="4" w:space="0" w:color="auto"/>
              <w:left w:val="single" w:sz="4" w:space="0" w:color="auto"/>
              <w:bottom w:val="single" w:sz="4" w:space="0" w:color="auto"/>
              <w:right w:val="single" w:sz="4" w:space="0" w:color="auto"/>
            </w:tcBorders>
          </w:tcPr>
          <w:p w14:paraId="0010071B" w14:textId="00100742">
            <w:pPr>
              <w:pStyle w:val="Normal"/>
              <w:jc w:val="left"/>
            </w:pPr>
            <w:r>
              <w:t xml:space="preserve">1,278</w:t>
            </w:r>
          </w:p>
        </w:tc>
        <w:tc>
          <w:tcPr>
            <w:vAlign w:val="center"/>
            <w:tcBorders>
              <w:top w:val="single" w:sz="4" w:space="0" w:color="auto"/>
              <w:left w:val="single" w:sz="4" w:space="0" w:color="auto"/>
              <w:bottom w:val="single" w:sz="4" w:space="0" w:color="auto"/>
              <w:right w:val="single" w:sz="4" w:space="0" w:color="auto"/>
            </w:tcBorders>
          </w:tcPr>
          <w:p w14:paraId="0010071D" w14:textId="00100743">
            <w:pPr>
              <w:pStyle w:val="Normal"/>
              <w:jc w:val="left"/>
            </w:pPr>
            <w:r>
              <w:t xml:space="preserve">1,254</w:t>
            </w:r>
          </w:p>
        </w:tc>
        <w:tc>
          <w:tcPr>
            <w:vAlign w:val="center"/>
            <w:tcBorders>
              <w:top w:val="single" w:sz="4" w:space="0" w:color="auto"/>
              <w:left w:val="single" w:sz="4" w:space="0" w:color="auto"/>
              <w:bottom w:val="single" w:sz="4" w:space="0" w:color="auto"/>
              <w:right w:val="single" w:sz="4" w:space="0" w:color="auto"/>
            </w:tcBorders>
          </w:tcPr>
          <w:p w14:paraId="0010071F" w14:textId="00100744">
            <w:pPr>
              <w:pStyle w:val="Normal"/>
              <w:jc w:val="left"/>
            </w:pPr>
            <w:r>
              <w:t xml:space="preserve">1,224</w:t>
            </w:r>
          </w:p>
        </w:tc>
        <w:tc>
          <w:tcPr>
            <w:vAlign w:val="center"/>
            <w:tcBorders>
              <w:top w:val="single" w:sz="4" w:space="0" w:color="auto"/>
              <w:left w:val="single" w:sz="4" w:space="0" w:color="auto"/>
              <w:bottom w:val="single" w:sz="4" w:space="0" w:color="auto"/>
              <w:right w:val="single" w:sz="4" w:space="0" w:color="auto"/>
            </w:tcBorders>
          </w:tcPr>
          <w:p w14:paraId="00100721" w14:textId="00100745">
            <w:pPr>
              <w:pStyle w:val="Normal"/>
              <w:jc w:val="left"/>
            </w:pPr>
            <w:r>
              <w:t xml:space="preserve">-2.4%</w:t>
            </w:r>
          </w:p>
        </w:tc>
      </w:tr>
    </w:tbl>
    <w:p w14:paraId="00100746" w14:textId="00100747">
      <w:pPr>
        <w:pStyle w:val="Normal"/>
        <w:jc w:val="left"/>
      </w:pPr>
      <w:r>
        <w:t xml:space="preserve">Table 9 Energy and water KPIs</w:t>
      </w:r>
    </w:p>
    <w:p w14:paraId="00100748" w14:textId="0010074A">
      <w:pPr>
        <w:pStyle w:val="Normal"/>
        <w:jc w:val="left"/>
      </w:pPr>
      <w:r>
        <w:t xml:space="preserve">Source:</w:t>
      </w:r>
      <w:r>
        <w:t xml:space="preserve"> Rivermark Group sustainability reporting system; includes controlled operations within the 2024 reporting perimeter. Intensity indicators use annual revenue or production activity as applicable, and prior-period figures reflect minor scope restatements for comparability.</w:t>
      </w:r>
    </w:p>
    <w:p w14:paraId="0010074B" w14:textId="0010074C">
      <w:pPr>
        <w:pStyle w:val="Normal"/>
        <w:jc w:val="left"/>
      </w:pPr>
      <w:r>
        <w:t xml:space="preserve">1.2 Emissions Trend</w:t>
      </w:r>
    </w:p>
    <w:p w14:paraId="0010074D" w14:textId="0010074E">
      <w:pPr>
        <w:pStyle w:val="Normal"/>
        <w:jc w:val="left"/>
      </w:pPr>
      <w:r>
        <w:t xml:space="preserve">The emissions trend presented in this section covers the Group’s operational greenhouse gas profile across the 2022 to 2024 reporting periods. The boundary aligns with entities under Rivermark Group management control and includes manufacturing sites, logistics facilities operated directly by the Group, offices, and service delivery locations with material energy demand. Reported emissions primarily reflect Scope 1 and Scope 2 sources, including stationary fuel combustion, company-controlled mobile fuel use, and purchased electricity consumption. Smaller sources are aggregated where individually immaterial but remain within the consolidated total.</w:t>
      </w:r>
    </w:p>
    <w:p w14:paraId="0010074F" w14:textId="00100750">
      <w:pPr>
        <w:pStyle w:val="Normal"/>
        <w:jc w:val="left"/>
      </w:pPr>
      <w:r>
        <w:t xml:space="preserve">For year-on-year analysis, Rivermark Group applies a consistent perimeter unless a structural change materially affects comparability. Where acquisitions, closures, or metering improvements alter the underlying dataset, prior-year figures are restated only when management judges that the adjustment improves decision usefulness. The trend therefore highlights both absolute emissions and the effect of operational efficiency measures, production levels, and electricity procurement patterns. In 2024, the downward movement was supported by lower fuel consumption at major industrial sites and a modest reduction in grid-related electricity emissions through procurement mix changes. The chart is intended to show directional progress rather than a full technical emissions inventory, and should be read together with the resource-use metrics and operational context discussed above.</w:t>
      </w:r>
    </w:p>
    <w:p w14:paraId="00100751" w14:textId="00100752">
      <w:pPr>
        <w:pStyle w:val="Normal"/>
        <w:jc w:val="left"/>
      </w:pPr>
      <w:r>
        <w:drawing>
          <wp:inline distT="0" distB="0" distL="0" distR="0">
            <wp:extent cx="4320000" cy="2160000"/>
            <wp:effectExtent l="0" t="0" r="0" b="0"/>
            <wp:docPr id="16" name="Fig-I10-02.png" descr=""/>
            <wp:cNvGraphicFramePr>
              <a:graphicFrameLocks noChangeAspect="1"/>
            </wp:cNvGraphicFramePr>
            <a:graphic>
              <a:graphicData uri="http://schemas.openxmlformats.org/drawingml/2006/picture">
                <pic:pic>
                  <pic:nvPicPr>
                    <pic:cNvPr id="16" name="Fig-I10-02.png"/>
                    <pic:cNvPicPr/>
                  </pic:nvPicPr>
                  <pic:blipFill>
                    <a:blip r:embed="R68f758b6272e4277" cstate="print"/>
                    <a:stretch>
                      <a:fillRect/>
                    </a:stretch>
                  </pic:blipFill>
                  <pic:spPr>
                    <a:xfrm>
                      <a:off x="0" y="0"/>
                      <a:ext cx="3960000" cy="2520000"/>
                    </a:xfrm>
                    <a:prstGeom prst="rect">
                      <a:avLst/>
                    </a:prstGeom>
                  </pic:spPr>
                </pic:pic>
              </a:graphicData>
            </a:graphic>
          </wp:inline>
        </w:drawing>
      </w:r>
    </w:p>
    <w:p w14:paraId="00100753" w14:textId="00100754">
      <w:pPr>
        <w:pStyle w:val="Normal"/>
        <w:jc w:val="left"/>
      </w:pPr>
      <w:r>
        <w:t xml:space="preserve">Figure 29 Emissions trend across periods</w:t>
      </w:r>
    </w:p>
    <w:p w14:paraId="00100755" w14:textId="00100757">
      <w:pPr>
        <w:pStyle w:val="Normal"/>
        <w:jc w:val="left"/>
      </w:pPr>
      <w:r>
        <w:t xml:space="preserve">Source:</w:t>
      </w:r>
      <w:r>
        <w:t xml:space="preserve"> Rivermark Group environmental dataset, based on management-control boundary and internal conversion factors applied consistently across the periods shown.</w:t>
      </w:r>
    </w:p>
    <w:p w14:paraId="00100758" w14:textId="00100759">
      <w:pPr>
        <w:pStyle w:val="Normal"/>
        <w:jc w:val="left"/>
      </w:pPr>
      <w:r>
        <w:t xml:space="preserve">Figure 30 Emissions by source category</w:t>
      </w:r>
    </w:p>
    <w:p w14:paraId="0010075A" w14:textId="0010075B">
      <w:pPr>
        <w:pStyle w:val="Normal"/>
        <w:jc w:val="left"/>
      </w:pPr>
      <w:r>
        <w:t xml:space="preserve">Subsection 2 Social and Safety</w:t>
      </w:r>
    </w:p>
    <w:p w14:paraId="0010075C" w14:textId="0010075D">
      <w:pPr>
        <w:pStyle w:val="Normal"/>
        <w:jc w:val="left"/>
      </w:pPr>
      <w:r>
        <w:t xml:space="preserve">Rivermark Group’s social and safety agenda focuses on workforce stability, capability development, and the reduction of operational harm across industrial, consumer, and service environments. At year end, the Group employed a diversified workforce spanning production, logistics, sales, engineering, digital support, and field service roles. Labor demand remained strongest in technical operations and customer-facing service delivery, while staffing levels in support functions were managed with greater discipline. The Group continued to emphasize targeted hiring, frontline retention, and practical skills development in order to support service quality and production continuity.</w:t>
      </w:r>
    </w:p>
    <w:p w14:paraId="0010075E" w14:textId="0010075F">
      <w:pPr>
        <w:pStyle w:val="Normal"/>
        <w:jc w:val="left"/>
      </w:pPr>
      <w:r>
        <w:t xml:space="preserve">Safety performance remained a core operating priority, particularly in sites with manufacturing equipment, vehicle movement, and contractor activity. During the year, management expanded supervisor-led safety observations, refreshed mandatory induction content, and increased the use of near-miss reporting to identify recurring hazards before incidents occurred. Training programs covered operational safety, role-specific technical skills, and leadership expectations for line managers. Although overall incident frequency improved, performance was not uniform across all locations, and several sites required additional corrective action related to traffic segregation, manual handling, and contractor controls. The Group’s social indicators and safety measures are reviewed monthly by segment leadership and quarterly by the executive team, with an emphasis on trend analysis, accountability, and practical preventive action rather than narrow compliance reporting alone.</w:t>
      </w:r>
    </w:p>
    <w:p w14:paraId="00100760" w14:textId="00100761">
      <w:pPr>
        <w:pStyle w:val="Normal"/>
        <w:jc w:val="left"/>
      </w:pPr>
      <w:r>
        <w:t xml:space="preserve">2.1 People Metrics</w:t>
      </w:r>
    </w:p>
    <w:p w14:paraId="00100762" w14:textId="00100763">
      <w:pPr>
        <w:pStyle w:val="Normal"/>
        <w:jc w:val="left"/>
      </w:pPr>
      <w:r>
        <w:t xml:space="preserve">Rivermark Group employed 18,640 people at year end, compared with 17,980 in the prior year, with the increase mainly attributable to selective hiring in Services, additional technical roles in Industrial maintenance, and front-line staffing to support Consumer channel expansion. Workforce growth remained measured rather than broad-based. The Group continued to rebalance roles toward higher-skill positions in engineering, digital operations, customer service delivery, and quality management, while maintaining tight control over support function headcount. Regional staffing remained diversified across operating hubs, production sites, service centers, and commercial offices, reducing concentration risk and supporting continuity across markets.</w:t>
      </w:r>
    </w:p>
    <w:p w14:paraId="00100764" w14:textId="00100765">
      <w:pPr>
        <w:pStyle w:val="Normal"/>
        <w:jc w:val="left"/>
      </w:pPr>
      <w:r>
        <w:t xml:space="preserve">Training activity focused on job readiness, supervisory capability, compliance, and safety. Total training hours increased as Rivermark Group expanded onboarding for newly hired employees, refreshed mandatory control and ethics modules, and added role-specific technical curricula in plant operations, field service, and digital sales tools. Average training hours per employee improved modestly, reflecting broader participation rather than isolated intensive programs. Management views these people indicators as operational metrics as well as social indicators: stable retention in critical roles, sustained investment in skills, and disciplined workforce planning support service quality, productivity, and safer execution. While labor markets remained competitive in several specialized occupations, the overall people profile at year end was stronger, with deeper bench strength in operational leadership and better alignment between training content and business needs.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766" w14:textId="0010079E">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768" w14:textId="0010079F">
            <w:pPr>
              <w:pStyle w:val="Normal"/>
              <w:jc w:val="left"/>
            </w:pPr>
            <w:r>
              <w:t xml:space="preserve">Current Year</w:t>
            </w:r>
          </w:p>
        </w:tc>
        <w:tc>
          <w:tcPr>
            <w:vAlign w:val="center"/>
            <w:tcBorders>
              <w:top w:val="single" w:sz="4" w:space="0" w:color="auto"/>
              <w:left w:val="single" w:sz="4" w:space="0" w:color="auto"/>
              <w:bottom w:val="single" w:sz="4" w:space="0" w:color="auto"/>
              <w:right w:val="single" w:sz="4" w:space="0" w:color="auto"/>
            </w:tcBorders>
          </w:tcPr>
          <w:p w14:paraId="0010076A" w14:textId="001007A0">
            <w:pPr>
              <w:pStyle w:val="Normal"/>
              <w:jc w:val="left"/>
            </w:pPr>
            <w:r>
              <w:t xml:space="preserve">Prior Year</w:t>
            </w:r>
          </w:p>
        </w:tc>
        <w:tc>
          <w:tcPr>
            <w:vAlign w:val="center"/>
            <w:tcBorders>
              <w:top w:val="single" w:sz="4" w:space="0" w:color="auto"/>
              <w:left w:val="single" w:sz="4" w:space="0" w:color="auto"/>
              <w:bottom w:val="single" w:sz="4" w:space="0" w:color="auto"/>
              <w:right w:val="single" w:sz="4" w:space="0" w:color="auto"/>
            </w:tcBorders>
          </w:tcPr>
          <w:p w14:paraId="0010076C" w14:textId="001007A1">
            <w:pPr>
              <w:pStyle w:val="Normal"/>
              <w:jc w:val="left"/>
            </w:pPr>
            <w:r>
              <w:t xml:space="preserve">Change</w:t>
            </w:r>
          </w:p>
        </w:tc>
      </w:tr>
      <w:tr>
        <w:tc>
          <w:tcPr>
            <w:vAlign w:val="center"/>
            <w:tcBorders>
              <w:top w:val="single" w:sz="4" w:space="0" w:color="auto"/>
              <w:left w:val="single" w:sz="4" w:space="0" w:color="auto"/>
              <w:bottom w:val="single" w:sz="4" w:space="0" w:color="auto"/>
              <w:right w:val="single" w:sz="4" w:space="0" w:color="auto"/>
            </w:tcBorders>
          </w:tcPr>
          <w:p w14:paraId="0010076E" w14:textId="001007A2">
            <w:pPr>
              <w:pStyle w:val="Normal"/>
              <w:jc w:val="left"/>
            </w:pPr>
            <w:r>
              <w:t xml:space="preserve">Total headcount</w:t>
            </w:r>
          </w:p>
        </w:tc>
        <w:tc>
          <w:tcPr>
            <w:vAlign w:val="center"/>
            <w:tcBorders>
              <w:top w:val="single" w:sz="4" w:space="0" w:color="auto"/>
              <w:left w:val="single" w:sz="4" w:space="0" w:color="auto"/>
              <w:bottom w:val="single" w:sz="4" w:space="0" w:color="auto"/>
              <w:right w:val="single" w:sz="4" w:space="0" w:color="auto"/>
            </w:tcBorders>
          </w:tcPr>
          <w:p w14:paraId="00100770" w14:textId="001007A3">
            <w:pPr>
              <w:pStyle w:val="Normal"/>
              <w:jc w:val="left"/>
            </w:pPr>
            <w:r>
              <w:t xml:space="preserve">18,640</w:t>
            </w:r>
          </w:p>
        </w:tc>
        <w:tc>
          <w:tcPr>
            <w:vAlign w:val="center"/>
            <w:tcBorders>
              <w:top w:val="single" w:sz="4" w:space="0" w:color="auto"/>
              <w:left w:val="single" w:sz="4" w:space="0" w:color="auto"/>
              <w:bottom w:val="single" w:sz="4" w:space="0" w:color="auto"/>
              <w:right w:val="single" w:sz="4" w:space="0" w:color="auto"/>
            </w:tcBorders>
          </w:tcPr>
          <w:p w14:paraId="00100772" w14:textId="001007A4">
            <w:pPr>
              <w:pStyle w:val="Normal"/>
              <w:jc w:val="left"/>
            </w:pPr>
            <w:r>
              <w:t xml:space="preserve">17,980</w:t>
            </w:r>
          </w:p>
        </w:tc>
        <w:tc>
          <w:tcPr>
            <w:vAlign w:val="center"/>
            <w:tcBorders>
              <w:top w:val="single" w:sz="4" w:space="0" w:color="auto"/>
              <w:left w:val="single" w:sz="4" w:space="0" w:color="auto"/>
              <w:bottom w:val="single" w:sz="4" w:space="0" w:color="auto"/>
              <w:right w:val="single" w:sz="4" w:space="0" w:color="auto"/>
            </w:tcBorders>
          </w:tcPr>
          <w:p w14:paraId="00100774" w14:textId="001007A5">
            <w:pPr>
              <w:pStyle w:val="Normal"/>
              <w:jc w:val="left"/>
            </w:pPr>
            <w:r>
              <w:t xml:space="preserve">+660</w:t>
            </w:r>
          </w:p>
        </w:tc>
      </w:tr>
      <w:tr>
        <w:tc>
          <w:tcPr>
            <w:vAlign w:val="center"/>
            <w:tcBorders>
              <w:top w:val="single" w:sz="4" w:space="0" w:color="auto"/>
              <w:left w:val="single" w:sz="4" w:space="0" w:color="auto"/>
              <w:bottom w:val="single" w:sz="4" w:space="0" w:color="auto"/>
              <w:right w:val="single" w:sz="4" w:space="0" w:color="auto"/>
            </w:tcBorders>
          </w:tcPr>
          <w:p w14:paraId="00100776" w14:textId="001007A6">
            <w:pPr>
              <w:pStyle w:val="Normal"/>
              <w:jc w:val="left"/>
            </w:pPr>
            <w:r>
              <w:t xml:space="preserve">Female employees (%)</w:t>
            </w:r>
          </w:p>
        </w:tc>
        <w:tc>
          <w:tcPr>
            <w:vAlign w:val="center"/>
            <w:tcBorders>
              <w:top w:val="single" w:sz="4" w:space="0" w:color="auto"/>
              <w:left w:val="single" w:sz="4" w:space="0" w:color="auto"/>
              <w:bottom w:val="single" w:sz="4" w:space="0" w:color="auto"/>
              <w:right w:val="single" w:sz="4" w:space="0" w:color="auto"/>
            </w:tcBorders>
          </w:tcPr>
          <w:p w14:paraId="00100778" w14:textId="001007A7">
            <w:pPr>
              <w:pStyle w:val="Normal"/>
              <w:jc w:val="left"/>
            </w:pPr>
            <w:r>
              <w:t xml:space="preserve">39.2%</w:t>
            </w:r>
          </w:p>
        </w:tc>
        <w:tc>
          <w:tcPr>
            <w:vAlign w:val="center"/>
            <w:tcBorders>
              <w:top w:val="single" w:sz="4" w:space="0" w:color="auto"/>
              <w:left w:val="single" w:sz="4" w:space="0" w:color="auto"/>
              <w:bottom w:val="single" w:sz="4" w:space="0" w:color="auto"/>
              <w:right w:val="single" w:sz="4" w:space="0" w:color="auto"/>
            </w:tcBorders>
          </w:tcPr>
          <w:p w14:paraId="0010077A" w14:textId="001007A8">
            <w:pPr>
              <w:pStyle w:val="Normal"/>
              <w:jc w:val="left"/>
            </w:pPr>
            <w:r>
              <w:t xml:space="preserve">38.4%</w:t>
            </w:r>
          </w:p>
        </w:tc>
        <w:tc>
          <w:tcPr>
            <w:vAlign w:val="center"/>
            <w:tcBorders>
              <w:top w:val="single" w:sz="4" w:space="0" w:color="auto"/>
              <w:left w:val="single" w:sz="4" w:space="0" w:color="auto"/>
              <w:bottom w:val="single" w:sz="4" w:space="0" w:color="auto"/>
              <w:right w:val="single" w:sz="4" w:space="0" w:color="auto"/>
            </w:tcBorders>
          </w:tcPr>
          <w:p w14:paraId="0010077C" w14:textId="001007A9">
            <w:pPr>
              <w:pStyle w:val="Normal"/>
              <w:jc w:val="left"/>
            </w:pPr>
            <w:r>
              <w:t xml:space="preserve">+0.8 pp</w:t>
            </w:r>
          </w:p>
        </w:tc>
      </w:tr>
      <w:tr>
        <w:tc>
          <w:tcPr>
            <w:vAlign w:val="center"/>
            <w:tcBorders>
              <w:top w:val="single" w:sz="4" w:space="0" w:color="auto"/>
              <w:left w:val="single" w:sz="4" w:space="0" w:color="auto"/>
              <w:bottom w:val="single" w:sz="4" w:space="0" w:color="auto"/>
              <w:right w:val="single" w:sz="4" w:space="0" w:color="auto"/>
            </w:tcBorders>
          </w:tcPr>
          <w:p w14:paraId="0010077E" w14:textId="001007AA">
            <w:pPr>
              <w:pStyle w:val="Normal"/>
              <w:jc w:val="left"/>
            </w:pPr>
            <w:r>
              <w:t xml:space="preserve">Voluntary turnover (%)</w:t>
            </w:r>
          </w:p>
        </w:tc>
        <w:tc>
          <w:tcPr>
            <w:vAlign w:val="center"/>
            <w:tcBorders>
              <w:top w:val="single" w:sz="4" w:space="0" w:color="auto"/>
              <w:left w:val="single" w:sz="4" w:space="0" w:color="auto"/>
              <w:bottom w:val="single" w:sz="4" w:space="0" w:color="auto"/>
              <w:right w:val="single" w:sz="4" w:space="0" w:color="auto"/>
            </w:tcBorders>
          </w:tcPr>
          <w:p w14:paraId="00100780" w14:textId="001007AB">
            <w:pPr>
              <w:pStyle w:val="Normal"/>
              <w:jc w:val="left"/>
            </w:pPr>
            <w:r>
              <w:t xml:space="preserve">11.6%</w:t>
            </w:r>
          </w:p>
        </w:tc>
        <w:tc>
          <w:tcPr>
            <w:vAlign w:val="center"/>
            <w:tcBorders>
              <w:top w:val="single" w:sz="4" w:space="0" w:color="auto"/>
              <w:left w:val="single" w:sz="4" w:space="0" w:color="auto"/>
              <w:bottom w:val="single" w:sz="4" w:space="0" w:color="auto"/>
              <w:right w:val="single" w:sz="4" w:space="0" w:color="auto"/>
            </w:tcBorders>
          </w:tcPr>
          <w:p w14:paraId="00100782" w14:textId="001007AC">
            <w:pPr>
              <w:pStyle w:val="Normal"/>
              <w:jc w:val="left"/>
            </w:pPr>
            <w:r>
              <w:t xml:space="preserve">12.3%</w:t>
            </w:r>
          </w:p>
        </w:tc>
        <w:tc>
          <w:tcPr>
            <w:vAlign w:val="center"/>
            <w:tcBorders>
              <w:top w:val="single" w:sz="4" w:space="0" w:color="auto"/>
              <w:left w:val="single" w:sz="4" w:space="0" w:color="auto"/>
              <w:bottom w:val="single" w:sz="4" w:space="0" w:color="auto"/>
              <w:right w:val="single" w:sz="4" w:space="0" w:color="auto"/>
            </w:tcBorders>
          </w:tcPr>
          <w:p w14:paraId="00100784" w14:textId="001007AD">
            <w:pPr>
              <w:pStyle w:val="Normal"/>
              <w:jc w:val="left"/>
            </w:pPr>
            <w:r>
              <w:t xml:space="preserve">-0.7 pp</w:t>
            </w:r>
          </w:p>
        </w:tc>
      </w:tr>
      <w:tr>
        <w:tc>
          <w:tcPr>
            <w:vAlign w:val="center"/>
            <w:tcBorders>
              <w:top w:val="single" w:sz="4" w:space="0" w:color="auto"/>
              <w:left w:val="single" w:sz="4" w:space="0" w:color="auto"/>
              <w:bottom w:val="single" w:sz="4" w:space="0" w:color="auto"/>
              <w:right w:val="single" w:sz="4" w:space="0" w:color="auto"/>
            </w:tcBorders>
          </w:tcPr>
          <w:p w14:paraId="00100786" w14:textId="001007AE">
            <w:pPr>
              <w:pStyle w:val="Normal"/>
              <w:jc w:val="left"/>
            </w:pPr>
            <w:r>
              <w:t xml:space="preserve">Total training hours</w:t>
            </w:r>
          </w:p>
        </w:tc>
        <w:tc>
          <w:tcPr>
            <w:vAlign w:val="center"/>
            <w:tcBorders>
              <w:top w:val="single" w:sz="4" w:space="0" w:color="auto"/>
              <w:left w:val="single" w:sz="4" w:space="0" w:color="auto"/>
              <w:bottom w:val="single" w:sz="4" w:space="0" w:color="auto"/>
              <w:right w:val="single" w:sz="4" w:space="0" w:color="auto"/>
            </w:tcBorders>
          </w:tcPr>
          <w:p w14:paraId="00100788" w14:textId="001007AF">
            <w:pPr>
              <w:pStyle w:val="Normal"/>
              <w:jc w:val="left"/>
            </w:pPr>
            <w:r>
              <w:t xml:space="preserve">412,500</w:t>
            </w:r>
          </w:p>
        </w:tc>
        <w:tc>
          <w:tcPr>
            <w:vAlign w:val="center"/>
            <w:tcBorders>
              <w:top w:val="single" w:sz="4" w:space="0" w:color="auto"/>
              <w:left w:val="single" w:sz="4" w:space="0" w:color="auto"/>
              <w:bottom w:val="single" w:sz="4" w:space="0" w:color="auto"/>
              <w:right w:val="single" w:sz="4" w:space="0" w:color="auto"/>
            </w:tcBorders>
          </w:tcPr>
          <w:p w14:paraId="0010078A" w14:textId="001007B0">
            <w:pPr>
              <w:pStyle w:val="Normal"/>
              <w:jc w:val="left"/>
            </w:pPr>
            <w:r>
              <w:t xml:space="preserve">371,200</w:t>
            </w:r>
          </w:p>
        </w:tc>
        <w:tc>
          <w:tcPr>
            <w:vAlign w:val="center"/>
            <w:tcBorders>
              <w:top w:val="single" w:sz="4" w:space="0" w:color="auto"/>
              <w:left w:val="single" w:sz="4" w:space="0" w:color="auto"/>
              <w:bottom w:val="single" w:sz="4" w:space="0" w:color="auto"/>
              <w:right w:val="single" w:sz="4" w:space="0" w:color="auto"/>
            </w:tcBorders>
          </w:tcPr>
          <w:p w14:paraId="0010078C" w14:textId="001007B1">
            <w:pPr>
              <w:pStyle w:val="Normal"/>
              <w:jc w:val="left"/>
            </w:pPr>
            <w:r>
              <w:t xml:space="preserve">+41,300</w:t>
            </w:r>
          </w:p>
        </w:tc>
      </w:tr>
      <w:tr>
        <w:tc>
          <w:tcPr>
            <w:vAlign w:val="center"/>
            <w:tcBorders>
              <w:top w:val="single" w:sz="4" w:space="0" w:color="auto"/>
              <w:left w:val="single" w:sz="4" w:space="0" w:color="auto"/>
              <w:bottom w:val="single" w:sz="4" w:space="0" w:color="auto"/>
              <w:right w:val="single" w:sz="4" w:space="0" w:color="auto"/>
            </w:tcBorders>
          </w:tcPr>
          <w:p w14:paraId="0010078E" w14:textId="001007B2">
            <w:pPr>
              <w:pStyle w:val="Normal"/>
              <w:jc w:val="left"/>
            </w:pPr>
            <w:r>
              <w:t xml:space="preserve">Average training hours per employee</w:t>
            </w:r>
          </w:p>
        </w:tc>
        <w:tc>
          <w:tcPr>
            <w:vAlign w:val="center"/>
            <w:tcBorders>
              <w:top w:val="single" w:sz="4" w:space="0" w:color="auto"/>
              <w:left w:val="single" w:sz="4" w:space="0" w:color="auto"/>
              <w:bottom w:val="single" w:sz="4" w:space="0" w:color="auto"/>
              <w:right w:val="single" w:sz="4" w:space="0" w:color="auto"/>
            </w:tcBorders>
          </w:tcPr>
          <w:p w14:paraId="00100790" w14:textId="001007B3">
            <w:pPr>
              <w:pStyle w:val="Normal"/>
              <w:jc w:val="left"/>
            </w:pPr>
            <w:r>
              <w:t xml:space="preserve">22.1</w:t>
            </w:r>
          </w:p>
        </w:tc>
        <w:tc>
          <w:tcPr>
            <w:vAlign w:val="center"/>
            <w:tcBorders>
              <w:top w:val="single" w:sz="4" w:space="0" w:color="auto"/>
              <w:left w:val="single" w:sz="4" w:space="0" w:color="auto"/>
              <w:bottom w:val="single" w:sz="4" w:space="0" w:color="auto"/>
              <w:right w:val="single" w:sz="4" w:space="0" w:color="auto"/>
            </w:tcBorders>
          </w:tcPr>
          <w:p w14:paraId="00100792" w14:textId="001007B4">
            <w:pPr>
              <w:pStyle w:val="Normal"/>
              <w:jc w:val="left"/>
            </w:pPr>
            <w:r>
              <w:t xml:space="preserve">20.6</w:t>
            </w:r>
          </w:p>
        </w:tc>
        <w:tc>
          <w:tcPr>
            <w:vAlign w:val="center"/>
            <w:tcBorders>
              <w:top w:val="single" w:sz="4" w:space="0" w:color="auto"/>
              <w:left w:val="single" w:sz="4" w:space="0" w:color="auto"/>
              <w:bottom w:val="single" w:sz="4" w:space="0" w:color="auto"/>
              <w:right w:val="single" w:sz="4" w:space="0" w:color="auto"/>
            </w:tcBorders>
          </w:tcPr>
          <w:p w14:paraId="00100794" w14:textId="001007B5">
            <w:pPr>
              <w:pStyle w:val="Normal"/>
              <w:jc w:val="left"/>
            </w:pPr>
            <w:r>
              <w:t xml:space="preserve">+1.5</w:t>
            </w:r>
          </w:p>
        </w:tc>
      </w:tr>
      <w:tr>
        <w:tc>
          <w:tcPr>
            <w:vAlign w:val="center"/>
            <w:tcBorders>
              <w:top w:val="single" w:sz="4" w:space="0" w:color="auto"/>
              <w:left w:val="single" w:sz="4" w:space="0" w:color="auto"/>
              <w:bottom w:val="single" w:sz="4" w:space="0" w:color="auto"/>
              <w:right w:val="single" w:sz="4" w:space="0" w:color="auto"/>
            </w:tcBorders>
          </w:tcPr>
          <w:p w14:paraId="00100796" w14:textId="001007B6">
            <w:pPr>
              <w:pStyle w:val="Normal"/>
              <w:jc w:val="left"/>
            </w:pPr>
            <w:r>
              <w:t xml:space="preserve">Managers completing leadership training (%)</w:t>
            </w:r>
          </w:p>
        </w:tc>
        <w:tc>
          <w:tcPr>
            <w:vAlign w:val="center"/>
            <w:tcBorders>
              <w:top w:val="single" w:sz="4" w:space="0" w:color="auto"/>
              <w:left w:val="single" w:sz="4" w:space="0" w:color="auto"/>
              <w:bottom w:val="single" w:sz="4" w:space="0" w:color="auto"/>
              <w:right w:val="single" w:sz="4" w:space="0" w:color="auto"/>
            </w:tcBorders>
          </w:tcPr>
          <w:p w14:paraId="00100798" w14:textId="001007B7">
            <w:pPr>
              <w:pStyle w:val="Normal"/>
              <w:jc w:val="left"/>
            </w:pPr>
            <w:r>
              <w:t xml:space="preserve">93%</w:t>
            </w:r>
          </w:p>
        </w:tc>
        <w:tc>
          <w:tcPr>
            <w:vAlign w:val="center"/>
            <w:tcBorders>
              <w:top w:val="single" w:sz="4" w:space="0" w:color="auto"/>
              <w:left w:val="single" w:sz="4" w:space="0" w:color="auto"/>
              <w:bottom w:val="single" w:sz="4" w:space="0" w:color="auto"/>
              <w:right w:val="single" w:sz="4" w:space="0" w:color="auto"/>
            </w:tcBorders>
          </w:tcPr>
          <w:p w14:paraId="0010079A" w14:textId="001007B8">
            <w:pPr>
              <w:pStyle w:val="Normal"/>
              <w:jc w:val="left"/>
            </w:pPr>
            <w:r>
              <w:t xml:space="preserve">88%</w:t>
            </w:r>
          </w:p>
        </w:tc>
        <w:tc>
          <w:tcPr>
            <w:vAlign w:val="center"/>
            <w:tcBorders>
              <w:top w:val="single" w:sz="4" w:space="0" w:color="auto"/>
              <w:left w:val="single" w:sz="4" w:space="0" w:color="auto"/>
              <w:bottom w:val="single" w:sz="4" w:space="0" w:color="auto"/>
              <w:right w:val="single" w:sz="4" w:space="0" w:color="auto"/>
            </w:tcBorders>
          </w:tcPr>
          <w:p w14:paraId="0010079C" w14:textId="001007B9">
            <w:pPr>
              <w:pStyle w:val="Normal"/>
              <w:jc w:val="left"/>
            </w:pPr>
            <w:r>
              <w:t xml:space="preserve">+5 pp</w:t>
            </w:r>
          </w:p>
        </w:tc>
      </w:tr>
    </w:tbl>
    <w:p w14:paraId="001007BA" w14:textId="001007BB">
      <w:pPr>
        <w:pStyle w:val="Normal"/>
        <w:jc w:val="left"/>
      </w:pPr>
      <w:r>
        <w:t xml:space="preserve">Table 10 People KPI table</w:t>
      </w:r>
    </w:p>
    <w:p w14:paraId="001007BC" w14:textId="001007BE">
      <w:pPr>
        <w:pStyle w:val="Normal"/>
        <w:jc w:val="left"/>
      </w:pPr>
      <w:r>
        <w:t xml:space="preserve">Source:</w:t>
      </w:r>
      <w:r>
        <w:t xml:space="preserve"> Rivermark Group HR records. Headcount is measured at year end; training metrics include mandatory, technical, and leadership programs completed during the reporting year.</w:t>
      </w:r>
    </w:p>
    <w:p w14:paraId="001007BF" w14:textId="001007C0">
      <w:pPr>
        <w:pStyle w:val="Normal"/>
        <w:jc w:val="left"/>
      </w:pPr>
      <w:r>
        <w:t xml:space="preserve">2.2 Safety Trend</w:t>
      </w:r>
    </w:p>
    <w:p w14:paraId="001007C1" w14:textId="001007C2">
      <w:pPr>
        <w:pStyle w:val="Normal"/>
        <w:jc w:val="left"/>
      </w:pPr>
      <w:r>
        <w:t xml:space="preserve">Safety performance remained a central operating priority across Rivermark Group’s industrial facilities, logistics activities, service delivery sites, and office environments. The total recordable incident rate continued its downward trend over the reporting periods shown, supported by tighter site-level supervision, broader use of task risk assessments, and more consistent follow-through on corrective actions after near-miss and incident reviews. Improvement was most visible in locations that combined leadership safety walks with routine refresher training and stricter contractor induction requirements. In higher-risk operations, management also expanded the use of standardized work instructions and pre-task hazard controls, which reduced repeat events associated with manual handling, routine maintenance, and mobile equipment interaction.</w:t>
      </w:r>
    </w:p>
    <w:p w14:paraId="001007C3" w14:textId="001007C4">
      <w:pPr>
        <w:pStyle w:val="Normal"/>
        <w:jc w:val="left"/>
      </w:pPr>
      <w:r>
        <w:t xml:space="preserve">The year’s performance did not eliminate risk, and management continues to monitor exposure areas where activity intensity, onboarding of new employees, or operational changes may temporarily elevate incident potential. Particular attention remains on contractor management, shift transitions, and field service travel. Even so, the trend indicates that Rivermark Group’s safety system is becoming more preventive rather than reactive. The Group is using incident rate data together with leading indicators such as training completion, safety observations, and closure of corrective actions to target intervention earlier in the operating cycle. This broader measurement approach is intended to improve consistency across segments and sustain safety gains as the business grows.</w:t>
      </w:r>
    </w:p>
    <w:p w14:paraId="001007C5" w14:textId="001007C6">
      <w:pPr>
        <w:pStyle w:val="Normal"/>
        <w:jc w:val="left"/>
      </w:pPr>
      <w:r>
        <w:drawing>
          <wp:inline distT="0" distB="0" distL="0" distR="0">
            <wp:extent cx="4320000" cy="2880000"/>
            <wp:effectExtent l="0" t="0" r="0" b="0"/>
            <wp:docPr id="17" name="Fig-I10-03.png" descr=""/>
            <wp:cNvGraphicFramePr>
              <a:graphicFrameLocks noChangeAspect="1"/>
            </wp:cNvGraphicFramePr>
            <a:graphic>
              <a:graphicData uri="http://schemas.openxmlformats.org/drawingml/2006/picture">
                <pic:pic>
                  <pic:nvPicPr>
                    <pic:cNvPr id="17" name="Fig-I10-03.png"/>
                    <pic:cNvPicPr/>
                  </pic:nvPicPr>
                  <pic:blipFill>
                    <a:blip r:embed="R87047193c7684e40" cstate="print"/>
                    <a:stretch>
                      <a:fillRect/>
                    </a:stretch>
                  </pic:blipFill>
                  <pic:spPr>
                    <a:xfrm>
                      <a:off x="0" y="0"/>
                      <a:ext cx="3960000" cy="2520000"/>
                    </a:xfrm>
                    <a:prstGeom prst="rect">
                      <a:avLst/>
                    </a:prstGeom>
                  </pic:spPr>
                </pic:pic>
              </a:graphicData>
            </a:graphic>
          </wp:inline>
        </w:drawing>
      </w:r>
    </w:p>
    <w:p w14:paraId="001007C7" w14:textId="001007C8">
      <w:pPr>
        <w:pStyle w:val="Normal"/>
        <w:jc w:val="left"/>
      </w:pPr>
      <w:r>
        <w:t xml:space="preserve">Figure 31 Safety incident rate trend</w:t>
      </w:r>
    </w:p>
    <w:p w14:paraId="001007C9" w14:textId="001007CB">
      <w:pPr>
        <w:pStyle w:val="Normal"/>
        <w:jc w:val="left"/>
      </w:pPr>
      <w:r>
        <w:t xml:space="preserve">Source:</w:t>
      </w:r>
      <w:r>
        <w:t xml:space="preserve"> Rivermark Group EHS reporting. Incident rate reflects total recordable incidents per million hours worked across controlled operations.</w:t>
      </w:r>
    </w:p>
    <w:p w14:paraId="001007CC" w14:textId="001007CD">
      <w:pPr>
        <w:pStyle w:val="Normal"/>
        <w:jc w:val="left"/>
      </w:pPr>
      <w:r>
        <w:t xml:space="preserve">Figure 32 Safety performance indicators</w:t>
      </w:r>
    </w:p>
    <w:p w14:paraId="00100EF8" w14:textId="00100EF9">
      <w:pPr>
        <w:pStyle w:val="Normal"/>
        <w:jc w:val="left"/>
        <w:sectPr>
          <w:type w:val="nextPage"/>
          <w:pgSz w:w="11906" w:h="16838"/>
          <w:pgMar w:top="1440" w:right="1440" w:bottom="1440" w:left="1440" w:header="1440" w:footer="1440" w:gutter="0"/>
          <w:cols w:space="720" w:num="1"/>
        </w:sectPr>
      </w:pPr>
    </w:p>
    <w:p w14:paraId="001007D2" w14:textId="001007D3">
      <w:pPr>
        <w:pStyle w:val="Normal"/>
        <w:jc w:val="left"/>
      </w:pPr>
      <w:r>
        <w:t xml:space="preserve">Chapter 9 Financial Statements</w:t>
      </w:r>
    </w:p>
    <w:p w14:paraId="001007D4" w14:textId="001007D5">
      <w:pPr>
        <w:pStyle w:val="Normal"/>
        <w:jc w:val="left"/>
      </w:pPr>
      <w:r>
        <w:t xml:space="preserve">This section presents the primary consolidated financial statements of Rivermark Group together with the basis used to prepare them and concise commentary on significant movements during the year. The statement set is designed to show how the Group generated revenue and profit, converted earnings into cash, and managed its assets, liabilities, and equity across the reporting perimeter. Read together, the statements provide a consistent view of operating performance, financial position, liquidity, and capital structure at year end.</w:t>
      </w:r>
    </w:p>
    <w:p w14:paraId="001007D6" w14:textId="001007D7">
      <w:pPr>
        <w:pStyle w:val="Normal"/>
        <w:jc w:val="left"/>
      </w:pPr>
      <w:r>
        <w:t xml:space="preserve">The accompanying basis discussion outlines the reporting scope, principal measurement conventions, and the areas that required management judgment. In keeping with the compact format of this annual report, note disclosures are summarized in later sections, while this chapter focuses on the main line items and the relationships between them. Particular attention should be given to the linkage between operating profit, cash generation, working capital movement, and the closing net asset position, as these measures frame the Group’s overall financial resilience and capacity for future investment.</w:t>
      </w:r>
    </w:p>
    <w:p w14:paraId="001007D8" w14:textId="001007D9">
      <w:pPr>
        <w:pStyle w:val="Normal"/>
        <w:jc w:val="left"/>
      </w:pPr>
      <w:r>
        <w:t xml:space="preserve">Section 1 Statement Set</w:t>
      </w:r>
    </w:p>
    <w:p w14:paraId="001007DA" w14:textId="001007DB">
      <w:pPr>
        <w:pStyle w:val="Normal"/>
        <w:jc w:val="left"/>
      </w:pPr>
      <w:r>
        <w:t xml:space="preserve">The statement set includes the core consolidated statements customarily used to assess the financial performance and position of Rivermark Group. These statements bring together the results of the Group’s controlled entities on a uniform basis and eliminate material intra-group balances and transactions so that external readers can evaluate the business as a single economic unit. The presentation emphasizes comparability between periods and alignment with the operating narrative discussed in the segment chapters.</w:t>
      </w:r>
    </w:p>
    <w:p w14:paraId="001007DC" w14:textId="001007DD">
      <w:pPr>
        <w:pStyle w:val="Normal"/>
        <w:jc w:val="left"/>
      </w:pPr>
      <w:r>
        <w:t xml:space="preserve">Within this section, the performance statements explain the year’s earnings profile and cash generation, while the position statements show how those results are reflected in assets employed, funding sources, and changes in shareholders’ equity. The tables that follow should be read alongside the chapter commentary, which highlights the most material movements rather than reproducing every accounting detail. This approach allows the report to remain concise while still giving a clear view of the Group’s scale, earnings quality, liquidity, and balance sheet discipline.</w:t>
      </w:r>
    </w:p>
    <w:p w14:paraId="001007DE" w14:textId="001007DF">
      <w:pPr>
        <w:pStyle w:val="Normal"/>
        <w:jc w:val="left"/>
      </w:pPr>
      <w:r>
        <w:t xml:space="preserve">Subsection 1 Performance Statements</w:t>
      </w:r>
    </w:p>
    <w:p w14:paraId="001007E0" w14:textId="001007E1">
      <w:pPr>
        <w:pStyle w:val="Normal"/>
        <w:jc w:val="left"/>
      </w:pPr>
      <w:r>
        <w:t xml:space="preserve">The performance statements summarize the financial outcome of Rivermark Group for the reporting year and show the path from revenue to net profit, together with the conversion of those results into operating, investing, and financing cash flows. The income statement captures the effects of sales volume, pricing, operating costs, depreciation, finance items, and tax, thereby presenting the year’s overall earnings result on an accrual basis. The cash flow statement complements this view by identifying when cash was generated and used, which is particularly important in assessing the durability of reported profit.</w:t>
      </w:r>
    </w:p>
    <w:p w14:paraId="001007E2" w14:textId="001007E3">
      <w:pPr>
        <w:pStyle w:val="Normal"/>
        <w:jc w:val="left"/>
      </w:pPr>
      <w:r>
        <w:t xml:space="preserve">Taken together, these statements help readers distinguish between accounting performance and cash realization. A period of stable profit may still involve meaningful shifts in working capital, capital expenditure, or financing activity, while a stronger cash outcome may indicate disciplined collections, inventory control, and restrained investment timing. For that reason, the performance statements serve as the starting point for understanding both current-year execution and the Group’s capacity to support dividends, debt service, and future growth initiatives.</w:t>
      </w:r>
    </w:p>
    <w:p w14:paraId="001007E4" w14:textId="001007E5">
      <w:pPr>
        <w:pStyle w:val="Normal"/>
        <w:jc w:val="left"/>
      </w:pPr>
      <w:r>
        <w:t xml:space="preserve">The primary lines to review first are revenue, operating profit, profit before tax, net profit, net cash from operating activities, and the period’s closing cash position. Together, these measures indicate the scale of commercial activity, the efficiency with which the Group converted sales into earnings, and the extent to which those earnings translated into cash. Changes between periods should be interpreted in light of business mix, cost inflation, working capital movements, and the timing of capital expenditure and financing flows.</w:t>
      </w:r>
    </w:p>
    <w:p w14:paraId="001007E6" w14:textId="001007E7">
      <w:pPr>
        <w:pStyle w:val="Normal"/>
        <w:jc w:val="left"/>
      </w:pPr>
      <w:r>
        <w:t xml:space="preserve">Readers should also compare operating profit with net cash from operating activities to assess earnings quality. Where operating profit grows faster than cash generation, the difference may reflect increased receivables, inventory build, or other temporary uses of funds. Conversely, stronger operating cash flow may indicate improved collections or more efficient use of working capital. This relationship is especially relevant for Rivermark Group because its portfolio includes industrial, consumer, and service activities with different billing cycles, margin profiles, and capital intensity.</w:t>
      </w:r>
    </w:p>
    <w:p w14:paraId="001007E8" w14:textId="001007E9">
      <w:pPr>
        <w:pStyle w:val="Normal"/>
        <w:jc w:val="left"/>
      </w:pPr>
      <w:r>
        <w:t xml:space="preserve">1.1 Income Statement</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768"/>
        <w:gridCol w:w="2768"/>
        <w:gridCol w:w="2768"/>
      </w:tblGrid>
      <w:tr>
        <w:trPr>
          <w:tblHeader/>
        </w:trPr>
        <w:tc>
          <w:tcPr>
            <w:vAlign w:val="bottom"/>
            <w:tcBorders>
              <w:top w:val="single" w:sz="4" w:space="0" w:color="auto"/>
              <w:left w:val="single" w:sz="4" w:space="0" w:color="auto"/>
              <w:bottom w:val="single" w:sz="4" w:space="0" w:color="auto"/>
              <w:right w:val="single" w:sz="4" w:space="0" w:color="auto"/>
            </w:tcBorders>
          </w:tcPr>
          <w:p w14:paraId="001007EA" w14:textId="00100826">
            <w:pPr>
              <w:pStyle w:val="Normal"/>
              <w:jc w:val="left"/>
            </w:pPr>
            <w:r>
              <w:t xml:space="preserve">USD million</w:t>
            </w:r>
          </w:p>
        </w:tc>
        <w:tc>
          <w:tcPr>
            <w:vAlign w:val="bottom"/>
            <w:tcBorders>
              <w:top w:val="single" w:sz="4" w:space="0" w:color="auto"/>
              <w:left w:val="single" w:sz="4" w:space="0" w:color="auto"/>
              <w:bottom w:val="single" w:sz="4" w:space="0" w:color="auto"/>
              <w:right w:val="single" w:sz="4" w:space="0" w:color="auto"/>
            </w:tcBorders>
          </w:tcPr>
          <w:p w14:paraId="001007EC" w14:textId="00100827">
            <w:pPr>
              <w:pStyle w:val="Normal"/>
              <w:jc w:val="left"/>
            </w:pPr>
            <w:r>
              <w:t xml:space="preserve">2024</w:t>
            </w:r>
          </w:p>
        </w:tc>
        <w:tc>
          <w:tcPr>
            <w:vAlign w:val="bottom"/>
            <w:tcBorders>
              <w:top w:val="single" w:sz="4" w:space="0" w:color="auto"/>
              <w:left w:val="single" w:sz="4" w:space="0" w:color="auto"/>
              <w:bottom w:val="single" w:sz="4" w:space="0" w:color="auto"/>
              <w:right w:val="single" w:sz="4" w:space="0" w:color="auto"/>
            </w:tcBorders>
          </w:tcPr>
          <w:p w14:paraId="001007EE" w14:textId="00100828">
            <w:pPr>
              <w:pStyle w:val="Normal"/>
              <w:jc w:val="left"/>
            </w:pPr>
            <w:r>
              <w:t xml:space="preserve">2023</w:t>
            </w:r>
          </w:p>
        </w:tc>
      </w:tr>
      <w:tr>
        <w:tc>
          <w:tcPr>
            <w:vAlign w:val="bottom"/>
            <w:tcBorders>
              <w:top w:val="single" w:sz="4" w:space="0" w:color="auto"/>
              <w:left w:val="single" w:sz="4" w:space="0" w:color="auto"/>
              <w:bottom w:val="single" w:sz="4" w:space="0" w:color="auto"/>
              <w:right w:val="single" w:sz="4" w:space="0" w:color="auto"/>
            </w:tcBorders>
          </w:tcPr>
          <w:p w14:paraId="001007F0" w14:textId="00100829">
            <w:pPr>
              <w:pStyle w:val="Normal"/>
              <w:jc w:val="left"/>
            </w:pPr>
            <w:r>
              <w:t xml:space="preserve">Revenue</w:t>
            </w:r>
          </w:p>
        </w:tc>
        <w:tc>
          <w:tcPr>
            <w:vAlign w:val="bottom"/>
            <w:tcBorders>
              <w:top w:val="single" w:sz="4" w:space="0" w:color="auto"/>
              <w:left w:val="single" w:sz="4" w:space="0" w:color="auto"/>
              <w:bottom w:val="single" w:sz="4" w:space="0" w:color="auto"/>
              <w:right w:val="single" w:sz="4" w:space="0" w:color="auto"/>
            </w:tcBorders>
          </w:tcPr>
          <w:p w14:paraId="001007F2" w14:textId="0010082A">
            <w:pPr>
              <w:pStyle w:val="Normal"/>
              <w:jc w:val="left"/>
            </w:pPr>
            <w:r>
              <w:t xml:space="preserve">3,842</w:t>
            </w:r>
          </w:p>
        </w:tc>
        <w:tc>
          <w:tcPr>
            <w:vAlign w:val="bottom"/>
            <w:tcBorders>
              <w:top w:val="single" w:sz="4" w:space="0" w:color="auto"/>
              <w:left w:val="single" w:sz="4" w:space="0" w:color="auto"/>
              <w:bottom w:val="single" w:sz="4" w:space="0" w:color="auto"/>
              <w:right w:val="single" w:sz="4" w:space="0" w:color="auto"/>
            </w:tcBorders>
          </w:tcPr>
          <w:p w14:paraId="001007F4" w14:textId="0010082B">
            <w:pPr>
              <w:pStyle w:val="Normal"/>
              <w:jc w:val="left"/>
            </w:pPr>
            <w:r>
              <w:t xml:space="preserve">3,615</w:t>
            </w:r>
          </w:p>
        </w:tc>
      </w:tr>
      <w:tr>
        <w:tc>
          <w:tcPr>
            <w:vAlign w:val="bottom"/>
            <w:tcBorders>
              <w:top w:val="single" w:sz="4" w:space="0" w:color="auto"/>
              <w:left w:val="single" w:sz="4" w:space="0" w:color="auto"/>
              <w:bottom w:val="single" w:sz="4" w:space="0" w:color="auto"/>
              <w:right w:val="single" w:sz="4" w:space="0" w:color="auto"/>
            </w:tcBorders>
          </w:tcPr>
          <w:p w14:paraId="001007F6" w14:textId="0010082C">
            <w:pPr>
              <w:pStyle w:val="Normal"/>
              <w:jc w:val="left"/>
            </w:pPr>
            <w:r>
              <w:t xml:space="preserve">Cost of sales</w:t>
            </w:r>
          </w:p>
        </w:tc>
        <w:tc>
          <w:tcPr>
            <w:vAlign w:val="bottom"/>
            <w:tcBorders>
              <w:top w:val="single" w:sz="4" w:space="0" w:color="auto"/>
              <w:left w:val="single" w:sz="4" w:space="0" w:color="auto"/>
              <w:bottom w:val="single" w:sz="4" w:space="0" w:color="auto"/>
              <w:right w:val="single" w:sz="4" w:space="0" w:color="auto"/>
            </w:tcBorders>
          </w:tcPr>
          <w:p w14:paraId="001007F8" w14:textId="0010082D">
            <w:pPr>
              <w:pStyle w:val="Normal"/>
              <w:jc w:val="left"/>
            </w:pPr>
            <w:r>
              <w:t xml:space="preserve">(2,781)</w:t>
            </w:r>
          </w:p>
        </w:tc>
        <w:tc>
          <w:tcPr>
            <w:vAlign w:val="bottom"/>
            <w:tcBorders>
              <w:top w:val="single" w:sz="4" w:space="0" w:color="auto"/>
              <w:left w:val="single" w:sz="4" w:space="0" w:color="auto"/>
              <w:bottom w:val="single" w:sz="4" w:space="0" w:color="auto"/>
              <w:right w:val="single" w:sz="4" w:space="0" w:color="auto"/>
            </w:tcBorders>
          </w:tcPr>
          <w:p w14:paraId="001007FA" w14:textId="0010082E">
            <w:pPr>
              <w:pStyle w:val="Normal"/>
              <w:jc w:val="left"/>
            </w:pPr>
            <w:r>
              <w:t xml:space="preserve">(2,624)</w:t>
            </w:r>
          </w:p>
        </w:tc>
      </w:tr>
      <w:tr>
        <w:tc>
          <w:tcPr>
            <w:vAlign w:val="bottom"/>
            <w:tcBorders>
              <w:top w:val="single" w:sz="4" w:space="0" w:color="auto"/>
              <w:left w:val="single" w:sz="4" w:space="0" w:color="auto"/>
              <w:bottom w:val="single" w:sz="4" w:space="0" w:color="auto"/>
              <w:right w:val="single" w:sz="4" w:space="0" w:color="auto"/>
            </w:tcBorders>
          </w:tcPr>
          <w:p w14:paraId="001007FC" w14:textId="0010082F">
            <w:pPr>
              <w:pStyle w:val="Normal"/>
              <w:jc w:val="left"/>
            </w:pPr>
            <w:r>
              <w:t xml:space="preserve">Gross profit</w:t>
            </w:r>
          </w:p>
        </w:tc>
        <w:tc>
          <w:tcPr>
            <w:vAlign w:val="bottom"/>
            <w:tcBorders>
              <w:top w:val="single" w:sz="4" w:space="0" w:color="auto"/>
              <w:left w:val="single" w:sz="4" w:space="0" w:color="auto"/>
              <w:bottom w:val="single" w:sz="4" w:space="0" w:color="auto"/>
              <w:right w:val="single" w:sz="4" w:space="0" w:color="auto"/>
            </w:tcBorders>
          </w:tcPr>
          <w:p w14:paraId="001007FE" w14:textId="00100830">
            <w:pPr>
              <w:pStyle w:val="Normal"/>
              <w:jc w:val="left"/>
            </w:pPr>
            <w:r>
              <w:t xml:space="preserve">1,061</w:t>
            </w:r>
          </w:p>
        </w:tc>
        <w:tc>
          <w:tcPr>
            <w:vAlign w:val="bottom"/>
            <w:tcBorders>
              <w:top w:val="single" w:sz="4" w:space="0" w:color="auto"/>
              <w:left w:val="single" w:sz="4" w:space="0" w:color="auto"/>
              <w:bottom w:val="single" w:sz="4" w:space="0" w:color="auto"/>
              <w:right w:val="single" w:sz="4" w:space="0" w:color="auto"/>
            </w:tcBorders>
          </w:tcPr>
          <w:p w14:paraId="00100800" w14:textId="00100831">
            <w:pPr>
              <w:pStyle w:val="Normal"/>
              <w:jc w:val="left"/>
            </w:pPr>
            <w:r>
              <w:t xml:space="preserve">991</w:t>
            </w:r>
          </w:p>
        </w:tc>
      </w:tr>
      <w:tr>
        <w:tc>
          <w:tcPr>
            <w:vAlign w:val="bottom"/>
            <w:tcBorders>
              <w:top w:val="single" w:sz="4" w:space="0" w:color="auto"/>
              <w:left w:val="single" w:sz="4" w:space="0" w:color="auto"/>
              <w:bottom w:val="single" w:sz="4" w:space="0" w:color="auto"/>
              <w:right w:val="single" w:sz="4" w:space="0" w:color="auto"/>
            </w:tcBorders>
          </w:tcPr>
          <w:p w14:paraId="00100802" w14:textId="00100832">
            <w:pPr>
              <w:pStyle w:val="Normal"/>
              <w:jc w:val="left"/>
            </w:pPr>
            <w:r>
              <w:t xml:space="preserve">Selling and administrative expenses</w:t>
            </w:r>
          </w:p>
        </w:tc>
        <w:tc>
          <w:tcPr>
            <w:vAlign w:val="bottom"/>
            <w:tcBorders>
              <w:top w:val="single" w:sz="4" w:space="0" w:color="auto"/>
              <w:left w:val="single" w:sz="4" w:space="0" w:color="auto"/>
              <w:bottom w:val="single" w:sz="4" w:space="0" w:color="auto"/>
              <w:right w:val="single" w:sz="4" w:space="0" w:color="auto"/>
            </w:tcBorders>
          </w:tcPr>
          <w:p w14:paraId="00100804" w14:textId="00100833">
            <w:pPr>
              <w:pStyle w:val="Normal"/>
              <w:jc w:val="left"/>
            </w:pPr>
            <w:r>
              <w:t xml:space="preserve">(612)</w:t>
            </w:r>
          </w:p>
        </w:tc>
        <w:tc>
          <w:tcPr>
            <w:vAlign w:val="bottom"/>
            <w:tcBorders>
              <w:top w:val="single" w:sz="4" w:space="0" w:color="auto"/>
              <w:left w:val="single" w:sz="4" w:space="0" w:color="auto"/>
              <w:bottom w:val="single" w:sz="4" w:space="0" w:color="auto"/>
              <w:right w:val="single" w:sz="4" w:space="0" w:color="auto"/>
            </w:tcBorders>
          </w:tcPr>
          <w:p w14:paraId="00100806" w14:textId="00100834">
            <w:pPr>
              <w:pStyle w:val="Normal"/>
              <w:jc w:val="left"/>
            </w:pPr>
            <w:r>
              <w:t xml:space="preserve">(575)</w:t>
            </w:r>
          </w:p>
        </w:tc>
      </w:tr>
      <w:tr>
        <w:tc>
          <w:tcPr>
            <w:vAlign w:val="bottom"/>
            <w:tcBorders>
              <w:top w:val="single" w:sz="4" w:space="0" w:color="auto"/>
              <w:left w:val="single" w:sz="4" w:space="0" w:color="auto"/>
              <w:bottom w:val="single" w:sz="4" w:space="0" w:color="auto"/>
              <w:right w:val="single" w:sz="4" w:space="0" w:color="auto"/>
            </w:tcBorders>
          </w:tcPr>
          <w:p w14:paraId="00100808" w14:textId="00100835">
            <w:pPr>
              <w:pStyle w:val="Normal"/>
              <w:jc w:val="left"/>
            </w:pPr>
            <w:r>
              <w:t xml:space="preserve">Operating profit</w:t>
            </w:r>
          </w:p>
        </w:tc>
        <w:tc>
          <w:tcPr>
            <w:vAlign w:val="bottom"/>
            <w:tcBorders>
              <w:top w:val="single" w:sz="4" w:space="0" w:color="auto"/>
              <w:left w:val="single" w:sz="4" w:space="0" w:color="auto"/>
              <w:bottom w:val="single" w:sz="4" w:space="0" w:color="auto"/>
              <w:right w:val="single" w:sz="4" w:space="0" w:color="auto"/>
            </w:tcBorders>
          </w:tcPr>
          <w:p w14:paraId="0010080A" w14:textId="00100836">
            <w:pPr>
              <w:pStyle w:val="Normal"/>
              <w:jc w:val="left"/>
            </w:pPr>
            <w:r>
              <w:t xml:space="preserve">449</w:t>
            </w:r>
          </w:p>
        </w:tc>
        <w:tc>
          <w:tcPr>
            <w:vAlign w:val="bottom"/>
            <w:tcBorders>
              <w:top w:val="single" w:sz="4" w:space="0" w:color="auto"/>
              <w:left w:val="single" w:sz="4" w:space="0" w:color="auto"/>
              <w:bottom w:val="single" w:sz="4" w:space="0" w:color="auto"/>
              <w:right w:val="single" w:sz="4" w:space="0" w:color="auto"/>
            </w:tcBorders>
          </w:tcPr>
          <w:p w14:paraId="0010080C" w14:textId="00100837">
            <w:pPr>
              <w:pStyle w:val="Normal"/>
              <w:jc w:val="left"/>
            </w:pPr>
            <w:r>
              <w:t xml:space="preserve">416</w:t>
            </w:r>
          </w:p>
        </w:tc>
      </w:tr>
      <w:tr>
        <w:tc>
          <w:tcPr>
            <w:vAlign w:val="bottom"/>
            <w:tcBorders>
              <w:top w:val="single" w:sz="4" w:space="0" w:color="auto"/>
              <w:left w:val="single" w:sz="4" w:space="0" w:color="auto"/>
              <w:bottom w:val="single" w:sz="4" w:space="0" w:color="auto"/>
              <w:right w:val="single" w:sz="4" w:space="0" w:color="auto"/>
            </w:tcBorders>
          </w:tcPr>
          <w:p w14:paraId="0010080E" w14:textId="00100838">
            <w:pPr>
              <w:pStyle w:val="Normal"/>
              <w:jc w:val="left"/>
            </w:pPr>
            <w:r>
              <w:t xml:space="preserve">Finance costs, net</w:t>
            </w:r>
          </w:p>
        </w:tc>
        <w:tc>
          <w:tcPr>
            <w:vAlign w:val="bottom"/>
            <w:tcBorders>
              <w:top w:val="single" w:sz="4" w:space="0" w:color="auto"/>
              <w:left w:val="single" w:sz="4" w:space="0" w:color="auto"/>
              <w:bottom w:val="single" w:sz="4" w:space="0" w:color="auto"/>
              <w:right w:val="single" w:sz="4" w:space="0" w:color="auto"/>
            </w:tcBorders>
          </w:tcPr>
          <w:p w14:paraId="00100810" w14:textId="00100839">
            <w:pPr>
              <w:pStyle w:val="Normal"/>
              <w:jc w:val="left"/>
            </w:pPr>
            <w:r>
              <w:t xml:space="preserve">(58)</w:t>
            </w:r>
          </w:p>
        </w:tc>
        <w:tc>
          <w:tcPr>
            <w:vAlign w:val="bottom"/>
            <w:tcBorders>
              <w:top w:val="single" w:sz="4" w:space="0" w:color="auto"/>
              <w:left w:val="single" w:sz="4" w:space="0" w:color="auto"/>
              <w:bottom w:val="single" w:sz="4" w:space="0" w:color="auto"/>
              <w:right w:val="single" w:sz="4" w:space="0" w:color="auto"/>
            </w:tcBorders>
          </w:tcPr>
          <w:p w14:paraId="00100812" w14:textId="0010083A">
            <w:pPr>
              <w:pStyle w:val="Normal"/>
              <w:jc w:val="left"/>
            </w:pPr>
            <w:r>
              <w:t xml:space="preserve">(61)</w:t>
            </w:r>
          </w:p>
        </w:tc>
      </w:tr>
      <w:tr>
        <w:tc>
          <w:tcPr>
            <w:vAlign w:val="bottom"/>
            <w:tcBorders>
              <w:top w:val="single" w:sz="4" w:space="0" w:color="auto"/>
              <w:left w:val="single" w:sz="4" w:space="0" w:color="auto"/>
              <w:bottom w:val="single" w:sz="4" w:space="0" w:color="auto"/>
              <w:right w:val="single" w:sz="4" w:space="0" w:color="auto"/>
            </w:tcBorders>
          </w:tcPr>
          <w:p w14:paraId="00100814" w14:textId="0010083B">
            <w:pPr>
              <w:pStyle w:val="Normal"/>
              <w:jc w:val="left"/>
            </w:pPr>
            <w:r>
              <w:t xml:space="preserve">Profit before tax</w:t>
            </w:r>
          </w:p>
        </w:tc>
        <w:tc>
          <w:tcPr>
            <w:vAlign w:val="bottom"/>
            <w:tcBorders>
              <w:top w:val="single" w:sz="4" w:space="0" w:color="auto"/>
              <w:left w:val="single" w:sz="4" w:space="0" w:color="auto"/>
              <w:bottom w:val="single" w:sz="4" w:space="0" w:color="auto"/>
              <w:right w:val="single" w:sz="4" w:space="0" w:color="auto"/>
            </w:tcBorders>
          </w:tcPr>
          <w:p w14:paraId="00100816" w14:textId="0010083C">
            <w:pPr>
              <w:pStyle w:val="Normal"/>
              <w:jc w:val="left"/>
            </w:pPr>
            <w:r>
              <w:t xml:space="preserve">391</w:t>
            </w:r>
          </w:p>
        </w:tc>
        <w:tc>
          <w:tcPr>
            <w:vAlign w:val="bottom"/>
            <w:tcBorders>
              <w:top w:val="single" w:sz="4" w:space="0" w:color="auto"/>
              <w:left w:val="single" w:sz="4" w:space="0" w:color="auto"/>
              <w:bottom w:val="single" w:sz="4" w:space="0" w:color="auto"/>
              <w:right w:val="single" w:sz="4" w:space="0" w:color="auto"/>
            </w:tcBorders>
          </w:tcPr>
          <w:p w14:paraId="00100818" w14:textId="0010083D">
            <w:pPr>
              <w:pStyle w:val="Normal"/>
              <w:jc w:val="left"/>
            </w:pPr>
            <w:r>
              <w:t xml:space="preserve">355</w:t>
            </w:r>
          </w:p>
        </w:tc>
      </w:tr>
      <w:tr>
        <w:tc>
          <w:tcPr>
            <w:vAlign w:val="bottom"/>
            <w:tcBorders>
              <w:top w:val="single" w:sz="4" w:space="0" w:color="auto"/>
              <w:left w:val="single" w:sz="4" w:space="0" w:color="auto"/>
              <w:bottom w:val="single" w:sz="4" w:space="0" w:color="auto"/>
              <w:right w:val="single" w:sz="4" w:space="0" w:color="auto"/>
            </w:tcBorders>
          </w:tcPr>
          <w:p w14:paraId="0010081A" w14:textId="0010083E">
            <w:pPr>
              <w:pStyle w:val="Normal"/>
              <w:jc w:val="left"/>
            </w:pPr>
            <w:r>
              <w:t xml:space="preserve">Income tax expense</w:t>
            </w:r>
          </w:p>
        </w:tc>
        <w:tc>
          <w:tcPr>
            <w:vAlign w:val="bottom"/>
            <w:tcBorders>
              <w:top w:val="single" w:sz="4" w:space="0" w:color="auto"/>
              <w:left w:val="single" w:sz="4" w:space="0" w:color="auto"/>
              <w:bottom w:val="single" w:sz="4" w:space="0" w:color="auto"/>
              <w:right w:val="single" w:sz="4" w:space="0" w:color="auto"/>
            </w:tcBorders>
          </w:tcPr>
          <w:p w14:paraId="0010081C" w14:textId="0010083F">
            <w:pPr>
              <w:pStyle w:val="Normal"/>
              <w:jc w:val="left"/>
            </w:pPr>
            <w:r>
              <w:t xml:space="preserve">(96)</w:t>
            </w:r>
          </w:p>
        </w:tc>
        <w:tc>
          <w:tcPr>
            <w:vAlign w:val="bottom"/>
            <w:tcBorders>
              <w:top w:val="single" w:sz="4" w:space="0" w:color="auto"/>
              <w:left w:val="single" w:sz="4" w:space="0" w:color="auto"/>
              <w:bottom w:val="single" w:sz="4" w:space="0" w:color="auto"/>
              <w:right w:val="single" w:sz="4" w:space="0" w:color="auto"/>
            </w:tcBorders>
          </w:tcPr>
          <w:p w14:paraId="0010081E" w14:textId="00100840">
            <w:pPr>
              <w:pStyle w:val="Normal"/>
              <w:jc w:val="left"/>
            </w:pPr>
            <w:r>
              <w:t xml:space="preserve">(89)</w:t>
            </w:r>
          </w:p>
        </w:tc>
      </w:tr>
      <w:tr>
        <w:tc>
          <w:tcPr>
            <w:vAlign w:val="bottom"/>
            <w:tcBorders>
              <w:top w:val="single" w:sz="4" w:space="0" w:color="auto"/>
              <w:left w:val="single" w:sz="4" w:space="0" w:color="auto"/>
              <w:bottom w:val="single" w:sz="4" w:space="0" w:color="auto"/>
              <w:right w:val="single" w:sz="4" w:space="0" w:color="auto"/>
            </w:tcBorders>
          </w:tcPr>
          <w:p w14:paraId="00100820" w14:textId="00100841">
            <w:pPr>
              <w:pStyle w:val="Normal"/>
              <w:jc w:val="left"/>
            </w:pPr>
            <w:r>
              <w:t xml:space="preserve">Profit for the year</w:t>
            </w:r>
          </w:p>
        </w:tc>
        <w:tc>
          <w:tcPr>
            <w:vAlign w:val="bottom"/>
            <w:tcBorders>
              <w:top w:val="single" w:sz="4" w:space="0" w:color="auto"/>
              <w:left w:val="single" w:sz="4" w:space="0" w:color="auto"/>
              <w:bottom w:val="single" w:sz="4" w:space="0" w:color="auto"/>
              <w:right w:val="single" w:sz="4" w:space="0" w:color="auto"/>
            </w:tcBorders>
          </w:tcPr>
          <w:p w14:paraId="00100822" w14:textId="00100842">
            <w:pPr>
              <w:pStyle w:val="Normal"/>
              <w:jc w:val="left"/>
            </w:pPr>
            <w:r>
              <w:t xml:space="preserve">295</w:t>
            </w:r>
          </w:p>
        </w:tc>
        <w:tc>
          <w:tcPr>
            <w:vAlign w:val="bottom"/>
            <w:tcBorders>
              <w:top w:val="single" w:sz="4" w:space="0" w:color="auto"/>
              <w:left w:val="single" w:sz="4" w:space="0" w:color="auto"/>
              <w:bottom w:val="single" w:sz="4" w:space="0" w:color="auto"/>
              <w:right w:val="single" w:sz="4" w:space="0" w:color="auto"/>
            </w:tcBorders>
          </w:tcPr>
          <w:p w14:paraId="00100824" w14:textId="00100843">
            <w:pPr>
              <w:pStyle w:val="Normal"/>
              <w:jc w:val="left"/>
            </w:pPr>
            <w:r>
              <w:t xml:space="preserve">266</w:t>
            </w:r>
          </w:p>
        </w:tc>
      </w:tr>
    </w:tbl>
    <w:p w14:paraId="00100844" w14:textId="00100845">
      <w:pPr>
        <w:pStyle w:val="Normal"/>
        <w:jc w:val="left"/>
      </w:pPr>
      <w:r>
        <w:t xml:space="preserve">Table 11 Consolidated income statement key line items</w:t>
      </w:r>
    </w:p>
    <w:p w14:paraId="00100846" w14:textId="00100848">
      <w:pPr>
        <w:pStyle w:val="Normal"/>
        <w:jc w:val="left"/>
      </w:pPr>
      <w:r>
        <w:t xml:space="preserve">Source:</w:t>
      </w:r>
      <w:r>
        <w:t xml:space="preserve"> Rivermark Group consolidated management accounts for the years ended 31 December 2024 and 2023. Amounts are presented in USD million and reflect the reporting perimeter used in this annual report. Certain comparative amounts have been reclassified to conform to the current-year presentation, with no effect on profit for the year.</w:t>
      </w:r>
    </w:p>
    <w:p w14:paraId="00100849" w14:textId="0010084A">
      <w:pPr>
        <w:pStyle w:val="Normal"/>
        <w:jc w:val="left"/>
      </w:pPr>
      <w:r>
        <w:t xml:space="preserve">1.2 Cash Flow</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768"/>
        <w:gridCol w:w="2768"/>
        <w:gridCol w:w="2768"/>
      </w:tblGrid>
      <w:tr>
        <w:trPr>
          <w:tblHeader/>
        </w:trPr>
        <w:tc>
          <w:tcPr>
            <w:vAlign w:val="bottom"/>
            <w:tcBorders>
              <w:top w:val="single" w:sz="4" w:space="0" w:color="auto"/>
              <w:left w:val="single" w:sz="4" w:space="0" w:color="auto"/>
              <w:bottom w:val="single" w:sz="4" w:space="0" w:color="auto"/>
              <w:right w:val="single" w:sz="4" w:space="0" w:color="auto"/>
            </w:tcBorders>
          </w:tcPr>
          <w:p w14:paraId="0010084B" w14:textId="00100887">
            <w:pPr>
              <w:pStyle w:val="Normal"/>
              <w:jc w:val="left"/>
            </w:pPr>
            <w:r>
              <w:t xml:space="preserve">US$ million</w:t>
            </w:r>
          </w:p>
        </w:tc>
        <w:tc>
          <w:tcPr>
            <w:vAlign w:val="bottom"/>
            <w:tcBorders>
              <w:top w:val="single" w:sz="4" w:space="0" w:color="auto"/>
              <w:left w:val="single" w:sz="4" w:space="0" w:color="auto"/>
              <w:bottom w:val="single" w:sz="4" w:space="0" w:color="auto"/>
              <w:right w:val="single" w:sz="4" w:space="0" w:color="auto"/>
            </w:tcBorders>
          </w:tcPr>
          <w:p w14:paraId="0010084D" w14:textId="00100888">
            <w:pPr>
              <w:pStyle w:val="Normal"/>
              <w:jc w:val="left"/>
            </w:pPr>
            <w:r>
              <w:t xml:space="preserve">2024</w:t>
            </w:r>
          </w:p>
        </w:tc>
        <w:tc>
          <w:tcPr>
            <w:vAlign w:val="bottom"/>
            <w:tcBorders>
              <w:top w:val="single" w:sz="4" w:space="0" w:color="auto"/>
              <w:left w:val="single" w:sz="4" w:space="0" w:color="auto"/>
              <w:bottom w:val="single" w:sz="4" w:space="0" w:color="auto"/>
              <w:right w:val="single" w:sz="4" w:space="0" w:color="auto"/>
            </w:tcBorders>
          </w:tcPr>
          <w:p w14:paraId="0010084F" w14:textId="00100889">
            <w:pPr>
              <w:pStyle w:val="Normal"/>
              <w:jc w:val="left"/>
            </w:pPr>
            <w:r>
              <w:t xml:space="preserve">2023</w:t>
            </w:r>
          </w:p>
        </w:tc>
      </w:tr>
      <w:tr>
        <w:tc>
          <w:tcPr>
            <w:vAlign w:val="bottom"/>
            <w:tcBorders>
              <w:top w:val="single" w:sz="4" w:space="0" w:color="auto"/>
              <w:left w:val="single" w:sz="4" w:space="0" w:color="auto"/>
              <w:bottom w:val="single" w:sz="4" w:space="0" w:color="auto"/>
              <w:right w:val="single" w:sz="4" w:space="0" w:color="auto"/>
            </w:tcBorders>
          </w:tcPr>
          <w:p w14:paraId="00100851" w14:textId="0010088A">
            <w:pPr>
              <w:pStyle w:val="Normal"/>
              <w:jc w:val="left"/>
            </w:pPr>
            <w:r>
              <w:t xml:space="preserve">Profit before tax</w:t>
            </w:r>
          </w:p>
        </w:tc>
        <w:tc>
          <w:tcPr>
            <w:vAlign w:val="bottom"/>
            <w:tcBorders>
              <w:top w:val="single" w:sz="4" w:space="0" w:color="auto"/>
              <w:left w:val="single" w:sz="4" w:space="0" w:color="auto"/>
              <w:bottom w:val="single" w:sz="4" w:space="0" w:color="auto"/>
              <w:right w:val="single" w:sz="4" w:space="0" w:color="auto"/>
            </w:tcBorders>
          </w:tcPr>
          <w:p w14:paraId="00100853" w14:textId="0010088B">
            <w:pPr>
              <w:pStyle w:val="Normal"/>
              <w:jc w:val="left"/>
            </w:pPr>
            <w:r>
              <w:t xml:space="preserve">286.4</w:t>
            </w:r>
          </w:p>
        </w:tc>
        <w:tc>
          <w:tcPr>
            <w:vAlign w:val="bottom"/>
            <w:tcBorders>
              <w:top w:val="single" w:sz="4" w:space="0" w:color="auto"/>
              <w:left w:val="single" w:sz="4" w:space="0" w:color="auto"/>
              <w:bottom w:val="single" w:sz="4" w:space="0" w:color="auto"/>
              <w:right w:val="single" w:sz="4" w:space="0" w:color="auto"/>
            </w:tcBorders>
          </w:tcPr>
          <w:p w14:paraId="00100855" w14:textId="0010088C">
            <w:pPr>
              <w:pStyle w:val="Normal"/>
              <w:jc w:val="left"/>
            </w:pPr>
            <w:r>
              <w:t xml:space="preserve">261.8</w:t>
            </w:r>
          </w:p>
        </w:tc>
      </w:tr>
      <w:tr>
        <w:tc>
          <w:tcPr>
            <w:vAlign w:val="bottom"/>
            <w:tcBorders>
              <w:top w:val="single" w:sz="4" w:space="0" w:color="auto"/>
              <w:left w:val="single" w:sz="4" w:space="0" w:color="auto"/>
              <w:bottom w:val="single" w:sz="4" w:space="0" w:color="auto"/>
              <w:right w:val="single" w:sz="4" w:space="0" w:color="auto"/>
            </w:tcBorders>
          </w:tcPr>
          <w:p w14:paraId="00100857" w14:textId="0010088D">
            <w:pPr>
              <w:pStyle w:val="Normal"/>
              <w:jc w:val="left"/>
            </w:pPr>
            <w:r>
              <w:t xml:space="preserve">Depreciation and amortization</w:t>
            </w:r>
          </w:p>
        </w:tc>
        <w:tc>
          <w:tcPr>
            <w:vAlign w:val="bottom"/>
            <w:tcBorders>
              <w:top w:val="single" w:sz="4" w:space="0" w:color="auto"/>
              <w:left w:val="single" w:sz="4" w:space="0" w:color="auto"/>
              <w:bottom w:val="single" w:sz="4" w:space="0" w:color="auto"/>
              <w:right w:val="single" w:sz="4" w:space="0" w:color="auto"/>
            </w:tcBorders>
          </w:tcPr>
          <w:p w14:paraId="00100859" w14:textId="0010088E">
            <w:pPr>
              <w:pStyle w:val="Normal"/>
              <w:jc w:val="left"/>
            </w:pPr>
            <w:r>
              <w:t xml:space="preserve">82.7</w:t>
            </w:r>
          </w:p>
        </w:tc>
        <w:tc>
          <w:tcPr>
            <w:vAlign w:val="bottom"/>
            <w:tcBorders>
              <w:top w:val="single" w:sz="4" w:space="0" w:color="auto"/>
              <w:left w:val="single" w:sz="4" w:space="0" w:color="auto"/>
              <w:bottom w:val="single" w:sz="4" w:space="0" w:color="auto"/>
              <w:right w:val="single" w:sz="4" w:space="0" w:color="auto"/>
            </w:tcBorders>
          </w:tcPr>
          <w:p w14:paraId="0010085B" w14:textId="0010088F">
            <w:pPr>
              <w:pStyle w:val="Normal"/>
              <w:jc w:val="left"/>
            </w:pPr>
            <w:r>
              <w:t xml:space="preserve">77.9</w:t>
            </w:r>
          </w:p>
        </w:tc>
      </w:tr>
      <w:tr>
        <w:tc>
          <w:tcPr>
            <w:vAlign w:val="bottom"/>
            <w:tcBorders>
              <w:top w:val="single" w:sz="4" w:space="0" w:color="auto"/>
              <w:left w:val="single" w:sz="4" w:space="0" w:color="auto"/>
              <w:bottom w:val="single" w:sz="4" w:space="0" w:color="auto"/>
              <w:right w:val="single" w:sz="4" w:space="0" w:color="auto"/>
            </w:tcBorders>
          </w:tcPr>
          <w:p w14:paraId="0010085D" w14:textId="00100890">
            <w:pPr>
              <w:pStyle w:val="Normal"/>
              <w:jc w:val="left"/>
            </w:pPr>
            <w:r>
              <w:t xml:space="preserve">Working capital movements</w:t>
            </w:r>
          </w:p>
        </w:tc>
        <w:tc>
          <w:tcPr>
            <w:vAlign w:val="bottom"/>
            <w:tcBorders>
              <w:top w:val="single" w:sz="4" w:space="0" w:color="auto"/>
              <w:left w:val="single" w:sz="4" w:space="0" w:color="auto"/>
              <w:bottom w:val="single" w:sz="4" w:space="0" w:color="auto"/>
              <w:right w:val="single" w:sz="4" w:space="0" w:color="auto"/>
            </w:tcBorders>
          </w:tcPr>
          <w:p w14:paraId="0010085F" w14:textId="00100891">
            <w:pPr>
              <w:pStyle w:val="Normal"/>
              <w:jc w:val="left"/>
            </w:pPr>
            <w:r>
              <w:t xml:space="preserve">(34.6)</w:t>
            </w:r>
          </w:p>
        </w:tc>
        <w:tc>
          <w:tcPr>
            <w:vAlign w:val="bottom"/>
            <w:tcBorders>
              <w:top w:val="single" w:sz="4" w:space="0" w:color="auto"/>
              <w:left w:val="single" w:sz="4" w:space="0" w:color="auto"/>
              <w:bottom w:val="single" w:sz="4" w:space="0" w:color="auto"/>
              <w:right w:val="single" w:sz="4" w:space="0" w:color="auto"/>
            </w:tcBorders>
          </w:tcPr>
          <w:p w14:paraId="00100861" w14:textId="00100892">
            <w:pPr>
              <w:pStyle w:val="Normal"/>
              <w:jc w:val="left"/>
            </w:pPr>
            <w:r>
              <w:t xml:space="preserve">(12.8)</w:t>
            </w:r>
          </w:p>
        </w:tc>
      </w:tr>
      <w:tr>
        <w:tc>
          <w:tcPr>
            <w:vAlign w:val="bottom"/>
            <w:tcBorders>
              <w:top w:val="single" w:sz="4" w:space="0" w:color="auto"/>
              <w:left w:val="single" w:sz="4" w:space="0" w:color="auto"/>
              <w:bottom w:val="single" w:sz="4" w:space="0" w:color="auto"/>
              <w:right w:val="single" w:sz="4" w:space="0" w:color="auto"/>
            </w:tcBorders>
          </w:tcPr>
          <w:p w14:paraId="00100863" w14:textId="00100893">
            <w:pPr>
              <w:pStyle w:val="Normal"/>
              <w:jc w:val="left"/>
            </w:pPr>
            <w:r>
              <w:t xml:space="preserve">Net cash from operating activities</w:t>
            </w:r>
          </w:p>
        </w:tc>
        <w:tc>
          <w:tcPr>
            <w:vAlign w:val="bottom"/>
            <w:tcBorders>
              <w:top w:val="single" w:sz="4" w:space="0" w:color="auto"/>
              <w:left w:val="single" w:sz="4" w:space="0" w:color="auto"/>
              <w:bottom w:val="single" w:sz="4" w:space="0" w:color="auto"/>
              <w:right w:val="single" w:sz="4" w:space="0" w:color="auto"/>
            </w:tcBorders>
          </w:tcPr>
          <w:p w14:paraId="00100865" w14:textId="00100894">
            <w:pPr>
              <w:pStyle w:val="Normal"/>
              <w:jc w:val="left"/>
            </w:pPr>
            <w:r>
              <w:t xml:space="preserve">301.9</w:t>
            </w:r>
          </w:p>
        </w:tc>
        <w:tc>
          <w:tcPr>
            <w:vAlign w:val="bottom"/>
            <w:tcBorders>
              <w:top w:val="single" w:sz="4" w:space="0" w:color="auto"/>
              <w:left w:val="single" w:sz="4" w:space="0" w:color="auto"/>
              <w:bottom w:val="single" w:sz="4" w:space="0" w:color="auto"/>
              <w:right w:val="single" w:sz="4" w:space="0" w:color="auto"/>
            </w:tcBorders>
          </w:tcPr>
          <w:p w14:paraId="00100867" w14:textId="00100895">
            <w:pPr>
              <w:pStyle w:val="Normal"/>
              <w:jc w:val="left"/>
            </w:pPr>
            <w:r>
              <w:t xml:space="preserve">294.1</w:t>
            </w:r>
          </w:p>
        </w:tc>
      </w:tr>
      <w:tr>
        <w:tc>
          <w:tcPr>
            <w:vAlign w:val="bottom"/>
            <w:tcBorders>
              <w:top w:val="single" w:sz="4" w:space="0" w:color="auto"/>
              <w:left w:val="single" w:sz="4" w:space="0" w:color="auto"/>
              <w:bottom w:val="single" w:sz="4" w:space="0" w:color="auto"/>
              <w:right w:val="single" w:sz="4" w:space="0" w:color="auto"/>
            </w:tcBorders>
          </w:tcPr>
          <w:p w14:paraId="00100869" w14:textId="00100896">
            <w:pPr>
              <w:pStyle w:val="Normal"/>
              <w:jc w:val="left"/>
            </w:pPr>
            <w:r>
              <w:t xml:space="preserve">Capital expenditure</w:t>
            </w:r>
          </w:p>
        </w:tc>
        <w:tc>
          <w:tcPr>
            <w:vAlign w:val="bottom"/>
            <w:tcBorders>
              <w:top w:val="single" w:sz="4" w:space="0" w:color="auto"/>
              <w:left w:val="single" w:sz="4" w:space="0" w:color="auto"/>
              <w:bottom w:val="single" w:sz="4" w:space="0" w:color="auto"/>
              <w:right w:val="single" w:sz="4" w:space="0" w:color="auto"/>
            </w:tcBorders>
          </w:tcPr>
          <w:p w14:paraId="0010086B" w14:textId="00100897">
            <w:pPr>
              <w:pStyle w:val="Normal"/>
              <w:jc w:val="left"/>
            </w:pPr>
            <w:r>
              <w:t xml:space="preserve">(118.5)</w:t>
            </w:r>
          </w:p>
        </w:tc>
        <w:tc>
          <w:tcPr>
            <w:vAlign w:val="bottom"/>
            <w:tcBorders>
              <w:top w:val="single" w:sz="4" w:space="0" w:color="auto"/>
              <w:left w:val="single" w:sz="4" w:space="0" w:color="auto"/>
              <w:bottom w:val="single" w:sz="4" w:space="0" w:color="auto"/>
              <w:right w:val="single" w:sz="4" w:space="0" w:color="auto"/>
            </w:tcBorders>
          </w:tcPr>
          <w:p w14:paraId="0010086D" w14:textId="00100898">
            <w:pPr>
              <w:pStyle w:val="Normal"/>
              <w:jc w:val="left"/>
            </w:pPr>
            <w:r>
              <w:t xml:space="preserve">(103.2)</w:t>
            </w:r>
          </w:p>
        </w:tc>
      </w:tr>
      <w:tr>
        <w:tc>
          <w:tcPr>
            <w:vAlign w:val="bottom"/>
            <w:tcBorders>
              <w:top w:val="single" w:sz="4" w:space="0" w:color="auto"/>
              <w:left w:val="single" w:sz="4" w:space="0" w:color="auto"/>
              <w:bottom w:val="single" w:sz="4" w:space="0" w:color="auto"/>
              <w:right w:val="single" w:sz="4" w:space="0" w:color="auto"/>
            </w:tcBorders>
          </w:tcPr>
          <w:p w14:paraId="0010086F" w14:textId="00100899">
            <w:pPr>
              <w:pStyle w:val="Normal"/>
              <w:jc w:val="left"/>
            </w:pPr>
            <w:r>
              <w:t xml:space="preserve">Acquisition of intangible assets</w:t>
            </w:r>
          </w:p>
        </w:tc>
        <w:tc>
          <w:tcPr>
            <w:vAlign w:val="bottom"/>
            <w:tcBorders>
              <w:top w:val="single" w:sz="4" w:space="0" w:color="auto"/>
              <w:left w:val="single" w:sz="4" w:space="0" w:color="auto"/>
              <w:bottom w:val="single" w:sz="4" w:space="0" w:color="auto"/>
              <w:right w:val="single" w:sz="4" w:space="0" w:color="auto"/>
            </w:tcBorders>
          </w:tcPr>
          <w:p w14:paraId="00100871" w14:textId="0010089A">
            <w:pPr>
              <w:pStyle w:val="Normal"/>
              <w:jc w:val="left"/>
            </w:pPr>
            <w:r>
              <w:t xml:space="preserve">(16.4)</w:t>
            </w:r>
          </w:p>
        </w:tc>
        <w:tc>
          <w:tcPr>
            <w:vAlign w:val="bottom"/>
            <w:tcBorders>
              <w:top w:val="single" w:sz="4" w:space="0" w:color="auto"/>
              <w:left w:val="single" w:sz="4" w:space="0" w:color="auto"/>
              <w:bottom w:val="single" w:sz="4" w:space="0" w:color="auto"/>
              <w:right w:val="single" w:sz="4" w:space="0" w:color="auto"/>
            </w:tcBorders>
          </w:tcPr>
          <w:p w14:paraId="00100873" w14:textId="0010089B">
            <w:pPr>
              <w:pStyle w:val="Normal"/>
              <w:jc w:val="left"/>
            </w:pPr>
            <w:r>
              <w:t xml:space="preserve">(14.7)</w:t>
            </w:r>
          </w:p>
        </w:tc>
      </w:tr>
      <w:tr>
        <w:tc>
          <w:tcPr>
            <w:vAlign w:val="bottom"/>
            <w:tcBorders>
              <w:top w:val="single" w:sz="4" w:space="0" w:color="auto"/>
              <w:left w:val="single" w:sz="4" w:space="0" w:color="auto"/>
              <w:bottom w:val="single" w:sz="4" w:space="0" w:color="auto"/>
              <w:right w:val="single" w:sz="4" w:space="0" w:color="auto"/>
            </w:tcBorders>
          </w:tcPr>
          <w:p w14:paraId="00100875" w14:textId="0010089C">
            <w:pPr>
              <w:pStyle w:val="Normal"/>
              <w:jc w:val="left"/>
            </w:pPr>
            <w:r>
              <w:t xml:space="preserve">Net cash used in investing activities</w:t>
            </w:r>
          </w:p>
        </w:tc>
        <w:tc>
          <w:tcPr>
            <w:vAlign w:val="bottom"/>
            <w:tcBorders>
              <w:top w:val="single" w:sz="4" w:space="0" w:color="auto"/>
              <w:left w:val="single" w:sz="4" w:space="0" w:color="auto"/>
              <w:bottom w:val="single" w:sz="4" w:space="0" w:color="auto"/>
              <w:right w:val="single" w:sz="4" w:space="0" w:color="auto"/>
            </w:tcBorders>
          </w:tcPr>
          <w:p w14:paraId="00100877" w14:textId="0010089D">
            <w:pPr>
              <w:pStyle w:val="Normal"/>
              <w:jc w:val="left"/>
            </w:pPr>
            <w:r>
              <w:t xml:space="preserve">(134.9)</w:t>
            </w:r>
          </w:p>
        </w:tc>
        <w:tc>
          <w:tcPr>
            <w:vAlign w:val="bottom"/>
            <w:tcBorders>
              <w:top w:val="single" w:sz="4" w:space="0" w:color="auto"/>
              <w:left w:val="single" w:sz="4" w:space="0" w:color="auto"/>
              <w:bottom w:val="single" w:sz="4" w:space="0" w:color="auto"/>
              <w:right w:val="single" w:sz="4" w:space="0" w:color="auto"/>
            </w:tcBorders>
          </w:tcPr>
          <w:p w14:paraId="00100879" w14:textId="0010089E">
            <w:pPr>
              <w:pStyle w:val="Normal"/>
              <w:jc w:val="left"/>
            </w:pPr>
            <w:r>
              <w:t xml:space="preserve">(117.9)</w:t>
            </w:r>
          </w:p>
        </w:tc>
      </w:tr>
      <w:tr>
        <w:tc>
          <w:tcPr>
            <w:vAlign w:val="bottom"/>
            <w:tcBorders>
              <w:top w:val="single" w:sz="4" w:space="0" w:color="auto"/>
              <w:left w:val="single" w:sz="4" w:space="0" w:color="auto"/>
              <w:bottom w:val="single" w:sz="4" w:space="0" w:color="auto"/>
              <w:right w:val="single" w:sz="4" w:space="0" w:color="auto"/>
            </w:tcBorders>
          </w:tcPr>
          <w:p w14:paraId="0010087B" w14:textId="0010089F">
            <w:pPr>
              <w:pStyle w:val="Normal"/>
              <w:jc w:val="left"/>
            </w:pPr>
            <w:r>
              <w:t xml:space="preserve">Net cash from financing activities</w:t>
            </w:r>
          </w:p>
        </w:tc>
        <w:tc>
          <w:tcPr>
            <w:vAlign w:val="bottom"/>
            <w:tcBorders>
              <w:top w:val="single" w:sz="4" w:space="0" w:color="auto"/>
              <w:left w:val="single" w:sz="4" w:space="0" w:color="auto"/>
              <w:bottom w:val="single" w:sz="4" w:space="0" w:color="auto"/>
              <w:right w:val="single" w:sz="4" w:space="0" w:color="auto"/>
            </w:tcBorders>
          </w:tcPr>
          <w:p w14:paraId="0010087D" w14:textId="001008A0">
            <w:pPr>
              <w:pStyle w:val="Normal"/>
              <w:jc w:val="left"/>
            </w:pPr>
            <w:r>
              <w:t xml:space="preserve">(92.3)</w:t>
            </w:r>
          </w:p>
        </w:tc>
        <w:tc>
          <w:tcPr>
            <w:vAlign w:val="bottom"/>
            <w:tcBorders>
              <w:top w:val="single" w:sz="4" w:space="0" w:color="auto"/>
              <w:left w:val="single" w:sz="4" w:space="0" w:color="auto"/>
              <w:bottom w:val="single" w:sz="4" w:space="0" w:color="auto"/>
              <w:right w:val="single" w:sz="4" w:space="0" w:color="auto"/>
            </w:tcBorders>
          </w:tcPr>
          <w:p w14:paraId="0010087F" w14:textId="001008A1">
            <w:pPr>
              <w:pStyle w:val="Normal"/>
              <w:jc w:val="left"/>
            </w:pPr>
            <w:r>
              <w:t xml:space="preserve">(88.6)</w:t>
            </w:r>
          </w:p>
        </w:tc>
      </w:tr>
      <w:tr>
        <w:tc>
          <w:tcPr>
            <w:vAlign w:val="bottom"/>
            <w:tcBorders>
              <w:top w:val="single" w:sz="4" w:space="0" w:color="auto"/>
              <w:left w:val="single" w:sz="4" w:space="0" w:color="auto"/>
              <w:bottom w:val="single" w:sz="4" w:space="0" w:color="auto"/>
              <w:right w:val="single" w:sz="4" w:space="0" w:color="auto"/>
            </w:tcBorders>
          </w:tcPr>
          <w:p w14:paraId="00100881" w14:textId="001008A2">
            <w:pPr>
              <w:pStyle w:val="Normal"/>
              <w:jc w:val="left"/>
            </w:pPr>
            <w:r>
              <w:t xml:space="preserve">Net increase in cash and cash equivalents</w:t>
            </w:r>
          </w:p>
        </w:tc>
        <w:tc>
          <w:tcPr>
            <w:vAlign w:val="bottom"/>
            <w:tcBorders>
              <w:top w:val="single" w:sz="4" w:space="0" w:color="auto"/>
              <w:left w:val="single" w:sz="4" w:space="0" w:color="auto"/>
              <w:bottom w:val="single" w:sz="4" w:space="0" w:color="auto"/>
              <w:right w:val="single" w:sz="4" w:space="0" w:color="auto"/>
            </w:tcBorders>
          </w:tcPr>
          <w:p w14:paraId="00100883" w14:textId="001008A3">
            <w:pPr>
              <w:pStyle w:val="Normal"/>
              <w:jc w:val="left"/>
            </w:pPr>
            <w:r>
              <w:t xml:space="preserve">74.7</w:t>
            </w:r>
          </w:p>
        </w:tc>
        <w:tc>
          <w:tcPr>
            <w:vAlign w:val="bottom"/>
            <w:tcBorders>
              <w:top w:val="single" w:sz="4" w:space="0" w:color="auto"/>
              <w:left w:val="single" w:sz="4" w:space="0" w:color="auto"/>
              <w:bottom w:val="single" w:sz="4" w:space="0" w:color="auto"/>
              <w:right w:val="single" w:sz="4" w:space="0" w:color="auto"/>
            </w:tcBorders>
          </w:tcPr>
          <w:p w14:paraId="00100885" w14:textId="001008A4">
            <w:pPr>
              <w:pStyle w:val="Normal"/>
              <w:jc w:val="left"/>
            </w:pPr>
            <w:r>
              <w:t xml:space="preserve">87.6</w:t>
            </w:r>
          </w:p>
        </w:tc>
      </w:tr>
    </w:tbl>
    <w:p w14:paraId="001008A5" w14:textId="001008A6">
      <w:pPr>
        <w:pStyle w:val="Normal"/>
        <w:jc w:val="left"/>
      </w:pPr>
      <w:r>
        <w:t xml:space="preserve">Table 12 Cash flow by activity lines</w:t>
      </w:r>
    </w:p>
    <w:p w14:paraId="001008A7" w14:textId="001008A9">
      <w:pPr>
        <w:pStyle w:val="Normal"/>
        <w:jc w:val="left"/>
      </w:pPr>
      <w:r>
        <w:t xml:space="preserve">Source:</w:t>
      </w:r>
      <w:r>
        <w:t xml:space="preserve"> Consolidated cash flow data for Rivermark Group for the years ended 31 December 2024 and 2023; amounts are presented in US$ million and classified by operating, investing, and financing activities.</w:t>
      </w:r>
    </w:p>
    <w:p w14:paraId="001008AA" w14:textId="001008AB">
      <w:pPr>
        <w:pStyle w:val="Normal"/>
        <w:jc w:val="left"/>
      </w:pPr>
      <w:r>
        <w:t xml:space="preserve">Subsection 2 Position Statements</w:t>
      </w:r>
    </w:p>
    <w:p w14:paraId="001008AC" w14:textId="001008AD">
      <w:pPr>
        <w:pStyle w:val="Normal"/>
        <w:jc w:val="left"/>
      </w:pPr>
      <w:r>
        <w:t xml:space="preserve">The position statements present Rivermark Group’s year-end financial structure and the movement in shareholder equity over the reporting period. Read together, the consolidated balance sheet and the statement of changes in equity show how earnings, investment, financing decisions, and working capital management shaped the Group’s closing position. They also provide the base for assessing liquidity resilience, asset intensity, leverage capacity, and capital preservation.</w:t>
      </w:r>
    </w:p>
    <w:p w14:paraId="001008AE" w14:textId="001008AF">
      <w:pPr>
        <w:pStyle w:val="Normal"/>
        <w:jc w:val="left"/>
      </w:pPr>
      <w:r>
        <w:t xml:space="preserve">At 31 December 2024, the Group maintained a balanced asset profile across industrial facilities, consumer brands, service capabilities, and supporting working capital. Equity increased through retained earnings, partly offset by dividend distributions and selected financing movements. Management uses these statements not only for statutory reporting, but also as core tools for monitoring capital efficiency, maintaining covenant headroom, and supporting disciplined allocation of funds across segments. The statement set therefore links operating performance to the broader question of financial flexibility.</w:t>
      </w:r>
    </w:p>
    <w:p w14:paraId="001008B0" w14:textId="001008B1">
      <w:pPr>
        <w:pStyle w:val="Normal"/>
        <w:jc w:val="left"/>
      </w:pPr>
      <w:r>
        <w:t xml:space="preserve">Position measures are especially important in a diversified group because operating cash generation, asset deployment, and funding requirements do not move uniformly across segments. Industrial operations require continued investment in plant and equipment, Consumer activities carry seasonal inventory and receivable cycles, and Services depends more heavily on people capacity and contract assets. The balance sheet brings these different profiles together in a single view, allowing management and stakeholders to evaluate whether the Group’s resources are aligned with strategy and whether liabilities remain supportable under varying market conditions.</w:t>
      </w:r>
    </w:p>
    <w:p w14:paraId="001008B2" w14:textId="001008B3">
      <w:pPr>
        <w:pStyle w:val="Normal"/>
        <w:jc w:val="left"/>
      </w:pPr>
      <w:r>
        <w:t xml:space="preserve">During 2024, Rivermark Group continued to emphasize a prudent balance between growth investment and financial stability. Management monitored net debt, working capital turns, and cash conversion alongside headline earnings to ensure that expansion did not weaken liquidity discipline. Equity movements similarly provide insight into the sustainability of returns, showing how current-year profit translated into retained capital after distributions to shareholders. In this context, the position statements are not static records of closing balances; they are analytical tools that explain the Group’s capacity to absorb volatility, fund future priorities, and sustain operations across its portfolio.</w:t>
      </w:r>
    </w:p>
    <w:p w14:paraId="001008B4" w14:textId="001008B5">
      <w:pPr>
        <w:pStyle w:val="Normal"/>
        <w:jc w:val="left"/>
      </w:pPr>
      <w:r>
        <w:t xml:space="preserve">2.1 Balance Sheet</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768"/>
        <w:gridCol w:w="2768"/>
        <w:gridCol w:w="2768"/>
      </w:tblGrid>
      <w:tr>
        <w:trPr>
          <w:tblHeader/>
        </w:trPr>
        <w:tc>
          <w:tcPr>
            <w:vAlign w:val="bottom"/>
            <w:tcBorders>
              <w:top w:val="single" w:sz="4" w:space="0" w:color="auto"/>
              <w:left w:val="single" w:sz="4" w:space="0" w:color="auto"/>
              <w:bottom w:val="single" w:sz="4" w:space="0" w:color="auto"/>
              <w:right w:val="single" w:sz="4" w:space="0" w:color="auto"/>
            </w:tcBorders>
          </w:tcPr>
          <w:p w14:paraId="001008B6" w14:textId="0010091C">
            <w:pPr>
              <w:pStyle w:val="Normal"/>
              <w:jc w:val="left"/>
            </w:pPr>
            <w:r>
              <w:t xml:space="preserve">USD million</w:t>
            </w:r>
          </w:p>
        </w:tc>
        <w:tc>
          <w:tcPr>
            <w:vAlign w:val="bottom"/>
            <w:tcBorders>
              <w:top w:val="single" w:sz="4" w:space="0" w:color="auto"/>
              <w:left w:val="single" w:sz="4" w:space="0" w:color="auto"/>
              <w:bottom w:val="single" w:sz="4" w:space="0" w:color="auto"/>
              <w:right w:val="single" w:sz="4" w:space="0" w:color="auto"/>
            </w:tcBorders>
          </w:tcPr>
          <w:p w14:paraId="001008B8" w14:textId="0010091D">
            <w:pPr>
              <w:pStyle w:val="Normal"/>
              <w:jc w:val="left"/>
            </w:pPr>
            <w:r>
              <w:t xml:space="preserve">2024</w:t>
            </w:r>
          </w:p>
        </w:tc>
        <w:tc>
          <w:tcPr>
            <w:vAlign w:val="bottom"/>
            <w:tcBorders>
              <w:top w:val="single" w:sz="4" w:space="0" w:color="auto"/>
              <w:left w:val="single" w:sz="4" w:space="0" w:color="auto"/>
              <w:bottom w:val="single" w:sz="4" w:space="0" w:color="auto"/>
              <w:right w:val="single" w:sz="4" w:space="0" w:color="auto"/>
            </w:tcBorders>
          </w:tcPr>
          <w:p w14:paraId="001008BA" w14:textId="0010091E">
            <w:pPr>
              <w:pStyle w:val="Normal"/>
              <w:jc w:val="left"/>
            </w:pPr>
            <w:r>
              <w:t xml:space="preserve">2023</w:t>
            </w:r>
          </w:p>
        </w:tc>
      </w:tr>
      <w:tr>
        <w:tc>
          <w:tcPr>
            <w:vAlign w:val="bottom"/>
            <w:tcBorders>
              <w:top w:val="single" w:sz="4" w:space="0" w:color="auto"/>
              <w:left w:val="single" w:sz="4" w:space="0" w:color="auto"/>
              <w:bottom w:val="single" w:sz="4" w:space="0" w:color="auto"/>
              <w:right w:val="single" w:sz="4" w:space="0" w:color="auto"/>
            </w:tcBorders>
          </w:tcPr>
          <w:p w14:paraId="001008BC" w14:textId="0010091F">
            <w:pPr>
              <w:pStyle w:val="Normal"/>
              <w:jc w:val="left"/>
            </w:pPr>
            <w:r>
              <w:t xml:space="preserve">Assets</w:t>
            </w:r>
          </w:p>
        </w:tc>
        <w:tc>
          <w:tcPr>
            <w:vAlign w:val="bottom"/>
            <w:tcBorders>
              <w:top w:val="single" w:sz="4" w:space="0" w:color="auto"/>
              <w:left w:val="single" w:sz="4" w:space="0" w:color="auto"/>
              <w:bottom w:val="single" w:sz="4" w:space="0" w:color="auto"/>
              <w:right w:val="single" w:sz="4" w:space="0" w:color="auto"/>
            </w:tcBorders>
          </w:tcPr>
          <w:p w14:paraId="001008BE" w14:textId="00100920">
            <w:pPr>
              <w:pStyle w:val="Normal"/>
              <w:jc w:val="left"/>
            </w:pPr>
            <w:r>
              <w:t xml:space="preserve"/>
            </w:r>
          </w:p>
        </w:tc>
        <w:tc>
          <w:tcPr>
            <w:vAlign w:val="bottom"/>
            <w:tcBorders>
              <w:top w:val="single" w:sz="4" w:space="0" w:color="auto"/>
              <w:left w:val="single" w:sz="4" w:space="0" w:color="auto"/>
              <w:bottom w:val="single" w:sz="4" w:space="0" w:color="auto"/>
              <w:right w:val="single" w:sz="4" w:space="0" w:color="auto"/>
            </w:tcBorders>
          </w:tcPr>
          <w:p w14:paraId="001008C0" w14:textId="00100921">
            <w:pPr>
              <w:pStyle w:val="Normal"/>
              <w:jc w:val="left"/>
            </w:pPr>
            <w:r>
              <w:t xml:space="preserve"/>
            </w:r>
          </w:p>
        </w:tc>
      </w:tr>
      <w:tr>
        <w:tc>
          <w:tcPr>
            <w:vAlign w:val="bottom"/>
            <w:tcBorders>
              <w:top w:val="single" w:sz="4" w:space="0" w:color="auto"/>
              <w:left w:val="single" w:sz="4" w:space="0" w:color="auto"/>
              <w:bottom w:val="single" w:sz="4" w:space="0" w:color="auto"/>
              <w:right w:val="single" w:sz="4" w:space="0" w:color="auto"/>
            </w:tcBorders>
          </w:tcPr>
          <w:p w14:paraId="001008C2" w14:textId="00100922">
            <w:pPr>
              <w:pStyle w:val="Normal"/>
              <w:jc w:val="left"/>
            </w:pPr>
            <w:r>
              <w:t xml:space="preserve">Cash and cash equivalents</w:t>
            </w:r>
          </w:p>
        </w:tc>
        <w:tc>
          <w:tcPr>
            <w:vAlign w:val="bottom"/>
            <w:tcBorders>
              <w:top w:val="single" w:sz="4" w:space="0" w:color="auto"/>
              <w:left w:val="single" w:sz="4" w:space="0" w:color="auto"/>
              <w:bottom w:val="single" w:sz="4" w:space="0" w:color="auto"/>
              <w:right w:val="single" w:sz="4" w:space="0" w:color="auto"/>
            </w:tcBorders>
          </w:tcPr>
          <w:p w14:paraId="001008C4" w14:textId="00100923">
            <w:pPr>
              <w:pStyle w:val="Normal"/>
              <w:jc w:val="left"/>
            </w:pPr>
            <w:r>
              <w:t xml:space="preserve">286.4</w:t>
            </w:r>
          </w:p>
        </w:tc>
        <w:tc>
          <w:tcPr>
            <w:vAlign w:val="bottom"/>
            <w:tcBorders>
              <w:top w:val="single" w:sz="4" w:space="0" w:color="auto"/>
              <w:left w:val="single" w:sz="4" w:space="0" w:color="auto"/>
              <w:bottom w:val="single" w:sz="4" w:space="0" w:color="auto"/>
              <w:right w:val="single" w:sz="4" w:space="0" w:color="auto"/>
            </w:tcBorders>
          </w:tcPr>
          <w:p w14:paraId="001008C6" w14:textId="00100924">
            <w:pPr>
              <w:pStyle w:val="Normal"/>
              <w:jc w:val="left"/>
            </w:pPr>
            <w:r>
              <w:t xml:space="preserve">248.7</w:t>
            </w:r>
          </w:p>
        </w:tc>
      </w:tr>
      <w:tr>
        <w:tc>
          <w:tcPr>
            <w:vAlign w:val="bottom"/>
            <w:tcBorders>
              <w:top w:val="single" w:sz="4" w:space="0" w:color="auto"/>
              <w:left w:val="single" w:sz="4" w:space="0" w:color="auto"/>
              <w:bottom w:val="single" w:sz="4" w:space="0" w:color="auto"/>
              <w:right w:val="single" w:sz="4" w:space="0" w:color="auto"/>
            </w:tcBorders>
          </w:tcPr>
          <w:p w14:paraId="001008C8" w14:textId="00100925">
            <w:pPr>
              <w:pStyle w:val="Normal"/>
              <w:jc w:val="left"/>
            </w:pPr>
            <w:r>
              <w:t xml:space="preserve">Trade and other receivables</w:t>
            </w:r>
          </w:p>
        </w:tc>
        <w:tc>
          <w:tcPr>
            <w:vAlign w:val="bottom"/>
            <w:tcBorders>
              <w:top w:val="single" w:sz="4" w:space="0" w:color="auto"/>
              <w:left w:val="single" w:sz="4" w:space="0" w:color="auto"/>
              <w:bottom w:val="single" w:sz="4" w:space="0" w:color="auto"/>
              <w:right w:val="single" w:sz="4" w:space="0" w:color="auto"/>
            </w:tcBorders>
          </w:tcPr>
          <w:p w14:paraId="001008CA" w14:textId="00100926">
            <w:pPr>
              <w:pStyle w:val="Normal"/>
              <w:jc w:val="left"/>
            </w:pPr>
            <w:r>
              <w:t xml:space="preserve">412.9</w:t>
            </w:r>
          </w:p>
        </w:tc>
        <w:tc>
          <w:tcPr>
            <w:vAlign w:val="bottom"/>
            <w:tcBorders>
              <w:top w:val="single" w:sz="4" w:space="0" w:color="auto"/>
              <w:left w:val="single" w:sz="4" w:space="0" w:color="auto"/>
              <w:bottom w:val="single" w:sz="4" w:space="0" w:color="auto"/>
              <w:right w:val="single" w:sz="4" w:space="0" w:color="auto"/>
            </w:tcBorders>
          </w:tcPr>
          <w:p w14:paraId="001008CC" w14:textId="00100927">
            <w:pPr>
              <w:pStyle w:val="Normal"/>
              <w:jc w:val="left"/>
            </w:pPr>
            <w:r>
              <w:t xml:space="preserve">395.1</w:t>
            </w:r>
          </w:p>
        </w:tc>
      </w:tr>
      <w:tr>
        <w:tc>
          <w:tcPr>
            <w:vAlign w:val="bottom"/>
            <w:tcBorders>
              <w:top w:val="single" w:sz="4" w:space="0" w:color="auto"/>
              <w:left w:val="single" w:sz="4" w:space="0" w:color="auto"/>
              <w:bottom w:val="single" w:sz="4" w:space="0" w:color="auto"/>
              <w:right w:val="single" w:sz="4" w:space="0" w:color="auto"/>
            </w:tcBorders>
          </w:tcPr>
          <w:p w14:paraId="001008CE" w14:textId="00100928">
            <w:pPr>
              <w:pStyle w:val="Normal"/>
              <w:jc w:val="left"/>
            </w:pPr>
            <w:r>
              <w:t xml:space="preserve">Inventories</w:t>
            </w:r>
          </w:p>
        </w:tc>
        <w:tc>
          <w:tcPr>
            <w:vAlign w:val="bottom"/>
            <w:tcBorders>
              <w:top w:val="single" w:sz="4" w:space="0" w:color="auto"/>
              <w:left w:val="single" w:sz="4" w:space="0" w:color="auto"/>
              <w:bottom w:val="single" w:sz="4" w:space="0" w:color="auto"/>
              <w:right w:val="single" w:sz="4" w:space="0" w:color="auto"/>
            </w:tcBorders>
          </w:tcPr>
          <w:p w14:paraId="001008D0" w14:textId="00100929">
            <w:pPr>
              <w:pStyle w:val="Normal"/>
              <w:jc w:val="left"/>
            </w:pPr>
            <w:r>
              <w:t xml:space="preserve">268.3</w:t>
            </w:r>
          </w:p>
        </w:tc>
        <w:tc>
          <w:tcPr>
            <w:vAlign w:val="bottom"/>
            <w:tcBorders>
              <w:top w:val="single" w:sz="4" w:space="0" w:color="auto"/>
              <w:left w:val="single" w:sz="4" w:space="0" w:color="auto"/>
              <w:bottom w:val="single" w:sz="4" w:space="0" w:color="auto"/>
              <w:right w:val="single" w:sz="4" w:space="0" w:color="auto"/>
            </w:tcBorders>
          </w:tcPr>
          <w:p w14:paraId="001008D2" w14:textId="0010092A">
            <w:pPr>
              <w:pStyle w:val="Normal"/>
              <w:jc w:val="left"/>
            </w:pPr>
            <w:r>
              <w:t xml:space="preserve">251.6</w:t>
            </w:r>
          </w:p>
        </w:tc>
      </w:tr>
      <w:tr>
        <w:tc>
          <w:tcPr>
            <w:vAlign w:val="bottom"/>
            <w:tcBorders>
              <w:top w:val="single" w:sz="4" w:space="0" w:color="auto"/>
              <w:left w:val="single" w:sz="4" w:space="0" w:color="auto"/>
              <w:bottom w:val="single" w:sz="4" w:space="0" w:color="auto"/>
              <w:right w:val="single" w:sz="4" w:space="0" w:color="auto"/>
            </w:tcBorders>
          </w:tcPr>
          <w:p w14:paraId="001008D4" w14:textId="0010092B">
            <w:pPr>
              <w:pStyle w:val="Normal"/>
              <w:jc w:val="left"/>
            </w:pPr>
            <w:r>
              <w:t xml:space="preserve">Property, plant and equipment</w:t>
            </w:r>
          </w:p>
        </w:tc>
        <w:tc>
          <w:tcPr>
            <w:vAlign w:val="bottom"/>
            <w:tcBorders>
              <w:top w:val="single" w:sz="4" w:space="0" w:color="auto"/>
              <w:left w:val="single" w:sz="4" w:space="0" w:color="auto"/>
              <w:bottom w:val="single" w:sz="4" w:space="0" w:color="auto"/>
              <w:right w:val="single" w:sz="4" w:space="0" w:color="auto"/>
            </w:tcBorders>
          </w:tcPr>
          <w:p w14:paraId="001008D6" w14:textId="0010092C">
            <w:pPr>
              <w:pStyle w:val="Normal"/>
              <w:jc w:val="left"/>
            </w:pPr>
            <w:r>
              <w:t xml:space="preserve">624.8</w:t>
            </w:r>
          </w:p>
        </w:tc>
        <w:tc>
          <w:tcPr>
            <w:vAlign w:val="bottom"/>
            <w:tcBorders>
              <w:top w:val="single" w:sz="4" w:space="0" w:color="auto"/>
              <w:left w:val="single" w:sz="4" w:space="0" w:color="auto"/>
              <w:bottom w:val="single" w:sz="4" w:space="0" w:color="auto"/>
              <w:right w:val="single" w:sz="4" w:space="0" w:color="auto"/>
            </w:tcBorders>
          </w:tcPr>
          <w:p w14:paraId="001008D8" w14:textId="0010092D">
            <w:pPr>
              <w:pStyle w:val="Normal"/>
              <w:jc w:val="left"/>
            </w:pPr>
            <w:r>
              <w:t xml:space="preserve">601.2</w:t>
            </w:r>
          </w:p>
        </w:tc>
      </w:tr>
      <w:tr>
        <w:tc>
          <w:tcPr>
            <w:vAlign w:val="bottom"/>
            <w:tcBorders>
              <w:top w:val="single" w:sz="4" w:space="0" w:color="auto"/>
              <w:left w:val="single" w:sz="4" w:space="0" w:color="auto"/>
              <w:bottom w:val="single" w:sz="4" w:space="0" w:color="auto"/>
              <w:right w:val="single" w:sz="4" w:space="0" w:color="auto"/>
            </w:tcBorders>
          </w:tcPr>
          <w:p w14:paraId="001008DA" w14:textId="0010092E">
            <w:pPr>
              <w:pStyle w:val="Normal"/>
              <w:jc w:val="left"/>
            </w:pPr>
            <w:r>
              <w:t xml:space="preserve">Intangible assets</w:t>
            </w:r>
          </w:p>
        </w:tc>
        <w:tc>
          <w:tcPr>
            <w:vAlign w:val="bottom"/>
            <w:tcBorders>
              <w:top w:val="single" w:sz="4" w:space="0" w:color="auto"/>
              <w:left w:val="single" w:sz="4" w:space="0" w:color="auto"/>
              <w:bottom w:val="single" w:sz="4" w:space="0" w:color="auto"/>
              <w:right w:val="single" w:sz="4" w:space="0" w:color="auto"/>
            </w:tcBorders>
          </w:tcPr>
          <w:p w14:paraId="001008DC" w14:textId="0010092F">
            <w:pPr>
              <w:pStyle w:val="Normal"/>
              <w:jc w:val="left"/>
            </w:pPr>
            <w:r>
              <w:t xml:space="preserve">173.5</w:t>
            </w:r>
          </w:p>
        </w:tc>
        <w:tc>
          <w:tcPr>
            <w:vAlign w:val="bottom"/>
            <w:tcBorders>
              <w:top w:val="single" w:sz="4" w:space="0" w:color="auto"/>
              <w:left w:val="single" w:sz="4" w:space="0" w:color="auto"/>
              <w:bottom w:val="single" w:sz="4" w:space="0" w:color="auto"/>
              <w:right w:val="single" w:sz="4" w:space="0" w:color="auto"/>
            </w:tcBorders>
          </w:tcPr>
          <w:p w14:paraId="001008DE" w14:textId="00100930">
            <w:pPr>
              <w:pStyle w:val="Normal"/>
              <w:jc w:val="left"/>
            </w:pPr>
            <w:r>
              <w:t xml:space="preserve">165.9</w:t>
            </w:r>
          </w:p>
        </w:tc>
      </w:tr>
      <w:tr>
        <w:tc>
          <w:tcPr>
            <w:vAlign w:val="bottom"/>
            <w:tcBorders>
              <w:top w:val="single" w:sz="4" w:space="0" w:color="auto"/>
              <w:left w:val="single" w:sz="4" w:space="0" w:color="auto"/>
              <w:bottom w:val="single" w:sz="4" w:space="0" w:color="auto"/>
              <w:right w:val="single" w:sz="4" w:space="0" w:color="auto"/>
            </w:tcBorders>
          </w:tcPr>
          <w:p w14:paraId="001008E0" w14:textId="00100931">
            <w:pPr>
              <w:pStyle w:val="Normal"/>
              <w:jc w:val="left"/>
            </w:pPr>
            <w:r>
              <w:t xml:space="preserve">Other assets</w:t>
            </w:r>
          </w:p>
        </w:tc>
        <w:tc>
          <w:tcPr>
            <w:vAlign w:val="bottom"/>
            <w:tcBorders>
              <w:top w:val="single" w:sz="4" w:space="0" w:color="auto"/>
              <w:left w:val="single" w:sz="4" w:space="0" w:color="auto"/>
              <w:bottom w:val="single" w:sz="4" w:space="0" w:color="auto"/>
              <w:right w:val="single" w:sz="4" w:space="0" w:color="auto"/>
            </w:tcBorders>
          </w:tcPr>
          <w:p w14:paraId="001008E2" w14:textId="00100932">
            <w:pPr>
              <w:pStyle w:val="Normal"/>
              <w:jc w:val="left"/>
            </w:pPr>
            <w:r>
              <w:t xml:space="preserve">94.1</w:t>
            </w:r>
          </w:p>
        </w:tc>
        <w:tc>
          <w:tcPr>
            <w:vAlign w:val="bottom"/>
            <w:tcBorders>
              <w:top w:val="single" w:sz="4" w:space="0" w:color="auto"/>
              <w:left w:val="single" w:sz="4" w:space="0" w:color="auto"/>
              <w:bottom w:val="single" w:sz="4" w:space="0" w:color="auto"/>
              <w:right w:val="single" w:sz="4" w:space="0" w:color="auto"/>
            </w:tcBorders>
          </w:tcPr>
          <w:p w14:paraId="001008E4" w14:textId="00100933">
            <w:pPr>
              <w:pStyle w:val="Normal"/>
              <w:jc w:val="left"/>
            </w:pPr>
            <w:r>
              <w:t xml:space="preserve">88.4</w:t>
            </w:r>
          </w:p>
        </w:tc>
      </w:tr>
      <w:tr>
        <w:tc>
          <w:tcPr>
            <w:vAlign w:val="bottom"/>
            <w:tcBorders>
              <w:top w:val="single" w:sz="4" w:space="0" w:color="auto"/>
              <w:left w:val="single" w:sz="4" w:space="0" w:color="auto"/>
              <w:bottom w:val="single" w:sz="4" w:space="0" w:color="auto"/>
              <w:right w:val="single" w:sz="4" w:space="0" w:color="auto"/>
            </w:tcBorders>
          </w:tcPr>
          <w:p w14:paraId="001008E6" w14:textId="00100934">
            <w:pPr>
              <w:pStyle w:val="Normal"/>
              <w:jc w:val="left"/>
            </w:pPr>
            <w:r>
              <w:t xml:space="preserve">Total assets</w:t>
            </w:r>
          </w:p>
        </w:tc>
        <w:tc>
          <w:tcPr>
            <w:vAlign w:val="bottom"/>
            <w:tcBorders>
              <w:top w:val="single" w:sz="4" w:space="0" w:color="auto"/>
              <w:left w:val="single" w:sz="4" w:space="0" w:color="auto"/>
              <w:bottom w:val="single" w:sz="4" w:space="0" w:color="auto"/>
              <w:right w:val="single" w:sz="4" w:space="0" w:color="auto"/>
            </w:tcBorders>
          </w:tcPr>
          <w:p w14:paraId="001008E8" w14:textId="00100935">
            <w:pPr>
              <w:pStyle w:val="Normal"/>
              <w:jc w:val="left"/>
            </w:pPr>
            <w:r>
              <w:t xml:space="preserve">1,860.0</w:t>
            </w:r>
          </w:p>
        </w:tc>
        <w:tc>
          <w:tcPr>
            <w:vAlign w:val="bottom"/>
            <w:tcBorders>
              <w:top w:val="single" w:sz="4" w:space="0" w:color="auto"/>
              <w:left w:val="single" w:sz="4" w:space="0" w:color="auto"/>
              <w:bottom w:val="single" w:sz="4" w:space="0" w:color="auto"/>
              <w:right w:val="single" w:sz="4" w:space="0" w:color="auto"/>
            </w:tcBorders>
          </w:tcPr>
          <w:p w14:paraId="001008EA" w14:textId="00100936">
            <w:pPr>
              <w:pStyle w:val="Normal"/>
              <w:jc w:val="left"/>
            </w:pPr>
            <w:r>
              <w:t xml:space="preserve">1,750.9</w:t>
            </w:r>
          </w:p>
        </w:tc>
      </w:tr>
      <w:tr>
        <w:tc>
          <w:tcPr>
            <w:vAlign w:val="bottom"/>
            <w:tcBorders>
              <w:top w:val="single" w:sz="4" w:space="0" w:color="auto"/>
              <w:left w:val="single" w:sz="4" w:space="0" w:color="auto"/>
              <w:bottom w:val="single" w:sz="4" w:space="0" w:color="auto"/>
              <w:right w:val="single" w:sz="4" w:space="0" w:color="auto"/>
            </w:tcBorders>
          </w:tcPr>
          <w:p w14:paraId="001008EC" w14:textId="00100937">
            <w:pPr>
              <w:pStyle w:val="Normal"/>
              <w:jc w:val="left"/>
            </w:pPr>
            <w:r>
              <w:t xml:space="preserve">Liabilities and equity</w:t>
            </w:r>
          </w:p>
        </w:tc>
        <w:tc>
          <w:tcPr>
            <w:vAlign w:val="bottom"/>
            <w:tcBorders>
              <w:top w:val="single" w:sz="4" w:space="0" w:color="auto"/>
              <w:left w:val="single" w:sz="4" w:space="0" w:color="auto"/>
              <w:bottom w:val="single" w:sz="4" w:space="0" w:color="auto"/>
              <w:right w:val="single" w:sz="4" w:space="0" w:color="auto"/>
            </w:tcBorders>
          </w:tcPr>
          <w:p w14:paraId="001008EE" w14:textId="00100938">
            <w:pPr>
              <w:pStyle w:val="Normal"/>
              <w:jc w:val="left"/>
            </w:pPr>
            <w:r>
              <w:t xml:space="preserve"/>
            </w:r>
          </w:p>
        </w:tc>
        <w:tc>
          <w:tcPr>
            <w:vAlign w:val="bottom"/>
            <w:tcBorders>
              <w:top w:val="single" w:sz="4" w:space="0" w:color="auto"/>
              <w:left w:val="single" w:sz="4" w:space="0" w:color="auto"/>
              <w:bottom w:val="single" w:sz="4" w:space="0" w:color="auto"/>
              <w:right w:val="single" w:sz="4" w:space="0" w:color="auto"/>
            </w:tcBorders>
          </w:tcPr>
          <w:p w14:paraId="001008F0" w14:textId="00100939">
            <w:pPr>
              <w:pStyle w:val="Normal"/>
              <w:jc w:val="left"/>
            </w:pPr>
            <w:r>
              <w:t xml:space="preserve"/>
            </w:r>
          </w:p>
        </w:tc>
      </w:tr>
      <w:tr>
        <w:tc>
          <w:tcPr>
            <w:vAlign w:val="bottom"/>
            <w:tcBorders>
              <w:top w:val="single" w:sz="4" w:space="0" w:color="auto"/>
              <w:left w:val="single" w:sz="4" w:space="0" w:color="auto"/>
              <w:bottom w:val="single" w:sz="4" w:space="0" w:color="auto"/>
              <w:right w:val="single" w:sz="4" w:space="0" w:color="auto"/>
            </w:tcBorders>
          </w:tcPr>
          <w:p w14:paraId="001008F2" w14:textId="0010093A">
            <w:pPr>
              <w:pStyle w:val="Normal"/>
              <w:jc w:val="left"/>
            </w:pPr>
            <w:r>
              <w:t xml:space="preserve">Trade and other payables</w:t>
            </w:r>
          </w:p>
        </w:tc>
        <w:tc>
          <w:tcPr>
            <w:vAlign w:val="bottom"/>
            <w:tcBorders>
              <w:top w:val="single" w:sz="4" w:space="0" w:color="auto"/>
              <w:left w:val="single" w:sz="4" w:space="0" w:color="auto"/>
              <w:bottom w:val="single" w:sz="4" w:space="0" w:color="auto"/>
              <w:right w:val="single" w:sz="4" w:space="0" w:color="auto"/>
            </w:tcBorders>
          </w:tcPr>
          <w:p w14:paraId="001008F4" w14:textId="0010093B">
            <w:pPr>
              <w:pStyle w:val="Normal"/>
              <w:jc w:val="left"/>
            </w:pPr>
            <w:r>
              <w:t xml:space="preserve">338.6</w:t>
            </w:r>
          </w:p>
        </w:tc>
        <w:tc>
          <w:tcPr>
            <w:vAlign w:val="bottom"/>
            <w:tcBorders>
              <w:top w:val="single" w:sz="4" w:space="0" w:color="auto"/>
              <w:left w:val="single" w:sz="4" w:space="0" w:color="auto"/>
              <w:bottom w:val="single" w:sz="4" w:space="0" w:color="auto"/>
              <w:right w:val="single" w:sz="4" w:space="0" w:color="auto"/>
            </w:tcBorders>
          </w:tcPr>
          <w:p w14:paraId="001008F6" w14:textId="0010093C">
            <w:pPr>
              <w:pStyle w:val="Normal"/>
              <w:jc w:val="left"/>
            </w:pPr>
            <w:r>
              <w:t xml:space="preserve">321.5</w:t>
            </w:r>
          </w:p>
        </w:tc>
      </w:tr>
      <w:tr>
        <w:tc>
          <w:tcPr>
            <w:vAlign w:val="bottom"/>
            <w:tcBorders>
              <w:top w:val="single" w:sz="4" w:space="0" w:color="auto"/>
              <w:left w:val="single" w:sz="4" w:space="0" w:color="auto"/>
              <w:bottom w:val="single" w:sz="4" w:space="0" w:color="auto"/>
              <w:right w:val="single" w:sz="4" w:space="0" w:color="auto"/>
            </w:tcBorders>
          </w:tcPr>
          <w:p w14:paraId="001008F8" w14:textId="0010093D">
            <w:pPr>
              <w:pStyle w:val="Normal"/>
              <w:jc w:val="left"/>
            </w:pPr>
            <w:r>
              <w:t xml:space="preserve">Borrowings</w:t>
            </w:r>
          </w:p>
        </w:tc>
        <w:tc>
          <w:tcPr>
            <w:vAlign w:val="bottom"/>
            <w:tcBorders>
              <w:top w:val="single" w:sz="4" w:space="0" w:color="auto"/>
              <w:left w:val="single" w:sz="4" w:space="0" w:color="auto"/>
              <w:bottom w:val="single" w:sz="4" w:space="0" w:color="auto"/>
              <w:right w:val="single" w:sz="4" w:space="0" w:color="auto"/>
            </w:tcBorders>
          </w:tcPr>
          <w:p w14:paraId="001008FA" w14:textId="0010093E">
            <w:pPr>
              <w:pStyle w:val="Normal"/>
              <w:jc w:val="left"/>
            </w:pPr>
            <w:r>
              <w:t xml:space="preserve">472.7</w:t>
            </w:r>
          </w:p>
        </w:tc>
        <w:tc>
          <w:tcPr>
            <w:vAlign w:val="bottom"/>
            <w:tcBorders>
              <w:top w:val="single" w:sz="4" w:space="0" w:color="auto"/>
              <w:left w:val="single" w:sz="4" w:space="0" w:color="auto"/>
              <w:bottom w:val="single" w:sz="4" w:space="0" w:color="auto"/>
              <w:right w:val="single" w:sz="4" w:space="0" w:color="auto"/>
            </w:tcBorders>
          </w:tcPr>
          <w:p w14:paraId="001008FC" w14:textId="0010093F">
            <w:pPr>
              <w:pStyle w:val="Normal"/>
              <w:jc w:val="left"/>
            </w:pPr>
            <w:r>
              <w:t xml:space="preserve">446.8</w:t>
            </w:r>
          </w:p>
        </w:tc>
      </w:tr>
      <w:tr>
        <w:tc>
          <w:tcPr>
            <w:vAlign w:val="bottom"/>
            <w:tcBorders>
              <w:top w:val="single" w:sz="4" w:space="0" w:color="auto"/>
              <w:left w:val="single" w:sz="4" w:space="0" w:color="auto"/>
              <w:bottom w:val="single" w:sz="4" w:space="0" w:color="auto"/>
              <w:right w:val="single" w:sz="4" w:space="0" w:color="auto"/>
            </w:tcBorders>
          </w:tcPr>
          <w:p w14:paraId="001008FE" w14:textId="00100940">
            <w:pPr>
              <w:pStyle w:val="Normal"/>
              <w:jc w:val="left"/>
            </w:pPr>
            <w:r>
              <w:t xml:space="preserve">Lease liabilities</w:t>
            </w:r>
          </w:p>
        </w:tc>
        <w:tc>
          <w:tcPr>
            <w:vAlign w:val="bottom"/>
            <w:tcBorders>
              <w:top w:val="single" w:sz="4" w:space="0" w:color="auto"/>
              <w:left w:val="single" w:sz="4" w:space="0" w:color="auto"/>
              <w:bottom w:val="single" w:sz="4" w:space="0" w:color="auto"/>
              <w:right w:val="single" w:sz="4" w:space="0" w:color="auto"/>
            </w:tcBorders>
          </w:tcPr>
          <w:p w14:paraId="00100900" w14:textId="00100941">
            <w:pPr>
              <w:pStyle w:val="Normal"/>
              <w:jc w:val="left"/>
            </w:pPr>
            <w:r>
              <w:t xml:space="preserve">96.2</w:t>
            </w:r>
          </w:p>
        </w:tc>
        <w:tc>
          <w:tcPr>
            <w:vAlign w:val="bottom"/>
            <w:tcBorders>
              <w:top w:val="single" w:sz="4" w:space="0" w:color="auto"/>
              <w:left w:val="single" w:sz="4" w:space="0" w:color="auto"/>
              <w:bottom w:val="single" w:sz="4" w:space="0" w:color="auto"/>
              <w:right w:val="single" w:sz="4" w:space="0" w:color="auto"/>
            </w:tcBorders>
          </w:tcPr>
          <w:p w14:paraId="00100902" w14:textId="00100942">
            <w:pPr>
              <w:pStyle w:val="Normal"/>
              <w:jc w:val="left"/>
            </w:pPr>
            <w:r>
              <w:t xml:space="preserve">89.7</w:t>
            </w:r>
          </w:p>
        </w:tc>
      </w:tr>
      <w:tr>
        <w:tc>
          <w:tcPr>
            <w:vAlign w:val="bottom"/>
            <w:tcBorders>
              <w:top w:val="single" w:sz="4" w:space="0" w:color="auto"/>
              <w:left w:val="single" w:sz="4" w:space="0" w:color="auto"/>
              <w:bottom w:val="single" w:sz="4" w:space="0" w:color="auto"/>
              <w:right w:val="single" w:sz="4" w:space="0" w:color="auto"/>
            </w:tcBorders>
          </w:tcPr>
          <w:p w14:paraId="00100904" w14:textId="00100943">
            <w:pPr>
              <w:pStyle w:val="Normal"/>
              <w:jc w:val="left"/>
            </w:pPr>
            <w:r>
              <w:t xml:space="preserve">Other liabilities</w:t>
            </w:r>
          </w:p>
        </w:tc>
        <w:tc>
          <w:tcPr>
            <w:vAlign w:val="bottom"/>
            <w:tcBorders>
              <w:top w:val="single" w:sz="4" w:space="0" w:color="auto"/>
              <w:left w:val="single" w:sz="4" w:space="0" w:color="auto"/>
              <w:bottom w:val="single" w:sz="4" w:space="0" w:color="auto"/>
              <w:right w:val="single" w:sz="4" w:space="0" w:color="auto"/>
            </w:tcBorders>
          </w:tcPr>
          <w:p w14:paraId="00100906" w14:textId="00100944">
            <w:pPr>
              <w:pStyle w:val="Normal"/>
              <w:jc w:val="left"/>
            </w:pPr>
            <w:r>
              <w:t xml:space="preserve">121.9</w:t>
            </w:r>
          </w:p>
        </w:tc>
        <w:tc>
          <w:tcPr>
            <w:vAlign w:val="bottom"/>
            <w:tcBorders>
              <w:top w:val="single" w:sz="4" w:space="0" w:color="auto"/>
              <w:left w:val="single" w:sz="4" w:space="0" w:color="auto"/>
              <w:bottom w:val="single" w:sz="4" w:space="0" w:color="auto"/>
              <w:right w:val="single" w:sz="4" w:space="0" w:color="auto"/>
            </w:tcBorders>
          </w:tcPr>
          <w:p w14:paraId="00100908" w14:textId="00100945">
            <w:pPr>
              <w:pStyle w:val="Normal"/>
              <w:jc w:val="left"/>
            </w:pPr>
            <w:r>
              <w:t xml:space="preserve">114.6</w:t>
            </w:r>
          </w:p>
        </w:tc>
      </w:tr>
      <w:tr>
        <w:tc>
          <w:tcPr>
            <w:vAlign w:val="bottom"/>
            <w:tcBorders>
              <w:top w:val="single" w:sz="4" w:space="0" w:color="auto"/>
              <w:left w:val="single" w:sz="4" w:space="0" w:color="auto"/>
              <w:bottom w:val="single" w:sz="4" w:space="0" w:color="auto"/>
              <w:right w:val="single" w:sz="4" w:space="0" w:color="auto"/>
            </w:tcBorders>
          </w:tcPr>
          <w:p w14:paraId="0010090A" w14:textId="00100946">
            <w:pPr>
              <w:pStyle w:val="Normal"/>
              <w:jc w:val="left"/>
            </w:pPr>
            <w:r>
              <w:t xml:space="preserve">Total liabilities</w:t>
            </w:r>
          </w:p>
        </w:tc>
        <w:tc>
          <w:tcPr>
            <w:vAlign w:val="bottom"/>
            <w:tcBorders>
              <w:top w:val="single" w:sz="4" w:space="0" w:color="auto"/>
              <w:left w:val="single" w:sz="4" w:space="0" w:color="auto"/>
              <w:bottom w:val="single" w:sz="4" w:space="0" w:color="auto"/>
              <w:right w:val="single" w:sz="4" w:space="0" w:color="auto"/>
            </w:tcBorders>
          </w:tcPr>
          <w:p w14:paraId="0010090C" w14:textId="00100947">
            <w:pPr>
              <w:pStyle w:val="Normal"/>
              <w:jc w:val="left"/>
            </w:pPr>
            <w:r>
              <w:t xml:space="preserve">1,029.4</w:t>
            </w:r>
          </w:p>
        </w:tc>
        <w:tc>
          <w:tcPr>
            <w:vAlign w:val="bottom"/>
            <w:tcBorders>
              <w:top w:val="single" w:sz="4" w:space="0" w:color="auto"/>
              <w:left w:val="single" w:sz="4" w:space="0" w:color="auto"/>
              <w:bottom w:val="single" w:sz="4" w:space="0" w:color="auto"/>
              <w:right w:val="single" w:sz="4" w:space="0" w:color="auto"/>
            </w:tcBorders>
          </w:tcPr>
          <w:p w14:paraId="0010090E" w14:textId="00100948">
            <w:pPr>
              <w:pStyle w:val="Normal"/>
              <w:jc w:val="left"/>
            </w:pPr>
            <w:r>
              <w:t xml:space="preserve">972.6</w:t>
            </w:r>
          </w:p>
        </w:tc>
      </w:tr>
      <w:tr>
        <w:tc>
          <w:tcPr>
            <w:vAlign w:val="bottom"/>
            <w:tcBorders>
              <w:top w:val="single" w:sz="4" w:space="0" w:color="auto"/>
              <w:left w:val="single" w:sz="4" w:space="0" w:color="auto"/>
              <w:bottom w:val="single" w:sz="4" w:space="0" w:color="auto"/>
              <w:right w:val="single" w:sz="4" w:space="0" w:color="auto"/>
            </w:tcBorders>
          </w:tcPr>
          <w:p w14:paraId="00100910" w14:textId="00100949">
            <w:pPr>
              <w:pStyle w:val="Normal"/>
              <w:jc w:val="left"/>
            </w:pPr>
            <w:r>
              <w:t xml:space="preserve">Share capital and reserves</w:t>
            </w:r>
          </w:p>
        </w:tc>
        <w:tc>
          <w:tcPr>
            <w:vAlign w:val="bottom"/>
            <w:tcBorders>
              <w:top w:val="single" w:sz="4" w:space="0" w:color="auto"/>
              <w:left w:val="single" w:sz="4" w:space="0" w:color="auto"/>
              <w:bottom w:val="single" w:sz="4" w:space="0" w:color="auto"/>
              <w:right w:val="single" w:sz="4" w:space="0" w:color="auto"/>
            </w:tcBorders>
          </w:tcPr>
          <w:p w14:paraId="00100912" w14:textId="0010094A">
            <w:pPr>
              <w:pStyle w:val="Normal"/>
              <w:jc w:val="left"/>
            </w:pPr>
            <w:r>
              <w:t xml:space="preserve">830.6</w:t>
            </w:r>
          </w:p>
        </w:tc>
        <w:tc>
          <w:tcPr>
            <w:vAlign w:val="bottom"/>
            <w:tcBorders>
              <w:top w:val="single" w:sz="4" w:space="0" w:color="auto"/>
              <w:left w:val="single" w:sz="4" w:space="0" w:color="auto"/>
              <w:bottom w:val="single" w:sz="4" w:space="0" w:color="auto"/>
              <w:right w:val="single" w:sz="4" w:space="0" w:color="auto"/>
            </w:tcBorders>
          </w:tcPr>
          <w:p w14:paraId="00100914" w14:textId="0010094B">
            <w:pPr>
              <w:pStyle w:val="Normal"/>
              <w:jc w:val="left"/>
            </w:pPr>
            <w:r>
              <w:t xml:space="preserve">778.3</w:t>
            </w:r>
          </w:p>
        </w:tc>
      </w:tr>
      <w:tr>
        <w:tc>
          <w:tcPr>
            <w:vAlign w:val="bottom"/>
            <w:tcBorders>
              <w:top w:val="single" w:sz="4" w:space="0" w:color="auto"/>
              <w:left w:val="single" w:sz="4" w:space="0" w:color="auto"/>
              <w:bottom w:val="single" w:sz="4" w:space="0" w:color="auto"/>
              <w:right w:val="single" w:sz="4" w:space="0" w:color="auto"/>
            </w:tcBorders>
          </w:tcPr>
          <w:p w14:paraId="00100916" w14:textId="0010094C">
            <w:pPr>
              <w:pStyle w:val="Normal"/>
              <w:jc w:val="left"/>
            </w:pPr>
            <w:r>
              <w:t xml:space="preserve">Total liabilities and equity</w:t>
            </w:r>
          </w:p>
        </w:tc>
        <w:tc>
          <w:tcPr>
            <w:vAlign w:val="bottom"/>
            <w:tcBorders>
              <w:top w:val="single" w:sz="4" w:space="0" w:color="auto"/>
              <w:left w:val="single" w:sz="4" w:space="0" w:color="auto"/>
              <w:bottom w:val="single" w:sz="4" w:space="0" w:color="auto"/>
              <w:right w:val="single" w:sz="4" w:space="0" w:color="auto"/>
            </w:tcBorders>
          </w:tcPr>
          <w:p w14:paraId="00100918" w14:textId="0010094D">
            <w:pPr>
              <w:pStyle w:val="Normal"/>
              <w:jc w:val="left"/>
            </w:pPr>
            <w:r>
              <w:t xml:space="preserve">1,860.0</w:t>
            </w:r>
          </w:p>
        </w:tc>
        <w:tc>
          <w:tcPr>
            <w:vAlign w:val="bottom"/>
            <w:tcBorders>
              <w:top w:val="single" w:sz="4" w:space="0" w:color="auto"/>
              <w:left w:val="single" w:sz="4" w:space="0" w:color="auto"/>
              <w:bottom w:val="single" w:sz="4" w:space="0" w:color="auto"/>
              <w:right w:val="single" w:sz="4" w:space="0" w:color="auto"/>
            </w:tcBorders>
          </w:tcPr>
          <w:p w14:paraId="0010091A" w14:textId="0010094E">
            <w:pPr>
              <w:pStyle w:val="Normal"/>
              <w:jc w:val="left"/>
            </w:pPr>
            <w:r>
              <w:t xml:space="preserve">1,750.9</w:t>
            </w:r>
          </w:p>
        </w:tc>
      </w:tr>
    </w:tbl>
    <w:p w14:paraId="0010094F" w14:textId="00100950">
      <w:pPr>
        <w:pStyle w:val="Normal"/>
        <w:jc w:val="left"/>
      </w:pPr>
      <w:r>
        <w:t xml:space="preserve">Table 13 Balance Sheet Assets and Funding</w:t>
      </w:r>
    </w:p>
    <w:p w14:paraId="00100951" w14:textId="00100953">
      <w:pPr>
        <w:pStyle w:val="Normal"/>
        <w:jc w:val="left"/>
      </w:pPr>
      <w:r>
        <w:t xml:space="preserve">Source:</w:t>
      </w:r>
      <w:r>
        <w:t xml:space="preserve"> Consolidated statement of financial position of Rivermark Group for the years ended 31 December 2024 and 2023. Amounts are presented in USD million and rounded; subtotals may not sum precisely due to rounding. Borrowings include current and non-current interest-bearing debt, and lease liabilities are shown separately.</w:t>
      </w:r>
    </w:p>
    <w:p w14:paraId="00100954" w14:textId="00100955">
      <w:pPr>
        <w:pStyle w:val="Normal"/>
        <w:jc w:val="left"/>
      </w:pPr>
      <w:r>
        <w:t xml:space="preserve">2.2 Changes in Equity</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186"/>
        <w:gridCol w:w="1186"/>
        <w:gridCol w:w="1186"/>
        <w:gridCol w:w="1186"/>
        <w:gridCol w:w="1186"/>
        <w:gridCol w:w="1186"/>
        <w:gridCol w:w="1186"/>
      </w:tblGrid>
      <w:tr>
        <w:trPr>
          <w:tblHeader/>
        </w:trPr>
        <w:tc>
          <w:tcPr>
            <w:vAlign w:val="bottom"/>
            <w:tcBorders>
              <w:top w:val="single" w:sz="4" w:space="0" w:color="auto"/>
              <w:left w:val="single" w:sz="4" w:space="0" w:color="auto"/>
              <w:bottom w:val="single" w:sz="4" w:space="0" w:color="auto"/>
              <w:right w:val="single" w:sz="4" w:space="0" w:color="auto"/>
            </w:tcBorders>
          </w:tcPr>
          <w:p w14:paraId="00100956" w14:textId="001009B8">
            <w:pPr>
              <w:pStyle w:val="Normal"/>
              <w:jc w:val="left"/>
            </w:pPr>
            <w:r>
              <w:t xml:space="preserve">Item</w:t>
            </w:r>
          </w:p>
        </w:tc>
        <w:tc>
          <w:tcPr>
            <w:vAlign w:val="bottom"/>
            <w:tcBorders>
              <w:top w:val="single" w:sz="4" w:space="0" w:color="auto"/>
              <w:left w:val="single" w:sz="4" w:space="0" w:color="auto"/>
              <w:bottom w:val="single" w:sz="4" w:space="0" w:color="auto"/>
              <w:right w:val="single" w:sz="4" w:space="0" w:color="auto"/>
            </w:tcBorders>
          </w:tcPr>
          <w:p w14:paraId="00100958" w14:textId="001009B9">
            <w:pPr>
              <w:pStyle w:val="Normal"/>
              <w:jc w:val="left"/>
            </w:pPr>
            <w:r>
              <w:t xml:space="preserve">Share capital</w:t>
            </w:r>
          </w:p>
        </w:tc>
        <w:tc>
          <w:tcPr>
            <w:vAlign w:val="bottom"/>
            <w:tcBorders>
              <w:top w:val="single" w:sz="4" w:space="0" w:color="auto"/>
              <w:left w:val="single" w:sz="4" w:space="0" w:color="auto"/>
              <w:bottom w:val="single" w:sz="4" w:space="0" w:color="auto"/>
              <w:right w:val="single" w:sz="4" w:space="0" w:color="auto"/>
            </w:tcBorders>
          </w:tcPr>
          <w:p w14:paraId="0010095A" w14:textId="001009BA">
            <w:pPr>
              <w:pStyle w:val="Normal"/>
              <w:jc w:val="left"/>
            </w:pPr>
            <w:r>
              <w:t xml:space="preserve">Share premium</w:t>
            </w:r>
          </w:p>
        </w:tc>
        <w:tc>
          <w:tcPr>
            <w:vAlign w:val="bottom"/>
            <w:tcBorders>
              <w:top w:val="single" w:sz="4" w:space="0" w:color="auto"/>
              <w:left w:val="single" w:sz="4" w:space="0" w:color="auto"/>
              <w:bottom w:val="single" w:sz="4" w:space="0" w:color="auto"/>
              <w:right w:val="single" w:sz="4" w:space="0" w:color="auto"/>
            </w:tcBorders>
          </w:tcPr>
          <w:p w14:paraId="0010095C" w14:textId="001009BB">
            <w:pPr>
              <w:pStyle w:val="Normal"/>
              <w:jc w:val="left"/>
            </w:pPr>
            <w:r>
              <w:t xml:space="preserve">Retained earnings</w:t>
            </w:r>
          </w:p>
        </w:tc>
        <w:tc>
          <w:tcPr>
            <w:vAlign w:val="bottom"/>
            <w:tcBorders>
              <w:top w:val="single" w:sz="4" w:space="0" w:color="auto"/>
              <w:left w:val="single" w:sz="4" w:space="0" w:color="auto"/>
              <w:bottom w:val="single" w:sz="4" w:space="0" w:color="auto"/>
              <w:right w:val="single" w:sz="4" w:space="0" w:color="auto"/>
            </w:tcBorders>
          </w:tcPr>
          <w:p w14:paraId="0010095E" w14:textId="001009BC">
            <w:pPr>
              <w:pStyle w:val="Normal"/>
              <w:jc w:val="left"/>
            </w:pPr>
            <w:r>
              <w:t xml:space="preserve">Other reserves</w:t>
            </w:r>
          </w:p>
        </w:tc>
        <w:tc>
          <w:tcPr>
            <w:vAlign w:val="bottom"/>
            <w:tcBorders>
              <w:top w:val="single" w:sz="4" w:space="0" w:color="auto"/>
              <w:left w:val="single" w:sz="4" w:space="0" w:color="auto"/>
              <w:bottom w:val="single" w:sz="4" w:space="0" w:color="auto"/>
              <w:right w:val="single" w:sz="4" w:space="0" w:color="auto"/>
            </w:tcBorders>
          </w:tcPr>
          <w:p w14:paraId="00100960" w14:textId="001009BD">
            <w:pPr>
              <w:pStyle w:val="Normal"/>
              <w:jc w:val="left"/>
            </w:pPr>
            <w:r>
              <w:t xml:space="preserve">Non-controlling interests</w:t>
            </w:r>
          </w:p>
        </w:tc>
        <w:tc>
          <w:tcPr>
            <w:vAlign w:val="bottom"/>
            <w:tcBorders>
              <w:top w:val="single" w:sz="4" w:space="0" w:color="auto"/>
              <w:left w:val="single" w:sz="4" w:space="0" w:color="auto"/>
              <w:bottom w:val="single" w:sz="4" w:space="0" w:color="auto"/>
              <w:right w:val="single" w:sz="4" w:space="0" w:color="auto"/>
            </w:tcBorders>
          </w:tcPr>
          <w:p w14:paraId="00100962" w14:textId="001009BE">
            <w:pPr>
              <w:pStyle w:val="Normal"/>
              <w:jc w:val="left"/>
            </w:pPr>
            <w:r>
              <w:t xml:space="preserve">Total equity</w:t>
            </w:r>
          </w:p>
        </w:tc>
      </w:tr>
      <w:tr>
        <w:tc>
          <w:tcPr>
            <w:vAlign w:val="bottom"/>
            <w:tcBorders>
              <w:top w:val="single" w:sz="4" w:space="0" w:color="auto"/>
              <w:left w:val="single" w:sz="4" w:space="0" w:color="auto"/>
              <w:bottom w:val="single" w:sz="4" w:space="0" w:color="auto"/>
              <w:right w:val="single" w:sz="4" w:space="0" w:color="auto"/>
            </w:tcBorders>
          </w:tcPr>
          <w:p w14:paraId="00100964" w14:textId="001009BF">
            <w:pPr>
              <w:pStyle w:val="Normal"/>
              <w:jc w:val="left"/>
            </w:pPr>
            <w:r>
              <w:t xml:space="preserve">Balance at 1 January 2023</w:t>
            </w:r>
          </w:p>
        </w:tc>
        <w:tc>
          <w:tcPr>
            <w:vAlign w:val="bottom"/>
            <w:tcBorders>
              <w:top w:val="single" w:sz="4" w:space="0" w:color="auto"/>
              <w:left w:val="single" w:sz="4" w:space="0" w:color="auto"/>
              <w:bottom w:val="single" w:sz="4" w:space="0" w:color="auto"/>
              <w:right w:val="single" w:sz="4" w:space="0" w:color="auto"/>
            </w:tcBorders>
          </w:tcPr>
          <w:p w14:paraId="00100966" w14:textId="001009C0">
            <w:pPr>
              <w:pStyle w:val="Normal"/>
              <w:jc w:val="left"/>
            </w:pPr>
            <w:r>
              <w:t xml:space="preserve">420</w:t>
            </w:r>
          </w:p>
        </w:tc>
        <w:tc>
          <w:tcPr>
            <w:vAlign w:val="bottom"/>
            <w:tcBorders>
              <w:top w:val="single" w:sz="4" w:space="0" w:color="auto"/>
              <w:left w:val="single" w:sz="4" w:space="0" w:color="auto"/>
              <w:bottom w:val="single" w:sz="4" w:space="0" w:color="auto"/>
              <w:right w:val="single" w:sz="4" w:space="0" w:color="auto"/>
            </w:tcBorders>
          </w:tcPr>
          <w:p w14:paraId="00100968" w14:textId="001009C1">
            <w:pPr>
              <w:pStyle w:val="Normal"/>
              <w:jc w:val="left"/>
            </w:pPr>
            <w:r>
              <w:t xml:space="preserve">180</w:t>
            </w:r>
          </w:p>
        </w:tc>
        <w:tc>
          <w:tcPr>
            <w:vAlign w:val="bottom"/>
            <w:tcBorders>
              <w:top w:val="single" w:sz="4" w:space="0" w:color="auto"/>
              <w:left w:val="single" w:sz="4" w:space="0" w:color="auto"/>
              <w:bottom w:val="single" w:sz="4" w:space="0" w:color="auto"/>
              <w:right w:val="single" w:sz="4" w:space="0" w:color="auto"/>
            </w:tcBorders>
          </w:tcPr>
          <w:p w14:paraId="0010096A" w14:textId="001009C2">
            <w:pPr>
              <w:pStyle w:val="Normal"/>
              <w:jc w:val="left"/>
            </w:pPr>
            <w:r>
              <w:t xml:space="preserve">1,145</w:t>
            </w:r>
          </w:p>
        </w:tc>
        <w:tc>
          <w:tcPr>
            <w:vAlign w:val="bottom"/>
            <w:tcBorders>
              <w:top w:val="single" w:sz="4" w:space="0" w:color="auto"/>
              <w:left w:val="single" w:sz="4" w:space="0" w:color="auto"/>
              <w:bottom w:val="single" w:sz="4" w:space="0" w:color="auto"/>
              <w:right w:val="single" w:sz="4" w:space="0" w:color="auto"/>
            </w:tcBorders>
          </w:tcPr>
          <w:p w14:paraId="0010096C" w14:textId="001009C3">
            <w:pPr>
              <w:pStyle w:val="Normal"/>
              <w:jc w:val="left"/>
            </w:pPr>
            <w:r>
              <w:t xml:space="preserve">96</w:t>
            </w:r>
          </w:p>
        </w:tc>
        <w:tc>
          <w:tcPr>
            <w:vAlign w:val="bottom"/>
            <w:tcBorders>
              <w:top w:val="single" w:sz="4" w:space="0" w:color="auto"/>
              <w:left w:val="single" w:sz="4" w:space="0" w:color="auto"/>
              <w:bottom w:val="single" w:sz="4" w:space="0" w:color="auto"/>
              <w:right w:val="single" w:sz="4" w:space="0" w:color="auto"/>
            </w:tcBorders>
          </w:tcPr>
          <w:p w14:paraId="0010096E" w14:textId="001009C4">
            <w:pPr>
              <w:pStyle w:val="Normal"/>
              <w:jc w:val="left"/>
            </w:pPr>
            <w:r>
              <w:t xml:space="preserve">74</w:t>
            </w:r>
          </w:p>
        </w:tc>
        <w:tc>
          <w:tcPr>
            <w:vAlign w:val="bottom"/>
            <w:tcBorders>
              <w:top w:val="single" w:sz="4" w:space="0" w:color="auto"/>
              <w:left w:val="single" w:sz="4" w:space="0" w:color="auto"/>
              <w:bottom w:val="single" w:sz="4" w:space="0" w:color="auto"/>
              <w:right w:val="single" w:sz="4" w:space="0" w:color="auto"/>
            </w:tcBorders>
          </w:tcPr>
          <w:p w14:paraId="00100970" w14:textId="001009C5">
            <w:pPr>
              <w:pStyle w:val="Normal"/>
              <w:jc w:val="left"/>
            </w:pPr>
            <w:r>
              <w:t xml:space="preserve">1,915</w:t>
            </w:r>
          </w:p>
        </w:tc>
      </w:tr>
      <w:tr>
        <w:tc>
          <w:tcPr>
            <w:vAlign w:val="bottom"/>
            <w:tcBorders>
              <w:top w:val="single" w:sz="4" w:space="0" w:color="auto"/>
              <w:left w:val="single" w:sz="4" w:space="0" w:color="auto"/>
              <w:bottom w:val="single" w:sz="4" w:space="0" w:color="auto"/>
              <w:right w:val="single" w:sz="4" w:space="0" w:color="auto"/>
            </w:tcBorders>
          </w:tcPr>
          <w:p w14:paraId="00100972" w14:textId="001009C6">
            <w:pPr>
              <w:pStyle w:val="Normal"/>
              <w:jc w:val="left"/>
            </w:pPr>
            <w:r>
              <w:t xml:space="preserve">Profit for the year</w:t>
            </w:r>
          </w:p>
        </w:tc>
        <w:tc>
          <w:tcPr>
            <w:vAlign w:val="bottom"/>
            <w:tcBorders>
              <w:top w:val="single" w:sz="4" w:space="0" w:color="auto"/>
              <w:left w:val="single" w:sz="4" w:space="0" w:color="auto"/>
              <w:bottom w:val="single" w:sz="4" w:space="0" w:color="auto"/>
              <w:right w:val="single" w:sz="4" w:space="0" w:color="auto"/>
            </w:tcBorders>
          </w:tcPr>
          <w:p w14:paraId="00100974" w14:textId="001009C7">
            <w:pPr>
              <w:pStyle w:val="Normal"/>
              <w:jc w:val="left"/>
            </w:pPr>
            <w:r>
              <w:t xml:space="preserve">—</w:t>
            </w:r>
          </w:p>
        </w:tc>
        <w:tc>
          <w:tcPr>
            <w:vAlign w:val="bottom"/>
            <w:tcBorders>
              <w:top w:val="single" w:sz="4" w:space="0" w:color="auto"/>
              <w:left w:val="single" w:sz="4" w:space="0" w:color="auto"/>
              <w:bottom w:val="single" w:sz="4" w:space="0" w:color="auto"/>
              <w:right w:val="single" w:sz="4" w:space="0" w:color="auto"/>
            </w:tcBorders>
          </w:tcPr>
          <w:p w14:paraId="00100976" w14:textId="001009C8">
            <w:pPr>
              <w:pStyle w:val="Normal"/>
              <w:jc w:val="left"/>
            </w:pPr>
            <w:r>
              <w:t xml:space="preserve">—</w:t>
            </w:r>
          </w:p>
        </w:tc>
        <w:tc>
          <w:tcPr>
            <w:vAlign w:val="bottom"/>
            <w:tcBorders>
              <w:top w:val="single" w:sz="4" w:space="0" w:color="auto"/>
              <w:left w:val="single" w:sz="4" w:space="0" w:color="auto"/>
              <w:bottom w:val="single" w:sz="4" w:space="0" w:color="auto"/>
              <w:right w:val="single" w:sz="4" w:space="0" w:color="auto"/>
            </w:tcBorders>
          </w:tcPr>
          <w:p w14:paraId="00100978" w14:textId="001009C9">
            <w:pPr>
              <w:pStyle w:val="Normal"/>
              <w:jc w:val="left"/>
            </w:pPr>
            <w:r>
              <w:t xml:space="preserve">214</w:t>
            </w:r>
          </w:p>
        </w:tc>
        <w:tc>
          <w:tcPr>
            <w:vAlign w:val="bottom"/>
            <w:tcBorders>
              <w:top w:val="single" w:sz="4" w:space="0" w:color="auto"/>
              <w:left w:val="single" w:sz="4" w:space="0" w:color="auto"/>
              <w:bottom w:val="single" w:sz="4" w:space="0" w:color="auto"/>
              <w:right w:val="single" w:sz="4" w:space="0" w:color="auto"/>
            </w:tcBorders>
          </w:tcPr>
          <w:p w14:paraId="0010097A" w14:textId="001009CA">
            <w:pPr>
              <w:pStyle w:val="Normal"/>
              <w:jc w:val="left"/>
            </w:pPr>
            <w:r>
              <w:t xml:space="preserve">—</w:t>
            </w:r>
          </w:p>
        </w:tc>
        <w:tc>
          <w:tcPr>
            <w:vAlign w:val="bottom"/>
            <w:tcBorders>
              <w:top w:val="single" w:sz="4" w:space="0" w:color="auto"/>
              <w:left w:val="single" w:sz="4" w:space="0" w:color="auto"/>
              <w:bottom w:val="single" w:sz="4" w:space="0" w:color="auto"/>
              <w:right w:val="single" w:sz="4" w:space="0" w:color="auto"/>
            </w:tcBorders>
          </w:tcPr>
          <w:p w14:paraId="0010097C" w14:textId="001009CB">
            <w:pPr>
              <w:pStyle w:val="Normal"/>
              <w:jc w:val="left"/>
            </w:pPr>
            <w:r>
              <w:t xml:space="preserve">18</w:t>
            </w:r>
          </w:p>
        </w:tc>
        <w:tc>
          <w:tcPr>
            <w:vAlign w:val="bottom"/>
            <w:tcBorders>
              <w:top w:val="single" w:sz="4" w:space="0" w:color="auto"/>
              <w:left w:val="single" w:sz="4" w:space="0" w:color="auto"/>
              <w:bottom w:val="single" w:sz="4" w:space="0" w:color="auto"/>
              <w:right w:val="single" w:sz="4" w:space="0" w:color="auto"/>
            </w:tcBorders>
          </w:tcPr>
          <w:p w14:paraId="0010097E" w14:textId="001009CC">
            <w:pPr>
              <w:pStyle w:val="Normal"/>
              <w:jc w:val="left"/>
            </w:pPr>
            <w:r>
              <w:t xml:space="preserve">232</w:t>
            </w:r>
          </w:p>
        </w:tc>
      </w:tr>
      <w:tr>
        <w:tc>
          <w:tcPr>
            <w:vAlign w:val="bottom"/>
            <w:tcBorders>
              <w:top w:val="single" w:sz="4" w:space="0" w:color="auto"/>
              <w:left w:val="single" w:sz="4" w:space="0" w:color="auto"/>
              <w:bottom w:val="single" w:sz="4" w:space="0" w:color="auto"/>
              <w:right w:val="single" w:sz="4" w:space="0" w:color="auto"/>
            </w:tcBorders>
          </w:tcPr>
          <w:p w14:paraId="00100980" w14:textId="001009CD">
            <w:pPr>
              <w:pStyle w:val="Normal"/>
              <w:jc w:val="left"/>
            </w:pPr>
            <w:r>
              <w:t xml:space="preserve">Other comprehensive income</w:t>
            </w:r>
          </w:p>
        </w:tc>
        <w:tc>
          <w:tcPr>
            <w:vAlign w:val="bottom"/>
            <w:tcBorders>
              <w:top w:val="single" w:sz="4" w:space="0" w:color="auto"/>
              <w:left w:val="single" w:sz="4" w:space="0" w:color="auto"/>
              <w:bottom w:val="single" w:sz="4" w:space="0" w:color="auto"/>
              <w:right w:val="single" w:sz="4" w:space="0" w:color="auto"/>
            </w:tcBorders>
          </w:tcPr>
          <w:p w14:paraId="00100982" w14:textId="001009CE">
            <w:pPr>
              <w:pStyle w:val="Normal"/>
              <w:jc w:val="left"/>
            </w:pPr>
            <w:r>
              <w:t xml:space="preserve">—</w:t>
            </w:r>
          </w:p>
        </w:tc>
        <w:tc>
          <w:tcPr>
            <w:vAlign w:val="bottom"/>
            <w:tcBorders>
              <w:top w:val="single" w:sz="4" w:space="0" w:color="auto"/>
              <w:left w:val="single" w:sz="4" w:space="0" w:color="auto"/>
              <w:bottom w:val="single" w:sz="4" w:space="0" w:color="auto"/>
              <w:right w:val="single" w:sz="4" w:space="0" w:color="auto"/>
            </w:tcBorders>
          </w:tcPr>
          <w:p w14:paraId="00100984" w14:textId="001009CF">
            <w:pPr>
              <w:pStyle w:val="Normal"/>
              <w:jc w:val="left"/>
            </w:pPr>
            <w:r>
              <w:t xml:space="preserve">—</w:t>
            </w:r>
          </w:p>
        </w:tc>
        <w:tc>
          <w:tcPr>
            <w:vAlign w:val="bottom"/>
            <w:tcBorders>
              <w:top w:val="single" w:sz="4" w:space="0" w:color="auto"/>
              <w:left w:val="single" w:sz="4" w:space="0" w:color="auto"/>
              <w:bottom w:val="single" w:sz="4" w:space="0" w:color="auto"/>
              <w:right w:val="single" w:sz="4" w:space="0" w:color="auto"/>
            </w:tcBorders>
          </w:tcPr>
          <w:p w14:paraId="00100986" w14:textId="001009D0">
            <w:pPr>
              <w:pStyle w:val="Normal"/>
              <w:jc w:val="left"/>
            </w:pPr>
            <w:r>
              <w:t xml:space="preserve">—</w:t>
            </w:r>
          </w:p>
        </w:tc>
        <w:tc>
          <w:tcPr>
            <w:vAlign w:val="bottom"/>
            <w:tcBorders>
              <w:top w:val="single" w:sz="4" w:space="0" w:color="auto"/>
              <w:left w:val="single" w:sz="4" w:space="0" w:color="auto"/>
              <w:bottom w:val="single" w:sz="4" w:space="0" w:color="auto"/>
              <w:right w:val="single" w:sz="4" w:space="0" w:color="auto"/>
            </w:tcBorders>
          </w:tcPr>
          <w:p w14:paraId="00100988" w14:textId="001009D1">
            <w:pPr>
              <w:pStyle w:val="Normal"/>
              <w:jc w:val="left"/>
            </w:pPr>
            <w:r>
              <w:t xml:space="preserve">21</w:t>
            </w:r>
          </w:p>
        </w:tc>
        <w:tc>
          <w:tcPr>
            <w:vAlign w:val="bottom"/>
            <w:tcBorders>
              <w:top w:val="single" w:sz="4" w:space="0" w:color="auto"/>
              <w:left w:val="single" w:sz="4" w:space="0" w:color="auto"/>
              <w:bottom w:val="single" w:sz="4" w:space="0" w:color="auto"/>
              <w:right w:val="single" w:sz="4" w:space="0" w:color="auto"/>
            </w:tcBorders>
          </w:tcPr>
          <w:p w14:paraId="0010098A" w14:textId="001009D2">
            <w:pPr>
              <w:pStyle w:val="Normal"/>
              <w:jc w:val="left"/>
            </w:pPr>
            <w:r>
              <w:t xml:space="preserve">2</w:t>
            </w:r>
          </w:p>
        </w:tc>
        <w:tc>
          <w:tcPr>
            <w:vAlign w:val="bottom"/>
            <w:tcBorders>
              <w:top w:val="single" w:sz="4" w:space="0" w:color="auto"/>
              <w:left w:val="single" w:sz="4" w:space="0" w:color="auto"/>
              <w:bottom w:val="single" w:sz="4" w:space="0" w:color="auto"/>
              <w:right w:val="single" w:sz="4" w:space="0" w:color="auto"/>
            </w:tcBorders>
          </w:tcPr>
          <w:p w14:paraId="0010098C" w14:textId="001009D3">
            <w:pPr>
              <w:pStyle w:val="Normal"/>
              <w:jc w:val="left"/>
            </w:pPr>
            <w:r>
              <w:t xml:space="preserve">23</w:t>
            </w:r>
          </w:p>
        </w:tc>
      </w:tr>
      <w:tr>
        <w:tc>
          <w:tcPr>
            <w:vAlign w:val="bottom"/>
            <w:tcBorders>
              <w:top w:val="single" w:sz="4" w:space="0" w:color="auto"/>
              <w:left w:val="single" w:sz="4" w:space="0" w:color="auto"/>
              <w:bottom w:val="single" w:sz="4" w:space="0" w:color="auto"/>
              <w:right w:val="single" w:sz="4" w:space="0" w:color="auto"/>
            </w:tcBorders>
          </w:tcPr>
          <w:p w14:paraId="0010098E" w14:textId="001009D4">
            <w:pPr>
              <w:pStyle w:val="Normal"/>
              <w:jc w:val="left"/>
            </w:pPr>
            <w:r>
              <w:t xml:space="preserve">Dividends declared</w:t>
            </w:r>
          </w:p>
        </w:tc>
        <w:tc>
          <w:tcPr>
            <w:vAlign w:val="bottom"/>
            <w:tcBorders>
              <w:top w:val="single" w:sz="4" w:space="0" w:color="auto"/>
              <w:left w:val="single" w:sz="4" w:space="0" w:color="auto"/>
              <w:bottom w:val="single" w:sz="4" w:space="0" w:color="auto"/>
              <w:right w:val="single" w:sz="4" w:space="0" w:color="auto"/>
            </w:tcBorders>
          </w:tcPr>
          <w:p w14:paraId="00100990" w14:textId="001009D5">
            <w:pPr>
              <w:pStyle w:val="Normal"/>
              <w:jc w:val="left"/>
            </w:pPr>
            <w:r>
              <w:t xml:space="preserve">—</w:t>
            </w:r>
          </w:p>
        </w:tc>
        <w:tc>
          <w:tcPr>
            <w:vAlign w:val="bottom"/>
            <w:tcBorders>
              <w:top w:val="single" w:sz="4" w:space="0" w:color="auto"/>
              <w:left w:val="single" w:sz="4" w:space="0" w:color="auto"/>
              <w:bottom w:val="single" w:sz="4" w:space="0" w:color="auto"/>
              <w:right w:val="single" w:sz="4" w:space="0" w:color="auto"/>
            </w:tcBorders>
          </w:tcPr>
          <w:p w14:paraId="00100992" w14:textId="001009D6">
            <w:pPr>
              <w:pStyle w:val="Normal"/>
              <w:jc w:val="left"/>
            </w:pPr>
            <w:r>
              <w:t xml:space="preserve">—</w:t>
            </w:r>
          </w:p>
        </w:tc>
        <w:tc>
          <w:tcPr>
            <w:vAlign w:val="bottom"/>
            <w:tcBorders>
              <w:top w:val="single" w:sz="4" w:space="0" w:color="auto"/>
              <w:left w:val="single" w:sz="4" w:space="0" w:color="auto"/>
              <w:bottom w:val="single" w:sz="4" w:space="0" w:color="auto"/>
              <w:right w:val="single" w:sz="4" w:space="0" w:color="auto"/>
            </w:tcBorders>
          </w:tcPr>
          <w:p w14:paraId="00100994" w14:textId="001009D7">
            <w:pPr>
              <w:pStyle w:val="Normal"/>
              <w:jc w:val="left"/>
            </w:pPr>
            <w:r>
              <w:t xml:space="preserve">(86)</w:t>
            </w:r>
          </w:p>
        </w:tc>
        <w:tc>
          <w:tcPr>
            <w:vAlign w:val="bottom"/>
            <w:tcBorders>
              <w:top w:val="single" w:sz="4" w:space="0" w:color="auto"/>
              <w:left w:val="single" w:sz="4" w:space="0" w:color="auto"/>
              <w:bottom w:val="single" w:sz="4" w:space="0" w:color="auto"/>
              <w:right w:val="single" w:sz="4" w:space="0" w:color="auto"/>
            </w:tcBorders>
          </w:tcPr>
          <w:p w14:paraId="00100996" w14:textId="001009D8">
            <w:pPr>
              <w:pStyle w:val="Normal"/>
              <w:jc w:val="left"/>
            </w:pPr>
            <w:r>
              <w:t xml:space="preserve">—</w:t>
            </w:r>
          </w:p>
        </w:tc>
        <w:tc>
          <w:tcPr>
            <w:vAlign w:val="bottom"/>
            <w:tcBorders>
              <w:top w:val="single" w:sz="4" w:space="0" w:color="auto"/>
              <w:left w:val="single" w:sz="4" w:space="0" w:color="auto"/>
              <w:bottom w:val="single" w:sz="4" w:space="0" w:color="auto"/>
              <w:right w:val="single" w:sz="4" w:space="0" w:color="auto"/>
            </w:tcBorders>
          </w:tcPr>
          <w:p w14:paraId="00100998" w14:textId="001009D9">
            <w:pPr>
              <w:pStyle w:val="Normal"/>
              <w:jc w:val="left"/>
            </w:pPr>
            <w:r>
              <w:t xml:space="preserve">(7)</w:t>
            </w:r>
          </w:p>
        </w:tc>
        <w:tc>
          <w:tcPr>
            <w:vAlign w:val="bottom"/>
            <w:tcBorders>
              <w:top w:val="single" w:sz="4" w:space="0" w:color="auto"/>
              <w:left w:val="single" w:sz="4" w:space="0" w:color="auto"/>
              <w:bottom w:val="single" w:sz="4" w:space="0" w:color="auto"/>
              <w:right w:val="single" w:sz="4" w:space="0" w:color="auto"/>
            </w:tcBorders>
          </w:tcPr>
          <w:p w14:paraId="0010099A" w14:textId="001009DA">
            <w:pPr>
              <w:pStyle w:val="Normal"/>
              <w:jc w:val="left"/>
            </w:pPr>
            <w:r>
              <w:t xml:space="preserve">(93)</w:t>
            </w:r>
          </w:p>
        </w:tc>
      </w:tr>
      <w:tr>
        <w:tc>
          <w:tcPr>
            <w:vAlign w:val="bottom"/>
            <w:tcBorders>
              <w:top w:val="single" w:sz="4" w:space="0" w:color="auto"/>
              <w:left w:val="single" w:sz="4" w:space="0" w:color="auto"/>
              <w:bottom w:val="single" w:sz="4" w:space="0" w:color="auto"/>
              <w:right w:val="single" w:sz="4" w:space="0" w:color="auto"/>
            </w:tcBorders>
          </w:tcPr>
          <w:p w14:paraId="0010099C" w14:textId="001009DB">
            <w:pPr>
              <w:pStyle w:val="Normal"/>
              <w:jc w:val="left"/>
            </w:pPr>
            <w:r>
              <w:t xml:space="preserve">Share-based payment and other movements</w:t>
            </w:r>
          </w:p>
        </w:tc>
        <w:tc>
          <w:tcPr>
            <w:vAlign w:val="bottom"/>
            <w:tcBorders>
              <w:top w:val="single" w:sz="4" w:space="0" w:color="auto"/>
              <w:left w:val="single" w:sz="4" w:space="0" w:color="auto"/>
              <w:bottom w:val="single" w:sz="4" w:space="0" w:color="auto"/>
              <w:right w:val="single" w:sz="4" w:space="0" w:color="auto"/>
            </w:tcBorders>
          </w:tcPr>
          <w:p w14:paraId="0010099E" w14:textId="001009DC">
            <w:pPr>
              <w:pStyle w:val="Normal"/>
              <w:jc w:val="left"/>
            </w:pPr>
            <w:r>
              <w:t xml:space="preserve">—</w:t>
            </w:r>
          </w:p>
        </w:tc>
        <w:tc>
          <w:tcPr>
            <w:vAlign w:val="bottom"/>
            <w:tcBorders>
              <w:top w:val="single" w:sz="4" w:space="0" w:color="auto"/>
              <w:left w:val="single" w:sz="4" w:space="0" w:color="auto"/>
              <w:bottom w:val="single" w:sz="4" w:space="0" w:color="auto"/>
              <w:right w:val="single" w:sz="4" w:space="0" w:color="auto"/>
            </w:tcBorders>
          </w:tcPr>
          <w:p w14:paraId="001009A0" w14:textId="001009DD">
            <w:pPr>
              <w:pStyle w:val="Normal"/>
              <w:jc w:val="left"/>
            </w:pPr>
            <w:r>
              <w:t xml:space="preserve">9</w:t>
            </w:r>
          </w:p>
        </w:tc>
        <w:tc>
          <w:tcPr>
            <w:vAlign w:val="bottom"/>
            <w:tcBorders>
              <w:top w:val="single" w:sz="4" w:space="0" w:color="auto"/>
              <w:left w:val="single" w:sz="4" w:space="0" w:color="auto"/>
              <w:bottom w:val="single" w:sz="4" w:space="0" w:color="auto"/>
              <w:right w:val="single" w:sz="4" w:space="0" w:color="auto"/>
            </w:tcBorders>
          </w:tcPr>
          <w:p w14:paraId="001009A2" w14:textId="001009DE">
            <w:pPr>
              <w:pStyle w:val="Normal"/>
              <w:jc w:val="left"/>
            </w:pPr>
            <w:r>
              <w:t xml:space="preserve">4</w:t>
            </w:r>
          </w:p>
        </w:tc>
        <w:tc>
          <w:tcPr>
            <w:vAlign w:val="bottom"/>
            <w:tcBorders>
              <w:top w:val="single" w:sz="4" w:space="0" w:color="auto"/>
              <w:left w:val="single" w:sz="4" w:space="0" w:color="auto"/>
              <w:bottom w:val="single" w:sz="4" w:space="0" w:color="auto"/>
              <w:right w:val="single" w:sz="4" w:space="0" w:color="auto"/>
            </w:tcBorders>
          </w:tcPr>
          <w:p w14:paraId="001009A4" w14:textId="001009DF">
            <w:pPr>
              <w:pStyle w:val="Normal"/>
              <w:jc w:val="left"/>
            </w:pPr>
            <w:r>
              <w:t xml:space="preserve">3</w:t>
            </w:r>
          </w:p>
        </w:tc>
        <w:tc>
          <w:tcPr>
            <w:vAlign w:val="bottom"/>
            <w:tcBorders>
              <w:top w:val="single" w:sz="4" w:space="0" w:color="auto"/>
              <w:left w:val="single" w:sz="4" w:space="0" w:color="auto"/>
              <w:bottom w:val="single" w:sz="4" w:space="0" w:color="auto"/>
              <w:right w:val="single" w:sz="4" w:space="0" w:color="auto"/>
            </w:tcBorders>
          </w:tcPr>
          <w:p w14:paraId="001009A6" w14:textId="001009E0">
            <w:pPr>
              <w:pStyle w:val="Normal"/>
              <w:jc w:val="left"/>
            </w:pPr>
            <w:r>
              <w:t xml:space="preserve">1</w:t>
            </w:r>
          </w:p>
        </w:tc>
        <w:tc>
          <w:tcPr>
            <w:vAlign w:val="bottom"/>
            <w:tcBorders>
              <w:top w:val="single" w:sz="4" w:space="0" w:color="auto"/>
              <w:left w:val="single" w:sz="4" w:space="0" w:color="auto"/>
              <w:bottom w:val="single" w:sz="4" w:space="0" w:color="auto"/>
              <w:right w:val="single" w:sz="4" w:space="0" w:color="auto"/>
            </w:tcBorders>
          </w:tcPr>
          <w:p w14:paraId="001009A8" w14:textId="001009E1">
            <w:pPr>
              <w:pStyle w:val="Normal"/>
              <w:jc w:val="left"/>
            </w:pPr>
            <w:r>
              <w:t xml:space="preserve">17</w:t>
            </w:r>
          </w:p>
        </w:tc>
      </w:tr>
      <w:tr>
        <w:tc>
          <w:tcPr>
            <w:vAlign w:val="bottom"/>
            <w:tcBorders>
              <w:top w:val="single" w:sz="4" w:space="0" w:color="auto"/>
              <w:left w:val="single" w:sz="4" w:space="0" w:color="auto"/>
              <w:bottom w:val="single" w:sz="4" w:space="0" w:color="auto"/>
              <w:right w:val="single" w:sz="4" w:space="0" w:color="auto"/>
            </w:tcBorders>
          </w:tcPr>
          <w:p w14:paraId="001009AA" w14:textId="001009E2">
            <w:pPr>
              <w:pStyle w:val="Normal"/>
              <w:jc w:val="left"/>
            </w:pPr>
            <w:r>
              <w:t xml:space="preserve">Balance at 31 December 2023</w:t>
            </w:r>
          </w:p>
        </w:tc>
        <w:tc>
          <w:tcPr>
            <w:vAlign w:val="bottom"/>
            <w:tcBorders>
              <w:top w:val="single" w:sz="4" w:space="0" w:color="auto"/>
              <w:left w:val="single" w:sz="4" w:space="0" w:color="auto"/>
              <w:bottom w:val="single" w:sz="4" w:space="0" w:color="auto"/>
              <w:right w:val="single" w:sz="4" w:space="0" w:color="auto"/>
            </w:tcBorders>
          </w:tcPr>
          <w:p w14:paraId="001009AC" w14:textId="001009E3">
            <w:pPr>
              <w:pStyle w:val="Normal"/>
              <w:jc w:val="left"/>
            </w:pPr>
            <w:r>
              <w:t xml:space="preserve">420</w:t>
            </w:r>
          </w:p>
        </w:tc>
        <w:tc>
          <w:tcPr>
            <w:vAlign w:val="bottom"/>
            <w:tcBorders>
              <w:top w:val="single" w:sz="4" w:space="0" w:color="auto"/>
              <w:left w:val="single" w:sz="4" w:space="0" w:color="auto"/>
              <w:bottom w:val="single" w:sz="4" w:space="0" w:color="auto"/>
              <w:right w:val="single" w:sz="4" w:space="0" w:color="auto"/>
            </w:tcBorders>
          </w:tcPr>
          <w:p w14:paraId="001009AE" w14:textId="001009E4">
            <w:pPr>
              <w:pStyle w:val="Normal"/>
              <w:jc w:val="left"/>
            </w:pPr>
            <w:r>
              <w:t xml:space="preserve">189</w:t>
            </w:r>
          </w:p>
        </w:tc>
        <w:tc>
          <w:tcPr>
            <w:vAlign w:val="bottom"/>
            <w:tcBorders>
              <w:top w:val="single" w:sz="4" w:space="0" w:color="auto"/>
              <w:left w:val="single" w:sz="4" w:space="0" w:color="auto"/>
              <w:bottom w:val="single" w:sz="4" w:space="0" w:color="auto"/>
              <w:right w:val="single" w:sz="4" w:space="0" w:color="auto"/>
            </w:tcBorders>
          </w:tcPr>
          <w:p w14:paraId="001009B0" w14:textId="001009E5">
            <w:pPr>
              <w:pStyle w:val="Normal"/>
              <w:jc w:val="left"/>
            </w:pPr>
            <w:r>
              <w:t xml:space="preserve">1,277</w:t>
            </w:r>
          </w:p>
        </w:tc>
        <w:tc>
          <w:tcPr>
            <w:vAlign w:val="bottom"/>
            <w:tcBorders>
              <w:top w:val="single" w:sz="4" w:space="0" w:color="auto"/>
              <w:left w:val="single" w:sz="4" w:space="0" w:color="auto"/>
              <w:bottom w:val="single" w:sz="4" w:space="0" w:color="auto"/>
              <w:right w:val="single" w:sz="4" w:space="0" w:color="auto"/>
            </w:tcBorders>
          </w:tcPr>
          <w:p w14:paraId="001009B2" w14:textId="001009E6">
            <w:pPr>
              <w:pStyle w:val="Normal"/>
              <w:jc w:val="left"/>
            </w:pPr>
            <w:r>
              <w:t xml:space="preserve">120</w:t>
            </w:r>
          </w:p>
        </w:tc>
        <w:tc>
          <w:tcPr>
            <w:vAlign w:val="bottom"/>
            <w:tcBorders>
              <w:top w:val="single" w:sz="4" w:space="0" w:color="auto"/>
              <w:left w:val="single" w:sz="4" w:space="0" w:color="auto"/>
              <w:bottom w:val="single" w:sz="4" w:space="0" w:color="auto"/>
              <w:right w:val="single" w:sz="4" w:space="0" w:color="auto"/>
            </w:tcBorders>
          </w:tcPr>
          <w:p w14:paraId="001009B4" w14:textId="001009E7">
            <w:pPr>
              <w:pStyle w:val="Normal"/>
              <w:jc w:val="left"/>
            </w:pPr>
            <w:r>
              <w:t xml:space="preserve">88</w:t>
            </w:r>
          </w:p>
        </w:tc>
        <w:tc>
          <w:tcPr>
            <w:vAlign w:val="bottom"/>
            <w:tcBorders>
              <w:top w:val="single" w:sz="4" w:space="0" w:color="auto"/>
              <w:left w:val="single" w:sz="4" w:space="0" w:color="auto"/>
              <w:bottom w:val="single" w:sz="4" w:space="0" w:color="auto"/>
              <w:right w:val="single" w:sz="4" w:space="0" w:color="auto"/>
            </w:tcBorders>
          </w:tcPr>
          <w:p w14:paraId="001009B6" w14:textId="001009E8">
            <w:pPr>
              <w:pStyle w:val="Normal"/>
              <w:jc w:val="left"/>
            </w:pPr>
            <w:r>
              <w:t xml:space="preserve">2,094</w:t>
            </w:r>
          </w:p>
        </w:tc>
      </w:tr>
    </w:tbl>
    <w:p w14:paraId="001009E9" w14:textId="001009EA">
      <w:pPr>
        <w:pStyle w:val="Normal"/>
        <w:jc w:val="left"/>
      </w:pPr>
      <w:r>
        <w:t xml:space="preserve">Table 14 Equity movement by component</w:t>
      </w:r>
    </w:p>
    <w:p w14:paraId="001009EB" w14:textId="001009ED">
      <w:pPr>
        <w:pStyle w:val="Normal"/>
        <w:jc w:val="left"/>
      </w:pPr>
      <w:r>
        <w:t xml:space="preserve">Source:</w:t>
      </w:r>
      <w:r>
        <w:t xml:space="preserve"> Consolidated statement of changes in equity for Rivermark Group for the year ended 31 December 2023; amounts shown in USD millions. Other reserves include translation, hedging, and remeasurement movements.</w:t>
      </w:r>
    </w:p>
    <w:p w14:paraId="001009EE" w14:textId="001009EF">
      <w:pPr>
        <w:pStyle w:val="Normal"/>
        <w:jc w:val="left"/>
      </w:pPr>
      <w:r>
        <w:t xml:space="preserve">Section 2 Basis and Commentary</w:t>
      </w:r>
    </w:p>
    <w:p w14:paraId="001009F0" w14:textId="001009F1">
      <w:pPr>
        <w:pStyle w:val="Normal"/>
        <w:jc w:val="left"/>
      </w:pPr>
      <w:r>
        <w:t xml:space="preserve">This section outlines the basis on which Rivermark Group prepared the consolidated financial statements and highlights the principal considerations that affect interpretation of the reported results. The statements have been compiled on a consistent reporting perimeter and are intended to present the financial position, performance, and cash flows of the Group as a single economic entity. In addition to the primary statements, management provides concise commentary on the accounting framework, consolidation scope, and areas requiring estimation or judgment so that users can better understand how reported numbers were derived.</w:t>
      </w:r>
    </w:p>
    <w:p w14:paraId="001009F2" w14:textId="001009F3">
      <w:pPr>
        <w:pStyle w:val="Normal"/>
        <w:jc w:val="left"/>
      </w:pPr>
      <w:r>
        <w:t xml:space="preserve">The commentary also draws attention to matters that most influenced the current-year presentation. These include the treatment of business combinations and intra-group eliminations, the classification of segment activities across Industrial, Consumer, and Services operations, and the assumptions applied in asset valuation, impairment review, and revenue recognition. While the report remains compact, the basis disclosures are designed to support comparability across periods and to explain where management judgment has a meaningful effect on recognition, measurement, or disclosure.</w:t>
      </w:r>
    </w:p>
    <w:p w14:paraId="001009F4" w14:textId="001009F5">
      <w:pPr>
        <w:pStyle w:val="Normal"/>
        <w:jc w:val="left"/>
      </w:pPr>
      <w:r>
        <w:t xml:space="preserve">Subsection 1 Basis of Preparation</w:t>
      </w:r>
    </w:p>
    <w:p w14:paraId="001009F6" w14:textId="001009F7">
      <w:pPr>
        <w:pStyle w:val="Normal"/>
        <w:jc w:val="left"/>
      </w:pPr>
      <w:r>
        <w:t xml:space="preserve">The financial statements of Rivermark Group have been prepared to provide a faithful, consistent, and decision-useful presentation of the Group’s consolidated activities for the reporting year. The basis of preparation establishes the framework for recognition, measurement, classification, and disclosure, ensuring that transactions arising across different entities and operating segments are presented under common policies. This is particularly important for a diversified group with operations spanning manufacturing, consumer-facing channels, and service contracts, where differences in transaction patterns could otherwise reduce comparability between business lines and reporting periods.</w:t>
      </w:r>
    </w:p>
    <w:p w14:paraId="001009F8" w14:textId="001009F9">
      <w:pPr>
        <w:pStyle w:val="Normal"/>
        <w:jc w:val="left"/>
      </w:pPr>
      <w:r>
        <w:t xml:space="preserve">In framing the statements, management has applied a going-concern assumption and has used accounting policies that are intended to be stable from year to year unless a revised standard or improved presentation requires change. The preparation basis also reflects management’s responsibility to eliminate intra-group balances, align reporting dates, and assess whether the substance of transactions supports their stated form. As a result, the reported totals are not a simple aggregation of legal entities, but a consolidated representation of the Group’s financial outcomes and resources at year end.</w:t>
      </w:r>
    </w:p>
    <w:p w14:paraId="001009FA" w14:textId="001009FB">
      <w:pPr>
        <w:pStyle w:val="Normal"/>
        <w:jc w:val="left"/>
      </w:pPr>
      <w:r>
        <w:t xml:space="preserve">Although the accounting framework provides detailed recognition and measurement rules, certain areas require management to exercise judgment when applying those rules to Rivermark Group’s operating context. These judgments arise most often where outcomes depend on timing, customer contract structure, expected useful lives, recoverable amounts, or the distinction between operating and financing characteristics of a transaction. For a group of Rivermark’s scale, such assessments are relevant not because they change the underlying economics of the business, but because they determine how those economics are reflected in the statements and disclosed to users.</w:t>
      </w:r>
    </w:p>
    <w:p w14:paraId="001009FC" w14:textId="001009FD">
      <w:pPr>
        <w:pStyle w:val="Normal"/>
        <w:jc w:val="left"/>
      </w:pPr>
      <w:r>
        <w:t xml:space="preserve">Scope is also an important part of the preparation context. The consolidated statements include Rivermark Group and the subsidiaries over which it has control during the reporting period. Changes in ownership interests, newly incorporated operating entities, and internal reorganizations are assessed to determine their effect on comparability and presentation. Where estimates or scope decisions have a material bearing on reported balances, management considers both the quantitative effect and the broader impact on trend analysis, segment interpretation, and period-to-period consistency.</w:t>
      </w:r>
    </w:p>
    <w:p w14:paraId="001009FE" w14:textId="001009FF">
      <w:pPr>
        <w:pStyle w:val="Normal"/>
        <w:jc w:val="left"/>
      </w:pPr>
      <w:r>
        <w:t xml:space="preserve">1.1 Reporting Basis</w:t>
      </w:r>
    </w:p>
    <w:p w14:paraId="00100A00" w14:textId="00100A01">
      <w:pPr>
        <w:pStyle w:val="Normal"/>
        <w:jc w:val="left"/>
      </w:pPr>
      <w:r>
        <w:t xml:space="preserve">The consolidated financial statements have been prepared in accordance with the Group’s adopted financial reporting framework and on a basis suitable for annual external reporting. All subsidiaries controlled by Rivermark Group at the reporting date, or during the period in which control was exercised, have been included in consolidation. Control is assessed through the Group’s power over relevant activities, exposure to variable returns, and ability to affect those returns. Intercompany balances, transactions, unrealized gains, and unrealized losses arising within the Group have been eliminated to present the financial statements as those of a single reporting entity.</w:t>
      </w:r>
    </w:p>
    <w:p w14:paraId="00100A02" w14:textId="00100A03">
      <w:pPr>
        <w:pStyle w:val="Normal"/>
        <w:jc w:val="left"/>
      </w:pPr>
      <w:r>
        <w:t xml:space="preserve">The reporting date for all material subsidiaries is aligned to 31 December 2023. Where local statutory accounts are prepared under different conventions, reporting packages are adjusted to conform to Group accounting policies before consolidation. Comparative figures have been presented on the same basis unless a reclassification was required to improve transparency or consistency. Management believes this approach supports clear presentation of underlying business performance while preserving a reliable link between legal-entity records and consolidated results.</w:t>
      </w:r>
    </w:p>
    <w:p w14:paraId="00100A04" w14:textId="00100A05">
      <w:pPr>
        <w:pStyle w:val="Normal"/>
        <w:jc w:val="left"/>
      </w:pPr>
      <w:r>
        <w:t xml:space="preserve">The statements are prepared primarily on a historical cost basis, except for selected items that require measurement on another basis under the Group’s accounting policies. These items include certain financial instruments measured at fair value, impairment-sensitive assets assessed against recoverable amount, and obligations whose carrying value reflects updated actuarial or contractual estimates. Historical cost remains the anchor for most operating assets and liabilities because it provides a stable and auditable foundation, while alternative measurement bases are applied only where they better reflect current economic conditions or settlement values.</w:t>
      </w:r>
    </w:p>
    <w:p w14:paraId="00100A06" w14:textId="00100A07">
      <w:pPr>
        <w:pStyle w:val="Normal"/>
        <w:jc w:val="left"/>
      </w:pPr>
      <w:r>
        <w:t xml:space="preserve">The scope of the statements covers the parent company and its controlled subsidiaries across the Industrial, Consumer, and Services segments. Associates and other investees not controlled by the Group are not consolidated line by line; instead, they are accounted for according to the level of influence or contractual rights held. Foreign currency balances are translated into the presentation currency using year-end rates for statement of financial position items and average rates for income statement items, with resulting translation effects recognized within equity where appropriate. This measurement and scope approach is intended to balance relevance, consistency, and transparency for users of the annual report.</w:t>
      </w:r>
    </w:p>
    <w:p w14:paraId="00100A08" w14:textId="00100A09">
      <w:pPr>
        <w:pStyle w:val="Normal"/>
        <w:jc w:val="left"/>
      </w:pPr>
      <w:r>
        <w:t xml:space="preserve">1.2 Critical Judgments</w:t>
      </w:r>
    </w:p>
    <w:p w14:paraId="00100A0A" w14:textId="00100A0D">
      <w:pPr>
        <w:pStyle w:val="Normal"/>
        <w:jc w:val="left"/>
      </w:pPr>
      <w:r>
        <w:t xml:space="preserve">The preparation of the consolidated statements requires management to apply judgment in areas where the measurement of income, expense, assets, and liabilities depends on assumptions about future conditions. The estimates with the greatest effect on current-year results were expected credit losses on trade receivables, inventory obsolescence provisions, useful lives and impairment indicators for property and intangible assets, contract cost recoverability in the Services segment, and deferred tax asset recognition</w:t>
      </w:r>
      <w:r>
        <w:t xml:space="preserve">¹</w:t>
      </w:r>
      <w:r>
        <w:t xml:space="preserve">. These estimates were developed using the best information available at the reporting date, including customer payment patterns, forecast demand, current input-cost conditions, utilization assumptions, and approved business plans.</w:t>
        <w:br/>
        <w:t xml:space="preserve">During the year, Rivermark Group reviewed these estimates in light of uneven demand across segments and a higher cost of capital. Industrial assets were assessed against updated cash-generating unit forecasts, Consumer inventory reserves were refreshed to reflect product rotation and promotional activity, and Services contract assumptions were tested against backlog conversion and staffing utilization. While no estimate can eliminate uncertainty, management considers the resulting balances to be reasonable and supportable within the range of available evidence. Changes in assumptions could affect future periods, but the current-year judgments were applied consistently across the reporting perimeter.</w:t>
      </w:r>
    </w:p>
    <w:p w14:paraId="00100A0E" w14:textId="00100A0F">
      <w:pPr>
        <w:pStyle w:val="Normal"/>
        <w:jc w:val="left"/>
      </w:pPr>
      <w:r>
        <w:t xml:space="preserve">Sensitivity remains highest in assumptions that combine margin outlook, volume recovery, and collection timing. A modest change in forecast revenue growth, terminal margin, or discount rate can alter impairment headroom, while shifts in customer payment behavior can change the expected credit loss allowance and operating cash conversion. In the Consumer segment, the review focus is on sell-through rates, markdown expectations, and the speed at which refreshed products replace slower-moving stock. In Services, the principal variables are renewal rates, utilization, and labor cost inflation, all of which influence both revenue timing and contract profitability.</w:t>
      </w:r>
    </w:p>
    <w:p w14:paraId="00100A10" w14:textId="00100A11">
      <w:pPr>
        <w:pStyle w:val="Normal"/>
        <w:jc w:val="left"/>
      </w:pPr>
      <w:r>
        <w:t xml:space="preserve">Management therefore concentrated its year-end review on evidence that could validate or challenge embedded assumptions. This included post-period collections, backlog quality, customer contract renewals, updated production plans, and site-level inventory aging. The finance team also compared prior-year estimates with actual outcomes to identify bias or recurring model error. Based on that review, no single assumption was found to require a fundamental restatement of the measurement basis, but several inputs were tightened to reflect a more cautious outlook. These procedures support the reliability of the statement balances while highlighting the areas that will remain under close review in the next reporting cycle.</w:t>
      </w:r>
    </w:p>
    <w:p w14:paraId="00100A12" w14:textId="00100A13">
      <w:pPr>
        <w:pStyle w:val="Normal"/>
        <w:jc w:val="left"/>
      </w:pPr>
      <w:r>
        <w:t xml:space="preserve">Subsection 2 Statement Highlights</w:t>
      </w:r>
    </w:p>
    <w:p w14:paraId="00100A14" w14:textId="00100A15">
      <w:pPr>
        <w:pStyle w:val="Normal"/>
        <w:jc w:val="left"/>
      </w:pPr>
      <w:r>
        <w:t xml:space="preserve">The year’s statement movements reflect a business that preserved profitability while adapting to varied demand conditions across its portfolio. Revenue growth was supported by Services backlog conversion and selected Consumer channel gains, while Industrial performance was shaped by a more mixed order environment and continued cost discipline. At the consolidated level, operating profit remained resilient because pricing actions, product mix management, and efficiency measures partially offset labor, logistics, and financing pressures.</w:t>
      </w:r>
    </w:p>
    <w:p w14:paraId="00100A16" w14:textId="00100A17">
      <w:pPr>
        <w:pStyle w:val="Normal"/>
        <w:jc w:val="left"/>
      </w:pPr>
      <w:r>
        <w:t xml:space="preserve">Cash generation improved relative to the pace of earnings through tighter receivable collection, more deliberate inventory management, and a measured capital expenditure profile. The balance sheet remained stable, with funding capacity supported by diversified operating cash inflows and manageable debt maturities. These patterns are reflected in the profit bridge and liquidity trend charts that follow. Together, they show that the principal changes in the statements were not driven by a single event, but by the interaction of segment mix, cost control, working capital discipline, and investment timing over the course of the year.</w:t>
      </w:r>
    </w:p>
    <w:p w14:paraId="00100A18" w14:textId="00100A19">
      <w:pPr>
        <w:pStyle w:val="Normal"/>
        <w:jc w:val="left"/>
      </w:pPr>
      <w:r>
        <w:t xml:space="preserve">The accompanying charts are intended to connect headline statement figures with the underlying business drivers discussed earlier in the report. The profit movement chart translates the change from prior-year operating performance into major components such as revenue mix, pricing, input costs, labor and overhead absorption, and efficiency actions. This visual bridge helps distinguish structural earnings changes from period-specific effects and makes clear where management actions offset external pressure.</w:t>
      </w:r>
    </w:p>
    <w:p w14:paraId="00100A1A" w14:textId="00100A1B">
      <w:pPr>
        <w:pStyle w:val="Normal"/>
        <w:jc w:val="left"/>
      </w:pPr>
      <w:r>
        <w:t xml:space="preserve">The liquidity trend chart serves a similar purpose for cash and funding. Rather than viewing the closing cash balance in isolation, the chart highlights the progression of operating cash inflow, working capital movement, capital expenditure, financing flows, and other balance sheet items that shaped liquidity through the year. Read together with the consolidated cash flow statement, the chart shows how earnings quality, working capital discipline, and investment pacing combined to support the Group’s financial position. These visuals therefore complement, rather than replace, the primary statements by showing the operational path behind reported totals.</w:t>
      </w:r>
    </w:p>
    <w:p w14:paraId="00100A1C" w14:textId="00100A1D">
      <w:pPr>
        <w:pStyle w:val="Normal"/>
        <w:jc w:val="left"/>
      </w:pPr>
      <w:r>
        <w:t xml:space="preserve">2.1 Profit Movement</w:t>
      </w:r>
    </w:p>
    <w:p w14:paraId="00100A1E" w14:textId="00100A1F">
      <w:pPr>
        <w:pStyle w:val="Normal"/>
        <w:jc w:val="left"/>
      </w:pPr>
      <w:r>
        <w:drawing>
          <wp:inline distT="0" distB="0" distL="0" distR="0">
            <wp:extent cx="4320000" cy="2160000"/>
            <wp:effectExtent l="0" t="0" r="0" b="0"/>
            <wp:docPr id="18" name="Fig-I11-01.png" descr=""/>
            <wp:cNvGraphicFramePr>
              <a:graphicFrameLocks noChangeAspect="1"/>
            </wp:cNvGraphicFramePr>
            <a:graphic>
              <a:graphicData uri="http://schemas.openxmlformats.org/drawingml/2006/picture">
                <pic:pic>
                  <pic:nvPicPr>
                    <pic:cNvPr id="18" name="Fig-I11-01.png"/>
                    <pic:cNvPicPr/>
                  </pic:nvPicPr>
                  <pic:blipFill>
                    <a:blip r:embed="R7a993569cbc349e5" cstate="print"/>
                    <a:stretch>
                      <a:fillRect/>
                    </a:stretch>
                  </pic:blipFill>
                  <pic:spPr>
                    <a:xfrm>
                      <a:off x="0" y="0"/>
                      <a:ext cx="3960000" cy="2520000"/>
                    </a:xfrm>
                    <a:prstGeom prst="rect">
                      <a:avLst/>
                    </a:prstGeom>
                  </pic:spPr>
                </pic:pic>
              </a:graphicData>
            </a:graphic>
          </wp:inline>
        </w:drawing>
      </w:r>
    </w:p>
    <w:p w14:paraId="00100A20" w14:textId="00100A21">
      <w:pPr>
        <w:pStyle w:val="Normal"/>
        <w:jc w:val="left"/>
      </w:pPr>
      <w:r>
        <w:t xml:space="preserve">Figure 33 Profit drivers bridge</w:t>
      </w:r>
    </w:p>
    <w:p w14:paraId="00100A22" w14:textId="00100A24">
      <w:pPr>
        <w:pStyle w:val="Normal"/>
        <w:jc w:val="left"/>
      </w:pPr>
      <w:r>
        <w:t xml:space="preserve">Source:</w:t>
      </w:r>
      <w:r>
        <w:t xml:space="preserve"> Rivermark Group finance records; bridge presents the main year-on-year operating profit drivers and may not sum exactly due to rounding.</w:t>
      </w:r>
    </w:p>
    <w:p w14:paraId="00100A25" w14:textId="00100A26">
      <w:pPr>
        <w:pStyle w:val="Normal"/>
        <w:jc w:val="left"/>
      </w:pPr>
      <w:r>
        <w:t xml:space="preserve">Figure 34 Profit movement note</w:t>
      </w:r>
    </w:p>
    <w:p w14:paraId="00100A27" w14:textId="00100A28">
      <w:pPr>
        <w:pStyle w:val="Normal"/>
        <w:jc w:val="left"/>
      </w:pPr>
      <w:r>
        <w:t xml:space="preserve">2.2 Cash Position</w:t>
      </w:r>
    </w:p>
    <w:p w14:paraId="00100A29" w14:textId="00100A2A">
      <w:pPr>
        <w:pStyle w:val="Normal"/>
        <w:jc w:val="left"/>
      </w:pPr>
      <w:r>
        <w:drawing>
          <wp:inline distT="0" distB="0" distL="0" distR="0">
            <wp:extent cx="4320000" cy="2160000"/>
            <wp:effectExtent l="0" t="0" r="0" b="0"/>
            <wp:docPr id="19" name="Fig-I11-02.png" descr=""/>
            <wp:cNvGraphicFramePr>
              <a:graphicFrameLocks noChangeAspect="1"/>
            </wp:cNvGraphicFramePr>
            <a:graphic>
              <a:graphicData uri="http://schemas.openxmlformats.org/drawingml/2006/picture">
                <pic:pic>
                  <pic:nvPicPr>
                    <pic:cNvPr id="19" name="Fig-I11-02.png"/>
                    <pic:cNvPicPr/>
                  </pic:nvPicPr>
                  <pic:blipFill>
                    <a:blip r:embed="R6be113ef10aa4bba" cstate="print"/>
                    <a:stretch>
                      <a:fillRect/>
                    </a:stretch>
                  </pic:blipFill>
                  <pic:spPr>
                    <a:xfrm>
                      <a:off x="0" y="0"/>
                      <a:ext cx="3960000" cy="2520000"/>
                    </a:xfrm>
                    <a:prstGeom prst="rect">
                      <a:avLst/>
                    </a:prstGeom>
                  </pic:spPr>
                </pic:pic>
              </a:graphicData>
            </a:graphic>
          </wp:inline>
        </w:drawing>
      </w:r>
    </w:p>
    <w:p w14:paraId="00100A2B" w14:textId="00100A2C">
      <w:pPr>
        <w:pStyle w:val="Normal"/>
        <w:jc w:val="left"/>
      </w:pPr>
      <w:r>
        <w:t xml:space="preserve">Figure 35 Liquidity trend</w:t>
      </w:r>
    </w:p>
    <w:p w14:paraId="00100A2D" w14:textId="00100A2F">
      <w:pPr>
        <w:pStyle w:val="Normal"/>
        <w:jc w:val="left"/>
      </w:pPr>
      <w:r>
        <w:t xml:space="preserve">Source:</w:t>
      </w:r>
      <w:r>
        <w:t xml:space="preserve"> Consolidated cash flow data and treasury records; liquidity trend reflects period-end cash and major in-period cash movements on a management reporting basis.</w:t>
      </w:r>
    </w:p>
    <w:p w14:paraId="00100A30" w14:textId="00100A31">
      <w:pPr>
        <w:pStyle w:val="Normal"/>
        <w:jc w:val="left"/>
      </w:pPr>
      <w:r>
        <w:t xml:space="preserve">Figure 36 Cash position trend and liquidity profile.</w:t>
      </w:r>
    </w:p>
    <w:p w14:paraId="00100EFA" w14:textId="00100EFB">
      <w:pPr>
        <w:pStyle w:val="Normal"/>
        <w:jc w:val="left"/>
        <w:sectPr>
          <w:type w:val="nextPage"/>
          <w:pgSz w:w="11906" w:h="16838"/>
          <w:pgMar w:top="1440" w:right="1440" w:bottom="1440" w:left="1440" w:header="1440" w:footer="1440" w:gutter="0"/>
          <w:cols w:space="720" w:num="1"/>
        </w:sectPr>
      </w:pPr>
    </w:p>
    <w:p w14:paraId="00100A36" w14:textId="00100A37">
      <w:pPr>
        <w:pStyle w:val="Normal"/>
        <w:jc w:val="left"/>
      </w:pPr>
      <w:r>
        <w:t xml:space="preserve">Chapter 10 Financial Notes</w:t>
      </w:r>
    </w:p>
    <w:p w14:paraId="00100A38" w14:textId="00100A39">
      <w:pPr>
        <w:pStyle w:val="Normal"/>
        <w:jc w:val="left"/>
      </w:pPr>
      <w:r>
        <w:t xml:space="preserve">This section presents the supporting notes to Rivermark Group’s consolidated financial statements in a compact and decision-oriented format. The note groups are arranged to mirror the main financial story of the year: operating performance, segment contribution, taxation, working capital, long-term assets, funding, and contractual commitments. Rather than reproducing extensive technical disclosures, the report focuses on the balances and movements most relevant to understanding earnings quality, cash conversion, capital deployment, and financial flexibility.</w:t>
      </w:r>
    </w:p>
    <w:p w14:paraId="00100A3A" w14:textId="00100A3B">
      <w:pPr>
        <w:pStyle w:val="Normal"/>
        <w:jc w:val="left"/>
      </w:pPr>
      <w:r>
        <w:t xml:space="preserve">The notes should be read together with the primary statements and the basis of preparation. Amounts are presented on a consolidated basis unless otherwise indicated, and selected schedules compare the current year with the prior year to show direction of change. Where management judgment is important to measurement or classification, the related explanation is highlighted in the accompanying narrative so that readers can connect reported figures with the operational and financial drivers discussed elsewhere in the report.</w:t>
      </w:r>
    </w:p>
    <w:p w14:paraId="00100A3C" w14:textId="00100A3D">
      <w:pPr>
        <w:pStyle w:val="Normal"/>
        <w:jc w:val="left"/>
      </w:pPr>
      <w:r>
        <w:t xml:space="preserve">The Financial Notes chapter is structured in two broad groups. The first group, Operating Notes, explains how the Group generates revenue, incurs operating costs, reports segment performance, and recognizes income tax effects. These disclosures help readers move from top-line activity to operating profit and then to after-tax earnings, linking commercial performance with accounting presentation.</w:t>
      </w:r>
    </w:p>
    <w:p w14:paraId="00100A3E" w14:textId="00100A3F">
      <w:pPr>
        <w:pStyle w:val="Normal"/>
        <w:jc w:val="left"/>
      </w:pPr>
      <w:r>
        <w:t xml:space="preserve">The second group, Balance Sheet Notes, addresses the principal statement of financial position items that support ongoing operations and capital structure. It includes current assets such as receivables and inventory, non-current assets including property and intangible assets, and the liabilities and commitments associated with borrowings, leases, and other funding obligations. Together, the schedules are intended to provide a concise but coherent view of how Rivermark Group converts business activity into assets, manages obligations, and preserves liquidity across the reporting period.</w:t>
      </w:r>
    </w:p>
    <w:p w14:paraId="00100A40" w14:textId="00100A41">
      <w:pPr>
        <w:pStyle w:val="Normal"/>
        <w:jc w:val="left"/>
      </w:pPr>
      <w:r>
        <w:t xml:space="preserve">Section 1 Operating Notes</w:t>
      </w:r>
    </w:p>
    <w:p w14:paraId="00100A42" w14:textId="00100A43">
      <w:pPr>
        <w:pStyle w:val="Normal"/>
        <w:jc w:val="left"/>
      </w:pPr>
      <w:r>
        <w:t xml:space="preserve">The Operating Notes explain the components of earnings reported for the year and provide additional detail on the commercial and cost patterns underlying consolidated profit. These notes begin with revenue disclosures, which show how sales are derived across key activities, products, or service categories, and then move to operating cost and margin information that clarifies the relationship between turnover, direct cost absorption, overheads, and profitability.</w:t>
      </w:r>
    </w:p>
    <w:p w14:paraId="00100A44" w14:textId="00100A45">
      <w:pPr>
        <w:pStyle w:val="Normal"/>
        <w:jc w:val="left"/>
      </w:pPr>
      <w:r>
        <w:t xml:space="preserve">This part of the chapter also includes segment and tax schedules so that users can compare reported performance across Rivermark Group’s operating businesses and understand the effective tax outcome for the period. The aim is to present enough breakdown to support analysis of quality of earnings without overwhelming the reader with low-materiality detail. In this way, the Operating Notes function as the bridge between the strategic and segment reviews in the front half of the report and the audited statement totals presented in the financial section.</w:t>
      </w:r>
    </w:p>
    <w:p w14:paraId="00100A46" w14:textId="00100A47">
      <w:pPr>
        <w:pStyle w:val="Normal"/>
        <w:jc w:val="left"/>
      </w:pPr>
      <w:r>
        <w:t xml:space="preserve">Subsection 1 Revenue and Profit</w:t>
      </w:r>
    </w:p>
    <w:p w14:paraId="00100A48" w14:textId="00100A49">
      <w:pPr>
        <w:pStyle w:val="Normal"/>
        <w:jc w:val="left"/>
      </w:pPr>
      <w:r>
        <w:t xml:space="preserve">This subsection provides the core schedules used to interpret the Group’s earnings performance. It starts with revenue disclosures that classify income into meaningful categories and indicate the relative contribution of the principal business lines. By setting out the composition of turnover, the note helps readers assess concentration, diversification, and the extent to which current-year growth reflects changes in volume, pricing, contract mix, or channel development.</w:t>
      </w:r>
    </w:p>
    <w:p w14:paraId="00100A4A" w14:textId="00100A4B">
      <w:pPr>
        <w:pStyle w:val="Normal"/>
        <w:jc w:val="left"/>
      </w:pPr>
      <w:r>
        <w:t xml:space="preserve">It is followed by profit-related information that summarizes the main operating cost categories and the resulting margin profile. Read together, these schedules show not only how much Rivermark Group earned during the year, but also the path from sales activity to operating profit. The presentation is intentionally compact: it emphasizes major balances, year-on-year movement, and the line items most relevant to management review, while leaving more detailed accounting policy discussion to the basis notes and statement commentary provided earlier in the report.</w:t>
      </w:r>
    </w:p>
    <w:p w14:paraId="00100A4C" w14:textId="00100A4D">
      <w:pPr>
        <w:pStyle w:val="Normal"/>
        <w:jc w:val="left"/>
      </w:pPr>
      <w:r>
        <w:t xml:space="preserve">1.1 Revenue Disclosure</w:t>
      </w:r>
    </w:p>
    <w:p w14:paraId="00100A4E" w14:textId="00100A50">
      <w:pPr>
        <w:pStyle w:val="Normal"/>
        <w:jc w:val="left"/>
      </w:pPr>
      <w:r>
        <w:t xml:space="preserve">Revenue disclosure:</w:t>
      </w:r>
      <w:r>
        <w:t xml:space="preserve"> the following schedule summarizes consolidated revenue by major source for the reporting year and the comparative period.</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A51" w14:textId="00100A8D">
            <w:pPr>
              <w:pStyle w:val="Normal"/>
              <w:jc w:val="left"/>
            </w:pPr>
            <w:r>
              <w:t xml:space="preserve">Revenue category</w:t>
            </w:r>
          </w:p>
        </w:tc>
        <w:tc>
          <w:tcPr>
            <w:vAlign w:val="center"/>
            <w:tcBorders>
              <w:top w:val="single" w:sz="4" w:space="0" w:color="auto"/>
              <w:left w:val="single" w:sz="4" w:space="0" w:color="auto"/>
              <w:bottom w:val="single" w:sz="4" w:space="0" w:color="auto"/>
              <w:right w:val="single" w:sz="4" w:space="0" w:color="auto"/>
            </w:tcBorders>
          </w:tcPr>
          <w:p w14:paraId="00100A53" w14:textId="00100A8E">
            <w:pPr>
              <w:pStyle w:val="Normal"/>
              <w:jc w:val="left"/>
            </w:pPr>
            <w:r>
              <w:t xml:space="preserve">Industrial</w:t>
            </w:r>
          </w:p>
        </w:tc>
        <w:tc>
          <w:tcPr>
            <w:vAlign w:val="center"/>
            <w:tcBorders>
              <w:top w:val="single" w:sz="4" w:space="0" w:color="auto"/>
              <w:left w:val="single" w:sz="4" w:space="0" w:color="auto"/>
              <w:bottom w:val="single" w:sz="4" w:space="0" w:color="auto"/>
              <w:right w:val="single" w:sz="4" w:space="0" w:color="auto"/>
            </w:tcBorders>
          </w:tcPr>
          <w:p w14:paraId="00100A55" w14:textId="00100A8F">
            <w:pPr>
              <w:pStyle w:val="Normal"/>
              <w:jc w:val="left"/>
            </w:pPr>
            <w:r>
              <w:t xml:space="preserve">Consumer</w:t>
            </w:r>
          </w:p>
        </w:tc>
        <w:tc>
          <w:tcPr>
            <w:vAlign w:val="center"/>
            <w:tcBorders>
              <w:top w:val="single" w:sz="4" w:space="0" w:color="auto"/>
              <w:left w:val="single" w:sz="4" w:space="0" w:color="auto"/>
              <w:bottom w:val="single" w:sz="4" w:space="0" w:color="auto"/>
              <w:right w:val="single" w:sz="4" w:space="0" w:color="auto"/>
            </w:tcBorders>
          </w:tcPr>
          <w:p w14:paraId="00100A57" w14:textId="00100A90">
            <w:pPr>
              <w:pStyle w:val="Normal"/>
              <w:jc w:val="left"/>
            </w:pPr>
            <w:r>
              <w:t xml:space="preserve">Services</w:t>
            </w:r>
          </w:p>
        </w:tc>
        <w:tc>
          <w:tcPr>
            <w:vAlign w:val="center"/>
            <w:tcBorders>
              <w:top w:val="single" w:sz="4" w:space="0" w:color="auto"/>
              <w:left w:val="single" w:sz="4" w:space="0" w:color="auto"/>
              <w:bottom w:val="single" w:sz="4" w:space="0" w:color="auto"/>
              <w:right w:val="single" w:sz="4" w:space="0" w:color="auto"/>
            </w:tcBorders>
          </w:tcPr>
          <w:p w14:paraId="00100A59" w14:textId="00100A91">
            <w:pPr>
              <w:pStyle w:val="Normal"/>
              <w:jc w:val="left"/>
            </w:pPr>
            <w:r>
              <w:t xml:space="preserve">Group total</w:t>
            </w:r>
          </w:p>
        </w:tc>
      </w:tr>
      <w:tr>
        <w:tc>
          <w:tcPr>
            <w:vAlign w:val="top"/>
            <w:tcBorders>
              <w:top w:val="single" w:sz="4" w:space="0" w:color="auto"/>
              <w:left w:val="single" w:sz="4" w:space="0" w:color="auto"/>
              <w:bottom w:val="single" w:sz="4" w:space="0" w:color="auto"/>
              <w:right w:val="single" w:sz="4" w:space="0" w:color="auto"/>
            </w:tcBorders>
          </w:tcPr>
          <w:p w14:paraId="00100A5B" w14:textId="00100A92">
            <w:pPr>
              <w:pStyle w:val="Normal"/>
              <w:jc w:val="left"/>
            </w:pPr>
            <w:r>
              <w:t xml:space="preserve">Product sales</w:t>
            </w:r>
          </w:p>
        </w:tc>
        <w:tc>
          <w:tcPr>
            <w:vAlign w:val="center"/>
            <w:tcBorders>
              <w:top w:val="single" w:sz="4" w:space="0" w:color="auto"/>
              <w:left w:val="single" w:sz="4" w:space="0" w:color="auto"/>
              <w:bottom w:val="single" w:sz="4" w:space="0" w:color="auto"/>
              <w:right w:val="single" w:sz="4" w:space="0" w:color="auto"/>
            </w:tcBorders>
          </w:tcPr>
          <w:p w14:paraId="00100A5D" w14:textId="00100A93">
            <w:pPr>
              <w:pStyle w:val="Normal"/>
              <w:jc w:val="left"/>
            </w:pPr>
            <w:r>
              <w:t xml:space="preserve">482.6</w:t>
            </w:r>
          </w:p>
        </w:tc>
        <w:tc>
          <w:tcPr>
            <w:vAlign w:val="center"/>
            <w:tcBorders>
              <w:top w:val="single" w:sz="4" w:space="0" w:color="auto"/>
              <w:left w:val="single" w:sz="4" w:space="0" w:color="auto"/>
              <w:bottom w:val="single" w:sz="4" w:space="0" w:color="auto"/>
              <w:right w:val="single" w:sz="4" w:space="0" w:color="auto"/>
            </w:tcBorders>
          </w:tcPr>
          <w:p w14:paraId="00100A5F" w14:textId="00100A94">
            <w:pPr>
              <w:pStyle w:val="Normal"/>
              <w:jc w:val="left"/>
            </w:pPr>
            <w:r>
              <w:t xml:space="preserve">356.8</w:t>
            </w:r>
          </w:p>
        </w:tc>
        <w:tc>
          <w:tcPr>
            <w:vAlign w:val="center"/>
            <w:tcBorders>
              <w:top w:val="single" w:sz="4" w:space="0" w:color="auto"/>
              <w:left w:val="single" w:sz="4" w:space="0" w:color="auto"/>
              <w:bottom w:val="single" w:sz="4" w:space="0" w:color="auto"/>
              <w:right w:val="single" w:sz="4" w:space="0" w:color="auto"/>
            </w:tcBorders>
          </w:tcPr>
          <w:p w14:paraId="00100A61" w14:textId="00100A95">
            <w:pPr>
              <w:pStyle w:val="Normal"/>
              <w:jc w:val="left"/>
            </w:pPr>
            <w:r>
              <w:t xml:space="preserve">18.4</w:t>
            </w:r>
          </w:p>
        </w:tc>
        <w:tc>
          <w:tcPr>
            <w:vAlign w:val="center"/>
            <w:tcBorders>
              <w:top w:val="single" w:sz="4" w:space="0" w:color="auto"/>
              <w:left w:val="single" w:sz="4" w:space="0" w:color="auto"/>
              <w:bottom w:val="single" w:sz="4" w:space="0" w:color="auto"/>
              <w:right w:val="single" w:sz="4" w:space="0" w:color="auto"/>
            </w:tcBorders>
          </w:tcPr>
          <w:p w14:paraId="00100A63" w14:textId="00100A96">
            <w:pPr>
              <w:pStyle w:val="Normal"/>
              <w:jc w:val="left"/>
            </w:pPr>
            <w:r>
              <w:t xml:space="preserve">857.8</w:t>
            </w:r>
          </w:p>
        </w:tc>
      </w:tr>
      <w:tr>
        <w:tc>
          <w:tcPr>
            <w:vAlign w:val="top"/>
            <w:tcBorders>
              <w:top w:val="single" w:sz="4" w:space="0" w:color="auto"/>
              <w:left w:val="single" w:sz="4" w:space="0" w:color="auto"/>
              <w:bottom w:val="single" w:sz="4" w:space="0" w:color="auto"/>
              <w:right w:val="single" w:sz="4" w:space="0" w:color="auto"/>
            </w:tcBorders>
          </w:tcPr>
          <w:p w14:paraId="00100A65" w14:textId="00100A97">
            <w:pPr>
              <w:pStyle w:val="Normal"/>
              <w:jc w:val="left"/>
            </w:pPr>
            <w:r>
              <w:t xml:space="preserve">Service contracts</w:t>
            </w:r>
          </w:p>
        </w:tc>
        <w:tc>
          <w:tcPr>
            <w:vAlign w:val="center"/>
            <w:tcBorders>
              <w:top w:val="single" w:sz="4" w:space="0" w:color="auto"/>
              <w:left w:val="single" w:sz="4" w:space="0" w:color="auto"/>
              <w:bottom w:val="single" w:sz="4" w:space="0" w:color="auto"/>
              <w:right w:val="single" w:sz="4" w:space="0" w:color="auto"/>
            </w:tcBorders>
          </w:tcPr>
          <w:p w14:paraId="00100A67" w14:textId="00100A98">
            <w:pPr>
              <w:pStyle w:val="Normal"/>
              <w:jc w:val="left"/>
            </w:pPr>
            <w:r>
              <w:t xml:space="preserve">74.2</w:t>
            </w:r>
          </w:p>
        </w:tc>
        <w:tc>
          <w:tcPr>
            <w:vAlign w:val="center"/>
            <w:tcBorders>
              <w:top w:val="single" w:sz="4" w:space="0" w:color="auto"/>
              <w:left w:val="single" w:sz="4" w:space="0" w:color="auto"/>
              <w:bottom w:val="single" w:sz="4" w:space="0" w:color="auto"/>
              <w:right w:val="single" w:sz="4" w:space="0" w:color="auto"/>
            </w:tcBorders>
          </w:tcPr>
          <w:p w14:paraId="00100A69" w14:textId="00100A99">
            <w:pPr>
              <w:pStyle w:val="Normal"/>
              <w:jc w:val="left"/>
            </w:pPr>
            <w:r>
              <w:t xml:space="preserve">42.5</w:t>
            </w:r>
          </w:p>
        </w:tc>
        <w:tc>
          <w:tcPr>
            <w:vAlign w:val="center"/>
            <w:tcBorders>
              <w:top w:val="single" w:sz="4" w:space="0" w:color="auto"/>
              <w:left w:val="single" w:sz="4" w:space="0" w:color="auto"/>
              <w:bottom w:val="single" w:sz="4" w:space="0" w:color="auto"/>
              <w:right w:val="single" w:sz="4" w:space="0" w:color="auto"/>
            </w:tcBorders>
          </w:tcPr>
          <w:p w14:paraId="00100A6B" w14:textId="00100A9A">
            <w:pPr>
              <w:pStyle w:val="Normal"/>
              <w:jc w:val="left"/>
            </w:pPr>
            <w:r>
              <w:t xml:space="preserve">268.9</w:t>
            </w:r>
          </w:p>
        </w:tc>
        <w:tc>
          <w:tcPr>
            <w:vAlign w:val="center"/>
            <w:tcBorders>
              <w:top w:val="single" w:sz="4" w:space="0" w:color="auto"/>
              <w:left w:val="single" w:sz="4" w:space="0" w:color="auto"/>
              <w:bottom w:val="single" w:sz="4" w:space="0" w:color="auto"/>
              <w:right w:val="single" w:sz="4" w:space="0" w:color="auto"/>
            </w:tcBorders>
          </w:tcPr>
          <w:p w14:paraId="00100A6D" w14:textId="00100A9B">
            <w:pPr>
              <w:pStyle w:val="Normal"/>
              <w:jc w:val="left"/>
            </w:pPr>
            <w:r>
              <w:t xml:space="preserve">385.6</w:t>
            </w:r>
          </w:p>
        </w:tc>
      </w:tr>
      <w:tr>
        <w:tc>
          <w:tcPr>
            <w:vAlign w:val="top"/>
            <w:tcBorders>
              <w:top w:val="single" w:sz="4" w:space="0" w:color="auto"/>
              <w:left w:val="single" w:sz="4" w:space="0" w:color="auto"/>
              <w:bottom w:val="single" w:sz="4" w:space="0" w:color="auto"/>
              <w:right w:val="single" w:sz="4" w:space="0" w:color="auto"/>
            </w:tcBorders>
          </w:tcPr>
          <w:p w14:paraId="00100A6F" w14:textId="00100A9C">
            <w:pPr>
              <w:pStyle w:val="Normal"/>
              <w:jc w:val="left"/>
            </w:pPr>
            <w:r>
              <w:t xml:space="preserve">Maintenance and aftersales</w:t>
            </w:r>
          </w:p>
        </w:tc>
        <w:tc>
          <w:tcPr>
            <w:vAlign w:val="center"/>
            <w:tcBorders>
              <w:top w:val="single" w:sz="4" w:space="0" w:color="auto"/>
              <w:left w:val="single" w:sz="4" w:space="0" w:color="auto"/>
              <w:bottom w:val="single" w:sz="4" w:space="0" w:color="auto"/>
              <w:right w:val="single" w:sz="4" w:space="0" w:color="auto"/>
            </w:tcBorders>
          </w:tcPr>
          <w:p w14:paraId="00100A71" w14:textId="00100A9D">
            <w:pPr>
              <w:pStyle w:val="Normal"/>
              <w:jc w:val="left"/>
            </w:pPr>
            <w:r>
              <w:t xml:space="preserve">31.8</w:t>
            </w:r>
          </w:p>
        </w:tc>
        <w:tc>
          <w:tcPr>
            <w:vAlign w:val="center"/>
            <w:tcBorders>
              <w:top w:val="single" w:sz="4" w:space="0" w:color="auto"/>
              <w:left w:val="single" w:sz="4" w:space="0" w:color="auto"/>
              <w:bottom w:val="single" w:sz="4" w:space="0" w:color="auto"/>
              <w:right w:val="single" w:sz="4" w:space="0" w:color="auto"/>
            </w:tcBorders>
          </w:tcPr>
          <w:p w14:paraId="00100A73" w14:textId="00100A9E">
            <w:pPr>
              <w:pStyle w:val="Normal"/>
              <w:jc w:val="left"/>
            </w:pPr>
            <w:r>
              <w:t xml:space="preserve">12.7</w:t>
            </w:r>
          </w:p>
        </w:tc>
        <w:tc>
          <w:tcPr>
            <w:vAlign w:val="center"/>
            <w:tcBorders>
              <w:top w:val="single" w:sz="4" w:space="0" w:color="auto"/>
              <w:left w:val="single" w:sz="4" w:space="0" w:color="auto"/>
              <w:bottom w:val="single" w:sz="4" w:space="0" w:color="auto"/>
              <w:right w:val="single" w:sz="4" w:space="0" w:color="auto"/>
            </w:tcBorders>
          </w:tcPr>
          <w:p w14:paraId="00100A75" w14:textId="00100A9F">
            <w:pPr>
              <w:pStyle w:val="Normal"/>
              <w:jc w:val="left"/>
            </w:pPr>
            <w:r>
              <w:t xml:space="preserve">64.3</w:t>
            </w:r>
          </w:p>
        </w:tc>
        <w:tc>
          <w:tcPr>
            <w:vAlign w:val="center"/>
            <w:tcBorders>
              <w:top w:val="single" w:sz="4" w:space="0" w:color="auto"/>
              <w:left w:val="single" w:sz="4" w:space="0" w:color="auto"/>
              <w:bottom w:val="single" w:sz="4" w:space="0" w:color="auto"/>
              <w:right w:val="single" w:sz="4" w:space="0" w:color="auto"/>
            </w:tcBorders>
          </w:tcPr>
          <w:p w14:paraId="00100A77" w14:textId="00100AA0">
            <w:pPr>
              <w:pStyle w:val="Normal"/>
              <w:jc w:val="left"/>
            </w:pPr>
            <w:r>
              <w:t xml:space="preserve">108.8</w:t>
            </w:r>
          </w:p>
        </w:tc>
      </w:tr>
      <w:tr>
        <w:tc>
          <w:tcPr>
            <w:vAlign w:val="top"/>
            <w:tcBorders>
              <w:top w:val="single" w:sz="4" w:space="0" w:color="auto"/>
              <w:left w:val="single" w:sz="4" w:space="0" w:color="auto"/>
              <w:bottom w:val="single" w:sz="4" w:space="0" w:color="auto"/>
              <w:right w:val="single" w:sz="4" w:space="0" w:color="auto"/>
            </w:tcBorders>
          </w:tcPr>
          <w:p w14:paraId="00100A79" w14:textId="00100AA1">
            <w:pPr>
              <w:pStyle w:val="Normal"/>
              <w:jc w:val="left"/>
            </w:pPr>
            <w:r>
              <w:t xml:space="preserve">Other operating revenue</w:t>
            </w:r>
          </w:p>
        </w:tc>
        <w:tc>
          <w:tcPr>
            <w:vAlign w:val="center"/>
            <w:tcBorders>
              <w:top w:val="single" w:sz="4" w:space="0" w:color="auto"/>
              <w:left w:val="single" w:sz="4" w:space="0" w:color="auto"/>
              <w:bottom w:val="single" w:sz="4" w:space="0" w:color="auto"/>
              <w:right w:val="single" w:sz="4" w:space="0" w:color="auto"/>
            </w:tcBorders>
          </w:tcPr>
          <w:p w14:paraId="00100A7B" w14:textId="00100AA2">
            <w:pPr>
              <w:pStyle w:val="Normal"/>
              <w:jc w:val="left"/>
            </w:pPr>
            <w:r>
              <w:t xml:space="preserve">9.6</w:t>
            </w:r>
          </w:p>
        </w:tc>
        <w:tc>
          <w:tcPr>
            <w:vAlign w:val="center"/>
            <w:tcBorders>
              <w:top w:val="single" w:sz="4" w:space="0" w:color="auto"/>
              <w:left w:val="single" w:sz="4" w:space="0" w:color="auto"/>
              <w:bottom w:val="single" w:sz="4" w:space="0" w:color="auto"/>
              <w:right w:val="single" w:sz="4" w:space="0" w:color="auto"/>
            </w:tcBorders>
          </w:tcPr>
          <w:p w14:paraId="00100A7D" w14:textId="00100AA3">
            <w:pPr>
              <w:pStyle w:val="Normal"/>
              <w:jc w:val="left"/>
            </w:pPr>
            <w:r>
              <w:t xml:space="preserve">6.4</w:t>
            </w:r>
          </w:p>
        </w:tc>
        <w:tc>
          <w:tcPr>
            <w:vAlign w:val="center"/>
            <w:tcBorders>
              <w:top w:val="single" w:sz="4" w:space="0" w:color="auto"/>
              <w:left w:val="single" w:sz="4" w:space="0" w:color="auto"/>
              <w:bottom w:val="single" w:sz="4" w:space="0" w:color="auto"/>
              <w:right w:val="single" w:sz="4" w:space="0" w:color="auto"/>
            </w:tcBorders>
          </w:tcPr>
          <w:p w14:paraId="00100A7F" w14:textId="00100AA4">
            <w:pPr>
              <w:pStyle w:val="Normal"/>
              <w:jc w:val="left"/>
            </w:pPr>
            <w:r>
              <w:t xml:space="preserve">14.1</w:t>
            </w:r>
          </w:p>
        </w:tc>
        <w:tc>
          <w:tcPr>
            <w:vAlign w:val="center"/>
            <w:tcBorders>
              <w:top w:val="single" w:sz="4" w:space="0" w:color="auto"/>
              <w:left w:val="single" w:sz="4" w:space="0" w:color="auto"/>
              <w:bottom w:val="single" w:sz="4" w:space="0" w:color="auto"/>
              <w:right w:val="single" w:sz="4" w:space="0" w:color="auto"/>
            </w:tcBorders>
          </w:tcPr>
          <w:p w14:paraId="00100A81" w14:textId="00100AA5">
            <w:pPr>
              <w:pStyle w:val="Normal"/>
              <w:jc w:val="left"/>
            </w:pPr>
            <w:r>
              <w:t xml:space="preserve">30.1</w:t>
            </w:r>
          </w:p>
        </w:tc>
      </w:tr>
      <w:tr>
        <w:tc>
          <w:tcPr>
            <w:vAlign w:val="top"/>
            <w:tcBorders>
              <w:top w:val="single" w:sz="4" w:space="0" w:color="auto"/>
              <w:left w:val="single" w:sz="4" w:space="0" w:color="auto"/>
              <w:bottom w:val="single" w:sz="4" w:space="0" w:color="auto"/>
              <w:right w:val="single" w:sz="4" w:space="0" w:color="auto"/>
            </w:tcBorders>
          </w:tcPr>
          <w:p w14:paraId="00100A83" w14:textId="00100AA6">
            <w:pPr>
              <w:pStyle w:val="Normal"/>
              <w:jc w:val="left"/>
            </w:pPr>
            <w:r>
              <w:t xml:space="preserve">Total revenue</w:t>
            </w:r>
          </w:p>
        </w:tc>
        <w:tc>
          <w:tcPr>
            <w:vAlign w:val="center"/>
            <w:tcBorders>
              <w:top w:val="single" w:sz="4" w:space="0" w:color="auto"/>
              <w:left w:val="single" w:sz="4" w:space="0" w:color="auto"/>
              <w:bottom w:val="single" w:sz="4" w:space="0" w:color="auto"/>
              <w:right w:val="single" w:sz="4" w:space="0" w:color="auto"/>
            </w:tcBorders>
          </w:tcPr>
          <w:p w14:paraId="00100A85" w14:textId="00100AA7">
            <w:pPr>
              <w:pStyle w:val="Normal"/>
              <w:jc w:val="left"/>
            </w:pPr>
            <w:r>
              <w:t xml:space="preserve">598.2</w:t>
            </w:r>
          </w:p>
        </w:tc>
        <w:tc>
          <w:tcPr>
            <w:vAlign w:val="center"/>
            <w:tcBorders>
              <w:top w:val="single" w:sz="4" w:space="0" w:color="auto"/>
              <w:left w:val="single" w:sz="4" w:space="0" w:color="auto"/>
              <w:bottom w:val="single" w:sz="4" w:space="0" w:color="auto"/>
              <w:right w:val="single" w:sz="4" w:space="0" w:color="auto"/>
            </w:tcBorders>
          </w:tcPr>
          <w:p w14:paraId="00100A87" w14:textId="00100AA8">
            <w:pPr>
              <w:pStyle w:val="Normal"/>
              <w:jc w:val="left"/>
            </w:pPr>
            <w:r>
              <w:t xml:space="preserve">418.4</w:t>
            </w:r>
          </w:p>
        </w:tc>
        <w:tc>
          <w:tcPr>
            <w:vAlign w:val="center"/>
            <w:tcBorders>
              <w:top w:val="single" w:sz="4" w:space="0" w:color="auto"/>
              <w:left w:val="single" w:sz="4" w:space="0" w:color="auto"/>
              <w:bottom w:val="single" w:sz="4" w:space="0" w:color="auto"/>
              <w:right w:val="single" w:sz="4" w:space="0" w:color="auto"/>
            </w:tcBorders>
          </w:tcPr>
          <w:p w14:paraId="00100A89" w14:textId="00100AA9">
            <w:pPr>
              <w:pStyle w:val="Normal"/>
              <w:jc w:val="left"/>
            </w:pPr>
            <w:r>
              <w:t xml:space="preserve">365.7</w:t>
            </w:r>
          </w:p>
        </w:tc>
        <w:tc>
          <w:tcPr>
            <w:vAlign w:val="center"/>
            <w:tcBorders>
              <w:top w:val="single" w:sz="4" w:space="0" w:color="auto"/>
              <w:left w:val="single" w:sz="4" w:space="0" w:color="auto"/>
              <w:bottom w:val="single" w:sz="4" w:space="0" w:color="auto"/>
              <w:right w:val="single" w:sz="4" w:space="0" w:color="auto"/>
            </w:tcBorders>
          </w:tcPr>
          <w:p w14:paraId="00100A8B" w14:textId="00100AAA">
            <w:pPr>
              <w:pStyle w:val="Normal"/>
              <w:jc w:val="left"/>
            </w:pPr>
            <w:r>
              <w:t xml:space="preserve">1,382.3</w:t>
            </w:r>
          </w:p>
        </w:tc>
      </w:tr>
    </w:tbl>
    <w:p w14:paraId="00100AAB" w14:textId="00100AAC">
      <w:pPr>
        <w:pStyle w:val="Normal"/>
        <w:jc w:val="left"/>
      </w:pPr>
      <w:r>
        <w:t xml:space="preserve">Table 15 Revenue by type and segment</w:t>
      </w:r>
    </w:p>
    <w:p w14:paraId="00100AAD" w14:textId="00100AAE">
      <w:pPr>
        <w:pStyle w:val="Normal"/>
        <w:jc w:val="left"/>
      </w:pPr>
      <w:r>
        <w:t xml:space="preserve">Revenue is presented by major source and operating segment for the year ended 31 December. Product sales mainly arise from the Industrial and Consumer segments, while service contracts and maintenance revenue are concentrated in Services. Intersegment transactions are eliminated on consolidation; therefore, the group total reflects external revenue only. Amounts are shown in USD millions.</w:t>
      </w:r>
    </w:p>
    <w:p w14:paraId="00100AAF" w14:textId="00100AB0">
      <w:pPr>
        <w:pStyle w:val="Normal"/>
        <w:jc w:val="left"/>
      </w:pPr>
      <w:r>
        <w:t xml:space="preserve">1.2 Cost Disclosure</w:t>
      </w:r>
    </w:p>
    <w:p w14:paraId="00100AB1" w14:textId="00100AB3">
      <w:pPr>
        <w:pStyle w:val="Normal"/>
        <w:jc w:val="left"/>
      </w:pPr>
      <w:r>
        <w:t xml:space="preserve">Operating cost schedule:</w:t>
      </w:r>
      <w:r>
        <w:t xml:space="preserve"> The following disclosure summarizes the principal cost categories supporting group revenue generation and provides a compact view of margin structure across the reporting period.</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384"/>
        <w:gridCol w:w="1384"/>
        <w:gridCol w:w="1384"/>
        <w:gridCol w:w="1384"/>
        <w:gridCol w:w="1384"/>
        <w:gridCol w:w="1384"/>
      </w:tblGrid>
      <w:tr>
        <w:trPr>
          <w:tblHeader/>
        </w:trPr>
        <w:tc>
          <w:tcPr>
            <w:vAlign w:val="center"/>
            <w:tcBorders>
              <w:top w:val="single" w:sz="4" w:space="0" w:color="auto"/>
              <w:left w:val="single" w:sz="4" w:space="0" w:color="auto"/>
              <w:bottom w:val="single" w:sz="4" w:space="0" w:color="auto"/>
              <w:right w:val="single" w:sz="4" w:space="0" w:color="auto"/>
            </w:tcBorders>
          </w:tcPr>
          <w:p w14:paraId="00100AB4" w14:textId="00100AFC">
            <w:pPr>
              <w:pStyle w:val="Normal"/>
              <w:jc w:val="left"/>
            </w:pPr>
            <w:r>
              <w:t xml:space="preserve">Segment</w:t>
            </w:r>
          </w:p>
        </w:tc>
        <w:tc>
          <w:tcPr>
            <w:vAlign w:val="center"/>
            <w:tcBorders>
              <w:top w:val="single" w:sz="4" w:space="0" w:color="auto"/>
              <w:left w:val="single" w:sz="4" w:space="0" w:color="auto"/>
              <w:bottom w:val="single" w:sz="4" w:space="0" w:color="auto"/>
              <w:right w:val="single" w:sz="4" w:space="0" w:color="auto"/>
            </w:tcBorders>
          </w:tcPr>
          <w:p w14:paraId="00100AB6" w14:textId="00100AFD">
            <w:pPr>
              <w:pStyle w:val="Normal"/>
              <w:jc w:val="left"/>
            </w:pPr>
            <w:r>
              <w:t xml:space="preserve">External revenue</w:t>
            </w:r>
          </w:p>
        </w:tc>
        <w:tc>
          <w:tcPr>
            <w:vAlign w:val="center"/>
            <w:tcBorders>
              <w:top w:val="single" w:sz="4" w:space="0" w:color="auto"/>
              <w:left w:val="single" w:sz="4" w:space="0" w:color="auto"/>
              <w:bottom w:val="single" w:sz="4" w:space="0" w:color="auto"/>
              <w:right w:val="single" w:sz="4" w:space="0" w:color="auto"/>
            </w:tcBorders>
          </w:tcPr>
          <w:p w14:paraId="00100AB8" w14:textId="00100AFE">
            <w:pPr>
              <w:pStyle w:val="Normal"/>
              <w:jc w:val="left"/>
            </w:pPr>
            <w:r>
              <w:t xml:space="preserve">Intersegment revenue</w:t>
            </w:r>
          </w:p>
        </w:tc>
        <w:tc>
          <w:tcPr>
            <w:vAlign w:val="center"/>
            <w:tcBorders>
              <w:top w:val="single" w:sz="4" w:space="0" w:color="auto"/>
              <w:left w:val="single" w:sz="4" w:space="0" w:color="auto"/>
              <w:bottom w:val="single" w:sz="4" w:space="0" w:color="auto"/>
              <w:right w:val="single" w:sz="4" w:space="0" w:color="auto"/>
            </w:tcBorders>
          </w:tcPr>
          <w:p w14:paraId="00100ABA" w14:textId="00100AFF">
            <w:pPr>
              <w:pStyle w:val="Normal"/>
              <w:jc w:val="left"/>
            </w:pPr>
            <w:r>
              <w:t xml:space="preserve">Operating cost</w:t>
            </w:r>
          </w:p>
        </w:tc>
        <w:tc>
          <w:tcPr>
            <w:vAlign w:val="center"/>
            <w:tcBorders>
              <w:top w:val="single" w:sz="4" w:space="0" w:color="auto"/>
              <w:left w:val="single" w:sz="4" w:space="0" w:color="auto"/>
              <w:bottom w:val="single" w:sz="4" w:space="0" w:color="auto"/>
              <w:right w:val="single" w:sz="4" w:space="0" w:color="auto"/>
            </w:tcBorders>
          </w:tcPr>
          <w:p w14:paraId="00100ABC" w14:textId="00100B00">
            <w:pPr>
              <w:pStyle w:val="Normal"/>
              <w:jc w:val="left"/>
            </w:pPr>
            <w:r>
              <w:t xml:space="preserve">Operating profit</w:t>
            </w:r>
          </w:p>
        </w:tc>
        <w:tc>
          <w:tcPr>
            <w:vAlign w:val="center"/>
            <w:tcBorders>
              <w:top w:val="single" w:sz="4" w:space="0" w:color="auto"/>
              <w:left w:val="single" w:sz="4" w:space="0" w:color="auto"/>
              <w:bottom w:val="single" w:sz="4" w:space="0" w:color="auto"/>
              <w:right w:val="single" w:sz="4" w:space="0" w:color="auto"/>
            </w:tcBorders>
          </w:tcPr>
          <w:p w14:paraId="00100ABE" w14:textId="00100B01">
            <w:pPr>
              <w:pStyle w:val="Normal"/>
              <w:jc w:val="left"/>
            </w:pPr>
            <w:r>
              <w:t xml:space="preserve">Operating margin</w:t>
            </w:r>
          </w:p>
        </w:tc>
      </w:tr>
      <w:tr>
        <w:tc>
          <w:tcPr>
            <w:vAlign w:val="top"/>
            <w:tcBorders>
              <w:top w:val="single" w:sz="4" w:space="0" w:color="auto"/>
              <w:left w:val="single" w:sz="4" w:space="0" w:color="auto"/>
              <w:bottom w:val="single" w:sz="4" w:space="0" w:color="auto"/>
              <w:right w:val="single" w:sz="4" w:space="0" w:color="auto"/>
            </w:tcBorders>
          </w:tcPr>
          <w:p w14:paraId="00100AC0" w14:textId="00100B02">
            <w:pPr>
              <w:pStyle w:val="Normal"/>
              <w:jc w:val="left"/>
            </w:pPr>
            <w:r>
              <w:t xml:space="preserve">Industrial</w:t>
            </w:r>
          </w:p>
        </w:tc>
        <w:tc>
          <w:tcPr>
            <w:vAlign w:val="center"/>
            <w:tcBorders>
              <w:top w:val="single" w:sz="4" w:space="0" w:color="auto"/>
              <w:left w:val="single" w:sz="4" w:space="0" w:color="auto"/>
              <w:bottom w:val="single" w:sz="4" w:space="0" w:color="auto"/>
              <w:right w:val="single" w:sz="4" w:space="0" w:color="auto"/>
            </w:tcBorders>
          </w:tcPr>
          <w:p w14:paraId="00100AC2" w14:textId="00100B03">
            <w:pPr>
              <w:pStyle w:val="Normal"/>
              <w:jc w:val="left"/>
            </w:pPr>
            <w:r>
              <w:t xml:space="preserve">1,248</w:t>
            </w:r>
          </w:p>
        </w:tc>
        <w:tc>
          <w:tcPr>
            <w:vAlign w:val="center"/>
            <w:tcBorders>
              <w:top w:val="single" w:sz="4" w:space="0" w:color="auto"/>
              <w:left w:val="single" w:sz="4" w:space="0" w:color="auto"/>
              <w:bottom w:val="single" w:sz="4" w:space="0" w:color="auto"/>
              <w:right w:val="single" w:sz="4" w:space="0" w:color="auto"/>
            </w:tcBorders>
          </w:tcPr>
          <w:p w14:paraId="00100AC4" w14:textId="00100B04">
            <w:pPr>
              <w:pStyle w:val="Normal"/>
              <w:jc w:val="left"/>
            </w:pPr>
            <w:r>
              <w:t xml:space="preserve">22</w:t>
            </w:r>
          </w:p>
        </w:tc>
        <w:tc>
          <w:tcPr>
            <w:vAlign w:val="center"/>
            <w:tcBorders>
              <w:top w:val="single" w:sz="4" w:space="0" w:color="auto"/>
              <w:left w:val="single" w:sz="4" w:space="0" w:color="auto"/>
              <w:bottom w:val="single" w:sz="4" w:space="0" w:color="auto"/>
              <w:right w:val="single" w:sz="4" w:space="0" w:color="auto"/>
            </w:tcBorders>
          </w:tcPr>
          <w:p w14:paraId="00100AC6" w14:textId="00100B05">
            <w:pPr>
              <w:pStyle w:val="Normal"/>
              <w:jc w:val="left"/>
            </w:pPr>
            <w:r>
              <w:t xml:space="preserve">1,068</w:t>
            </w:r>
          </w:p>
        </w:tc>
        <w:tc>
          <w:tcPr>
            <w:vAlign w:val="center"/>
            <w:tcBorders>
              <w:top w:val="single" w:sz="4" w:space="0" w:color="auto"/>
              <w:left w:val="single" w:sz="4" w:space="0" w:color="auto"/>
              <w:bottom w:val="single" w:sz="4" w:space="0" w:color="auto"/>
              <w:right w:val="single" w:sz="4" w:space="0" w:color="auto"/>
            </w:tcBorders>
          </w:tcPr>
          <w:p w14:paraId="00100AC8" w14:textId="00100B06">
            <w:pPr>
              <w:pStyle w:val="Normal"/>
              <w:jc w:val="left"/>
            </w:pPr>
            <w:r>
              <w:t xml:space="preserve">202</w:t>
            </w:r>
          </w:p>
        </w:tc>
        <w:tc>
          <w:tcPr>
            <w:vAlign w:val="center"/>
            <w:tcBorders>
              <w:top w:val="single" w:sz="4" w:space="0" w:color="auto"/>
              <w:left w:val="single" w:sz="4" w:space="0" w:color="auto"/>
              <w:bottom w:val="single" w:sz="4" w:space="0" w:color="auto"/>
              <w:right w:val="single" w:sz="4" w:space="0" w:color="auto"/>
            </w:tcBorders>
          </w:tcPr>
          <w:p w14:paraId="00100ACA" w14:textId="00100B07">
            <w:pPr>
              <w:pStyle w:val="Normal"/>
              <w:jc w:val="left"/>
            </w:pPr>
            <w:r>
              <w:t xml:space="preserve">16.0%</w:t>
            </w:r>
          </w:p>
        </w:tc>
      </w:tr>
      <w:tr>
        <w:tc>
          <w:tcPr>
            <w:vAlign w:val="top"/>
            <w:tcBorders>
              <w:top w:val="single" w:sz="4" w:space="0" w:color="auto"/>
              <w:left w:val="single" w:sz="4" w:space="0" w:color="auto"/>
              <w:bottom w:val="single" w:sz="4" w:space="0" w:color="auto"/>
              <w:right w:val="single" w:sz="4" w:space="0" w:color="auto"/>
            </w:tcBorders>
          </w:tcPr>
          <w:p w14:paraId="00100ACC" w14:textId="00100B08">
            <w:pPr>
              <w:pStyle w:val="Normal"/>
              <w:jc w:val="left"/>
            </w:pPr>
            <w:r>
              <w:t xml:space="preserve">Consumer</w:t>
            </w:r>
          </w:p>
        </w:tc>
        <w:tc>
          <w:tcPr>
            <w:vAlign w:val="center"/>
            <w:tcBorders>
              <w:top w:val="single" w:sz="4" w:space="0" w:color="auto"/>
              <w:left w:val="single" w:sz="4" w:space="0" w:color="auto"/>
              <w:bottom w:val="single" w:sz="4" w:space="0" w:color="auto"/>
              <w:right w:val="single" w:sz="4" w:space="0" w:color="auto"/>
            </w:tcBorders>
          </w:tcPr>
          <w:p w14:paraId="00100ACE" w14:textId="00100B09">
            <w:pPr>
              <w:pStyle w:val="Normal"/>
              <w:jc w:val="left"/>
            </w:pPr>
            <w:r>
              <w:t xml:space="preserve">936</w:t>
            </w:r>
          </w:p>
        </w:tc>
        <w:tc>
          <w:tcPr>
            <w:vAlign w:val="center"/>
            <w:tcBorders>
              <w:top w:val="single" w:sz="4" w:space="0" w:color="auto"/>
              <w:left w:val="single" w:sz="4" w:space="0" w:color="auto"/>
              <w:bottom w:val="single" w:sz="4" w:space="0" w:color="auto"/>
              <w:right w:val="single" w:sz="4" w:space="0" w:color="auto"/>
            </w:tcBorders>
          </w:tcPr>
          <w:p w14:paraId="00100AD0" w14:textId="00100B0A">
            <w:pPr>
              <w:pStyle w:val="Normal"/>
              <w:jc w:val="left"/>
            </w:pPr>
            <w:r>
              <w:t xml:space="preserve">14</w:t>
            </w:r>
          </w:p>
        </w:tc>
        <w:tc>
          <w:tcPr>
            <w:vAlign w:val="center"/>
            <w:tcBorders>
              <w:top w:val="single" w:sz="4" w:space="0" w:color="auto"/>
              <w:left w:val="single" w:sz="4" w:space="0" w:color="auto"/>
              <w:bottom w:val="single" w:sz="4" w:space="0" w:color="auto"/>
              <w:right w:val="single" w:sz="4" w:space="0" w:color="auto"/>
            </w:tcBorders>
          </w:tcPr>
          <w:p w14:paraId="00100AD2" w14:textId="00100B0B">
            <w:pPr>
              <w:pStyle w:val="Normal"/>
              <w:jc w:val="left"/>
            </w:pPr>
            <w:r>
              <w:t xml:space="preserve">793</w:t>
            </w:r>
          </w:p>
        </w:tc>
        <w:tc>
          <w:tcPr>
            <w:vAlign w:val="center"/>
            <w:tcBorders>
              <w:top w:val="single" w:sz="4" w:space="0" w:color="auto"/>
              <w:left w:val="single" w:sz="4" w:space="0" w:color="auto"/>
              <w:bottom w:val="single" w:sz="4" w:space="0" w:color="auto"/>
              <w:right w:val="single" w:sz="4" w:space="0" w:color="auto"/>
            </w:tcBorders>
          </w:tcPr>
          <w:p w14:paraId="00100AD4" w14:textId="00100B0C">
            <w:pPr>
              <w:pStyle w:val="Normal"/>
              <w:jc w:val="left"/>
            </w:pPr>
            <w:r>
              <w:t xml:space="preserve">157</w:t>
            </w:r>
          </w:p>
        </w:tc>
        <w:tc>
          <w:tcPr>
            <w:vAlign w:val="center"/>
            <w:tcBorders>
              <w:top w:val="single" w:sz="4" w:space="0" w:color="auto"/>
              <w:left w:val="single" w:sz="4" w:space="0" w:color="auto"/>
              <w:bottom w:val="single" w:sz="4" w:space="0" w:color="auto"/>
              <w:right w:val="single" w:sz="4" w:space="0" w:color="auto"/>
            </w:tcBorders>
          </w:tcPr>
          <w:p w14:paraId="00100AD6" w14:textId="00100B0D">
            <w:pPr>
              <w:pStyle w:val="Normal"/>
              <w:jc w:val="left"/>
            </w:pPr>
            <w:r>
              <w:t xml:space="preserve">16.8%</w:t>
            </w:r>
          </w:p>
        </w:tc>
      </w:tr>
      <w:tr>
        <w:tc>
          <w:tcPr>
            <w:vAlign w:val="top"/>
            <w:tcBorders>
              <w:top w:val="single" w:sz="4" w:space="0" w:color="auto"/>
              <w:left w:val="single" w:sz="4" w:space="0" w:color="auto"/>
              <w:bottom w:val="single" w:sz="4" w:space="0" w:color="auto"/>
              <w:right w:val="single" w:sz="4" w:space="0" w:color="auto"/>
            </w:tcBorders>
          </w:tcPr>
          <w:p w14:paraId="00100AD8" w14:textId="00100B0E">
            <w:pPr>
              <w:pStyle w:val="Normal"/>
              <w:jc w:val="left"/>
            </w:pPr>
            <w:r>
              <w:t xml:space="preserve">Services</w:t>
            </w:r>
          </w:p>
        </w:tc>
        <w:tc>
          <w:tcPr>
            <w:vAlign w:val="center"/>
            <w:tcBorders>
              <w:top w:val="single" w:sz="4" w:space="0" w:color="auto"/>
              <w:left w:val="single" w:sz="4" w:space="0" w:color="auto"/>
              <w:bottom w:val="single" w:sz="4" w:space="0" w:color="auto"/>
              <w:right w:val="single" w:sz="4" w:space="0" w:color="auto"/>
            </w:tcBorders>
          </w:tcPr>
          <w:p w14:paraId="00100ADA" w14:textId="00100B0F">
            <w:pPr>
              <w:pStyle w:val="Normal"/>
              <w:jc w:val="left"/>
            </w:pPr>
            <w:r>
              <w:t xml:space="preserve">684</w:t>
            </w:r>
          </w:p>
        </w:tc>
        <w:tc>
          <w:tcPr>
            <w:vAlign w:val="center"/>
            <w:tcBorders>
              <w:top w:val="single" w:sz="4" w:space="0" w:color="auto"/>
              <w:left w:val="single" w:sz="4" w:space="0" w:color="auto"/>
              <w:bottom w:val="single" w:sz="4" w:space="0" w:color="auto"/>
              <w:right w:val="single" w:sz="4" w:space="0" w:color="auto"/>
            </w:tcBorders>
          </w:tcPr>
          <w:p w14:paraId="00100ADC" w14:textId="00100B10">
            <w:pPr>
              <w:pStyle w:val="Normal"/>
              <w:jc w:val="left"/>
            </w:pPr>
            <w:r>
              <w:t xml:space="preserve">9</w:t>
            </w:r>
          </w:p>
        </w:tc>
        <w:tc>
          <w:tcPr>
            <w:vAlign w:val="center"/>
            <w:tcBorders>
              <w:top w:val="single" w:sz="4" w:space="0" w:color="auto"/>
              <w:left w:val="single" w:sz="4" w:space="0" w:color="auto"/>
              <w:bottom w:val="single" w:sz="4" w:space="0" w:color="auto"/>
              <w:right w:val="single" w:sz="4" w:space="0" w:color="auto"/>
            </w:tcBorders>
          </w:tcPr>
          <w:p w14:paraId="00100ADE" w14:textId="00100B11">
            <w:pPr>
              <w:pStyle w:val="Normal"/>
              <w:jc w:val="left"/>
            </w:pPr>
            <w:r>
              <w:t xml:space="preserve">566</w:t>
            </w:r>
          </w:p>
        </w:tc>
        <w:tc>
          <w:tcPr>
            <w:vAlign w:val="center"/>
            <w:tcBorders>
              <w:top w:val="single" w:sz="4" w:space="0" w:color="auto"/>
              <w:left w:val="single" w:sz="4" w:space="0" w:color="auto"/>
              <w:bottom w:val="single" w:sz="4" w:space="0" w:color="auto"/>
              <w:right w:val="single" w:sz="4" w:space="0" w:color="auto"/>
            </w:tcBorders>
          </w:tcPr>
          <w:p w14:paraId="00100AE0" w14:textId="00100B12">
            <w:pPr>
              <w:pStyle w:val="Normal"/>
              <w:jc w:val="left"/>
            </w:pPr>
            <w:r>
              <w:t xml:space="preserve">127</w:t>
            </w:r>
          </w:p>
        </w:tc>
        <w:tc>
          <w:tcPr>
            <w:vAlign w:val="center"/>
            <w:tcBorders>
              <w:top w:val="single" w:sz="4" w:space="0" w:color="auto"/>
              <w:left w:val="single" w:sz="4" w:space="0" w:color="auto"/>
              <w:bottom w:val="single" w:sz="4" w:space="0" w:color="auto"/>
              <w:right w:val="single" w:sz="4" w:space="0" w:color="auto"/>
            </w:tcBorders>
          </w:tcPr>
          <w:p w14:paraId="00100AE2" w14:textId="00100B13">
            <w:pPr>
              <w:pStyle w:val="Normal"/>
              <w:jc w:val="left"/>
            </w:pPr>
            <w:r>
              <w:t xml:space="preserve">18.6%</w:t>
            </w:r>
          </w:p>
        </w:tc>
      </w:tr>
      <w:tr>
        <w:tc>
          <w:tcPr>
            <w:vAlign w:val="top"/>
            <w:tcBorders>
              <w:top w:val="single" w:sz="4" w:space="0" w:color="auto"/>
              <w:left w:val="single" w:sz="4" w:space="0" w:color="auto"/>
              <w:bottom w:val="single" w:sz="4" w:space="0" w:color="auto"/>
              <w:right w:val="single" w:sz="4" w:space="0" w:color="auto"/>
            </w:tcBorders>
          </w:tcPr>
          <w:p w14:paraId="00100AE4" w14:textId="00100B14">
            <w:pPr>
              <w:pStyle w:val="Normal"/>
              <w:jc w:val="left"/>
            </w:pPr>
            <w:r>
              <w:t xml:space="preserve">Corporate and eliminations</w:t>
            </w:r>
          </w:p>
        </w:tc>
        <w:tc>
          <w:tcPr>
            <w:vAlign w:val="center"/>
            <w:tcBorders>
              <w:top w:val="single" w:sz="4" w:space="0" w:color="auto"/>
              <w:left w:val="single" w:sz="4" w:space="0" w:color="auto"/>
              <w:bottom w:val="single" w:sz="4" w:space="0" w:color="auto"/>
              <w:right w:val="single" w:sz="4" w:space="0" w:color="auto"/>
            </w:tcBorders>
          </w:tcPr>
          <w:p w14:paraId="00100AE6" w14:textId="00100B15">
            <w:pPr>
              <w:pStyle w:val="Normal"/>
              <w:jc w:val="left"/>
            </w:pPr>
            <w:r>
              <w:t xml:space="preserve">0</w:t>
            </w:r>
          </w:p>
        </w:tc>
        <w:tc>
          <w:tcPr>
            <w:vAlign w:val="center"/>
            <w:tcBorders>
              <w:top w:val="single" w:sz="4" w:space="0" w:color="auto"/>
              <w:left w:val="single" w:sz="4" w:space="0" w:color="auto"/>
              <w:bottom w:val="single" w:sz="4" w:space="0" w:color="auto"/>
              <w:right w:val="single" w:sz="4" w:space="0" w:color="auto"/>
            </w:tcBorders>
          </w:tcPr>
          <w:p w14:paraId="00100AE8" w14:textId="00100B16">
            <w:pPr>
              <w:pStyle w:val="Normal"/>
              <w:jc w:val="left"/>
            </w:pPr>
            <w:r>
              <w:t xml:space="preserve">(45)</w:t>
            </w:r>
          </w:p>
        </w:tc>
        <w:tc>
          <w:tcPr>
            <w:vAlign w:val="center"/>
            <w:tcBorders>
              <w:top w:val="single" w:sz="4" w:space="0" w:color="auto"/>
              <w:left w:val="single" w:sz="4" w:space="0" w:color="auto"/>
              <w:bottom w:val="single" w:sz="4" w:space="0" w:color="auto"/>
              <w:right w:val="single" w:sz="4" w:space="0" w:color="auto"/>
            </w:tcBorders>
          </w:tcPr>
          <w:p w14:paraId="00100AEA" w14:textId="00100B17">
            <w:pPr>
              <w:pStyle w:val="Normal"/>
              <w:jc w:val="left"/>
            </w:pPr>
            <w:r>
              <w:t xml:space="preserve">(38)</w:t>
            </w:r>
          </w:p>
        </w:tc>
        <w:tc>
          <w:tcPr>
            <w:vAlign w:val="center"/>
            <w:tcBorders>
              <w:top w:val="single" w:sz="4" w:space="0" w:color="auto"/>
              <w:left w:val="single" w:sz="4" w:space="0" w:color="auto"/>
              <w:bottom w:val="single" w:sz="4" w:space="0" w:color="auto"/>
              <w:right w:val="single" w:sz="4" w:space="0" w:color="auto"/>
            </w:tcBorders>
          </w:tcPr>
          <w:p w14:paraId="00100AEC" w14:textId="00100B18">
            <w:pPr>
              <w:pStyle w:val="Normal"/>
              <w:jc w:val="left"/>
            </w:pPr>
            <w:r>
              <w:t xml:space="preserve">(7)</w:t>
            </w:r>
          </w:p>
        </w:tc>
        <w:tc>
          <w:tcPr>
            <w:vAlign w:val="center"/>
            <w:tcBorders>
              <w:top w:val="single" w:sz="4" w:space="0" w:color="auto"/>
              <w:left w:val="single" w:sz="4" w:space="0" w:color="auto"/>
              <w:bottom w:val="single" w:sz="4" w:space="0" w:color="auto"/>
              <w:right w:val="single" w:sz="4" w:space="0" w:color="auto"/>
            </w:tcBorders>
          </w:tcPr>
          <w:p w14:paraId="00100AEE" w14:textId="00100B19">
            <w:pPr>
              <w:pStyle w:val="Normal"/>
              <w:jc w:val="left"/>
            </w:pPr>
            <w:r>
              <w:t xml:space="preserve">n/m</w:t>
            </w:r>
          </w:p>
        </w:tc>
      </w:tr>
      <w:tr>
        <w:tc>
          <w:tcPr>
            <w:vAlign w:val="top"/>
            <w:tcBorders>
              <w:top w:val="single" w:sz="4" w:space="0" w:color="auto"/>
              <w:left w:val="single" w:sz="4" w:space="0" w:color="auto"/>
              <w:bottom w:val="single" w:sz="4" w:space="0" w:color="auto"/>
              <w:right w:val="single" w:sz="4" w:space="0" w:color="auto"/>
            </w:tcBorders>
          </w:tcPr>
          <w:p w14:paraId="00100AF0" w14:textId="00100B1A">
            <w:pPr>
              <w:pStyle w:val="Normal"/>
              <w:jc w:val="left"/>
            </w:pPr>
            <w:r>
              <w:t xml:space="preserve">Total</w:t>
            </w:r>
          </w:p>
        </w:tc>
        <w:tc>
          <w:tcPr>
            <w:vAlign w:val="center"/>
            <w:tcBorders>
              <w:top w:val="single" w:sz="4" w:space="0" w:color="auto"/>
              <w:left w:val="single" w:sz="4" w:space="0" w:color="auto"/>
              <w:bottom w:val="single" w:sz="4" w:space="0" w:color="auto"/>
              <w:right w:val="single" w:sz="4" w:space="0" w:color="auto"/>
            </w:tcBorders>
          </w:tcPr>
          <w:p w14:paraId="00100AF2" w14:textId="00100B1B">
            <w:pPr>
              <w:pStyle w:val="Normal"/>
              <w:jc w:val="left"/>
            </w:pPr>
            <w:r>
              <w:t xml:space="preserve">2,868</w:t>
            </w:r>
          </w:p>
        </w:tc>
        <w:tc>
          <w:tcPr>
            <w:vAlign w:val="center"/>
            <w:tcBorders>
              <w:top w:val="single" w:sz="4" w:space="0" w:color="auto"/>
              <w:left w:val="single" w:sz="4" w:space="0" w:color="auto"/>
              <w:bottom w:val="single" w:sz="4" w:space="0" w:color="auto"/>
              <w:right w:val="single" w:sz="4" w:space="0" w:color="auto"/>
            </w:tcBorders>
          </w:tcPr>
          <w:p w14:paraId="00100AF4" w14:textId="00100B1C">
            <w:pPr>
              <w:pStyle w:val="Normal"/>
              <w:jc w:val="left"/>
            </w:pPr>
            <w:r>
              <w:t xml:space="preserve">0</w:t>
            </w:r>
          </w:p>
        </w:tc>
        <w:tc>
          <w:tcPr>
            <w:vAlign w:val="center"/>
            <w:tcBorders>
              <w:top w:val="single" w:sz="4" w:space="0" w:color="auto"/>
              <w:left w:val="single" w:sz="4" w:space="0" w:color="auto"/>
              <w:bottom w:val="single" w:sz="4" w:space="0" w:color="auto"/>
              <w:right w:val="single" w:sz="4" w:space="0" w:color="auto"/>
            </w:tcBorders>
          </w:tcPr>
          <w:p w14:paraId="00100AF6" w14:textId="00100B1D">
            <w:pPr>
              <w:pStyle w:val="Normal"/>
              <w:jc w:val="left"/>
            </w:pPr>
            <w:r>
              <w:t xml:space="preserve">2,389</w:t>
            </w:r>
          </w:p>
        </w:tc>
        <w:tc>
          <w:tcPr>
            <w:vAlign w:val="center"/>
            <w:tcBorders>
              <w:top w:val="single" w:sz="4" w:space="0" w:color="auto"/>
              <w:left w:val="single" w:sz="4" w:space="0" w:color="auto"/>
              <w:bottom w:val="single" w:sz="4" w:space="0" w:color="auto"/>
              <w:right w:val="single" w:sz="4" w:space="0" w:color="auto"/>
            </w:tcBorders>
          </w:tcPr>
          <w:p w14:paraId="00100AF8" w14:textId="00100B1E">
            <w:pPr>
              <w:pStyle w:val="Normal"/>
              <w:jc w:val="left"/>
            </w:pPr>
            <w:r>
              <w:t xml:space="preserve">479</w:t>
            </w:r>
          </w:p>
        </w:tc>
        <w:tc>
          <w:tcPr>
            <w:vAlign w:val="center"/>
            <w:tcBorders>
              <w:top w:val="single" w:sz="4" w:space="0" w:color="auto"/>
              <w:left w:val="single" w:sz="4" w:space="0" w:color="auto"/>
              <w:bottom w:val="single" w:sz="4" w:space="0" w:color="auto"/>
              <w:right w:val="single" w:sz="4" w:space="0" w:color="auto"/>
            </w:tcBorders>
          </w:tcPr>
          <w:p w14:paraId="00100AFA" w14:textId="00100B1F">
            <w:pPr>
              <w:pStyle w:val="Normal"/>
              <w:jc w:val="left"/>
            </w:pPr>
            <w:r>
              <w:t xml:space="preserve">16.7%</w:t>
            </w:r>
          </w:p>
        </w:tc>
      </w:tr>
    </w:tbl>
    <w:p w14:paraId="00100B20" w14:textId="00100B21">
      <w:pPr>
        <w:pStyle w:val="Normal"/>
        <w:jc w:val="left"/>
      </w:pPr>
      <w:r>
        <w:t xml:space="preserve">Table 16 Cost, margin, and mix</w:t>
      </w:r>
    </w:p>
    <w:p w14:paraId="00100B22" w14:textId="00100B24">
      <w:pPr>
        <w:pStyle w:val="Normal"/>
        <w:jc w:val="left"/>
      </w:pPr>
      <w:r>
        <w:t xml:space="preserve">Source:</w:t>
      </w:r>
      <w:r>
        <w:t xml:space="preserve"> Rivermark Group management accounts for the year ended 31 December 2025. Operating cost excludes finance costs and income tax, and intersegment activity is eliminated on consolidation.</w:t>
      </w:r>
    </w:p>
    <w:p w14:paraId="00100B25" w14:textId="00100B26">
      <w:pPr>
        <w:pStyle w:val="Normal"/>
        <w:jc w:val="left"/>
      </w:pPr>
      <w:r>
        <w:t xml:space="preserve">Subsection 2 Segment and Tax</w:t>
      </w:r>
    </w:p>
    <w:p w14:paraId="00100B27" w14:textId="00100B28">
      <w:pPr>
        <w:pStyle w:val="Normal"/>
        <w:jc w:val="left"/>
      </w:pPr>
      <w:r>
        <w:t xml:space="preserve">The following disclosures connect the operating review presented earlier in this report with the financial note schedules used in the consolidated statements. Segment information is prepared on the same internal management basis used by the Group Executive Committee to assess performance, allocate resources, and evaluate capital discipline across Industrial, Consumer, and Services. Revenue, operating cost, and operating profit are therefore shown before financing items, taxation, and consolidation adjustments that are managed centrally. This presentation helps readers compare the economic profile of each segment while preserving consistency with the way operating decisions are made inside Rivermark Group.</w:t>
      </w:r>
    </w:p>
    <w:p w14:paraId="00100B29" w14:textId="00100B2A">
      <w:pPr>
        <w:pStyle w:val="Normal"/>
        <w:jc w:val="left"/>
      </w:pPr>
      <w:r>
        <w:t xml:space="preserve">The tax disclosure that follows serves a different purpose. While segment reporting reflects managerial accountability, income tax is determined at the legal-entity level after applying jurisdiction-specific rules, transfer pricing outcomes, loss utilization, non-deductible items, and deferred tax movements. As a result, tax effects are not allocated as a primary performance measure to operating segments in the same manner as revenue or operating margin. The note therefore bridges from segment-level operating performance to the Group's consolidated tax charge through a compact reconciliation that explains the main drivers of the effective tax rate.</w:t>
      </w:r>
    </w:p>
    <w:p w14:paraId="00100B2B" w14:textId="00100B2C">
      <w:pPr>
        <w:pStyle w:val="Normal"/>
        <w:jc w:val="left"/>
      </w:pPr>
      <w:r>
        <w:t xml:space="preserve">Together, these schedules are intended to show both operating transparency and reporting discipline. The segment tables explain where earnings are generated and how cost is absorbed across the portfolio, while the tax note explains why the consolidated tax outcome may differ from a simple application of the statutory rate to accounting profit.</w:t>
      </w:r>
    </w:p>
    <w:p w14:paraId="00100B2D" w14:textId="00100B2E">
      <w:pPr>
        <w:pStyle w:val="Normal"/>
        <w:jc w:val="left"/>
      </w:pPr>
      <w:r>
        <w:t xml:space="preserve">2.1 Segment Data</w:t>
      </w:r>
    </w:p>
    <w:p w14:paraId="00100B2F" w14:textId="00100B31">
      <w:pPr>
        <w:pStyle w:val="Normal"/>
        <w:jc w:val="left"/>
      </w:pPr>
      <w:r>
        <w:t xml:space="preserve">Segment data:</w:t>
      </w:r>
      <w:r>
        <w:t xml:space="preserve"> the following schedule summarizes revenue and operating profit by reportable segment on the internal reporting basis used by management.</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B32" w14:textId="00100B6E">
            <w:pPr>
              <w:pStyle w:val="Normal"/>
              <w:jc w:val="left"/>
            </w:pPr>
            <w:r>
              <w:t xml:space="preserve">Segment</w:t>
            </w:r>
          </w:p>
        </w:tc>
        <w:tc>
          <w:tcPr>
            <w:vAlign w:val="center"/>
            <w:tcBorders>
              <w:top w:val="single" w:sz="4" w:space="0" w:color="auto"/>
              <w:left w:val="single" w:sz="4" w:space="0" w:color="auto"/>
              <w:bottom w:val="single" w:sz="4" w:space="0" w:color="auto"/>
              <w:right w:val="single" w:sz="4" w:space="0" w:color="auto"/>
            </w:tcBorders>
          </w:tcPr>
          <w:p w14:paraId="00100B34" w14:textId="00100B6F">
            <w:pPr>
              <w:pStyle w:val="Normal"/>
              <w:jc w:val="left"/>
            </w:pPr>
            <w:r>
              <w:t xml:space="preserve">External revenue</w:t>
            </w:r>
          </w:p>
        </w:tc>
        <w:tc>
          <w:tcPr>
            <w:vAlign w:val="center"/>
            <w:tcBorders>
              <w:top w:val="single" w:sz="4" w:space="0" w:color="auto"/>
              <w:left w:val="single" w:sz="4" w:space="0" w:color="auto"/>
              <w:bottom w:val="single" w:sz="4" w:space="0" w:color="auto"/>
              <w:right w:val="single" w:sz="4" w:space="0" w:color="auto"/>
            </w:tcBorders>
          </w:tcPr>
          <w:p w14:paraId="00100B36" w14:textId="00100B70">
            <w:pPr>
              <w:pStyle w:val="Normal"/>
              <w:jc w:val="left"/>
            </w:pPr>
            <w:r>
              <w:t xml:space="preserve">Intersegment revenue</w:t>
            </w:r>
          </w:p>
        </w:tc>
        <w:tc>
          <w:tcPr>
            <w:vAlign w:val="center"/>
            <w:tcBorders>
              <w:top w:val="single" w:sz="4" w:space="0" w:color="auto"/>
              <w:left w:val="single" w:sz="4" w:space="0" w:color="auto"/>
              <w:bottom w:val="single" w:sz="4" w:space="0" w:color="auto"/>
              <w:right w:val="single" w:sz="4" w:space="0" w:color="auto"/>
            </w:tcBorders>
          </w:tcPr>
          <w:p w14:paraId="00100B38" w14:textId="00100B71">
            <w:pPr>
              <w:pStyle w:val="Normal"/>
              <w:jc w:val="left"/>
            </w:pPr>
            <w:r>
              <w:t xml:space="preserve">Total revenue</w:t>
            </w:r>
          </w:p>
        </w:tc>
        <w:tc>
          <w:tcPr>
            <w:vAlign w:val="center"/>
            <w:tcBorders>
              <w:top w:val="single" w:sz="4" w:space="0" w:color="auto"/>
              <w:left w:val="single" w:sz="4" w:space="0" w:color="auto"/>
              <w:bottom w:val="single" w:sz="4" w:space="0" w:color="auto"/>
              <w:right w:val="single" w:sz="4" w:space="0" w:color="auto"/>
            </w:tcBorders>
          </w:tcPr>
          <w:p w14:paraId="00100B3A" w14:textId="00100B72">
            <w:pPr>
              <w:pStyle w:val="Normal"/>
              <w:jc w:val="left"/>
            </w:pPr>
            <w:r>
              <w:t xml:space="preserve">Operating profit</w:t>
            </w:r>
          </w:p>
        </w:tc>
      </w:tr>
      <w:tr>
        <w:tc>
          <w:tcPr>
            <w:vAlign w:val="top"/>
            <w:tcBorders>
              <w:top w:val="single" w:sz="4" w:space="0" w:color="auto"/>
              <w:left w:val="single" w:sz="4" w:space="0" w:color="auto"/>
              <w:bottom w:val="single" w:sz="4" w:space="0" w:color="auto"/>
              <w:right w:val="single" w:sz="4" w:space="0" w:color="auto"/>
            </w:tcBorders>
          </w:tcPr>
          <w:p w14:paraId="00100B3C" w14:textId="00100B73">
            <w:pPr>
              <w:pStyle w:val="Normal"/>
              <w:jc w:val="left"/>
            </w:pPr>
            <w:r>
              <w:t xml:space="preserve">Industrial</w:t>
            </w:r>
          </w:p>
        </w:tc>
        <w:tc>
          <w:tcPr>
            <w:vAlign w:val="center"/>
            <w:tcBorders>
              <w:top w:val="single" w:sz="4" w:space="0" w:color="auto"/>
              <w:left w:val="single" w:sz="4" w:space="0" w:color="auto"/>
              <w:bottom w:val="single" w:sz="4" w:space="0" w:color="auto"/>
              <w:right w:val="single" w:sz="4" w:space="0" w:color="auto"/>
            </w:tcBorders>
          </w:tcPr>
          <w:p w14:paraId="00100B3E" w14:textId="00100B74">
            <w:pPr>
              <w:pStyle w:val="Normal"/>
              <w:jc w:val="left"/>
            </w:pPr>
            <w:r>
              <w:t xml:space="preserve">1,240</w:t>
            </w:r>
          </w:p>
        </w:tc>
        <w:tc>
          <w:tcPr>
            <w:vAlign w:val="center"/>
            <w:tcBorders>
              <w:top w:val="single" w:sz="4" w:space="0" w:color="auto"/>
              <w:left w:val="single" w:sz="4" w:space="0" w:color="auto"/>
              <w:bottom w:val="single" w:sz="4" w:space="0" w:color="auto"/>
              <w:right w:val="single" w:sz="4" w:space="0" w:color="auto"/>
            </w:tcBorders>
          </w:tcPr>
          <w:p w14:paraId="00100B40" w14:textId="00100B75">
            <w:pPr>
              <w:pStyle w:val="Normal"/>
              <w:jc w:val="left"/>
            </w:pPr>
            <w:r>
              <w:t xml:space="preserve">35</w:t>
            </w:r>
          </w:p>
        </w:tc>
        <w:tc>
          <w:tcPr>
            <w:vAlign w:val="center"/>
            <w:tcBorders>
              <w:top w:val="single" w:sz="4" w:space="0" w:color="auto"/>
              <w:left w:val="single" w:sz="4" w:space="0" w:color="auto"/>
              <w:bottom w:val="single" w:sz="4" w:space="0" w:color="auto"/>
              <w:right w:val="single" w:sz="4" w:space="0" w:color="auto"/>
            </w:tcBorders>
          </w:tcPr>
          <w:p w14:paraId="00100B42" w14:textId="00100B76">
            <w:pPr>
              <w:pStyle w:val="Normal"/>
              <w:jc w:val="left"/>
            </w:pPr>
            <w:r>
              <w:t xml:space="preserve">1,275</w:t>
            </w:r>
          </w:p>
        </w:tc>
        <w:tc>
          <w:tcPr>
            <w:vAlign w:val="center"/>
            <w:tcBorders>
              <w:top w:val="single" w:sz="4" w:space="0" w:color="auto"/>
              <w:left w:val="single" w:sz="4" w:space="0" w:color="auto"/>
              <w:bottom w:val="single" w:sz="4" w:space="0" w:color="auto"/>
              <w:right w:val="single" w:sz="4" w:space="0" w:color="auto"/>
            </w:tcBorders>
          </w:tcPr>
          <w:p w14:paraId="00100B44" w14:textId="00100B77">
            <w:pPr>
              <w:pStyle w:val="Normal"/>
              <w:jc w:val="left"/>
            </w:pPr>
            <w:r>
              <w:t xml:space="preserve">146</w:t>
            </w:r>
          </w:p>
        </w:tc>
      </w:tr>
      <w:tr>
        <w:tc>
          <w:tcPr>
            <w:vAlign w:val="top"/>
            <w:tcBorders>
              <w:top w:val="single" w:sz="4" w:space="0" w:color="auto"/>
              <w:left w:val="single" w:sz="4" w:space="0" w:color="auto"/>
              <w:bottom w:val="single" w:sz="4" w:space="0" w:color="auto"/>
              <w:right w:val="single" w:sz="4" w:space="0" w:color="auto"/>
            </w:tcBorders>
          </w:tcPr>
          <w:p w14:paraId="00100B46" w14:textId="00100B78">
            <w:pPr>
              <w:pStyle w:val="Normal"/>
              <w:jc w:val="left"/>
            </w:pPr>
            <w:r>
              <w:t xml:space="preserve">Consumer</w:t>
            </w:r>
          </w:p>
        </w:tc>
        <w:tc>
          <w:tcPr>
            <w:vAlign w:val="center"/>
            <w:tcBorders>
              <w:top w:val="single" w:sz="4" w:space="0" w:color="auto"/>
              <w:left w:val="single" w:sz="4" w:space="0" w:color="auto"/>
              <w:bottom w:val="single" w:sz="4" w:space="0" w:color="auto"/>
              <w:right w:val="single" w:sz="4" w:space="0" w:color="auto"/>
            </w:tcBorders>
          </w:tcPr>
          <w:p w14:paraId="00100B48" w14:textId="00100B79">
            <w:pPr>
              <w:pStyle w:val="Normal"/>
              <w:jc w:val="left"/>
            </w:pPr>
            <w:r>
              <w:t xml:space="preserve">980</w:t>
            </w:r>
          </w:p>
        </w:tc>
        <w:tc>
          <w:tcPr>
            <w:vAlign w:val="center"/>
            <w:tcBorders>
              <w:top w:val="single" w:sz="4" w:space="0" w:color="auto"/>
              <w:left w:val="single" w:sz="4" w:space="0" w:color="auto"/>
              <w:bottom w:val="single" w:sz="4" w:space="0" w:color="auto"/>
              <w:right w:val="single" w:sz="4" w:space="0" w:color="auto"/>
            </w:tcBorders>
          </w:tcPr>
          <w:p w14:paraId="00100B4A" w14:textId="00100B7A">
            <w:pPr>
              <w:pStyle w:val="Normal"/>
              <w:jc w:val="left"/>
            </w:pPr>
            <w:r>
              <w:t xml:space="preserve">12</w:t>
            </w:r>
          </w:p>
        </w:tc>
        <w:tc>
          <w:tcPr>
            <w:vAlign w:val="center"/>
            <w:tcBorders>
              <w:top w:val="single" w:sz="4" w:space="0" w:color="auto"/>
              <w:left w:val="single" w:sz="4" w:space="0" w:color="auto"/>
              <w:bottom w:val="single" w:sz="4" w:space="0" w:color="auto"/>
              <w:right w:val="single" w:sz="4" w:space="0" w:color="auto"/>
            </w:tcBorders>
          </w:tcPr>
          <w:p w14:paraId="00100B4C" w14:textId="00100B7B">
            <w:pPr>
              <w:pStyle w:val="Normal"/>
              <w:jc w:val="left"/>
            </w:pPr>
            <w:r>
              <w:t xml:space="preserve">992</w:t>
            </w:r>
          </w:p>
        </w:tc>
        <w:tc>
          <w:tcPr>
            <w:vAlign w:val="center"/>
            <w:tcBorders>
              <w:top w:val="single" w:sz="4" w:space="0" w:color="auto"/>
              <w:left w:val="single" w:sz="4" w:space="0" w:color="auto"/>
              <w:bottom w:val="single" w:sz="4" w:space="0" w:color="auto"/>
              <w:right w:val="single" w:sz="4" w:space="0" w:color="auto"/>
            </w:tcBorders>
          </w:tcPr>
          <w:p w14:paraId="00100B4E" w14:textId="00100B7C">
            <w:pPr>
              <w:pStyle w:val="Normal"/>
              <w:jc w:val="left"/>
            </w:pPr>
            <w:r>
              <w:t xml:space="preserve">101</w:t>
            </w:r>
          </w:p>
        </w:tc>
      </w:tr>
      <w:tr>
        <w:tc>
          <w:tcPr>
            <w:vAlign w:val="top"/>
            <w:tcBorders>
              <w:top w:val="single" w:sz="4" w:space="0" w:color="auto"/>
              <w:left w:val="single" w:sz="4" w:space="0" w:color="auto"/>
              <w:bottom w:val="single" w:sz="4" w:space="0" w:color="auto"/>
              <w:right w:val="single" w:sz="4" w:space="0" w:color="auto"/>
            </w:tcBorders>
          </w:tcPr>
          <w:p w14:paraId="00100B50" w14:textId="00100B7D">
            <w:pPr>
              <w:pStyle w:val="Normal"/>
              <w:jc w:val="left"/>
            </w:pPr>
            <w:r>
              <w:t xml:space="preserve">Services</w:t>
            </w:r>
          </w:p>
        </w:tc>
        <w:tc>
          <w:tcPr>
            <w:vAlign w:val="center"/>
            <w:tcBorders>
              <w:top w:val="single" w:sz="4" w:space="0" w:color="auto"/>
              <w:left w:val="single" w:sz="4" w:space="0" w:color="auto"/>
              <w:bottom w:val="single" w:sz="4" w:space="0" w:color="auto"/>
              <w:right w:val="single" w:sz="4" w:space="0" w:color="auto"/>
            </w:tcBorders>
          </w:tcPr>
          <w:p w14:paraId="00100B52" w14:textId="00100B7E">
            <w:pPr>
              <w:pStyle w:val="Normal"/>
              <w:jc w:val="left"/>
            </w:pPr>
            <w:r>
              <w:t xml:space="preserve">690</w:t>
            </w:r>
          </w:p>
        </w:tc>
        <w:tc>
          <w:tcPr>
            <w:vAlign w:val="center"/>
            <w:tcBorders>
              <w:top w:val="single" w:sz="4" w:space="0" w:color="auto"/>
              <w:left w:val="single" w:sz="4" w:space="0" w:color="auto"/>
              <w:bottom w:val="single" w:sz="4" w:space="0" w:color="auto"/>
              <w:right w:val="single" w:sz="4" w:space="0" w:color="auto"/>
            </w:tcBorders>
          </w:tcPr>
          <w:p w14:paraId="00100B54" w14:textId="00100B7F">
            <w:pPr>
              <w:pStyle w:val="Normal"/>
              <w:jc w:val="left"/>
            </w:pPr>
            <w:r>
              <w:t xml:space="preserve">28</w:t>
            </w:r>
          </w:p>
        </w:tc>
        <w:tc>
          <w:tcPr>
            <w:vAlign w:val="center"/>
            <w:tcBorders>
              <w:top w:val="single" w:sz="4" w:space="0" w:color="auto"/>
              <w:left w:val="single" w:sz="4" w:space="0" w:color="auto"/>
              <w:bottom w:val="single" w:sz="4" w:space="0" w:color="auto"/>
              <w:right w:val="single" w:sz="4" w:space="0" w:color="auto"/>
            </w:tcBorders>
          </w:tcPr>
          <w:p w14:paraId="00100B56" w14:textId="00100B80">
            <w:pPr>
              <w:pStyle w:val="Normal"/>
              <w:jc w:val="left"/>
            </w:pPr>
            <w:r>
              <w:t xml:space="preserve">718</w:t>
            </w:r>
          </w:p>
        </w:tc>
        <w:tc>
          <w:tcPr>
            <w:vAlign w:val="center"/>
            <w:tcBorders>
              <w:top w:val="single" w:sz="4" w:space="0" w:color="auto"/>
              <w:left w:val="single" w:sz="4" w:space="0" w:color="auto"/>
              <w:bottom w:val="single" w:sz="4" w:space="0" w:color="auto"/>
              <w:right w:val="single" w:sz="4" w:space="0" w:color="auto"/>
            </w:tcBorders>
          </w:tcPr>
          <w:p w14:paraId="00100B58" w14:textId="00100B81">
            <w:pPr>
              <w:pStyle w:val="Normal"/>
              <w:jc w:val="left"/>
            </w:pPr>
            <w:r>
              <w:t xml:space="preserve">88</w:t>
            </w:r>
          </w:p>
        </w:tc>
      </w:tr>
      <w:tr>
        <w:tc>
          <w:tcPr>
            <w:vAlign w:val="top"/>
            <w:tcBorders>
              <w:top w:val="single" w:sz="4" w:space="0" w:color="auto"/>
              <w:left w:val="single" w:sz="4" w:space="0" w:color="auto"/>
              <w:bottom w:val="single" w:sz="4" w:space="0" w:color="auto"/>
              <w:right w:val="single" w:sz="4" w:space="0" w:color="auto"/>
            </w:tcBorders>
          </w:tcPr>
          <w:p w14:paraId="00100B5A" w14:textId="00100B82">
            <w:pPr>
              <w:pStyle w:val="Normal"/>
              <w:jc w:val="left"/>
            </w:pPr>
            <w:r>
              <w:t xml:space="preserve">Corporate and eliminations</w:t>
            </w:r>
          </w:p>
        </w:tc>
        <w:tc>
          <w:tcPr>
            <w:vAlign w:val="center"/>
            <w:tcBorders>
              <w:top w:val="single" w:sz="4" w:space="0" w:color="auto"/>
              <w:left w:val="single" w:sz="4" w:space="0" w:color="auto"/>
              <w:bottom w:val="single" w:sz="4" w:space="0" w:color="auto"/>
              <w:right w:val="single" w:sz="4" w:space="0" w:color="auto"/>
            </w:tcBorders>
          </w:tcPr>
          <w:p w14:paraId="00100B5C" w14:textId="00100B83">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B5E" w14:textId="00100B84">
            <w:pPr>
              <w:pStyle w:val="Normal"/>
              <w:jc w:val="left"/>
            </w:pPr>
            <w:r>
              <w:t xml:space="preserve">(75)</w:t>
            </w:r>
          </w:p>
        </w:tc>
        <w:tc>
          <w:tcPr>
            <w:vAlign w:val="center"/>
            <w:tcBorders>
              <w:top w:val="single" w:sz="4" w:space="0" w:color="auto"/>
              <w:left w:val="single" w:sz="4" w:space="0" w:color="auto"/>
              <w:bottom w:val="single" w:sz="4" w:space="0" w:color="auto"/>
              <w:right w:val="single" w:sz="4" w:space="0" w:color="auto"/>
            </w:tcBorders>
          </w:tcPr>
          <w:p w14:paraId="00100B60" w14:textId="00100B85">
            <w:pPr>
              <w:pStyle w:val="Normal"/>
              <w:jc w:val="left"/>
            </w:pPr>
            <w:r>
              <w:t xml:space="preserve">(75)</w:t>
            </w:r>
          </w:p>
        </w:tc>
        <w:tc>
          <w:tcPr>
            <w:vAlign w:val="center"/>
            <w:tcBorders>
              <w:top w:val="single" w:sz="4" w:space="0" w:color="auto"/>
              <w:left w:val="single" w:sz="4" w:space="0" w:color="auto"/>
              <w:bottom w:val="single" w:sz="4" w:space="0" w:color="auto"/>
              <w:right w:val="single" w:sz="4" w:space="0" w:color="auto"/>
            </w:tcBorders>
          </w:tcPr>
          <w:p w14:paraId="00100B62" w14:textId="00100B86">
            <w:pPr>
              <w:pStyle w:val="Normal"/>
              <w:jc w:val="left"/>
            </w:pPr>
            <w:r>
              <w:t xml:space="preserve">(42)</w:t>
            </w:r>
          </w:p>
        </w:tc>
      </w:tr>
      <w:tr>
        <w:tc>
          <w:tcPr>
            <w:vAlign w:val="top"/>
            <w:tcBorders>
              <w:top w:val="single" w:sz="4" w:space="0" w:color="auto"/>
              <w:left w:val="single" w:sz="4" w:space="0" w:color="auto"/>
              <w:bottom w:val="single" w:sz="4" w:space="0" w:color="auto"/>
              <w:right w:val="single" w:sz="4" w:space="0" w:color="auto"/>
            </w:tcBorders>
          </w:tcPr>
          <w:p w14:paraId="00100B64" w14:textId="00100B87">
            <w:pPr>
              <w:pStyle w:val="Normal"/>
              <w:jc w:val="left"/>
            </w:pPr>
            <w:r>
              <w:t xml:space="preserve">Total</w:t>
            </w:r>
          </w:p>
        </w:tc>
        <w:tc>
          <w:tcPr>
            <w:vAlign w:val="center"/>
            <w:tcBorders>
              <w:top w:val="single" w:sz="4" w:space="0" w:color="auto"/>
              <w:left w:val="single" w:sz="4" w:space="0" w:color="auto"/>
              <w:bottom w:val="single" w:sz="4" w:space="0" w:color="auto"/>
              <w:right w:val="single" w:sz="4" w:space="0" w:color="auto"/>
            </w:tcBorders>
          </w:tcPr>
          <w:p w14:paraId="00100B66" w14:textId="00100B88">
            <w:pPr>
              <w:pStyle w:val="Normal"/>
              <w:jc w:val="left"/>
            </w:pPr>
            <w:r>
              <w:t xml:space="preserve">2,910</w:t>
            </w:r>
          </w:p>
        </w:tc>
        <w:tc>
          <w:tcPr>
            <w:vAlign w:val="center"/>
            <w:tcBorders>
              <w:top w:val="single" w:sz="4" w:space="0" w:color="auto"/>
              <w:left w:val="single" w:sz="4" w:space="0" w:color="auto"/>
              <w:bottom w:val="single" w:sz="4" w:space="0" w:color="auto"/>
              <w:right w:val="single" w:sz="4" w:space="0" w:color="auto"/>
            </w:tcBorders>
          </w:tcPr>
          <w:p w14:paraId="00100B68" w14:textId="00100B89">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B6A" w14:textId="00100B8A">
            <w:pPr>
              <w:pStyle w:val="Normal"/>
              <w:jc w:val="left"/>
            </w:pPr>
            <w:r>
              <w:t xml:space="preserve">2,910</w:t>
            </w:r>
          </w:p>
        </w:tc>
        <w:tc>
          <w:tcPr>
            <w:vAlign w:val="center"/>
            <w:tcBorders>
              <w:top w:val="single" w:sz="4" w:space="0" w:color="auto"/>
              <w:left w:val="single" w:sz="4" w:space="0" w:color="auto"/>
              <w:bottom w:val="single" w:sz="4" w:space="0" w:color="auto"/>
              <w:right w:val="single" w:sz="4" w:space="0" w:color="auto"/>
            </w:tcBorders>
          </w:tcPr>
          <w:p w14:paraId="00100B6C" w14:textId="00100B8B">
            <w:pPr>
              <w:pStyle w:val="Normal"/>
              <w:jc w:val="left"/>
            </w:pPr>
            <w:r>
              <w:t xml:space="preserve">293</w:t>
            </w:r>
          </w:p>
        </w:tc>
      </w:tr>
    </w:tbl>
    <w:p w14:paraId="00100B8C" w14:textId="00100B8D">
      <w:pPr>
        <w:pStyle w:val="Normal"/>
        <w:jc w:val="left"/>
      </w:pPr>
      <w:r>
        <w:t xml:space="preserve">Table 17 Segment revenue and profit</w:t>
      </w:r>
    </w:p>
    <w:p w14:paraId="00100B8E" w14:textId="00100B8F">
      <w:pPr>
        <w:pStyle w:val="Normal"/>
        <w:jc w:val="left"/>
      </w:pPr>
      <w:r>
        <w:t xml:space="preserve">Amounts are presented in Rivermark Group reporting currency for the year ended 31 December 2025. Intersegment revenue is eliminated on consolidation, and operating profit reflects segment performance before finance costs, tax, and central non-operating items unless specifically allocated.</w:t>
      </w:r>
    </w:p>
    <w:p w14:paraId="00100B90" w14:textId="00100B91">
      <w:pPr>
        <w:pStyle w:val="Normal"/>
        <w:jc w:val="left"/>
      </w:pPr>
      <w:r>
        <w:t xml:space="preserve">2.2 Tax Position</w:t>
      </w:r>
    </w:p>
    <w:p w14:paraId="00100B92" w14:textId="00100B94">
      <w:pPr>
        <w:pStyle w:val="Normal"/>
        <w:jc w:val="left"/>
      </w:pPr>
      <w:r>
        <w:t xml:space="preserve">Tax position:</w:t>
      </w:r>
      <w:r>
        <w:t xml:space="preserve"> The following schedule summarizes current and deferred tax charges and the principal factors affecting the effective tax rate for the reporting year.</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B95" w14:textId="00100BDD">
            <w:pPr>
              <w:pStyle w:val="Normal"/>
              <w:jc w:val="left"/>
            </w:pPr>
            <w:r>
              <w:t xml:space="preserve">Item</w:t>
            </w:r>
          </w:p>
        </w:tc>
        <w:tc>
          <w:tcPr>
            <w:vAlign w:val="center"/>
            <w:tcBorders>
              <w:top w:val="single" w:sz="4" w:space="0" w:color="auto"/>
              <w:left w:val="single" w:sz="4" w:space="0" w:color="auto"/>
              <w:bottom w:val="single" w:sz="4" w:space="0" w:color="auto"/>
              <w:right w:val="single" w:sz="4" w:space="0" w:color="auto"/>
            </w:tcBorders>
          </w:tcPr>
          <w:p w14:paraId="00100B97" w14:textId="00100BDE">
            <w:pPr>
              <w:pStyle w:val="Normal"/>
              <w:jc w:val="left"/>
            </w:pPr>
            <w:r>
              <w:t xml:space="preserve">2025</w:t>
            </w:r>
          </w:p>
        </w:tc>
        <w:tc>
          <w:tcPr>
            <w:vAlign w:val="center"/>
            <w:tcBorders>
              <w:top w:val="single" w:sz="4" w:space="0" w:color="auto"/>
              <w:left w:val="single" w:sz="4" w:space="0" w:color="auto"/>
              <w:bottom w:val="single" w:sz="4" w:space="0" w:color="auto"/>
              <w:right w:val="single" w:sz="4" w:space="0" w:color="auto"/>
            </w:tcBorders>
          </w:tcPr>
          <w:p w14:paraId="00100B99" w14:textId="00100BDF">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B9B" w14:textId="00100BE0">
            <w:pPr>
              <w:pStyle w:val="Normal"/>
              <w:jc w:val="left"/>
            </w:pPr>
            <w:r>
              <w:t xml:space="preserve">Comment</w:t>
            </w:r>
          </w:p>
        </w:tc>
      </w:tr>
      <w:tr>
        <w:tc>
          <w:tcPr>
            <w:vAlign w:val="top"/>
            <w:tcBorders>
              <w:top w:val="single" w:sz="4" w:space="0" w:color="auto"/>
              <w:left w:val="single" w:sz="4" w:space="0" w:color="auto"/>
              <w:bottom w:val="single" w:sz="4" w:space="0" w:color="auto"/>
              <w:right w:val="single" w:sz="4" w:space="0" w:color="auto"/>
            </w:tcBorders>
          </w:tcPr>
          <w:p w14:paraId="00100B9D" w14:textId="00100BE1">
            <w:pPr>
              <w:pStyle w:val="Normal"/>
              <w:jc w:val="left"/>
            </w:pPr>
            <w:r>
              <w:t xml:space="preserve">Profit before tax</w:t>
            </w:r>
          </w:p>
        </w:tc>
        <w:tc>
          <w:tcPr>
            <w:vAlign w:val="center"/>
            <w:tcBorders>
              <w:top w:val="single" w:sz="4" w:space="0" w:color="auto"/>
              <w:left w:val="single" w:sz="4" w:space="0" w:color="auto"/>
              <w:bottom w:val="single" w:sz="4" w:space="0" w:color="auto"/>
              <w:right w:val="single" w:sz="4" w:space="0" w:color="auto"/>
            </w:tcBorders>
          </w:tcPr>
          <w:p w14:paraId="00100B9F" w14:textId="00100BE2">
            <w:pPr>
              <w:pStyle w:val="Normal"/>
              <w:jc w:val="left"/>
            </w:pPr>
            <w:r>
              <w:t xml:space="preserve">184.6</w:t>
            </w:r>
          </w:p>
        </w:tc>
        <w:tc>
          <w:tcPr>
            <w:vAlign w:val="center"/>
            <w:tcBorders>
              <w:top w:val="single" w:sz="4" w:space="0" w:color="auto"/>
              <w:left w:val="single" w:sz="4" w:space="0" w:color="auto"/>
              <w:bottom w:val="single" w:sz="4" w:space="0" w:color="auto"/>
              <w:right w:val="single" w:sz="4" w:space="0" w:color="auto"/>
            </w:tcBorders>
          </w:tcPr>
          <w:p w14:paraId="00100BA1" w14:textId="00100BE3">
            <w:pPr>
              <w:pStyle w:val="Normal"/>
              <w:jc w:val="left"/>
            </w:pPr>
            <w:r>
              <w:t xml:space="preserve">167.2</w:t>
            </w:r>
          </w:p>
        </w:tc>
        <w:tc>
          <w:tcPr>
            <w:vAlign w:val="center"/>
            <w:tcBorders>
              <w:top w:val="single" w:sz="4" w:space="0" w:color="auto"/>
              <w:left w:val="single" w:sz="4" w:space="0" w:color="auto"/>
              <w:bottom w:val="single" w:sz="4" w:space="0" w:color="auto"/>
              <w:right w:val="single" w:sz="4" w:space="0" w:color="auto"/>
            </w:tcBorders>
          </w:tcPr>
          <w:p w14:paraId="00100BA3" w14:textId="00100BE4">
            <w:pPr>
              <w:pStyle w:val="Normal"/>
              <w:jc w:val="left"/>
            </w:pPr>
            <w:r>
              <w:t xml:space="preserve">Consolidated profit before income tax</w:t>
            </w:r>
          </w:p>
        </w:tc>
      </w:tr>
      <w:tr>
        <w:tc>
          <w:tcPr>
            <w:vAlign w:val="top"/>
            <w:tcBorders>
              <w:top w:val="single" w:sz="4" w:space="0" w:color="auto"/>
              <w:left w:val="single" w:sz="4" w:space="0" w:color="auto"/>
              <w:bottom w:val="single" w:sz="4" w:space="0" w:color="auto"/>
              <w:right w:val="single" w:sz="4" w:space="0" w:color="auto"/>
            </w:tcBorders>
          </w:tcPr>
          <w:p w14:paraId="00100BA5" w14:textId="00100BE5">
            <w:pPr>
              <w:pStyle w:val="Normal"/>
              <w:jc w:val="left"/>
            </w:pPr>
            <w:r>
              <w:t xml:space="preserve">Expected tax at statutory rate of 25%</w:t>
            </w:r>
          </w:p>
        </w:tc>
        <w:tc>
          <w:tcPr>
            <w:vAlign w:val="center"/>
            <w:tcBorders>
              <w:top w:val="single" w:sz="4" w:space="0" w:color="auto"/>
              <w:left w:val="single" w:sz="4" w:space="0" w:color="auto"/>
              <w:bottom w:val="single" w:sz="4" w:space="0" w:color="auto"/>
              <w:right w:val="single" w:sz="4" w:space="0" w:color="auto"/>
            </w:tcBorders>
          </w:tcPr>
          <w:p w14:paraId="00100BA7" w14:textId="00100BE6">
            <w:pPr>
              <w:pStyle w:val="Normal"/>
              <w:jc w:val="left"/>
            </w:pPr>
            <w:r>
              <w:t xml:space="preserve">46.2</w:t>
            </w:r>
          </w:p>
        </w:tc>
        <w:tc>
          <w:tcPr>
            <w:vAlign w:val="center"/>
            <w:tcBorders>
              <w:top w:val="single" w:sz="4" w:space="0" w:color="auto"/>
              <w:left w:val="single" w:sz="4" w:space="0" w:color="auto"/>
              <w:bottom w:val="single" w:sz="4" w:space="0" w:color="auto"/>
              <w:right w:val="single" w:sz="4" w:space="0" w:color="auto"/>
            </w:tcBorders>
          </w:tcPr>
          <w:p w14:paraId="00100BA9" w14:textId="00100BE7">
            <w:pPr>
              <w:pStyle w:val="Normal"/>
              <w:jc w:val="left"/>
            </w:pPr>
            <w:r>
              <w:t xml:space="preserve">41.8</w:t>
            </w:r>
          </w:p>
        </w:tc>
        <w:tc>
          <w:tcPr>
            <w:vAlign w:val="center"/>
            <w:tcBorders>
              <w:top w:val="single" w:sz="4" w:space="0" w:color="auto"/>
              <w:left w:val="single" w:sz="4" w:space="0" w:color="auto"/>
              <w:bottom w:val="single" w:sz="4" w:space="0" w:color="auto"/>
              <w:right w:val="single" w:sz="4" w:space="0" w:color="auto"/>
            </w:tcBorders>
          </w:tcPr>
          <w:p w14:paraId="00100BAB" w14:textId="00100BE8">
            <w:pPr>
              <w:pStyle w:val="Normal"/>
              <w:jc w:val="left"/>
            </w:pPr>
            <w:r>
              <w:t xml:space="preserve">Benchmark tax charge at blended domestic rate</w:t>
            </w:r>
          </w:p>
        </w:tc>
      </w:tr>
      <w:tr>
        <w:tc>
          <w:tcPr>
            <w:vAlign w:val="top"/>
            <w:tcBorders>
              <w:top w:val="single" w:sz="4" w:space="0" w:color="auto"/>
              <w:left w:val="single" w:sz="4" w:space="0" w:color="auto"/>
              <w:bottom w:val="single" w:sz="4" w:space="0" w:color="auto"/>
              <w:right w:val="single" w:sz="4" w:space="0" w:color="auto"/>
            </w:tcBorders>
          </w:tcPr>
          <w:p w14:paraId="00100BAD" w14:textId="00100BE9">
            <w:pPr>
              <w:pStyle w:val="Normal"/>
              <w:jc w:val="left"/>
            </w:pPr>
            <w:r>
              <w:t xml:space="preserve">Effect of different tax rates in overseas jurisdictions</w:t>
            </w:r>
          </w:p>
        </w:tc>
        <w:tc>
          <w:tcPr>
            <w:vAlign w:val="center"/>
            <w:tcBorders>
              <w:top w:val="single" w:sz="4" w:space="0" w:color="auto"/>
              <w:left w:val="single" w:sz="4" w:space="0" w:color="auto"/>
              <w:bottom w:val="single" w:sz="4" w:space="0" w:color="auto"/>
              <w:right w:val="single" w:sz="4" w:space="0" w:color="auto"/>
            </w:tcBorders>
          </w:tcPr>
          <w:p w14:paraId="00100BAF" w14:textId="00100BEA">
            <w:pPr>
              <w:pStyle w:val="Normal"/>
              <w:jc w:val="left"/>
            </w:pPr>
            <w:r>
              <w:t xml:space="preserve">-3.4</w:t>
            </w:r>
          </w:p>
        </w:tc>
        <w:tc>
          <w:tcPr>
            <w:vAlign w:val="center"/>
            <w:tcBorders>
              <w:top w:val="single" w:sz="4" w:space="0" w:color="auto"/>
              <w:left w:val="single" w:sz="4" w:space="0" w:color="auto"/>
              <w:bottom w:val="single" w:sz="4" w:space="0" w:color="auto"/>
              <w:right w:val="single" w:sz="4" w:space="0" w:color="auto"/>
            </w:tcBorders>
          </w:tcPr>
          <w:p w14:paraId="00100BB1" w14:textId="00100BEB">
            <w:pPr>
              <w:pStyle w:val="Normal"/>
              <w:jc w:val="left"/>
            </w:pPr>
            <w:r>
              <w:t xml:space="preserve">-2.9</w:t>
            </w:r>
          </w:p>
        </w:tc>
        <w:tc>
          <w:tcPr>
            <w:vAlign w:val="center"/>
            <w:tcBorders>
              <w:top w:val="single" w:sz="4" w:space="0" w:color="auto"/>
              <w:left w:val="single" w:sz="4" w:space="0" w:color="auto"/>
              <w:bottom w:val="single" w:sz="4" w:space="0" w:color="auto"/>
              <w:right w:val="single" w:sz="4" w:space="0" w:color="auto"/>
            </w:tcBorders>
          </w:tcPr>
          <w:p w14:paraId="00100BB3" w14:textId="00100BEC">
            <w:pPr>
              <w:pStyle w:val="Normal"/>
              <w:jc w:val="left"/>
            </w:pPr>
            <w:r>
              <w:t xml:space="preserve">Lower effective rates in service and export entities</w:t>
            </w:r>
          </w:p>
        </w:tc>
      </w:tr>
      <w:tr>
        <w:tc>
          <w:tcPr>
            <w:vAlign w:val="top"/>
            <w:tcBorders>
              <w:top w:val="single" w:sz="4" w:space="0" w:color="auto"/>
              <w:left w:val="single" w:sz="4" w:space="0" w:color="auto"/>
              <w:bottom w:val="single" w:sz="4" w:space="0" w:color="auto"/>
              <w:right w:val="single" w:sz="4" w:space="0" w:color="auto"/>
            </w:tcBorders>
          </w:tcPr>
          <w:p w14:paraId="00100BB5" w14:textId="00100BED">
            <w:pPr>
              <w:pStyle w:val="Normal"/>
              <w:jc w:val="left"/>
            </w:pPr>
            <w:r>
              <w:t xml:space="preserve">Non-deductible expenses</w:t>
            </w:r>
          </w:p>
        </w:tc>
        <w:tc>
          <w:tcPr>
            <w:vAlign w:val="center"/>
            <w:tcBorders>
              <w:top w:val="single" w:sz="4" w:space="0" w:color="auto"/>
              <w:left w:val="single" w:sz="4" w:space="0" w:color="auto"/>
              <w:bottom w:val="single" w:sz="4" w:space="0" w:color="auto"/>
              <w:right w:val="single" w:sz="4" w:space="0" w:color="auto"/>
            </w:tcBorders>
          </w:tcPr>
          <w:p w14:paraId="00100BB7" w14:textId="00100BEE">
            <w:pPr>
              <w:pStyle w:val="Normal"/>
              <w:jc w:val="left"/>
            </w:pPr>
            <w:r>
              <w:t xml:space="preserve">4.8</w:t>
            </w:r>
          </w:p>
        </w:tc>
        <w:tc>
          <w:tcPr>
            <w:vAlign w:val="center"/>
            <w:tcBorders>
              <w:top w:val="single" w:sz="4" w:space="0" w:color="auto"/>
              <w:left w:val="single" w:sz="4" w:space="0" w:color="auto"/>
              <w:bottom w:val="single" w:sz="4" w:space="0" w:color="auto"/>
              <w:right w:val="single" w:sz="4" w:space="0" w:color="auto"/>
            </w:tcBorders>
          </w:tcPr>
          <w:p w14:paraId="00100BB9" w14:textId="00100BEF">
            <w:pPr>
              <w:pStyle w:val="Normal"/>
              <w:jc w:val="left"/>
            </w:pPr>
            <w:r>
              <w:t xml:space="preserve">4.1</w:t>
            </w:r>
          </w:p>
        </w:tc>
        <w:tc>
          <w:tcPr>
            <w:vAlign w:val="center"/>
            <w:tcBorders>
              <w:top w:val="single" w:sz="4" w:space="0" w:color="auto"/>
              <w:left w:val="single" w:sz="4" w:space="0" w:color="auto"/>
              <w:bottom w:val="single" w:sz="4" w:space="0" w:color="auto"/>
              <w:right w:val="single" w:sz="4" w:space="0" w:color="auto"/>
            </w:tcBorders>
          </w:tcPr>
          <w:p w14:paraId="00100BBB" w14:textId="00100BF0">
            <w:pPr>
              <w:pStyle w:val="Normal"/>
              <w:jc w:val="left"/>
            </w:pPr>
            <w:r>
              <w:t xml:space="preserve">Mainly entertainment, certain acquisition costs, and penalties</w:t>
            </w:r>
          </w:p>
        </w:tc>
      </w:tr>
      <w:tr>
        <w:tc>
          <w:tcPr>
            <w:vAlign w:val="top"/>
            <w:tcBorders>
              <w:top w:val="single" w:sz="4" w:space="0" w:color="auto"/>
              <w:left w:val="single" w:sz="4" w:space="0" w:color="auto"/>
              <w:bottom w:val="single" w:sz="4" w:space="0" w:color="auto"/>
              <w:right w:val="single" w:sz="4" w:space="0" w:color="auto"/>
            </w:tcBorders>
          </w:tcPr>
          <w:p w14:paraId="00100BBD" w14:textId="00100BF1">
            <w:pPr>
              <w:pStyle w:val="Normal"/>
              <w:jc w:val="left"/>
            </w:pPr>
            <w:r>
              <w:t xml:space="preserve">Tax incentives and credits</w:t>
            </w:r>
          </w:p>
        </w:tc>
        <w:tc>
          <w:tcPr>
            <w:vAlign w:val="center"/>
            <w:tcBorders>
              <w:top w:val="single" w:sz="4" w:space="0" w:color="auto"/>
              <w:left w:val="single" w:sz="4" w:space="0" w:color="auto"/>
              <w:bottom w:val="single" w:sz="4" w:space="0" w:color="auto"/>
              <w:right w:val="single" w:sz="4" w:space="0" w:color="auto"/>
            </w:tcBorders>
          </w:tcPr>
          <w:p w14:paraId="00100BBF" w14:textId="00100BF2">
            <w:pPr>
              <w:pStyle w:val="Normal"/>
              <w:jc w:val="left"/>
            </w:pPr>
            <w:r>
              <w:t xml:space="preserve">-6.1</w:t>
            </w:r>
          </w:p>
        </w:tc>
        <w:tc>
          <w:tcPr>
            <w:vAlign w:val="center"/>
            <w:tcBorders>
              <w:top w:val="single" w:sz="4" w:space="0" w:color="auto"/>
              <w:left w:val="single" w:sz="4" w:space="0" w:color="auto"/>
              <w:bottom w:val="single" w:sz="4" w:space="0" w:color="auto"/>
              <w:right w:val="single" w:sz="4" w:space="0" w:color="auto"/>
            </w:tcBorders>
          </w:tcPr>
          <w:p w14:paraId="00100BC1" w14:textId="00100BF3">
            <w:pPr>
              <w:pStyle w:val="Normal"/>
              <w:jc w:val="left"/>
            </w:pPr>
            <w:r>
              <w:t xml:space="preserve">-5.3</w:t>
            </w:r>
          </w:p>
        </w:tc>
        <w:tc>
          <w:tcPr>
            <w:vAlign w:val="center"/>
            <w:tcBorders>
              <w:top w:val="single" w:sz="4" w:space="0" w:color="auto"/>
              <w:left w:val="single" w:sz="4" w:space="0" w:color="auto"/>
              <w:bottom w:val="single" w:sz="4" w:space="0" w:color="auto"/>
              <w:right w:val="single" w:sz="4" w:space="0" w:color="auto"/>
            </w:tcBorders>
          </w:tcPr>
          <w:p w14:paraId="00100BC3" w14:textId="00100BF4">
            <w:pPr>
              <w:pStyle w:val="Normal"/>
              <w:jc w:val="left"/>
            </w:pPr>
            <w:r>
              <w:t xml:space="preserve">Manufacturing upgrade, energy efficiency, and training incentives</w:t>
            </w:r>
          </w:p>
        </w:tc>
      </w:tr>
      <w:tr>
        <w:tc>
          <w:tcPr>
            <w:vAlign w:val="top"/>
            <w:tcBorders>
              <w:top w:val="single" w:sz="4" w:space="0" w:color="auto"/>
              <w:left w:val="single" w:sz="4" w:space="0" w:color="auto"/>
              <w:bottom w:val="single" w:sz="4" w:space="0" w:color="auto"/>
              <w:right w:val="single" w:sz="4" w:space="0" w:color="auto"/>
            </w:tcBorders>
          </w:tcPr>
          <w:p w14:paraId="00100BC5" w14:textId="00100BF5">
            <w:pPr>
              <w:pStyle w:val="Normal"/>
              <w:jc w:val="left"/>
            </w:pPr>
            <w:r>
              <w:t xml:space="preserve">Prior-year adjustments</w:t>
            </w:r>
          </w:p>
        </w:tc>
        <w:tc>
          <w:tcPr>
            <w:vAlign w:val="center"/>
            <w:tcBorders>
              <w:top w:val="single" w:sz="4" w:space="0" w:color="auto"/>
              <w:left w:val="single" w:sz="4" w:space="0" w:color="auto"/>
              <w:bottom w:val="single" w:sz="4" w:space="0" w:color="auto"/>
              <w:right w:val="single" w:sz="4" w:space="0" w:color="auto"/>
            </w:tcBorders>
          </w:tcPr>
          <w:p w14:paraId="00100BC7" w14:textId="00100BF6">
            <w:pPr>
              <w:pStyle w:val="Normal"/>
              <w:jc w:val="left"/>
            </w:pPr>
            <w:r>
              <w:t xml:space="preserve">1.2</w:t>
            </w:r>
          </w:p>
        </w:tc>
        <w:tc>
          <w:tcPr>
            <w:vAlign w:val="center"/>
            <w:tcBorders>
              <w:top w:val="single" w:sz="4" w:space="0" w:color="auto"/>
              <w:left w:val="single" w:sz="4" w:space="0" w:color="auto"/>
              <w:bottom w:val="single" w:sz="4" w:space="0" w:color="auto"/>
              <w:right w:val="single" w:sz="4" w:space="0" w:color="auto"/>
            </w:tcBorders>
          </w:tcPr>
          <w:p w14:paraId="00100BC9" w14:textId="00100BF7">
            <w:pPr>
              <w:pStyle w:val="Normal"/>
              <w:jc w:val="left"/>
            </w:pPr>
            <w:r>
              <w:t xml:space="preserve">0.7</w:t>
            </w:r>
          </w:p>
        </w:tc>
        <w:tc>
          <w:tcPr>
            <w:vAlign w:val="center"/>
            <w:tcBorders>
              <w:top w:val="single" w:sz="4" w:space="0" w:color="auto"/>
              <w:left w:val="single" w:sz="4" w:space="0" w:color="auto"/>
              <w:bottom w:val="single" w:sz="4" w:space="0" w:color="auto"/>
              <w:right w:val="single" w:sz="4" w:space="0" w:color="auto"/>
            </w:tcBorders>
          </w:tcPr>
          <w:p w14:paraId="00100BCB" w14:textId="00100BF8">
            <w:pPr>
              <w:pStyle w:val="Normal"/>
              <w:jc w:val="left"/>
            </w:pPr>
            <w:r>
              <w:t xml:space="preserve">Settlement of prior filings and revised assessments</w:t>
            </w:r>
          </w:p>
        </w:tc>
      </w:tr>
      <w:tr>
        <w:tc>
          <w:tcPr>
            <w:vAlign w:val="top"/>
            <w:tcBorders>
              <w:top w:val="single" w:sz="4" w:space="0" w:color="auto"/>
              <w:left w:val="single" w:sz="4" w:space="0" w:color="auto"/>
              <w:bottom w:val="single" w:sz="4" w:space="0" w:color="auto"/>
              <w:right w:val="single" w:sz="4" w:space="0" w:color="auto"/>
            </w:tcBorders>
          </w:tcPr>
          <w:p w14:paraId="00100BCD" w14:textId="00100BF9">
            <w:pPr>
              <w:pStyle w:val="Normal"/>
              <w:jc w:val="left"/>
            </w:pPr>
            <w:r>
              <w:t xml:space="preserve">Withholding and distribution taxes</w:t>
            </w:r>
          </w:p>
        </w:tc>
        <w:tc>
          <w:tcPr>
            <w:vAlign w:val="center"/>
            <w:tcBorders>
              <w:top w:val="single" w:sz="4" w:space="0" w:color="auto"/>
              <w:left w:val="single" w:sz="4" w:space="0" w:color="auto"/>
              <w:bottom w:val="single" w:sz="4" w:space="0" w:color="auto"/>
              <w:right w:val="single" w:sz="4" w:space="0" w:color="auto"/>
            </w:tcBorders>
          </w:tcPr>
          <w:p w14:paraId="00100BCF" w14:textId="00100BFA">
            <w:pPr>
              <w:pStyle w:val="Normal"/>
              <w:jc w:val="left"/>
            </w:pPr>
            <w:r>
              <w:t xml:space="preserve">2.0</w:t>
            </w:r>
          </w:p>
        </w:tc>
        <w:tc>
          <w:tcPr>
            <w:vAlign w:val="center"/>
            <w:tcBorders>
              <w:top w:val="single" w:sz="4" w:space="0" w:color="auto"/>
              <w:left w:val="single" w:sz="4" w:space="0" w:color="auto"/>
              <w:bottom w:val="single" w:sz="4" w:space="0" w:color="auto"/>
              <w:right w:val="single" w:sz="4" w:space="0" w:color="auto"/>
            </w:tcBorders>
          </w:tcPr>
          <w:p w14:paraId="00100BD1" w14:textId="00100BFB">
            <w:pPr>
              <w:pStyle w:val="Normal"/>
              <w:jc w:val="left"/>
            </w:pPr>
            <w:r>
              <w:t xml:space="preserve">1.8</w:t>
            </w:r>
          </w:p>
        </w:tc>
        <w:tc>
          <w:tcPr>
            <w:vAlign w:val="center"/>
            <w:tcBorders>
              <w:top w:val="single" w:sz="4" w:space="0" w:color="auto"/>
              <w:left w:val="single" w:sz="4" w:space="0" w:color="auto"/>
              <w:bottom w:val="single" w:sz="4" w:space="0" w:color="auto"/>
              <w:right w:val="single" w:sz="4" w:space="0" w:color="auto"/>
            </w:tcBorders>
          </w:tcPr>
          <w:p w14:paraId="00100BD3" w14:textId="00100BFC">
            <w:pPr>
              <w:pStyle w:val="Normal"/>
              <w:jc w:val="left"/>
            </w:pPr>
            <w:r>
              <w:t xml:space="preserve">Taxes on cross-border remittances and dividend flows</w:t>
            </w:r>
          </w:p>
        </w:tc>
      </w:tr>
      <w:tr>
        <w:tc>
          <w:tcPr>
            <w:vAlign w:val="top"/>
            <w:tcBorders>
              <w:top w:val="single" w:sz="4" w:space="0" w:color="auto"/>
              <w:left w:val="single" w:sz="4" w:space="0" w:color="auto"/>
              <w:bottom w:val="single" w:sz="4" w:space="0" w:color="auto"/>
              <w:right w:val="single" w:sz="4" w:space="0" w:color="auto"/>
            </w:tcBorders>
          </w:tcPr>
          <w:p w14:paraId="00100BD5" w14:textId="00100BFD">
            <w:pPr>
              <w:pStyle w:val="Normal"/>
              <w:jc w:val="left"/>
            </w:pPr>
            <w:r>
              <w:t xml:space="preserve">Income tax expense</w:t>
            </w:r>
          </w:p>
        </w:tc>
        <w:tc>
          <w:tcPr>
            <w:vAlign w:val="center"/>
            <w:tcBorders>
              <w:top w:val="single" w:sz="4" w:space="0" w:color="auto"/>
              <w:left w:val="single" w:sz="4" w:space="0" w:color="auto"/>
              <w:bottom w:val="single" w:sz="4" w:space="0" w:color="auto"/>
              <w:right w:val="single" w:sz="4" w:space="0" w:color="auto"/>
            </w:tcBorders>
          </w:tcPr>
          <w:p w14:paraId="00100BD7" w14:textId="00100BFE">
            <w:pPr>
              <w:pStyle w:val="Normal"/>
              <w:jc w:val="left"/>
            </w:pPr>
            <w:r>
              <w:t xml:space="preserve">44.7</w:t>
            </w:r>
          </w:p>
        </w:tc>
        <w:tc>
          <w:tcPr>
            <w:vAlign w:val="center"/>
            <w:tcBorders>
              <w:top w:val="single" w:sz="4" w:space="0" w:color="auto"/>
              <w:left w:val="single" w:sz="4" w:space="0" w:color="auto"/>
              <w:bottom w:val="single" w:sz="4" w:space="0" w:color="auto"/>
              <w:right w:val="single" w:sz="4" w:space="0" w:color="auto"/>
            </w:tcBorders>
          </w:tcPr>
          <w:p w14:paraId="00100BD9" w14:textId="00100BFF">
            <w:pPr>
              <w:pStyle w:val="Normal"/>
              <w:jc w:val="left"/>
            </w:pPr>
            <w:r>
              <w:t xml:space="preserve">40.2</w:t>
            </w:r>
          </w:p>
        </w:tc>
        <w:tc>
          <w:tcPr>
            <w:vAlign w:val="center"/>
            <w:tcBorders>
              <w:top w:val="single" w:sz="4" w:space="0" w:color="auto"/>
              <w:left w:val="single" w:sz="4" w:space="0" w:color="auto"/>
              <w:bottom w:val="single" w:sz="4" w:space="0" w:color="auto"/>
              <w:right w:val="single" w:sz="4" w:space="0" w:color="auto"/>
            </w:tcBorders>
          </w:tcPr>
          <w:p w14:paraId="00100BDB" w14:textId="00100C00">
            <w:pPr>
              <w:pStyle w:val="Normal"/>
              <w:jc w:val="left"/>
            </w:pPr>
            <w:r>
              <w:t xml:space="preserve">Effective tax rate of 24.2% in 2025 and 24.0% in 2024</w:t>
            </w:r>
          </w:p>
        </w:tc>
      </w:tr>
    </w:tbl>
    <w:p w14:paraId="00100C01" w14:textId="00100C02">
      <w:pPr>
        <w:pStyle w:val="Normal"/>
        <w:jc w:val="left"/>
      </w:pPr>
      <w:r>
        <w:t xml:space="preserve">Table 18 Tax charge and rate reconciliation</w:t>
      </w:r>
    </w:p>
    <w:p w14:paraId="00100C03" w14:textId="00100C05">
      <w:pPr>
        <w:pStyle w:val="Normal"/>
        <w:jc w:val="left"/>
      </w:pPr>
      <w:r>
        <w:t xml:space="preserve">Source note:</w:t>
      </w:r>
      <w:r>
        <w:t xml:space="preserve"> The reconciliation is prepared on a consolidated basis using the Group’s statutory reference rate of 25% and includes current and deferred tax effects recognized for the year. Jurisdictional differences reflect the profit mix across Rivermark Group entities, and prior-year adjustments represent items finalized with tax authorities during the reporting period.</w:t>
      </w:r>
    </w:p>
    <w:p w14:paraId="00100C06" w14:textId="00100C07">
      <w:pPr>
        <w:pStyle w:val="Normal"/>
        <w:jc w:val="left"/>
      </w:pPr>
      <w:r>
        <w:t xml:space="preserve">Section 2 Balance Sheet Notes</w:t>
      </w:r>
    </w:p>
    <w:p w14:paraId="00100C08" w14:textId="00100C09">
      <w:pPr>
        <w:pStyle w:val="Normal"/>
        <w:jc w:val="left"/>
      </w:pPr>
      <w:r>
        <w:t xml:space="preserve">This section explains the principal balance sheet movements at year end and highlights the accounting areas most relevant to Rivermark Group’s funding, liquidity, and asset efficiency. The notes are presented in a compact format, focusing on working capital accounts, non-current operating assets, and financing obligations that shape the Group’s capital structure and cash conversion profile.</w:t>
      </w:r>
    </w:p>
    <w:p w14:paraId="00100C0A" w14:textId="00100C0B">
      <w:pPr>
        <w:pStyle w:val="Normal"/>
        <w:jc w:val="left"/>
      </w:pPr>
      <w:r>
        <w:t xml:space="preserve">During 2025, balance sheet management remained centered on disciplined receivable collection, tighter inventory planning, and selective capital expenditure in industrial and service platforms. Consumer inventories were normalized after seasonal builds in the first half, while industrial sites carried a modest increase in raw materials to support delivery schedules and reduce disruption risk. At the same time, additions to property, plant, and equipment were concentrated in automation, maintenance reliability, and capacity debottlenecking rather than broad expansion.</w:t>
      </w:r>
    </w:p>
    <w:p w14:paraId="00100C0C" w14:textId="00100C0D">
      <w:pPr>
        <w:pStyle w:val="Normal"/>
        <w:jc w:val="left"/>
      </w:pPr>
      <w:r>
        <w:t xml:space="preserve">The note set that follows is intended to connect operating performance with financial position. Current asset disclosures show how revenue translated into cash and near-cash resources, while non-current asset schedules explain where the Group has committed capital to support future production, service delivery, and brand development. Together, these disclosures provide a concise view of asset quality, turnover, and the balance between short-term flexibility and long-term investment.</w:t>
      </w:r>
    </w:p>
    <w:p w14:paraId="00100C0E" w14:textId="00100C0F">
      <w:pPr>
        <w:pStyle w:val="Normal"/>
        <w:jc w:val="left"/>
      </w:pPr>
      <w:r>
        <w:t xml:space="preserve">Subsection 1 Assets and Working Capital</w:t>
      </w:r>
    </w:p>
    <w:p w14:paraId="00100C10" w14:textId="00100C11">
      <w:pPr>
        <w:pStyle w:val="Normal"/>
        <w:jc w:val="left"/>
      </w:pPr>
      <w:r>
        <w:t xml:space="preserve">The asset and working capital notes cover the core accounts that influence liquidity, operating resilience, and return on invested capital. For Rivermark Group, these balances include trade receivables arising from industrial deliveries and service contracts, inventories held across manufacturing and consumer channels, and longer-term operating assets such as production equipment, software platforms, and selected intangible rights. The disclosures are designed to show both absolute balances at period end and the business drivers behind those amounts.</w:t>
      </w:r>
    </w:p>
    <w:p w14:paraId="00100C12" w14:textId="00100C13">
      <w:pPr>
        <w:pStyle w:val="Normal"/>
        <w:jc w:val="left"/>
      </w:pPr>
      <w:r>
        <w:t xml:space="preserve">Working capital discipline remained an important management priority throughout 2025. Collection efforts in the Services segment helped limit the increase in receivable days despite higher contract activity, while the Industrial segment balanced customer service levels with tighter dispatch and billing controls. Inventory management was more uneven across the portfolio: consumer finished goods reduced in the second half as promotional plans cleared seasonal stock, but industrial safety stock remained above the prior year in certain input categories. These offsetting patterns are reflected in the current asset schedules.</w:t>
      </w:r>
    </w:p>
    <w:p w14:paraId="00100C14" w14:textId="00100C15">
      <w:pPr>
        <w:pStyle w:val="Normal"/>
        <w:jc w:val="left"/>
      </w:pPr>
      <w:r>
        <w:t xml:space="preserve">The note scope also extends to the quality and recoverability of assets. Management reviewed expected credit losses, inventory provisioning, and impairment indicators for cash-generating units and intangible assets as part of the year-end close. As a result, the disclosures in this subsection should be read not only as mechanical schedules, but as a practical summary of how the Group protected cash, allocated capital, and assessed carrying values in a year of measured growth.</w:t>
      </w:r>
    </w:p>
    <w:p w14:paraId="00100C16" w14:textId="00100C17">
      <w:pPr>
        <w:pStyle w:val="Normal"/>
        <w:jc w:val="left"/>
      </w:pPr>
      <w:r>
        <w:t xml:space="preserve">1.1 Current Assets</w:t>
      </w:r>
    </w:p>
    <w:p w14:paraId="00100C18" w14:textId="00100C1A">
      <w:pPr>
        <w:pStyle w:val="Normal"/>
        <w:jc w:val="left"/>
      </w:pPr>
      <w:r>
        <w:t xml:space="preserve">Current assets:</w:t>
      </w:r>
      <w:r>
        <w:t xml:space="preserve"> the following schedules summarize trade receivables, inventories, and related short-term balances that support Rivermark Group’s operating cycle at the reporting date.</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C1B" w14:textId="00100C57">
            <w:pPr>
              <w:pStyle w:val="Normal"/>
              <w:jc w:val="left"/>
            </w:pPr>
            <w:r>
              <w:t xml:space="preserve">Item</w:t>
            </w:r>
          </w:p>
        </w:tc>
        <w:tc>
          <w:tcPr>
            <w:vAlign w:val="center"/>
            <w:tcBorders>
              <w:top w:val="single" w:sz="4" w:space="0" w:color="auto"/>
              <w:left w:val="single" w:sz="4" w:space="0" w:color="auto"/>
              <w:bottom w:val="single" w:sz="4" w:space="0" w:color="auto"/>
              <w:right w:val="single" w:sz="4" w:space="0" w:color="auto"/>
            </w:tcBorders>
          </w:tcPr>
          <w:p w14:paraId="00100C1D" w14:textId="00100C58">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C1F" w14:textId="00100C59">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C21" w14:textId="00100C5A">
            <w:pPr>
              <w:pStyle w:val="Normal"/>
              <w:jc w:val="left"/>
            </w:pPr>
            <w:r>
              <w:t xml:space="preserve">Movement</w:t>
            </w:r>
          </w:p>
        </w:tc>
        <w:tc>
          <w:tcPr>
            <w:vAlign w:val="center"/>
            <w:tcBorders>
              <w:top w:val="single" w:sz="4" w:space="0" w:color="auto"/>
              <w:left w:val="single" w:sz="4" w:space="0" w:color="auto"/>
              <w:bottom w:val="single" w:sz="4" w:space="0" w:color="auto"/>
              <w:right w:val="single" w:sz="4" w:space="0" w:color="auto"/>
            </w:tcBorders>
          </w:tcPr>
          <w:p w14:paraId="00100C23" w14:textId="00100C5B">
            <w:pPr>
              <w:pStyle w:val="Normal"/>
              <w:jc w:val="left"/>
            </w:pPr>
            <w:r>
              <w:t xml:space="preserve">Comment</w:t>
            </w:r>
          </w:p>
        </w:tc>
      </w:tr>
      <w:tr>
        <w:tc>
          <w:tcPr>
            <w:vAlign w:val="top"/>
            <w:tcBorders>
              <w:top w:val="single" w:sz="4" w:space="0" w:color="auto"/>
              <w:left w:val="single" w:sz="4" w:space="0" w:color="auto"/>
              <w:bottom w:val="single" w:sz="4" w:space="0" w:color="auto"/>
              <w:right w:val="single" w:sz="4" w:space="0" w:color="auto"/>
            </w:tcBorders>
          </w:tcPr>
          <w:p w14:paraId="00100C25" w14:textId="00100C5C">
            <w:pPr>
              <w:pStyle w:val="Normal"/>
              <w:jc w:val="left"/>
            </w:pPr>
            <w:r>
              <w:t xml:space="preserve">Trade receivables, gross</w:t>
            </w:r>
          </w:p>
        </w:tc>
        <w:tc>
          <w:tcPr>
            <w:vAlign w:val="center"/>
            <w:tcBorders>
              <w:top w:val="single" w:sz="4" w:space="0" w:color="auto"/>
              <w:left w:val="single" w:sz="4" w:space="0" w:color="auto"/>
              <w:bottom w:val="single" w:sz="4" w:space="0" w:color="auto"/>
              <w:right w:val="single" w:sz="4" w:space="0" w:color="auto"/>
            </w:tcBorders>
          </w:tcPr>
          <w:p w14:paraId="00100C27" w14:textId="00100C5D">
            <w:pPr>
              <w:pStyle w:val="Normal"/>
              <w:jc w:val="left"/>
            </w:pPr>
            <w:r>
              <w:t xml:space="preserve">318.4</w:t>
            </w:r>
          </w:p>
        </w:tc>
        <w:tc>
          <w:tcPr>
            <w:vAlign w:val="center"/>
            <w:tcBorders>
              <w:top w:val="single" w:sz="4" w:space="0" w:color="auto"/>
              <w:left w:val="single" w:sz="4" w:space="0" w:color="auto"/>
              <w:bottom w:val="single" w:sz="4" w:space="0" w:color="auto"/>
              <w:right w:val="single" w:sz="4" w:space="0" w:color="auto"/>
            </w:tcBorders>
          </w:tcPr>
          <w:p w14:paraId="00100C29" w14:textId="00100C5E">
            <w:pPr>
              <w:pStyle w:val="Normal"/>
              <w:jc w:val="left"/>
            </w:pPr>
            <w:r>
              <w:t xml:space="preserve">296.7</w:t>
            </w:r>
          </w:p>
        </w:tc>
        <w:tc>
          <w:tcPr>
            <w:vAlign w:val="center"/>
            <w:tcBorders>
              <w:top w:val="single" w:sz="4" w:space="0" w:color="auto"/>
              <w:left w:val="single" w:sz="4" w:space="0" w:color="auto"/>
              <w:bottom w:val="single" w:sz="4" w:space="0" w:color="auto"/>
              <w:right w:val="single" w:sz="4" w:space="0" w:color="auto"/>
            </w:tcBorders>
          </w:tcPr>
          <w:p w14:paraId="00100C2B" w14:textId="00100C5F">
            <w:pPr>
              <w:pStyle w:val="Normal"/>
              <w:jc w:val="left"/>
            </w:pPr>
            <w:r>
              <w:t xml:space="preserve">+21.7</w:t>
            </w:r>
          </w:p>
        </w:tc>
        <w:tc>
          <w:tcPr>
            <w:vAlign w:val="center"/>
            <w:tcBorders>
              <w:top w:val="single" w:sz="4" w:space="0" w:color="auto"/>
              <w:left w:val="single" w:sz="4" w:space="0" w:color="auto"/>
              <w:bottom w:val="single" w:sz="4" w:space="0" w:color="auto"/>
              <w:right w:val="single" w:sz="4" w:space="0" w:color="auto"/>
            </w:tcBorders>
          </w:tcPr>
          <w:p w14:paraId="00100C2D" w14:textId="00100C60">
            <w:pPr>
              <w:pStyle w:val="Normal"/>
              <w:jc w:val="left"/>
            </w:pPr>
            <w:r>
              <w:t xml:space="preserve">Higher year-end billings in Services and Industrial</w:t>
            </w:r>
          </w:p>
        </w:tc>
      </w:tr>
      <w:tr>
        <w:tc>
          <w:tcPr>
            <w:vAlign w:val="top"/>
            <w:tcBorders>
              <w:top w:val="single" w:sz="4" w:space="0" w:color="auto"/>
              <w:left w:val="single" w:sz="4" w:space="0" w:color="auto"/>
              <w:bottom w:val="single" w:sz="4" w:space="0" w:color="auto"/>
              <w:right w:val="single" w:sz="4" w:space="0" w:color="auto"/>
            </w:tcBorders>
          </w:tcPr>
          <w:p w14:paraId="00100C2F" w14:textId="00100C61">
            <w:pPr>
              <w:pStyle w:val="Normal"/>
              <w:jc w:val="left"/>
            </w:pPr>
            <w:r>
              <w:t xml:space="preserve">Loss allowance</w:t>
            </w:r>
          </w:p>
        </w:tc>
        <w:tc>
          <w:tcPr>
            <w:vAlign w:val="center"/>
            <w:tcBorders>
              <w:top w:val="single" w:sz="4" w:space="0" w:color="auto"/>
              <w:left w:val="single" w:sz="4" w:space="0" w:color="auto"/>
              <w:bottom w:val="single" w:sz="4" w:space="0" w:color="auto"/>
              <w:right w:val="single" w:sz="4" w:space="0" w:color="auto"/>
            </w:tcBorders>
          </w:tcPr>
          <w:p w14:paraId="00100C31" w14:textId="00100C62">
            <w:pPr>
              <w:pStyle w:val="Normal"/>
              <w:jc w:val="left"/>
            </w:pPr>
            <w:r>
              <w:t xml:space="preserve">(14.8)</w:t>
            </w:r>
          </w:p>
        </w:tc>
        <w:tc>
          <w:tcPr>
            <w:vAlign w:val="center"/>
            <w:tcBorders>
              <w:top w:val="single" w:sz="4" w:space="0" w:color="auto"/>
              <w:left w:val="single" w:sz="4" w:space="0" w:color="auto"/>
              <w:bottom w:val="single" w:sz="4" w:space="0" w:color="auto"/>
              <w:right w:val="single" w:sz="4" w:space="0" w:color="auto"/>
            </w:tcBorders>
          </w:tcPr>
          <w:p w14:paraId="00100C33" w14:textId="00100C63">
            <w:pPr>
              <w:pStyle w:val="Normal"/>
              <w:jc w:val="left"/>
            </w:pPr>
            <w:r>
              <w:t xml:space="preserve">(13.9)</w:t>
            </w:r>
          </w:p>
        </w:tc>
        <w:tc>
          <w:tcPr>
            <w:vAlign w:val="center"/>
            <w:tcBorders>
              <w:top w:val="single" w:sz="4" w:space="0" w:color="auto"/>
              <w:left w:val="single" w:sz="4" w:space="0" w:color="auto"/>
              <w:bottom w:val="single" w:sz="4" w:space="0" w:color="auto"/>
              <w:right w:val="single" w:sz="4" w:space="0" w:color="auto"/>
            </w:tcBorders>
          </w:tcPr>
          <w:p w14:paraId="00100C35" w14:textId="00100C64">
            <w:pPr>
              <w:pStyle w:val="Normal"/>
              <w:jc w:val="left"/>
            </w:pPr>
            <w:r>
              <w:t xml:space="preserve">(0.9)</w:t>
            </w:r>
          </w:p>
        </w:tc>
        <w:tc>
          <w:tcPr>
            <w:vAlign w:val="center"/>
            <w:tcBorders>
              <w:top w:val="single" w:sz="4" w:space="0" w:color="auto"/>
              <w:left w:val="single" w:sz="4" w:space="0" w:color="auto"/>
              <w:bottom w:val="single" w:sz="4" w:space="0" w:color="auto"/>
              <w:right w:val="single" w:sz="4" w:space="0" w:color="auto"/>
            </w:tcBorders>
          </w:tcPr>
          <w:p w14:paraId="00100C37" w14:textId="00100C65">
            <w:pPr>
              <w:pStyle w:val="Normal"/>
              <w:jc w:val="left"/>
            </w:pPr>
            <w:r>
              <w:t xml:space="preserve">Allowance maintained against overdue and higher-risk balances</w:t>
            </w:r>
          </w:p>
        </w:tc>
      </w:tr>
      <w:tr>
        <w:tc>
          <w:tcPr>
            <w:vAlign w:val="top"/>
            <w:tcBorders>
              <w:top w:val="single" w:sz="4" w:space="0" w:color="auto"/>
              <w:left w:val="single" w:sz="4" w:space="0" w:color="auto"/>
              <w:bottom w:val="single" w:sz="4" w:space="0" w:color="auto"/>
              <w:right w:val="single" w:sz="4" w:space="0" w:color="auto"/>
            </w:tcBorders>
          </w:tcPr>
          <w:p w14:paraId="00100C39" w14:textId="00100C66">
            <w:pPr>
              <w:pStyle w:val="Normal"/>
              <w:jc w:val="left"/>
            </w:pPr>
            <w:r>
              <w:t xml:space="preserve">Trade receivables, net</w:t>
            </w:r>
          </w:p>
        </w:tc>
        <w:tc>
          <w:tcPr>
            <w:vAlign w:val="center"/>
            <w:tcBorders>
              <w:top w:val="single" w:sz="4" w:space="0" w:color="auto"/>
              <w:left w:val="single" w:sz="4" w:space="0" w:color="auto"/>
              <w:bottom w:val="single" w:sz="4" w:space="0" w:color="auto"/>
              <w:right w:val="single" w:sz="4" w:space="0" w:color="auto"/>
            </w:tcBorders>
          </w:tcPr>
          <w:p w14:paraId="00100C3B" w14:textId="00100C67">
            <w:pPr>
              <w:pStyle w:val="Normal"/>
              <w:jc w:val="left"/>
            </w:pPr>
            <w:r>
              <w:t xml:space="preserve">303.6</w:t>
            </w:r>
          </w:p>
        </w:tc>
        <w:tc>
          <w:tcPr>
            <w:vAlign w:val="center"/>
            <w:tcBorders>
              <w:top w:val="single" w:sz="4" w:space="0" w:color="auto"/>
              <w:left w:val="single" w:sz="4" w:space="0" w:color="auto"/>
              <w:bottom w:val="single" w:sz="4" w:space="0" w:color="auto"/>
              <w:right w:val="single" w:sz="4" w:space="0" w:color="auto"/>
            </w:tcBorders>
          </w:tcPr>
          <w:p w14:paraId="00100C3D" w14:textId="00100C68">
            <w:pPr>
              <w:pStyle w:val="Normal"/>
              <w:jc w:val="left"/>
            </w:pPr>
            <w:r>
              <w:t xml:space="preserve">282.8</w:t>
            </w:r>
          </w:p>
        </w:tc>
        <w:tc>
          <w:tcPr>
            <w:vAlign w:val="center"/>
            <w:tcBorders>
              <w:top w:val="single" w:sz="4" w:space="0" w:color="auto"/>
              <w:left w:val="single" w:sz="4" w:space="0" w:color="auto"/>
              <w:bottom w:val="single" w:sz="4" w:space="0" w:color="auto"/>
              <w:right w:val="single" w:sz="4" w:space="0" w:color="auto"/>
            </w:tcBorders>
          </w:tcPr>
          <w:p w14:paraId="00100C3F" w14:textId="00100C69">
            <w:pPr>
              <w:pStyle w:val="Normal"/>
              <w:jc w:val="left"/>
            </w:pPr>
            <w:r>
              <w:t xml:space="preserve">+20.8</w:t>
            </w:r>
          </w:p>
        </w:tc>
        <w:tc>
          <w:tcPr>
            <w:vAlign w:val="center"/>
            <w:tcBorders>
              <w:top w:val="single" w:sz="4" w:space="0" w:color="auto"/>
              <w:left w:val="single" w:sz="4" w:space="0" w:color="auto"/>
              <w:bottom w:val="single" w:sz="4" w:space="0" w:color="auto"/>
              <w:right w:val="single" w:sz="4" w:space="0" w:color="auto"/>
            </w:tcBorders>
          </w:tcPr>
          <w:p w14:paraId="00100C41" w14:textId="00100C6A">
            <w:pPr>
              <w:pStyle w:val="Normal"/>
              <w:jc w:val="left"/>
            </w:pPr>
            <w:r>
              <w:t xml:space="preserve">Collections remained stable with no material concentration change</w:t>
            </w:r>
          </w:p>
        </w:tc>
      </w:tr>
      <w:tr>
        <w:tc>
          <w:tcPr>
            <w:vAlign w:val="top"/>
            <w:tcBorders>
              <w:top w:val="single" w:sz="4" w:space="0" w:color="auto"/>
              <w:left w:val="single" w:sz="4" w:space="0" w:color="auto"/>
              <w:bottom w:val="single" w:sz="4" w:space="0" w:color="auto"/>
              <w:right w:val="single" w:sz="4" w:space="0" w:color="auto"/>
            </w:tcBorders>
          </w:tcPr>
          <w:p w14:paraId="00100C43" w14:textId="00100C6B">
            <w:pPr>
              <w:pStyle w:val="Normal"/>
              <w:jc w:val="left"/>
            </w:pPr>
            <w:r>
              <w:t xml:space="preserve">Inventories</w:t>
            </w:r>
          </w:p>
        </w:tc>
        <w:tc>
          <w:tcPr>
            <w:vAlign w:val="center"/>
            <w:tcBorders>
              <w:top w:val="single" w:sz="4" w:space="0" w:color="auto"/>
              <w:left w:val="single" w:sz="4" w:space="0" w:color="auto"/>
              <w:bottom w:val="single" w:sz="4" w:space="0" w:color="auto"/>
              <w:right w:val="single" w:sz="4" w:space="0" w:color="auto"/>
            </w:tcBorders>
          </w:tcPr>
          <w:p w14:paraId="00100C45" w14:textId="00100C6C">
            <w:pPr>
              <w:pStyle w:val="Normal"/>
              <w:jc w:val="left"/>
            </w:pPr>
            <w:r>
              <w:t xml:space="preserve">241.9</w:t>
            </w:r>
          </w:p>
        </w:tc>
        <w:tc>
          <w:tcPr>
            <w:vAlign w:val="center"/>
            <w:tcBorders>
              <w:top w:val="single" w:sz="4" w:space="0" w:color="auto"/>
              <w:left w:val="single" w:sz="4" w:space="0" w:color="auto"/>
              <w:bottom w:val="single" w:sz="4" w:space="0" w:color="auto"/>
              <w:right w:val="single" w:sz="4" w:space="0" w:color="auto"/>
            </w:tcBorders>
          </w:tcPr>
          <w:p w14:paraId="00100C47" w14:textId="00100C6D">
            <w:pPr>
              <w:pStyle w:val="Normal"/>
              <w:jc w:val="left"/>
            </w:pPr>
            <w:r>
              <w:t xml:space="preserve">228.5</w:t>
            </w:r>
          </w:p>
        </w:tc>
        <w:tc>
          <w:tcPr>
            <w:vAlign w:val="center"/>
            <w:tcBorders>
              <w:top w:val="single" w:sz="4" w:space="0" w:color="auto"/>
              <w:left w:val="single" w:sz="4" w:space="0" w:color="auto"/>
              <w:bottom w:val="single" w:sz="4" w:space="0" w:color="auto"/>
              <w:right w:val="single" w:sz="4" w:space="0" w:color="auto"/>
            </w:tcBorders>
          </w:tcPr>
          <w:p w14:paraId="00100C49" w14:textId="00100C6E">
            <w:pPr>
              <w:pStyle w:val="Normal"/>
              <w:jc w:val="left"/>
            </w:pPr>
            <w:r>
              <w:t xml:space="preserve">+13.4</w:t>
            </w:r>
          </w:p>
        </w:tc>
        <w:tc>
          <w:tcPr>
            <w:vAlign w:val="center"/>
            <w:tcBorders>
              <w:top w:val="single" w:sz="4" w:space="0" w:color="auto"/>
              <w:left w:val="single" w:sz="4" w:space="0" w:color="auto"/>
              <w:bottom w:val="single" w:sz="4" w:space="0" w:color="auto"/>
              <w:right w:val="single" w:sz="4" w:space="0" w:color="auto"/>
            </w:tcBorders>
          </w:tcPr>
          <w:p w14:paraId="00100C4B" w14:textId="00100C6F">
            <w:pPr>
              <w:pStyle w:val="Normal"/>
              <w:jc w:val="left"/>
            </w:pPr>
            <w:r>
              <w:t xml:space="preserve">Increase reflects safety stock and new product launches</w:t>
            </w:r>
          </w:p>
        </w:tc>
      </w:tr>
      <w:tr>
        <w:tc>
          <w:tcPr>
            <w:vAlign w:val="top"/>
            <w:tcBorders>
              <w:top w:val="single" w:sz="4" w:space="0" w:color="auto"/>
              <w:left w:val="single" w:sz="4" w:space="0" w:color="auto"/>
              <w:bottom w:val="single" w:sz="4" w:space="0" w:color="auto"/>
              <w:right w:val="single" w:sz="4" w:space="0" w:color="auto"/>
            </w:tcBorders>
          </w:tcPr>
          <w:p w14:paraId="00100C4D" w14:textId="00100C70">
            <w:pPr>
              <w:pStyle w:val="Normal"/>
              <w:jc w:val="left"/>
            </w:pPr>
            <w:r>
              <w:t xml:space="preserve">Current assets note total</w:t>
            </w:r>
          </w:p>
        </w:tc>
        <w:tc>
          <w:tcPr>
            <w:vAlign w:val="center"/>
            <w:tcBorders>
              <w:top w:val="single" w:sz="4" w:space="0" w:color="auto"/>
              <w:left w:val="single" w:sz="4" w:space="0" w:color="auto"/>
              <w:bottom w:val="single" w:sz="4" w:space="0" w:color="auto"/>
              <w:right w:val="single" w:sz="4" w:space="0" w:color="auto"/>
            </w:tcBorders>
          </w:tcPr>
          <w:p w14:paraId="00100C4F" w14:textId="00100C71">
            <w:pPr>
              <w:pStyle w:val="Normal"/>
              <w:jc w:val="left"/>
            </w:pPr>
            <w:r>
              <w:t xml:space="preserve">545.5</w:t>
            </w:r>
          </w:p>
        </w:tc>
        <w:tc>
          <w:tcPr>
            <w:vAlign w:val="center"/>
            <w:tcBorders>
              <w:top w:val="single" w:sz="4" w:space="0" w:color="auto"/>
              <w:left w:val="single" w:sz="4" w:space="0" w:color="auto"/>
              <w:bottom w:val="single" w:sz="4" w:space="0" w:color="auto"/>
              <w:right w:val="single" w:sz="4" w:space="0" w:color="auto"/>
            </w:tcBorders>
          </w:tcPr>
          <w:p w14:paraId="00100C51" w14:textId="00100C72">
            <w:pPr>
              <w:pStyle w:val="Normal"/>
              <w:jc w:val="left"/>
            </w:pPr>
            <w:r>
              <w:t xml:space="preserve">511.3</w:t>
            </w:r>
          </w:p>
        </w:tc>
        <w:tc>
          <w:tcPr>
            <w:vAlign w:val="center"/>
            <w:tcBorders>
              <w:top w:val="single" w:sz="4" w:space="0" w:color="auto"/>
              <w:left w:val="single" w:sz="4" w:space="0" w:color="auto"/>
              <w:bottom w:val="single" w:sz="4" w:space="0" w:color="auto"/>
              <w:right w:val="single" w:sz="4" w:space="0" w:color="auto"/>
            </w:tcBorders>
          </w:tcPr>
          <w:p w14:paraId="00100C53" w14:textId="00100C73">
            <w:pPr>
              <w:pStyle w:val="Normal"/>
              <w:jc w:val="left"/>
            </w:pPr>
            <w:r>
              <w:t xml:space="preserve">+34.2</w:t>
            </w:r>
          </w:p>
        </w:tc>
        <w:tc>
          <w:tcPr>
            <w:vAlign w:val="center"/>
            <w:tcBorders>
              <w:top w:val="single" w:sz="4" w:space="0" w:color="auto"/>
              <w:left w:val="single" w:sz="4" w:space="0" w:color="auto"/>
              <w:bottom w:val="single" w:sz="4" w:space="0" w:color="auto"/>
              <w:right w:val="single" w:sz="4" w:space="0" w:color="auto"/>
            </w:tcBorders>
          </w:tcPr>
          <w:p w14:paraId="00100C55" w14:textId="00100C74">
            <w:pPr>
              <w:pStyle w:val="Normal"/>
              <w:jc w:val="left"/>
            </w:pPr>
            <w:r>
              <w:t xml:space="preserve">Combined balance of receivables and inventory at year end</w:t>
            </w:r>
          </w:p>
        </w:tc>
      </w:tr>
    </w:tbl>
    <w:p w14:paraId="00100C75" w14:textId="00100C76">
      <w:pPr>
        <w:pStyle w:val="Normal"/>
        <w:jc w:val="left"/>
      </w:pPr>
      <w:r>
        <w:t xml:space="preserve">Table 19 Receivables and inventory</w:t>
      </w:r>
    </w:p>
    <w:p w14:paraId="00100C77" w14:textId="00100C78">
      <w:pPr>
        <w:pStyle w:val="Normal"/>
        <w:jc w:val="left"/>
      </w:pPr>
      <w:r>
        <w:t xml:space="preserve">Amounts are presented as of 31 December 2024 and 31 December 2023. Trade receivables are shown net of expected credit loss allowance, while inventories are measured at the lower of cost and net realizable value. The balances relate primarily to operating entities included in the consolidated financial statements and exclude non-trade tax balances, prepayments, and other current assets presented elsewhere in these notes.</w:t>
      </w:r>
    </w:p>
    <w:p w14:paraId="00100C79" w14:textId="00100C7A">
      <w:pPr>
        <w:pStyle w:val="Normal"/>
        <w:jc w:val="left"/>
      </w:pPr>
      <w:r>
        <w:t xml:space="preserve">1.2 Non-Current Assets</w:t>
      </w:r>
    </w:p>
    <w:p w14:paraId="00100C7B" w14:textId="00100C7D">
      <w:pPr>
        <w:pStyle w:val="Normal"/>
        <w:jc w:val="left"/>
      </w:pPr>
      <w:r>
        <w:t xml:space="preserve">Non-current assets:</w:t>
      </w:r>
      <w:r>
        <w:t xml:space="preserve"> the following schedule summarizes property, plant and equipment and intangible assets held by Rivermark Group at the reporting date, together with the principal movements affecting the year-end carrying amount.</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C7E" w14:textId="00100CC4">
            <w:pPr>
              <w:pStyle w:val="Normal"/>
              <w:jc w:val="left"/>
            </w:pPr>
            <w:r>
              <w:t xml:space="preserve">Category</w:t>
            </w:r>
          </w:p>
        </w:tc>
        <w:tc>
          <w:tcPr>
            <w:vAlign w:val="center"/>
            <w:tcBorders>
              <w:top w:val="single" w:sz="4" w:space="0" w:color="auto"/>
              <w:left w:val="single" w:sz="4" w:space="0" w:color="auto"/>
              <w:bottom w:val="single" w:sz="4" w:space="0" w:color="auto"/>
              <w:right w:val="single" w:sz="4" w:space="0" w:color="auto"/>
            </w:tcBorders>
          </w:tcPr>
          <w:p w14:paraId="00100C80" w14:textId="00100CC5">
            <w:pPr>
              <w:pStyle w:val="Normal"/>
              <w:jc w:val="left"/>
            </w:pPr>
            <w:r>
              <w:t xml:space="preserve">Gross carrying amount</w:t>
            </w:r>
          </w:p>
        </w:tc>
        <w:tc>
          <w:tcPr>
            <w:vAlign w:val="center"/>
            <w:tcBorders>
              <w:top w:val="single" w:sz="4" w:space="0" w:color="auto"/>
              <w:left w:val="single" w:sz="4" w:space="0" w:color="auto"/>
              <w:bottom w:val="single" w:sz="4" w:space="0" w:color="auto"/>
              <w:right w:val="single" w:sz="4" w:space="0" w:color="auto"/>
            </w:tcBorders>
          </w:tcPr>
          <w:p w14:paraId="00100C82" w14:textId="00100CC6">
            <w:pPr>
              <w:pStyle w:val="Normal"/>
              <w:jc w:val="left"/>
            </w:pPr>
            <w:r>
              <w:t xml:space="preserve">Accumulated depreciation / amortization</w:t>
            </w:r>
          </w:p>
        </w:tc>
        <w:tc>
          <w:tcPr>
            <w:vAlign w:val="center"/>
            <w:tcBorders>
              <w:top w:val="single" w:sz="4" w:space="0" w:color="auto"/>
              <w:left w:val="single" w:sz="4" w:space="0" w:color="auto"/>
              <w:bottom w:val="single" w:sz="4" w:space="0" w:color="auto"/>
              <w:right w:val="single" w:sz="4" w:space="0" w:color="auto"/>
            </w:tcBorders>
          </w:tcPr>
          <w:p w14:paraId="00100C84" w14:textId="00100CC7">
            <w:pPr>
              <w:pStyle w:val="Normal"/>
              <w:jc w:val="left"/>
            </w:pPr>
            <w:r>
              <w:t xml:space="preserve">Net carrying amount</w:t>
            </w:r>
          </w:p>
        </w:tc>
        <w:tc>
          <w:tcPr>
            <w:vAlign w:val="center"/>
            <w:tcBorders>
              <w:top w:val="single" w:sz="4" w:space="0" w:color="auto"/>
              <w:left w:val="single" w:sz="4" w:space="0" w:color="auto"/>
              <w:bottom w:val="single" w:sz="4" w:space="0" w:color="auto"/>
              <w:right w:val="single" w:sz="4" w:space="0" w:color="auto"/>
            </w:tcBorders>
          </w:tcPr>
          <w:p w14:paraId="00100C86" w14:textId="00100CC8">
            <w:pPr>
              <w:pStyle w:val="Normal"/>
              <w:jc w:val="left"/>
            </w:pPr>
            <w:r>
              <w:t xml:space="preserve">Movement comment</w:t>
            </w:r>
          </w:p>
        </w:tc>
      </w:tr>
      <w:tr>
        <w:tc>
          <w:tcPr>
            <w:vAlign w:val="top"/>
            <w:tcBorders>
              <w:top w:val="single" w:sz="4" w:space="0" w:color="auto"/>
              <w:left w:val="single" w:sz="4" w:space="0" w:color="auto"/>
              <w:bottom w:val="single" w:sz="4" w:space="0" w:color="auto"/>
              <w:right w:val="single" w:sz="4" w:space="0" w:color="auto"/>
            </w:tcBorders>
          </w:tcPr>
          <w:p w14:paraId="00100C88" w14:textId="00100CC9">
            <w:pPr>
              <w:pStyle w:val="Normal"/>
              <w:jc w:val="left"/>
            </w:pPr>
            <w:r>
              <w:t xml:space="preserve">Property, plant and equipment</w:t>
            </w:r>
          </w:p>
        </w:tc>
        <w:tc>
          <w:tcPr>
            <w:vAlign w:val="center"/>
            <w:tcBorders>
              <w:top w:val="single" w:sz="4" w:space="0" w:color="auto"/>
              <w:left w:val="single" w:sz="4" w:space="0" w:color="auto"/>
              <w:bottom w:val="single" w:sz="4" w:space="0" w:color="auto"/>
              <w:right w:val="single" w:sz="4" w:space="0" w:color="auto"/>
            </w:tcBorders>
          </w:tcPr>
          <w:p w14:paraId="00100C8A" w14:textId="00100CCA">
            <w:pPr>
              <w:pStyle w:val="Normal"/>
              <w:jc w:val="left"/>
            </w:pPr>
            <w:r>
              <w:t xml:space="preserve">1,124</w:t>
            </w:r>
          </w:p>
        </w:tc>
        <w:tc>
          <w:tcPr>
            <w:vAlign w:val="center"/>
            <w:tcBorders>
              <w:top w:val="single" w:sz="4" w:space="0" w:color="auto"/>
              <w:left w:val="single" w:sz="4" w:space="0" w:color="auto"/>
              <w:bottom w:val="single" w:sz="4" w:space="0" w:color="auto"/>
              <w:right w:val="single" w:sz="4" w:space="0" w:color="auto"/>
            </w:tcBorders>
          </w:tcPr>
          <w:p w14:paraId="00100C8C" w14:textId="00100CCB">
            <w:pPr>
              <w:pStyle w:val="Normal"/>
              <w:jc w:val="left"/>
            </w:pPr>
            <w:r>
              <w:t xml:space="preserve">(402)</w:t>
            </w:r>
          </w:p>
        </w:tc>
        <w:tc>
          <w:tcPr>
            <w:vAlign w:val="center"/>
            <w:tcBorders>
              <w:top w:val="single" w:sz="4" w:space="0" w:color="auto"/>
              <w:left w:val="single" w:sz="4" w:space="0" w:color="auto"/>
              <w:bottom w:val="single" w:sz="4" w:space="0" w:color="auto"/>
              <w:right w:val="single" w:sz="4" w:space="0" w:color="auto"/>
            </w:tcBorders>
          </w:tcPr>
          <w:p w14:paraId="00100C8E" w14:textId="00100CCC">
            <w:pPr>
              <w:pStyle w:val="Normal"/>
              <w:jc w:val="left"/>
            </w:pPr>
            <w:r>
              <w:t xml:space="preserve">722</w:t>
            </w:r>
          </w:p>
        </w:tc>
        <w:tc>
          <w:tcPr>
            <w:vAlign w:val="center"/>
            <w:tcBorders>
              <w:top w:val="single" w:sz="4" w:space="0" w:color="auto"/>
              <w:left w:val="single" w:sz="4" w:space="0" w:color="auto"/>
              <w:bottom w:val="single" w:sz="4" w:space="0" w:color="auto"/>
              <w:right w:val="single" w:sz="4" w:space="0" w:color="auto"/>
            </w:tcBorders>
          </w:tcPr>
          <w:p w14:paraId="00100C90" w14:textId="00100CCD">
            <w:pPr>
              <w:pStyle w:val="Normal"/>
              <w:jc w:val="left"/>
            </w:pPr>
            <w:r>
              <w:t xml:space="preserve">Additions centered on Industrial site upgrades and service fleet renewal</w:t>
            </w:r>
          </w:p>
        </w:tc>
      </w:tr>
      <w:tr>
        <w:tc>
          <w:tcPr>
            <w:vAlign w:val="top"/>
            <w:tcBorders>
              <w:top w:val="single" w:sz="4" w:space="0" w:color="auto"/>
              <w:left w:val="single" w:sz="4" w:space="0" w:color="auto"/>
              <w:bottom w:val="single" w:sz="4" w:space="0" w:color="auto"/>
              <w:right w:val="single" w:sz="4" w:space="0" w:color="auto"/>
            </w:tcBorders>
          </w:tcPr>
          <w:p w14:paraId="00100C92" w14:textId="00100CCE">
            <w:pPr>
              <w:pStyle w:val="Normal"/>
              <w:jc w:val="left"/>
            </w:pPr>
            <w:r>
              <w:t xml:space="preserve">Right-of-use assets</w:t>
            </w:r>
          </w:p>
        </w:tc>
        <w:tc>
          <w:tcPr>
            <w:vAlign w:val="center"/>
            <w:tcBorders>
              <w:top w:val="single" w:sz="4" w:space="0" w:color="auto"/>
              <w:left w:val="single" w:sz="4" w:space="0" w:color="auto"/>
              <w:bottom w:val="single" w:sz="4" w:space="0" w:color="auto"/>
              <w:right w:val="single" w:sz="4" w:space="0" w:color="auto"/>
            </w:tcBorders>
          </w:tcPr>
          <w:p w14:paraId="00100C94" w14:textId="00100CCF">
            <w:pPr>
              <w:pStyle w:val="Normal"/>
              <w:jc w:val="left"/>
            </w:pPr>
            <w:r>
              <w:t xml:space="preserve">186</w:t>
            </w:r>
          </w:p>
        </w:tc>
        <w:tc>
          <w:tcPr>
            <w:vAlign w:val="center"/>
            <w:tcBorders>
              <w:top w:val="single" w:sz="4" w:space="0" w:color="auto"/>
              <w:left w:val="single" w:sz="4" w:space="0" w:color="auto"/>
              <w:bottom w:val="single" w:sz="4" w:space="0" w:color="auto"/>
              <w:right w:val="single" w:sz="4" w:space="0" w:color="auto"/>
            </w:tcBorders>
          </w:tcPr>
          <w:p w14:paraId="00100C96" w14:textId="00100CD0">
            <w:pPr>
              <w:pStyle w:val="Normal"/>
              <w:jc w:val="left"/>
            </w:pPr>
            <w:r>
              <w:t xml:space="preserve">(64)</w:t>
            </w:r>
          </w:p>
        </w:tc>
        <w:tc>
          <w:tcPr>
            <w:vAlign w:val="center"/>
            <w:tcBorders>
              <w:top w:val="single" w:sz="4" w:space="0" w:color="auto"/>
              <w:left w:val="single" w:sz="4" w:space="0" w:color="auto"/>
              <w:bottom w:val="single" w:sz="4" w:space="0" w:color="auto"/>
              <w:right w:val="single" w:sz="4" w:space="0" w:color="auto"/>
            </w:tcBorders>
          </w:tcPr>
          <w:p w14:paraId="00100C98" w14:textId="00100CD1">
            <w:pPr>
              <w:pStyle w:val="Normal"/>
              <w:jc w:val="left"/>
            </w:pPr>
            <w:r>
              <w:t xml:space="preserve">122</w:t>
            </w:r>
          </w:p>
        </w:tc>
        <w:tc>
          <w:tcPr>
            <w:vAlign w:val="center"/>
            <w:tcBorders>
              <w:top w:val="single" w:sz="4" w:space="0" w:color="auto"/>
              <w:left w:val="single" w:sz="4" w:space="0" w:color="auto"/>
              <w:bottom w:val="single" w:sz="4" w:space="0" w:color="auto"/>
              <w:right w:val="single" w:sz="4" w:space="0" w:color="auto"/>
            </w:tcBorders>
          </w:tcPr>
          <w:p w14:paraId="00100C9A" w14:textId="00100CD2">
            <w:pPr>
              <w:pStyle w:val="Normal"/>
              <w:jc w:val="left"/>
            </w:pPr>
            <w:r>
              <w:t xml:space="preserve">Mainly warehouse, office, and vehicle leases across operating entities</w:t>
            </w:r>
          </w:p>
        </w:tc>
      </w:tr>
      <w:tr>
        <w:tc>
          <w:tcPr>
            <w:vAlign w:val="top"/>
            <w:tcBorders>
              <w:top w:val="single" w:sz="4" w:space="0" w:color="auto"/>
              <w:left w:val="single" w:sz="4" w:space="0" w:color="auto"/>
              <w:bottom w:val="single" w:sz="4" w:space="0" w:color="auto"/>
              <w:right w:val="single" w:sz="4" w:space="0" w:color="auto"/>
            </w:tcBorders>
          </w:tcPr>
          <w:p w14:paraId="00100C9C" w14:textId="00100CD3">
            <w:pPr>
              <w:pStyle w:val="Normal"/>
              <w:jc w:val="left"/>
            </w:pPr>
            <w:r>
              <w:t xml:space="preserve">Intangible assets – software</w:t>
            </w:r>
          </w:p>
        </w:tc>
        <w:tc>
          <w:tcPr>
            <w:vAlign w:val="center"/>
            <w:tcBorders>
              <w:top w:val="single" w:sz="4" w:space="0" w:color="auto"/>
              <w:left w:val="single" w:sz="4" w:space="0" w:color="auto"/>
              <w:bottom w:val="single" w:sz="4" w:space="0" w:color="auto"/>
              <w:right w:val="single" w:sz="4" w:space="0" w:color="auto"/>
            </w:tcBorders>
          </w:tcPr>
          <w:p w14:paraId="00100C9E" w14:textId="00100CD4">
            <w:pPr>
              <w:pStyle w:val="Normal"/>
              <w:jc w:val="left"/>
            </w:pPr>
            <w:r>
              <w:t xml:space="preserve">214</w:t>
            </w:r>
          </w:p>
        </w:tc>
        <w:tc>
          <w:tcPr>
            <w:vAlign w:val="center"/>
            <w:tcBorders>
              <w:top w:val="single" w:sz="4" w:space="0" w:color="auto"/>
              <w:left w:val="single" w:sz="4" w:space="0" w:color="auto"/>
              <w:bottom w:val="single" w:sz="4" w:space="0" w:color="auto"/>
              <w:right w:val="single" w:sz="4" w:space="0" w:color="auto"/>
            </w:tcBorders>
          </w:tcPr>
          <w:p w14:paraId="00100CA0" w14:textId="00100CD5">
            <w:pPr>
              <w:pStyle w:val="Normal"/>
              <w:jc w:val="left"/>
            </w:pPr>
            <w:r>
              <w:t xml:space="preserve">(109)</w:t>
            </w:r>
          </w:p>
        </w:tc>
        <w:tc>
          <w:tcPr>
            <w:vAlign w:val="center"/>
            <w:tcBorders>
              <w:top w:val="single" w:sz="4" w:space="0" w:color="auto"/>
              <w:left w:val="single" w:sz="4" w:space="0" w:color="auto"/>
              <w:bottom w:val="single" w:sz="4" w:space="0" w:color="auto"/>
              <w:right w:val="single" w:sz="4" w:space="0" w:color="auto"/>
            </w:tcBorders>
          </w:tcPr>
          <w:p w14:paraId="00100CA2" w14:textId="00100CD6">
            <w:pPr>
              <w:pStyle w:val="Normal"/>
              <w:jc w:val="left"/>
            </w:pPr>
            <w:r>
              <w:t xml:space="preserve">105</w:t>
            </w:r>
          </w:p>
        </w:tc>
        <w:tc>
          <w:tcPr>
            <w:vAlign w:val="center"/>
            <w:tcBorders>
              <w:top w:val="single" w:sz="4" w:space="0" w:color="auto"/>
              <w:left w:val="single" w:sz="4" w:space="0" w:color="auto"/>
              <w:bottom w:val="single" w:sz="4" w:space="0" w:color="auto"/>
              <w:right w:val="single" w:sz="4" w:space="0" w:color="auto"/>
            </w:tcBorders>
          </w:tcPr>
          <w:p w14:paraId="00100CA4" w14:textId="00100CD7">
            <w:pPr>
              <w:pStyle w:val="Normal"/>
              <w:jc w:val="left"/>
            </w:pPr>
            <w:r>
              <w:t xml:space="preserve">Capitalized enterprise systems and customer-facing digital platforms</w:t>
            </w:r>
          </w:p>
        </w:tc>
      </w:tr>
      <w:tr>
        <w:tc>
          <w:tcPr>
            <w:vAlign w:val="top"/>
            <w:tcBorders>
              <w:top w:val="single" w:sz="4" w:space="0" w:color="auto"/>
              <w:left w:val="single" w:sz="4" w:space="0" w:color="auto"/>
              <w:bottom w:val="single" w:sz="4" w:space="0" w:color="auto"/>
              <w:right w:val="single" w:sz="4" w:space="0" w:color="auto"/>
            </w:tcBorders>
          </w:tcPr>
          <w:p w14:paraId="00100CA6" w14:textId="00100CD8">
            <w:pPr>
              <w:pStyle w:val="Normal"/>
              <w:jc w:val="left"/>
            </w:pPr>
            <w:r>
              <w:t xml:space="preserve">Intangible assets – customer relationships and brands</w:t>
            </w:r>
          </w:p>
        </w:tc>
        <w:tc>
          <w:tcPr>
            <w:vAlign w:val="center"/>
            <w:tcBorders>
              <w:top w:val="single" w:sz="4" w:space="0" w:color="auto"/>
              <w:left w:val="single" w:sz="4" w:space="0" w:color="auto"/>
              <w:bottom w:val="single" w:sz="4" w:space="0" w:color="auto"/>
              <w:right w:val="single" w:sz="4" w:space="0" w:color="auto"/>
            </w:tcBorders>
          </w:tcPr>
          <w:p w14:paraId="00100CA8" w14:textId="00100CD9">
            <w:pPr>
              <w:pStyle w:val="Normal"/>
              <w:jc w:val="left"/>
            </w:pPr>
            <w:r>
              <w:t xml:space="preserve">168</w:t>
            </w:r>
          </w:p>
        </w:tc>
        <w:tc>
          <w:tcPr>
            <w:vAlign w:val="center"/>
            <w:tcBorders>
              <w:top w:val="single" w:sz="4" w:space="0" w:color="auto"/>
              <w:left w:val="single" w:sz="4" w:space="0" w:color="auto"/>
              <w:bottom w:val="single" w:sz="4" w:space="0" w:color="auto"/>
              <w:right w:val="single" w:sz="4" w:space="0" w:color="auto"/>
            </w:tcBorders>
          </w:tcPr>
          <w:p w14:paraId="00100CAA" w14:textId="00100CDA">
            <w:pPr>
              <w:pStyle w:val="Normal"/>
              <w:jc w:val="left"/>
            </w:pPr>
            <w:r>
              <w:t xml:space="preserve">(47)</w:t>
            </w:r>
          </w:p>
        </w:tc>
        <w:tc>
          <w:tcPr>
            <w:vAlign w:val="center"/>
            <w:tcBorders>
              <w:top w:val="single" w:sz="4" w:space="0" w:color="auto"/>
              <w:left w:val="single" w:sz="4" w:space="0" w:color="auto"/>
              <w:bottom w:val="single" w:sz="4" w:space="0" w:color="auto"/>
              <w:right w:val="single" w:sz="4" w:space="0" w:color="auto"/>
            </w:tcBorders>
          </w:tcPr>
          <w:p w14:paraId="00100CAC" w14:textId="00100CDB">
            <w:pPr>
              <w:pStyle w:val="Normal"/>
              <w:jc w:val="left"/>
            </w:pPr>
            <w:r>
              <w:t xml:space="preserve">121</w:t>
            </w:r>
          </w:p>
        </w:tc>
        <w:tc>
          <w:tcPr>
            <w:vAlign w:val="center"/>
            <w:tcBorders>
              <w:top w:val="single" w:sz="4" w:space="0" w:color="auto"/>
              <w:left w:val="single" w:sz="4" w:space="0" w:color="auto"/>
              <w:bottom w:val="single" w:sz="4" w:space="0" w:color="auto"/>
              <w:right w:val="single" w:sz="4" w:space="0" w:color="auto"/>
            </w:tcBorders>
          </w:tcPr>
          <w:p w14:paraId="00100CAE" w14:textId="00100CDC">
            <w:pPr>
              <w:pStyle w:val="Normal"/>
              <w:jc w:val="left"/>
            </w:pPr>
            <w:r>
              <w:t xml:space="preserve">Arising primarily from prior acquisitions within Consumer and Services</w:t>
            </w:r>
          </w:p>
        </w:tc>
      </w:tr>
      <w:tr>
        <w:tc>
          <w:tcPr>
            <w:vAlign w:val="top"/>
            <w:tcBorders>
              <w:top w:val="single" w:sz="4" w:space="0" w:color="auto"/>
              <w:left w:val="single" w:sz="4" w:space="0" w:color="auto"/>
              <w:bottom w:val="single" w:sz="4" w:space="0" w:color="auto"/>
              <w:right w:val="single" w:sz="4" w:space="0" w:color="auto"/>
            </w:tcBorders>
          </w:tcPr>
          <w:p w14:paraId="00100CB0" w14:textId="00100CDD">
            <w:pPr>
              <w:pStyle w:val="Normal"/>
              <w:jc w:val="left"/>
            </w:pPr>
            <w:r>
              <w:t xml:space="preserve">Construction in progress</w:t>
            </w:r>
          </w:p>
        </w:tc>
        <w:tc>
          <w:tcPr>
            <w:vAlign w:val="center"/>
            <w:tcBorders>
              <w:top w:val="single" w:sz="4" w:space="0" w:color="auto"/>
              <w:left w:val="single" w:sz="4" w:space="0" w:color="auto"/>
              <w:bottom w:val="single" w:sz="4" w:space="0" w:color="auto"/>
              <w:right w:val="single" w:sz="4" w:space="0" w:color="auto"/>
            </w:tcBorders>
          </w:tcPr>
          <w:p w14:paraId="00100CB2" w14:textId="00100CDE">
            <w:pPr>
              <w:pStyle w:val="Normal"/>
              <w:jc w:val="left"/>
            </w:pPr>
            <w:r>
              <w:t xml:space="preserve">96</w:t>
            </w:r>
          </w:p>
        </w:tc>
        <w:tc>
          <w:tcPr>
            <w:vAlign w:val="center"/>
            <w:tcBorders>
              <w:top w:val="single" w:sz="4" w:space="0" w:color="auto"/>
              <w:left w:val="single" w:sz="4" w:space="0" w:color="auto"/>
              <w:bottom w:val="single" w:sz="4" w:space="0" w:color="auto"/>
              <w:right w:val="single" w:sz="4" w:space="0" w:color="auto"/>
            </w:tcBorders>
          </w:tcPr>
          <w:p w14:paraId="00100CB4" w14:textId="00100CDF">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CB6" w14:textId="00100CE0">
            <w:pPr>
              <w:pStyle w:val="Normal"/>
              <w:jc w:val="left"/>
            </w:pPr>
            <w:r>
              <w:t xml:space="preserve">96</w:t>
            </w:r>
          </w:p>
        </w:tc>
        <w:tc>
          <w:tcPr>
            <w:vAlign w:val="center"/>
            <w:tcBorders>
              <w:top w:val="single" w:sz="4" w:space="0" w:color="auto"/>
              <w:left w:val="single" w:sz="4" w:space="0" w:color="auto"/>
              <w:bottom w:val="single" w:sz="4" w:space="0" w:color="auto"/>
              <w:right w:val="single" w:sz="4" w:space="0" w:color="auto"/>
            </w:tcBorders>
          </w:tcPr>
          <w:p w14:paraId="00100CB8" w14:textId="00100CE1">
            <w:pPr>
              <w:pStyle w:val="Normal"/>
              <w:jc w:val="left"/>
            </w:pPr>
            <w:r>
              <w:t xml:space="preserve">Projects not yet available for use at year end</w:t>
            </w:r>
          </w:p>
        </w:tc>
      </w:tr>
      <w:tr>
        <w:tc>
          <w:tcPr>
            <w:vAlign w:val="top"/>
            <w:tcBorders>
              <w:top w:val="single" w:sz="4" w:space="0" w:color="auto"/>
              <w:left w:val="single" w:sz="4" w:space="0" w:color="auto"/>
              <w:bottom w:val="single" w:sz="4" w:space="0" w:color="auto"/>
              <w:right w:val="single" w:sz="4" w:space="0" w:color="auto"/>
            </w:tcBorders>
          </w:tcPr>
          <w:p w14:paraId="00100CBA" w14:textId="00100CE2">
            <w:pPr>
              <w:pStyle w:val="Normal"/>
              <w:jc w:val="left"/>
            </w:pPr>
            <w:r>
              <w:t xml:space="preserve">Total non-current operating assets</w:t>
            </w:r>
          </w:p>
        </w:tc>
        <w:tc>
          <w:tcPr>
            <w:vAlign w:val="center"/>
            <w:tcBorders>
              <w:top w:val="single" w:sz="4" w:space="0" w:color="auto"/>
              <w:left w:val="single" w:sz="4" w:space="0" w:color="auto"/>
              <w:bottom w:val="single" w:sz="4" w:space="0" w:color="auto"/>
              <w:right w:val="single" w:sz="4" w:space="0" w:color="auto"/>
            </w:tcBorders>
          </w:tcPr>
          <w:p w14:paraId="00100CBC" w14:textId="00100CE3">
            <w:pPr>
              <w:pStyle w:val="Normal"/>
              <w:jc w:val="left"/>
            </w:pPr>
            <w:r>
              <w:t xml:space="preserve">1,788</w:t>
            </w:r>
          </w:p>
        </w:tc>
        <w:tc>
          <w:tcPr>
            <w:vAlign w:val="center"/>
            <w:tcBorders>
              <w:top w:val="single" w:sz="4" w:space="0" w:color="auto"/>
              <w:left w:val="single" w:sz="4" w:space="0" w:color="auto"/>
              <w:bottom w:val="single" w:sz="4" w:space="0" w:color="auto"/>
              <w:right w:val="single" w:sz="4" w:space="0" w:color="auto"/>
            </w:tcBorders>
          </w:tcPr>
          <w:p w14:paraId="00100CBE" w14:textId="00100CE4">
            <w:pPr>
              <w:pStyle w:val="Normal"/>
              <w:jc w:val="left"/>
            </w:pPr>
            <w:r>
              <w:t xml:space="preserve">(622)</w:t>
            </w:r>
          </w:p>
        </w:tc>
        <w:tc>
          <w:tcPr>
            <w:vAlign w:val="center"/>
            <w:tcBorders>
              <w:top w:val="single" w:sz="4" w:space="0" w:color="auto"/>
              <w:left w:val="single" w:sz="4" w:space="0" w:color="auto"/>
              <w:bottom w:val="single" w:sz="4" w:space="0" w:color="auto"/>
              <w:right w:val="single" w:sz="4" w:space="0" w:color="auto"/>
            </w:tcBorders>
          </w:tcPr>
          <w:p w14:paraId="00100CC0" w14:textId="00100CE5">
            <w:pPr>
              <w:pStyle w:val="Normal"/>
              <w:jc w:val="left"/>
            </w:pPr>
            <w:r>
              <w:t xml:space="preserve">1,166</w:t>
            </w:r>
          </w:p>
        </w:tc>
        <w:tc>
          <w:tcPr>
            <w:vAlign w:val="center"/>
            <w:tcBorders>
              <w:top w:val="single" w:sz="4" w:space="0" w:color="auto"/>
              <w:left w:val="single" w:sz="4" w:space="0" w:color="auto"/>
              <w:bottom w:val="single" w:sz="4" w:space="0" w:color="auto"/>
              <w:right w:val="single" w:sz="4" w:space="0" w:color="auto"/>
            </w:tcBorders>
          </w:tcPr>
          <w:p w14:paraId="00100CC2" w14:textId="00100CE6">
            <w:pPr>
              <w:pStyle w:val="Normal"/>
              <w:jc w:val="left"/>
            </w:pPr>
            <w:r>
              <w:t xml:space="preserve">Net balance reflects disciplined capital expenditure and continued amortization</w:t>
            </w:r>
          </w:p>
        </w:tc>
      </w:tr>
    </w:tbl>
    <w:p w14:paraId="00100CE7" w14:textId="00100CE8">
      <w:pPr>
        <w:pStyle w:val="Normal"/>
        <w:jc w:val="left"/>
      </w:pPr>
      <w:r>
        <w:t xml:space="preserve">Table 20 Property and intangibles</w:t>
      </w:r>
    </w:p>
    <w:p w14:paraId="00100CE9" w14:textId="00100CEB">
      <w:pPr>
        <w:pStyle w:val="Normal"/>
        <w:jc w:val="left"/>
      </w:pPr>
      <w:r>
        <w:t xml:space="preserve">Source:</w:t>
      </w:r>
      <w:r>
        <w:t xml:space="preserve"> Management accounts and fixed-asset registers of consolidated entities. Amounts are presented at the reporting date before note-level rounding differences. Construction in progress is not depreciated until assets are ready for intended use, and acquired intangible assets are amortized over their estimated useful lives.</w:t>
      </w:r>
    </w:p>
    <w:p w14:paraId="00100CEC" w14:textId="00100CED">
      <w:pPr>
        <w:pStyle w:val="Normal"/>
        <w:jc w:val="left"/>
      </w:pPr>
      <w:r>
        <w:t xml:space="preserve">Subsection 2 Funding and Commitments</w:t>
      </w:r>
    </w:p>
    <w:p w14:paraId="00100CEE" w14:textId="00100CEF">
      <w:pPr>
        <w:pStyle w:val="Normal"/>
        <w:jc w:val="left"/>
      </w:pPr>
      <w:r>
        <w:t xml:space="preserve">This note summarizes the Group’s principal funding arrangements, lease-related obligations, and other material commitments outstanding at the reporting date. The objective is to show how Rivermark Group finances operations, preserves liquidity flexibility, and manages future cash requirements across business units with different working-capital cycles. Borrowings include committed bank facilities, bilateral term loans, and lease liabilities recognized for long-term use of property, vehicles, and selected equipment. Commitments include contracted capital expenditure, minimum lease payments not yet recognized for short-term or low-value arrangements, and selected purchase obligations considered operationally significant.</w:t>
      </w:r>
    </w:p>
    <w:p w14:paraId="00100CF0" w14:textId="00100CF1">
      <w:pPr>
        <w:pStyle w:val="Normal"/>
        <w:jc w:val="left"/>
      </w:pPr>
      <w:r>
        <w:t xml:space="preserve">The funding profile is managed centrally, while drawdown decisions are aligned to segment needs and covenant headroom. Consumer activities require seasonal inventory financing, Industrial operations need periodic capital support for maintenance and efficiency projects, and Services emphasizes flexible liquidity to support hiring and contract mobilization. Management therefore monitors maturity concentration, interest mix, and refinancing windows rather than focusing only on period-end debt balances. The Group’s approach remains conservative: available facilities are maintained above expected base-case requirements, and new commitments are reviewed against cash generation, return thresholds, and downside scenarios. Together, the borrowings and commitments disclosures provide a practical view of obligations already recognized on the statement of financial position and those that may shape future cash deployment.</w:t>
      </w:r>
    </w:p>
    <w:p w14:paraId="00100CF2" w14:textId="00100CF3">
      <w:pPr>
        <w:pStyle w:val="Normal"/>
        <w:jc w:val="left"/>
      </w:pPr>
      <w:r>
        <w:t xml:space="preserve">2.1 Borrowings</w:t>
      </w:r>
    </w:p>
    <w:p w14:paraId="00100CF4" w14:textId="00100CF6">
      <w:pPr>
        <w:pStyle w:val="Normal"/>
        <w:jc w:val="left"/>
      </w:pPr>
      <w:r>
        <w:t xml:space="preserve">Debt schedule:</w:t>
      </w:r>
      <w:r>
        <w:t xml:space="preserve"> The following table sets out the Group’s major borrowing categories, contractual maturity profile, and the broad distinction between drawn funding and committed facilities available for liquidity management.</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384"/>
        <w:gridCol w:w="1384"/>
        <w:gridCol w:w="1384"/>
        <w:gridCol w:w="1384"/>
        <w:gridCol w:w="1384"/>
        <w:gridCol w:w="1384"/>
      </w:tblGrid>
      <w:tr>
        <w:trPr>
          <w:tblHeader/>
        </w:trPr>
        <w:tc>
          <w:tcPr>
            <w:vAlign w:val="center"/>
            <w:tcBorders>
              <w:top w:val="single" w:sz="4" w:space="0" w:color="auto"/>
              <w:left w:val="single" w:sz="4" w:space="0" w:color="auto"/>
              <w:bottom w:val="single" w:sz="4" w:space="0" w:color="auto"/>
              <w:right w:val="single" w:sz="4" w:space="0" w:color="auto"/>
            </w:tcBorders>
          </w:tcPr>
          <w:p w14:paraId="00100CF7" w14:textId="00100D57">
            <w:pPr>
              <w:pStyle w:val="Normal"/>
              <w:jc w:val="left"/>
            </w:pPr>
            <w:r>
              <w:t xml:space="preserve">Facility / Instrument</w:t>
            </w:r>
          </w:p>
        </w:tc>
        <w:tc>
          <w:tcPr>
            <w:vAlign w:val="center"/>
            <w:tcBorders>
              <w:top w:val="single" w:sz="4" w:space="0" w:color="auto"/>
              <w:left w:val="single" w:sz="4" w:space="0" w:color="auto"/>
              <w:bottom w:val="single" w:sz="4" w:space="0" w:color="auto"/>
              <w:right w:val="single" w:sz="4" w:space="0" w:color="auto"/>
            </w:tcBorders>
          </w:tcPr>
          <w:p w14:paraId="00100CF9" w14:textId="00100D58">
            <w:pPr>
              <w:pStyle w:val="Normal"/>
              <w:jc w:val="left"/>
            </w:pPr>
            <w:r>
              <w:t xml:space="preserve">Currency</w:t>
            </w:r>
          </w:p>
        </w:tc>
        <w:tc>
          <w:tcPr>
            <w:vAlign w:val="center"/>
            <w:tcBorders>
              <w:top w:val="single" w:sz="4" w:space="0" w:color="auto"/>
              <w:left w:val="single" w:sz="4" w:space="0" w:color="auto"/>
              <w:bottom w:val="single" w:sz="4" w:space="0" w:color="auto"/>
              <w:right w:val="single" w:sz="4" w:space="0" w:color="auto"/>
            </w:tcBorders>
          </w:tcPr>
          <w:p w14:paraId="00100CFB" w14:textId="00100D59">
            <w:pPr>
              <w:pStyle w:val="Normal"/>
              <w:jc w:val="left"/>
            </w:pPr>
            <w:r>
              <w:t xml:space="preserve">Maturity profile</w:t>
            </w:r>
          </w:p>
        </w:tc>
        <w:tc>
          <w:tcPr>
            <w:vAlign w:val="center"/>
            <w:tcBorders>
              <w:top w:val="single" w:sz="4" w:space="0" w:color="auto"/>
              <w:left w:val="single" w:sz="4" w:space="0" w:color="auto"/>
              <w:bottom w:val="single" w:sz="4" w:space="0" w:color="auto"/>
              <w:right w:val="single" w:sz="4" w:space="0" w:color="auto"/>
            </w:tcBorders>
          </w:tcPr>
          <w:p w14:paraId="00100CFD" w14:textId="00100D5A">
            <w:pPr>
              <w:pStyle w:val="Normal"/>
              <w:jc w:val="left"/>
            </w:pPr>
            <w:r>
              <w:t xml:space="preserve">Interest / Terms</w:t>
            </w:r>
          </w:p>
        </w:tc>
        <w:tc>
          <w:tcPr>
            <w:vAlign w:val="center"/>
            <w:tcBorders>
              <w:top w:val="single" w:sz="4" w:space="0" w:color="auto"/>
              <w:left w:val="single" w:sz="4" w:space="0" w:color="auto"/>
              <w:bottom w:val="single" w:sz="4" w:space="0" w:color="auto"/>
              <w:right w:val="single" w:sz="4" w:space="0" w:color="auto"/>
            </w:tcBorders>
          </w:tcPr>
          <w:p w14:paraId="00100CFF" w14:textId="00100D5B">
            <w:pPr>
              <w:pStyle w:val="Normal"/>
              <w:jc w:val="left"/>
            </w:pPr>
            <w:r>
              <w:t xml:space="preserve">Carrying amount</w:t>
            </w:r>
          </w:p>
        </w:tc>
        <w:tc>
          <w:tcPr>
            <w:vAlign w:val="center"/>
            <w:tcBorders>
              <w:top w:val="single" w:sz="4" w:space="0" w:color="auto"/>
              <w:left w:val="single" w:sz="4" w:space="0" w:color="auto"/>
              <w:bottom w:val="single" w:sz="4" w:space="0" w:color="auto"/>
              <w:right w:val="single" w:sz="4" w:space="0" w:color="auto"/>
            </w:tcBorders>
          </w:tcPr>
          <w:p w14:paraId="00100D01" w14:textId="00100D5C">
            <w:pPr>
              <w:pStyle w:val="Normal"/>
              <w:jc w:val="left"/>
            </w:pPr>
            <w:r>
              <w:t xml:space="preserve">Undrawn / Remaining</w:t>
            </w:r>
          </w:p>
        </w:tc>
      </w:tr>
      <w:tr>
        <w:tc>
          <w:tcPr>
            <w:vAlign w:val="top"/>
            <w:tcBorders>
              <w:top w:val="single" w:sz="4" w:space="0" w:color="auto"/>
              <w:left w:val="single" w:sz="4" w:space="0" w:color="auto"/>
              <w:bottom w:val="single" w:sz="4" w:space="0" w:color="auto"/>
              <w:right w:val="single" w:sz="4" w:space="0" w:color="auto"/>
            </w:tcBorders>
          </w:tcPr>
          <w:p w14:paraId="00100D03" w14:textId="00100D5D">
            <w:pPr>
              <w:pStyle w:val="Normal"/>
              <w:jc w:val="left"/>
            </w:pPr>
            <w:r>
              <w:t xml:space="preserve">Revolving credit facility</w:t>
            </w:r>
          </w:p>
        </w:tc>
        <w:tc>
          <w:tcPr>
            <w:vAlign w:val="center"/>
            <w:tcBorders>
              <w:top w:val="single" w:sz="4" w:space="0" w:color="auto"/>
              <w:left w:val="single" w:sz="4" w:space="0" w:color="auto"/>
              <w:bottom w:val="single" w:sz="4" w:space="0" w:color="auto"/>
              <w:right w:val="single" w:sz="4" w:space="0" w:color="auto"/>
            </w:tcBorders>
          </w:tcPr>
          <w:p w14:paraId="00100D05" w14:textId="00100D5E">
            <w:pPr>
              <w:pStyle w:val="Normal"/>
              <w:jc w:val="left"/>
            </w:pPr>
            <w:r>
              <w:t xml:space="preserve">RMK</w:t>
            </w:r>
          </w:p>
        </w:tc>
        <w:tc>
          <w:tcPr>
            <w:vAlign w:val="center"/>
            <w:tcBorders>
              <w:top w:val="single" w:sz="4" w:space="0" w:color="auto"/>
              <w:left w:val="single" w:sz="4" w:space="0" w:color="auto"/>
              <w:bottom w:val="single" w:sz="4" w:space="0" w:color="auto"/>
              <w:right w:val="single" w:sz="4" w:space="0" w:color="auto"/>
            </w:tcBorders>
          </w:tcPr>
          <w:p w14:paraId="00100D07" w14:textId="00100D5F">
            <w:pPr>
              <w:pStyle w:val="Normal"/>
              <w:jc w:val="left"/>
            </w:pPr>
            <w:r>
              <w:t xml:space="preserve">Due within 1 year</w:t>
            </w:r>
          </w:p>
        </w:tc>
        <w:tc>
          <w:tcPr>
            <w:vAlign w:val="center"/>
            <w:tcBorders>
              <w:top w:val="single" w:sz="4" w:space="0" w:color="auto"/>
              <w:left w:val="single" w:sz="4" w:space="0" w:color="auto"/>
              <w:bottom w:val="single" w:sz="4" w:space="0" w:color="auto"/>
              <w:right w:val="single" w:sz="4" w:space="0" w:color="auto"/>
            </w:tcBorders>
          </w:tcPr>
          <w:p w14:paraId="00100D09" w14:textId="00100D60">
            <w:pPr>
              <w:pStyle w:val="Normal"/>
              <w:jc w:val="left"/>
            </w:pPr>
            <w:r>
              <w:t xml:space="preserve">Floating rate linked to base lending rate; renewable subject to covenant compliance</w:t>
            </w:r>
          </w:p>
        </w:tc>
        <w:tc>
          <w:tcPr>
            <w:vAlign w:val="center"/>
            <w:tcBorders>
              <w:top w:val="single" w:sz="4" w:space="0" w:color="auto"/>
              <w:left w:val="single" w:sz="4" w:space="0" w:color="auto"/>
              <w:bottom w:val="single" w:sz="4" w:space="0" w:color="auto"/>
              <w:right w:val="single" w:sz="4" w:space="0" w:color="auto"/>
            </w:tcBorders>
          </w:tcPr>
          <w:p w14:paraId="00100D0B" w14:textId="00100D61">
            <w:pPr>
              <w:pStyle w:val="Normal"/>
              <w:jc w:val="left"/>
            </w:pPr>
            <w:r>
              <w:t xml:space="preserve">118</w:t>
            </w:r>
          </w:p>
        </w:tc>
        <w:tc>
          <w:tcPr>
            <w:vAlign w:val="center"/>
            <w:tcBorders>
              <w:top w:val="single" w:sz="4" w:space="0" w:color="auto"/>
              <w:left w:val="single" w:sz="4" w:space="0" w:color="auto"/>
              <w:bottom w:val="single" w:sz="4" w:space="0" w:color="auto"/>
              <w:right w:val="single" w:sz="4" w:space="0" w:color="auto"/>
            </w:tcBorders>
          </w:tcPr>
          <w:p w14:paraId="00100D0D" w14:textId="00100D62">
            <w:pPr>
              <w:pStyle w:val="Normal"/>
              <w:jc w:val="left"/>
            </w:pPr>
            <w:r>
              <w:t xml:space="preserve">82</w:t>
            </w:r>
          </w:p>
        </w:tc>
      </w:tr>
      <w:tr>
        <w:tc>
          <w:tcPr>
            <w:vAlign w:val="top"/>
            <w:tcBorders>
              <w:top w:val="single" w:sz="4" w:space="0" w:color="auto"/>
              <w:left w:val="single" w:sz="4" w:space="0" w:color="auto"/>
              <w:bottom w:val="single" w:sz="4" w:space="0" w:color="auto"/>
              <w:right w:val="single" w:sz="4" w:space="0" w:color="auto"/>
            </w:tcBorders>
          </w:tcPr>
          <w:p w14:paraId="00100D0F" w14:textId="00100D63">
            <w:pPr>
              <w:pStyle w:val="Normal"/>
              <w:jc w:val="left"/>
            </w:pPr>
            <w:r>
              <w:t xml:space="preserve">Term loan A</w:t>
            </w:r>
          </w:p>
        </w:tc>
        <w:tc>
          <w:tcPr>
            <w:vAlign w:val="center"/>
            <w:tcBorders>
              <w:top w:val="single" w:sz="4" w:space="0" w:color="auto"/>
              <w:left w:val="single" w:sz="4" w:space="0" w:color="auto"/>
              <w:bottom w:val="single" w:sz="4" w:space="0" w:color="auto"/>
              <w:right w:val="single" w:sz="4" w:space="0" w:color="auto"/>
            </w:tcBorders>
          </w:tcPr>
          <w:p w14:paraId="00100D11" w14:textId="00100D64">
            <w:pPr>
              <w:pStyle w:val="Normal"/>
              <w:jc w:val="left"/>
            </w:pPr>
            <w:r>
              <w:t xml:space="preserve">RMK</w:t>
            </w:r>
          </w:p>
        </w:tc>
        <w:tc>
          <w:tcPr>
            <w:vAlign w:val="center"/>
            <w:tcBorders>
              <w:top w:val="single" w:sz="4" w:space="0" w:color="auto"/>
              <w:left w:val="single" w:sz="4" w:space="0" w:color="auto"/>
              <w:bottom w:val="single" w:sz="4" w:space="0" w:color="auto"/>
              <w:right w:val="single" w:sz="4" w:space="0" w:color="auto"/>
            </w:tcBorders>
          </w:tcPr>
          <w:p w14:paraId="00100D13" w14:textId="00100D65">
            <w:pPr>
              <w:pStyle w:val="Normal"/>
              <w:jc w:val="left"/>
            </w:pPr>
            <w:r>
              <w:t xml:space="preserve">1–2 years</w:t>
            </w:r>
          </w:p>
        </w:tc>
        <w:tc>
          <w:tcPr>
            <w:vAlign w:val="center"/>
            <w:tcBorders>
              <w:top w:val="single" w:sz="4" w:space="0" w:color="auto"/>
              <w:left w:val="single" w:sz="4" w:space="0" w:color="auto"/>
              <w:bottom w:val="single" w:sz="4" w:space="0" w:color="auto"/>
              <w:right w:val="single" w:sz="4" w:space="0" w:color="auto"/>
            </w:tcBorders>
          </w:tcPr>
          <w:p w14:paraId="00100D15" w14:textId="00100D66">
            <w:pPr>
              <w:pStyle w:val="Normal"/>
              <w:jc w:val="left"/>
            </w:pPr>
            <w:r>
              <w:t xml:space="preserve">Fixed margin over reference rate; quarterly amortization</w:t>
            </w:r>
          </w:p>
        </w:tc>
        <w:tc>
          <w:tcPr>
            <w:vAlign w:val="center"/>
            <w:tcBorders>
              <w:top w:val="single" w:sz="4" w:space="0" w:color="auto"/>
              <w:left w:val="single" w:sz="4" w:space="0" w:color="auto"/>
              <w:bottom w:val="single" w:sz="4" w:space="0" w:color="auto"/>
              <w:right w:val="single" w:sz="4" w:space="0" w:color="auto"/>
            </w:tcBorders>
          </w:tcPr>
          <w:p w14:paraId="00100D17" w14:textId="00100D67">
            <w:pPr>
              <w:pStyle w:val="Normal"/>
              <w:jc w:val="left"/>
            </w:pPr>
            <w:r>
              <w:t xml:space="preserve">146</w:t>
            </w:r>
          </w:p>
        </w:tc>
        <w:tc>
          <w:tcPr>
            <w:vAlign w:val="center"/>
            <w:tcBorders>
              <w:top w:val="single" w:sz="4" w:space="0" w:color="auto"/>
              <w:left w:val="single" w:sz="4" w:space="0" w:color="auto"/>
              <w:bottom w:val="single" w:sz="4" w:space="0" w:color="auto"/>
              <w:right w:val="single" w:sz="4" w:space="0" w:color="auto"/>
            </w:tcBorders>
          </w:tcPr>
          <w:p w14:paraId="00100D19" w14:textId="00100D68">
            <w:pPr>
              <w:pStyle w:val="Normal"/>
              <w:jc w:val="left"/>
            </w:pPr>
            <w:r>
              <w:t xml:space="preserve">—</w:t>
            </w:r>
          </w:p>
        </w:tc>
      </w:tr>
      <w:tr>
        <w:tc>
          <w:tcPr>
            <w:vAlign w:val="top"/>
            <w:tcBorders>
              <w:top w:val="single" w:sz="4" w:space="0" w:color="auto"/>
              <w:left w:val="single" w:sz="4" w:space="0" w:color="auto"/>
              <w:bottom w:val="single" w:sz="4" w:space="0" w:color="auto"/>
              <w:right w:val="single" w:sz="4" w:space="0" w:color="auto"/>
            </w:tcBorders>
          </w:tcPr>
          <w:p w14:paraId="00100D1B" w14:textId="00100D69">
            <w:pPr>
              <w:pStyle w:val="Normal"/>
              <w:jc w:val="left"/>
            </w:pPr>
            <w:r>
              <w:t xml:space="preserve">Term loan B</w:t>
            </w:r>
          </w:p>
        </w:tc>
        <w:tc>
          <w:tcPr>
            <w:vAlign w:val="center"/>
            <w:tcBorders>
              <w:top w:val="single" w:sz="4" w:space="0" w:color="auto"/>
              <w:left w:val="single" w:sz="4" w:space="0" w:color="auto"/>
              <w:bottom w:val="single" w:sz="4" w:space="0" w:color="auto"/>
              <w:right w:val="single" w:sz="4" w:space="0" w:color="auto"/>
            </w:tcBorders>
          </w:tcPr>
          <w:p w14:paraId="00100D1D" w14:textId="00100D6A">
            <w:pPr>
              <w:pStyle w:val="Normal"/>
              <w:jc w:val="left"/>
            </w:pPr>
            <w:r>
              <w:t xml:space="preserve">USD</w:t>
            </w:r>
          </w:p>
        </w:tc>
        <w:tc>
          <w:tcPr>
            <w:vAlign w:val="center"/>
            <w:tcBorders>
              <w:top w:val="single" w:sz="4" w:space="0" w:color="auto"/>
              <w:left w:val="single" w:sz="4" w:space="0" w:color="auto"/>
              <w:bottom w:val="single" w:sz="4" w:space="0" w:color="auto"/>
              <w:right w:val="single" w:sz="4" w:space="0" w:color="auto"/>
            </w:tcBorders>
          </w:tcPr>
          <w:p w14:paraId="00100D1F" w14:textId="00100D6B">
            <w:pPr>
              <w:pStyle w:val="Normal"/>
              <w:jc w:val="left"/>
            </w:pPr>
            <w:r>
              <w:t xml:space="preserve">2–5 years</w:t>
            </w:r>
          </w:p>
        </w:tc>
        <w:tc>
          <w:tcPr>
            <w:vAlign w:val="center"/>
            <w:tcBorders>
              <w:top w:val="single" w:sz="4" w:space="0" w:color="auto"/>
              <w:left w:val="single" w:sz="4" w:space="0" w:color="auto"/>
              <w:bottom w:val="single" w:sz="4" w:space="0" w:color="auto"/>
              <w:right w:val="single" w:sz="4" w:space="0" w:color="auto"/>
            </w:tcBorders>
          </w:tcPr>
          <w:p w14:paraId="00100D21" w14:textId="00100D6C">
            <w:pPr>
              <w:pStyle w:val="Normal"/>
              <w:jc w:val="left"/>
            </w:pPr>
            <w:r>
              <w:t xml:space="preserve">Floating rate with partial hedge coverage; semi-annual principal repayment</w:t>
            </w:r>
          </w:p>
        </w:tc>
        <w:tc>
          <w:tcPr>
            <w:vAlign w:val="center"/>
            <w:tcBorders>
              <w:top w:val="single" w:sz="4" w:space="0" w:color="auto"/>
              <w:left w:val="single" w:sz="4" w:space="0" w:color="auto"/>
              <w:bottom w:val="single" w:sz="4" w:space="0" w:color="auto"/>
              <w:right w:val="single" w:sz="4" w:space="0" w:color="auto"/>
            </w:tcBorders>
          </w:tcPr>
          <w:p w14:paraId="00100D23" w14:textId="00100D6D">
            <w:pPr>
              <w:pStyle w:val="Normal"/>
              <w:jc w:val="left"/>
            </w:pPr>
            <w:r>
              <w:t xml:space="preserve">94</w:t>
            </w:r>
          </w:p>
        </w:tc>
        <w:tc>
          <w:tcPr>
            <w:vAlign w:val="center"/>
            <w:tcBorders>
              <w:top w:val="single" w:sz="4" w:space="0" w:color="auto"/>
              <w:left w:val="single" w:sz="4" w:space="0" w:color="auto"/>
              <w:bottom w:val="single" w:sz="4" w:space="0" w:color="auto"/>
              <w:right w:val="single" w:sz="4" w:space="0" w:color="auto"/>
            </w:tcBorders>
          </w:tcPr>
          <w:p w14:paraId="00100D25" w14:textId="00100D6E">
            <w:pPr>
              <w:pStyle w:val="Normal"/>
              <w:jc w:val="left"/>
            </w:pPr>
            <w:r>
              <w:t xml:space="preserve">—</w:t>
            </w:r>
          </w:p>
        </w:tc>
      </w:tr>
      <w:tr>
        <w:tc>
          <w:tcPr>
            <w:vAlign w:val="top"/>
            <w:tcBorders>
              <w:top w:val="single" w:sz="4" w:space="0" w:color="auto"/>
              <w:left w:val="single" w:sz="4" w:space="0" w:color="auto"/>
              <w:bottom w:val="single" w:sz="4" w:space="0" w:color="auto"/>
              <w:right w:val="single" w:sz="4" w:space="0" w:color="auto"/>
            </w:tcBorders>
          </w:tcPr>
          <w:p w14:paraId="00100D27" w14:textId="00100D6F">
            <w:pPr>
              <w:pStyle w:val="Normal"/>
              <w:jc w:val="left"/>
            </w:pPr>
            <w:r>
              <w:t xml:space="preserve">Lease liabilities</w:t>
            </w:r>
          </w:p>
        </w:tc>
        <w:tc>
          <w:tcPr>
            <w:vAlign w:val="center"/>
            <w:tcBorders>
              <w:top w:val="single" w:sz="4" w:space="0" w:color="auto"/>
              <w:left w:val="single" w:sz="4" w:space="0" w:color="auto"/>
              <w:bottom w:val="single" w:sz="4" w:space="0" w:color="auto"/>
              <w:right w:val="single" w:sz="4" w:space="0" w:color="auto"/>
            </w:tcBorders>
          </w:tcPr>
          <w:p w14:paraId="00100D29" w14:textId="00100D70">
            <w:pPr>
              <w:pStyle w:val="Normal"/>
              <w:jc w:val="left"/>
            </w:pPr>
            <w:r>
              <w:t xml:space="preserve">RMK</w:t>
            </w:r>
          </w:p>
        </w:tc>
        <w:tc>
          <w:tcPr>
            <w:vAlign w:val="center"/>
            <w:tcBorders>
              <w:top w:val="single" w:sz="4" w:space="0" w:color="auto"/>
              <w:left w:val="single" w:sz="4" w:space="0" w:color="auto"/>
              <w:bottom w:val="single" w:sz="4" w:space="0" w:color="auto"/>
              <w:right w:val="single" w:sz="4" w:space="0" w:color="auto"/>
            </w:tcBorders>
          </w:tcPr>
          <w:p w14:paraId="00100D2B" w14:textId="00100D71">
            <w:pPr>
              <w:pStyle w:val="Normal"/>
              <w:jc w:val="left"/>
            </w:pPr>
            <w:r>
              <w:t xml:space="preserve">1–5 years</w:t>
            </w:r>
          </w:p>
        </w:tc>
        <w:tc>
          <w:tcPr>
            <w:vAlign w:val="center"/>
            <w:tcBorders>
              <w:top w:val="single" w:sz="4" w:space="0" w:color="auto"/>
              <w:left w:val="single" w:sz="4" w:space="0" w:color="auto"/>
              <w:bottom w:val="single" w:sz="4" w:space="0" w:color="auto"/>
              <w:right w:val="single" w:sz="4" w:space="0" w:color="auto"/>
            </w:tcBorders>
          </w:tcPr>
          <w:p w14:paraId="00100D2D" w14:textId="00100D72">
            <w:pPr>
              <w:pStyle w:val="Normal"/>
              <w:jc w:val="left"/>
            </w:pPr>
            <w:r>
              <w:t xml:space="preserve">Incremental borrowing rate applied to lease terms across property and equipment contracts</w:t>
            </w:r>
          </w:p>
        </w:tc>
        <w:tc>
          <w:tcPr>
            <w:vAlign w:val="center"/>
            <w:tcBorders>
              <w:top w:val="single" w:sz="4" w:space="0" w:color="auto"/>
              <w:left w:val="single" w:sz="4" w:space="0" w:color="auto"/>
              <w:bottom w:val="single" w:sz="4" w:space="0" w:color="auto"/>
              <w:right w:val="single" w:sz="4" w:space="0" w:color="auto"/>
            </w:tcBorders>
          </w:tcPr>
          <w:p w14:paraId="00100D2F" w14:textId="00100D73">
            <w:pPr>
              <w:pStyle w:val="Normal"/>
              <w:jc w:val="left"/>
            </w:pPr>
            <w:r>
              <w:t xml:space="preserve">61</w:t>
            </w:r>
          </w:p>
        </w:tc>
        <w:tc>
          <w:tcPr>
            <w:vAlign w:val="center"/>
            <w:tcBorders>
              <w:top w:val="single" w:sz="4" w:space="0" w:color="auto"/>
              <w:left w:val="single" w:sz="4" w:space="0" w:color="auto"/>
              <w:bottom w:val="single" w:sz="4" w:space="0" w:color="auto"/>
              <w:right w:val="single" w:sz="4" w:space="0" w:color="auto"/>
            </w:tcBorders>
          </w:tcPr>
          <w:p w14:paraId="00100D31" w14:textId="00100D74">
            <w:pPr>
              <w:pStyle w:val="Normal"/>
              <w:jc w:val="left"/>
            </w:pPr>
            <w:r>
              <w:t xml:space="preserve">—</w:t>
            </w:r>
          </w:p>
        </w:tc>
      </w:tr>
      <w:tr>
        <w:tc>
          <w:tcPr>
            <w:vAlign w:val="top"/>
            <w:tcBorders>
              <w:top w:val="single" w:sz="4" w:space="0" w:color="auto"/>
              <w:left w:val="single" w:sz="4" w:space="0" w:color="auto"/>
              <w:bottom w:val="single" w:sz="4" w:space="0" w:color="auto"/>
              <w:right w:val="single" w:sz="4" w:space="0" w:color="auto"/>
            </w:tcBorders>
          </w:tcPr>
          <w:p w14:paraId="00100D33" w14:textId="00100D75">
            <w:pPr>
              <w:pStyle w:val="Normal"/>
              <w:jc w:val="left"/>
            </w:pPr>
            <w:r>
              <w:t xml:space="preserve">Trade finance and short-term notes</w:t>
            </w:r>
          </w:p>
        </w:tc>
        <w:tc>
          <w:tcPr>
            <w:vAlign w:val="center"/>
            <w:tcBorders>
              <w:top w:val="single" w:sz="4" w:space="0" w:color="auto"/>
              <w:left w:val="single" w:sz="4" w:space="0" w:color="auto"/>
              <w:bottom w:val="single" w:sz="4" w:space="0" w:color="auto"/>
              <w:right w:val="single" w:sz="4" w:space="0" w:color="auto"/>
            </w:tcBorders>
          </w:tcPr>
          <w:p w14:paraId="00100D35" w14:textId="00100D76">
            <w:pPr>
              <w:pStyle w:val="Normal"/>
              <w:jc w:val="left"/>
            </w:pPr>
            <w:r>
              <w:t xml:space="preserve">RMK</w:t>
            </w:r>
          </w:p>
        </w:tc>
        <w:tc>
          <w:tcPr>
            <w:vAlign w:val="center"/>
            <w:tcBorders>
              <w:top w:val="single" w:sz="4" w:space="0" w:color="auto"/>
              <w:left w:val="single" w:sz="4" w:space="0" w:color="auto"/>
              <w:bottom w:val="single" w:sz="4" w:space="0" w:color="auto"/>
              <w:right w:val="single" w:sz="4" w:space="0" w:color="auto"/>
            </w:tcBorders>
          </w:tcPr>
          <w:p w14:paraId="00100D37" w14:textId="00100D77">
            <w:pPr>
              <w:pStyle w:val="Normal"/>
              <w:jc w:val="left"/>
            </w:pPr>
            <w:r>
              <w:t xml:space="preserve">Due within 1 year</w:t>
            </w:r>
          </w:p>
        </w:tc>
        <w:tc>
          <w:tcPr>
            <w:vAlign w:val="center"/>
            <w:tcBorders>
              <w:top w:val="single" w:sz="4" w:space="0" w:color="auto"/>
              <w:left w:val="single" w:sz="4" w:space="0" w:color="auto"/>
              <w:bottom w:val="single" w:sz="4" w:space="0" w:color="auto"/>
              <w:right w:val="single" w:sz="4" w:space="0" w:color="auto"/>
            </w:tcBorders>
          </w:tcPr>
          <w:p w14:paraId="00100D39" w14:textId="00100D78">
            <w:pPr>
              <w:pStyle w:val="Normal"/>
              <w:jc w:val="left"/>
            </w:pPr>
            <w:r>
              <w:t xml:space="preserve">Short-tenor working capital facilities used for inventory and receivables support</w:t>
            </w:r>
          </w:p>
        </w:tc>
        <w:tc>
          <w:tcPr>
            <w:vAlign w:val="center"/>
            <w:tcBorders>
              <w:top w:val="single" w:sz="4" w:space="0" w:color="auto"/>
              <w:left w:val="single" w:sz="4" w:space="0" w:color="auto"/>
              <w:bottom w:val="single" w:sz="4" w:space="0" w:color="auto"/>
              <w:right w:val="single" w:sz="4" w:space="0" w:color="auto"/>
            </w:tcBorders>
          </w:tcPr>
          <w:p w14:paraId="00100D3B" w14:textId="00100D79">
            <w:pPr>
              <w:pStyle w:val="Normal"/>
              <w:jc w:val="left"/>
            </w:pPr>
            <w:r>
              <w:t xml:space="preserve">37</w:t>
            </w:r>
          </w:p>
        </w:tc>
        <w:tc>
          <w:tcPr>
            <w:vAlign w:val="center"/>
            <w:tcBorders>
              <w:top w:val="single" w:sz="4" w:space="0" w:color="auto"/>
              <w:left w:val="single" w:sz="4" w:space="0" w:color="auto"/>
              <w:bottom w:val="single" w:sz="4" w:space="0" w:color="auto"/>
              <w:right w:val="single" w:sz="4" w:space="0" w:color="auto"/>
            </w:tcBorders>
          </w:tcPr>
          <w:p w14:paraId="00100D3D" w14:textId="00100D7A">
            <w:pPr>
              <w:pStyle w:val="Normal"/>
              <w:jc w:val="left"/>
            </w:pPr>
            <w:r>
              <w:t xml:space="preserve">23</w:t>
            </w:r>
          </w:p>
        </w:tc>
      </w:tr>
      <w:tr>
        <w:tc>
          <w:tcPr>
            <w:vAlign w:val="top"/>
            <w:tcBorders>
              <w:top w:val="single" w:sz="4" w:space="0" w:color="auto"/>
              <w:left w:val="single" w:sz="4" w:space="0" w:color="auto"/>
              <w:bottom w:val="single" w:sz="4" w:space="0" w:color="auto"/>
              <w:right w:val="single" w:sz="4" w:space="0" w:color="auto"/>
            </w:tcBorders>
          </w:tcPr>
          <w:p w14:paraId="00100D3F" w14:textId="00100D7B">
            <w:pPr>
              <w:pStyle w:val="Normal"/>
              <w:jc w:val="left"/>
            </w:pPr>
            <w:r>
              <w:t xml:space="preserve">Other bilateral loans</w:t>
            </w:r>
          </w:p>
        </w:tc>
        <w:tc>
          <w:tcPr>
            <w:vAlign w:val="center"/>
            <w:tcBorders>
              <w:top w:val="single" w:sz="4" w:space="0" w:color="auto"/>
              <w:left w:val="single" w:sz="4" w:space="0" w:color="auto"/>
              <w:bottom w:val="single" w:sz="4" w:space="0" w:color="auto"/>
              <w:right w:val="single" w:sz="4" w:space="0" w:color="auto"/>
            </w:tcBorders>
          </w:tcPr>
          <w:p w14:paraId="00100D41" w14:textId="00100D7C">
            <w:pPr>
              <w:pStyle w:val="Normal"/>
              <w:jc w:val="left"/>
            </w:pPr>
            <w:r>
              <w:t xml:space="preserve">EUR</w:t>
            </w:r>
          </w:p>
        </w:tc>
        <w:tc>
          <w:tcPr>
            <w:vAlign w:val="center"/>
            <w:tcBorders>
              <w:top w:val="single" w:sz="4" w:space="0" w:color="auto"/>
              <w:left w:val="single" w:sz="4" w:space="0" w:color="auto"/>
              <w:bottom w:val="single" w:sz="4" w:space="0" w:color="auto"/>
              <w:right w:val="single" w:sz="4" w:space="0" w:color="auto"/>
            </w:tcBorders>
          </w:tcPr>
          <w:p w14:paraId="00100D43" w14:textId="00100D7D">
            <w:pPr>
              <w:pStyle w:val="Normal"/>
              <w:jc w:val="left"/>
            </w:pPr>
            <w:r>
              <w:t xml:space="preserve">2–5 years</w:t>
            </w:r>
          </w:p>
        </w:tc>
        <w:tc>
          <w:tcPr>
            <w:vAlign w:val="center"/>
            <w:tcBorders>
              <w:top w:val="single" w:sz="4" w:space="0" w:color="auto"/>
              <w:left w:val="single" w:sz="4" w:space="0" w:color="auto"/>
              <w:bottom w:val="single" w:sz="4" w:space="0" w:color="auto"/>
              <w:right w:val="single" w:sz="4" w:space="0" w:color="auto"/>
            </w:tcBorders>
          </w:tcPr>
          <w:p w14:paraId="00100D45" w14:textId="00100D7E">
            <w:pPr>
              <w:pStyle w:val="Normal"/>
              <w:jc w:val="left"/>
            </w:pPr>
            <w:r>
              <w:t xml:space="preserve">Fixed and floating mix; standard security and information undertakings</w:t>
            </w:r>
          </w:p>
        </w:tc>
        <w:tc>
          <w:tcPr>
            <w:vAlign w:val="center"/>
            <w:tcBorders>
              <w:top w:val="single" w:sz="4" w:space="0" w:color="auto"/>
              <w:left w:val="single" w:sz="4" w:space="0" w:color="auto"/>
              <w:bottom w:val="single" w:sz="4" w:space="0" w:color="auto"/>
              <w:right w:val="single" w:sz="4" w:space="0" w:color="auto"/>
            </w:tcBorders>
          </w:tcPr>
          <w:p w14:paraId="00100D47" w14:textId="00100D7F">
            <w:pPr>
              <w:pStyle w:val="Normal"/>
              <w:jc w:val="left"/>
            </w:pPr>
            <w:r>
              <w:t xml:space="preserve">29</w:t>
            </w:r>
          </w:p>
        </w:tc>
        <w:tc>
          <w:tcPr>
            <w:vAlign w:val="center"/>
            <w:tcBorders>
              <w:top w:val="single" w:sz="4" w:space="0" w:color="auto"/>
              <w:left w:val="single" w:sz="4" w:space="0" w:color="auto"/>
              <w:bottom w:val="single" w:sz="4" w:space="0" w:color="auto"/>
              <w:right w:val="single" w:sz="4" w:space="0" w:color="auto"/>
            </w:tcBorders>
          </w:tcPr>
          <w:p w14:paraId="00100D49" w14:textId="00100D80">
            <w:pPr>
              <w:pStyle w:val="Normal"/>
              <w:jc w:val="left"/>
            </w:pPr>
            <w:r>
              <w:t xml:space="preserve">—</w:t>
            </w:r>
          </w:p>
        </w:tc>
      </w:tr>
      <w:tr>
        <w:tc>
          <w:tcPr>
            <w:vAlign w:val="top"/>
            <w:tcBorders>
              <w:top w:val="single" w:sz="4" w:space="0" w:color="auto"/>
              <w:left w:val="single" w:sz="4" w:space="0" w:color="auto"/>
              <w:bottom w:val="single" w:sz="4" w:space="0" w:color="auto"/>
              <w:right w:val="single" w:sz="4" w:space="0" w:color="auto"/>
            </w:tcBorders>
          </w:tcPr>
          <w:p w14:paraId="00100D4B" w14:textId="00100D81">
            <w:pPr>
              <w:pStyle w:val="Normal"/>
              <w:jc w:val="left"/>
            </w:pPr>
            <w:r>
              <w:t xml:space="preserve">Total borrowings and lease obligations</w:t>
            </w:r>
          </w:p>
        </w:tc>
        <w:tc>
          <w:tcPr>
            <w:vAlign w:val="center"/>
            <w:tcBorders>
              <w:top w:val="single" w:sz="4" w:space="0" w:color="auto"/>
              <w:left w:val="single" w:sz="4" w:space="0" w:color="auto"/>
              <w:bottom w:val="single" w:sz="4" w:space="0" w:color="auto"/>
              <w:right w:val="single" w:sz="4" w:space="0" w:color="auto"/>
            </w:tcBorders>
          </w:tcPr>
          <w:p w14:paraId="00100D4D" w14:textId="00100D82">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D4F" w14:textId="00100D83">
            <w:pPr>
              <w:pStyle w:val="Normal"/>
              <w:jc w:val="left"/>
            </w:pPr>
            <w:r>
              <w:t xml:space="preserve">Mixed</w:t>
            </w:r>
          </w:p>
        </w:tc>
        <w:tc>
          <w:tcPr>
            <w:vAlign w:val="center"/>
            <w:tcBorders>
              <w:top w:val="single" w:sz="4" w:space="0" w:color="auto"/>
              <w:left w:val="single" w:sz="4" w:space="0" w:color="auto"/>
              <w:bottom w:val="single" w:sz="4" w:space="0" w:color="auto"/>
              <w:right w:val="single" w:sz="4" w:space="0" w:color="auto"/>
            </w:tcBorders>
          </w:tcPr>
          <w:p w14:paraId="00100D51" w14:textId="00100D84">
            <w:pPr>
              <w:pStyle w:val="Normal"/>
              <w:jc w:val="left"/>
            </w:pPr>
            <w:r>
              <w:t xml:space="preserve">Facilities diversified by tenor and funding source</w:t>
            </w:r>
          </w:p>
        </w:tc>
        <w:tc>
          <w:tcPr>
            <w:vAlign w:val="center"/>
            <w:tcBorders>
              <w:top w:val="single" w:sz="4" w:space="0" w:color="auto"/>
              <w:left w:val="single" w:sz="4" w:space="0" w:color="auto"/>
              <w:bottom w:val="single" w:sz="4" w:space="0" w:color="auto"/>
              <w:right w:val="single" w:sz="4" w:space="0" w:color="auto"/>
            </w:tcBorders>
          </w:tcPr>
          <w:p w14:paraId="00100D53" w14:textId="00100D85">
            <w:pPr>
              <w:pStyle w:val="Normal"/>
              <w:jc w:val="left"/>
            </w:pPr>
            <w:r>
              <w:t xml:space="preserve">485</w:t>
            </w:r>
          </w:p>
        </w:tc>
        <w:tc>
          <w:tcPr>
            <w:vAlign w:val="center"/>
            <w:tcBorders>
              <w:top w:val="single" w:sz="4" w:space="0" w:color="auto"/>
              <w:left w:val="single" w:sz="4" w:space="0" w:color="auto"/>
              <w:bottom w:val="single" w:sz="4" w:space="0" w:color="auto"/>
              <w:right w:val="single" w:sz="4" w:space="0" w:color="auto"/>
            </w:tcBorders>
          </w:tcPr>
          <w:p w14:paraId="00100D55" w14:textId="00100D86">
            <w:pPr>
              <w:pStyle w:val="Normal"/>
              <w:jc w:val="left"/>
            </w:pPr>
            <w:r>
              <w:t xml:space="preserve">105</w:t>
            </w:r>
          </w:p>
        </w:tc>
      </w:tr>
    </w:tbl>
    <w:p w14:paraId="00100D87" w14:textId="00100D88">
      <w:pPr>
        <w:pStyle w:val="Normal"/>
        <w:jc w:val="left"/>
      </w:pPr>
      <w:r>
        <w:t xml:space="preserve">Table 21 Debt maturity and terms</w:t>
      </w:r>
    </w:p>
    <w:p w14:paraId="00100D89" w14:textId="00100D8B">
      <w:pPr>
        <w:pStyle w:val="Normal"/>
        <w:jc w:val="left"/>
      </w:pPr>
      <w:r>
        <w:t xml:space="preserve">Source:</w:t>
      </w:r>
      <w:r>
        <w:t xml:space="preserve"> Borrowings include bank loans, lease liabilities, revolving facilities, and short-term trade finance outstanding at year end. Maturity buckets reflect contractual due dates; carrying amounts are presented before unamortized arrangement fees, and undrawn balances represent committed facilities available subject to customary conditions.</w:t>
      </w:r>
    </w:p>
    <w:p w14:paraId="00100D8C" w14:textId="00100D8D">
      <w:pPr>
        <w:pStyle w:val="Normal"/>
        <w:jc w:val="left"/>
      </w:pPr>
      <w:r>
        <w:t xml:space="preserve">2.2 Commitments</w:t>
      </w:r>
    </w:p>
    <w:p w14:paraId="00100D8E" w14:textId="00100D90">
      <w:pPr>
        <w:pStyle w:val="Normal"/>
        <w:jc w:val="left"/>
      </w:pPr>
      <w:r>
        <w:t xml:space="preserve">Commitments:</w:t>
      </w:r>
      <w:r>
        <w:t xml:space="preserve"> The Group’s commitments mainly comprise lease obligations, approved capital expenditure not yet contracted into delivery, and purchase commitments entered into in the ordinary course of operations.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384"/>
        <w:gridCol w:w="1384"/>
        <w:gridCol w:w="1384"/>
        <w:gridCol w:w="1384"/>
        <w:gridCol w:w="1384"/>
        <w:gridCol w:w="1384"/>
      </w:tblGrid>
      <w:tr>
        <w:trPr>
          <w:tblHeader/>
        </w:trPr>
        <w:tc>
          <w:tcPr>
            <w:vAlign w:val="center"/>
            <w:tcBorders>
              <w:top w:val="single" w:sz="4" w:space="0" w:color="auto"/>
              <w:left w:val="single" w:sz="4" w:space="0" w:color="auto"/>
              <w:bottom w:val="single" w:sz="4" w:space="0" w:color="auto"/>
              <w:right w:val="single" w:sz="4" w:space="0" w:color="auto"/>
            </w:tcBorders>
          </w:tcPr>
          <w:p w14:paraId="00100D91" w14:textId="00100DF1">
            <w:pPr>
              <w:pStyle w:val="Normal"/>
              <w:jc w:val="left"/>
            </w:pPr>
            <w:r>
              <w:t xml:space="preserve">Item</w:t>
            </w:r>
          </w:p>
        </w:tc>
        <w:tc>
          <w:tcPr>
            <w:vAlign w:val="center"/>
            <w:tcBorders>
              <w:top w:val="single" w:sz="4" w:space="0" w:color="auto"/>
              <w:left w:val="single" w:sz="4" w:space="0" w:color="auto"/>
              <w:bottom w:val="single" w:sz="4" w:space="0" w:color="auto"/>
              <w:right w:val="single" w:sz="4" w:space="0" w:color="auto"/>
            </w:tcBorders>
          </w:tcPr>
          <w:p w14:paraId="00100D93" w14:textId="00100DF2">
            <w:pPr>
              <w:pStyle w:val="Normal"/>
              <w:jc w:val="left"/>
            </w:pPr>
            <w:r>
              <w:t xml:space="preserve">Within 1 year</w:t>
            </w:r>
          </w:p>
        </w:tc>
        <w:tc>
          <w:tcPr>
            <w:vAlign w:val="center"/>
            <w:tcBorders>
              <w:top w:val="single" w:sz="4" w:space="0" w:color="auto"/>
              <w:left w:val="single" w:sz="4" w:space="0" w:color="auto"/>
              <w:bottom w:val="single" w:sz="4" w:space="0" w:color="auto"/>
              <w:right w:val="single" w:sz="4" w:space="0" w:color="auto"/>
            </w:tcBorders>
          </w:tcPr>
          <w:p w14:paraId="00100D95" w14:textId="00100DF3">
            <w:pPr>
              <w:pStyle w:val="Normal"/>
              <w:jc w:val="left"/>
            </w:pPr>
            <w:r>
              <w:t xml:space="preserve">1–3 years</w:t>
            </w:r>
          </w:p>
        </w:tc>
        <w:tc>
          <w:tcPr>
            <w:vAlign w:val="center"/>
            <w:tcBorders>
              <w:top w:val="single" w:sz="4" w:space="0" w:color="auto"/>
              <w:left w:val="single" w:sz="4" w:space="0" w:color="auto"/>
              <w:bottom w:val="single" w:sz="4" w:space="0" w:color="auto"/>
              <w:right w:val="single" w:sz="4" w:space="0" w:color="auto"/>
            </w:tcBorders>
          </w:tcPr>
          <w:p w14:paraId="00100D97" w14:textId="00100DF4">
            <w:pPr>
              <w:pStyle w:val="Normal"/>
              <w:jc w:val="left"/>
            </w:pPr>
            <w:r>
              <w:t xml:space="preserve">3–5 years</w:t>
            </w:r>
          </w:p>
        </w:tc>
        <w:tc>
          <w:tcPr>
            <w:vAlign w:val="center"/>
            <w:tcBorders>
              <w:top w:val="single" w:sz="4" w:space="0" w:color="auto"/>
              <w:left w:val="single" w:sz="4" w:space="0" w:color="auto"/>
              <w:bottom w:val="single" w:sz="4" w:space="0" w:color="auto"/>
              <w:right w:val="single" w:sz="4" w:space="0" w:color="auto"/>
            </w:tcBorders>
          </w:tcPr>
          <w:p w14:paraId="00100D99" w14:textId="00100DF5">
            <w:pPr>
              <w:pStyle w:val="Normal"/>
              <w:jc w:val="left"/>
            </w:pPr>
            <w:r>
              <w:t xml:space="preserve">Over 5 years</w:t>
            </w:r>
          </w:p>
        </w:tc>
        <w:tc>
          <w:tcPr>
            <w:vAlign w:val="center"/>
            <w:tcBorders>
              <w:top w:val="single" w:sz="4" w:space="0" w:color="auto"/>
              <w:left w:val="single" w:sz="4" w:space="0" w:color="auto"/>
              <w:bottom w:val="single" w:sz="4" w:space="0" w:color="auto"/>
              <w:right w:val="single" w:sz="4" w:space="0" w:color="auto"/>
            </w:tcBorders>
          </w:tcPr>
          <w:p w14:paraId="00100D9B" w14:textId="00100DF6">
            <w:pPr>
              <w:pStyle w:val="Normal"/>
              <w:jc w:val="left"/>
            </w:pPr>
            <w:r>
              <w:t xml:space="preserve">Total</w:t>
            </w:r>
          </w:p>
        </w:tc>
      </w:tr>
      <w:tr>
        <w:tc>
          <w:tcPr>
            <w:vAlign w:val="top"/>
            <w:tcBorders>
              <w:top w:val="single" w:sz="4" w:space="0" w:color="auto"/>
              <w:left w:val="single" w:sz="4" w:space="0" w:color="auto"/>
              <w:bottom w:val="single" w:sz="4" w:space="0" w:color="auto"/>
              <w:right w:val="single" w:sz="4" w:space="0" w:color="auto"/>
            </w:tcBorders>
          </w:tcPr>
          <w:p w14:paraId="00100D9D" w14:textId="00100DF7">
            <w:pPr>
              <w:pStyle w:val="Normal"/>
              <w:jc w:val="left"/>
            </w:pPr>
            <w:r>
              <w:t xml:space="preserve">Lease liabilities</w:t>
            </w:r>
          </w:p>
        </w:tc>
        <w:tc>
          <w:tcPr>
            <w:vAlign w:val="center"/>
            <w:tcBorders>
              <w:top w:val="single" w:sz="4" w:space="0" w:color="auto"/>
              <w:left w:val="single" w:sz="4" w:space="0" w:color="auto"/>
              <w:bottom w:val="single" w:sz="4" w:space="0" w:color="auto"/>
              <w:right w:val="single" w:sz="4" w:space="0" w:color="auto"/>
            </w:tcBorders>
          </w:tcPr>
          <w:p w14:paraId="00100D9F" w14:textId="00100DF8">
            <w:pPr>
              <w:pStyle w:val="Normal"/>
              <w:jc w:val="left"/>
            </w:pPr>
            <w:r>
              <w:t xml:space="preserve">28.4</w:t>
            </w:r>
          </w:p>
        </w:tc>
        <w:tc>
          <w:tcPr>
            <w:vAlign w:val="center"/>
            <w:tcBorders>
              <w:top w:val="single" w:sz="4" w:space="0" w:color="auto"/>
              <w:left w:val="single" w:sz="4" w:space="0" w:color="auto"/>
              <w:bottom w:val="single" w:sz="4" w:space="0" w:color="auto"/>
              <w:right w:val="single" w:sz="4" w:space="0" w:color="auto"/>
            </w:tcBorders>
          </w:tcPr>
          <w:p w14:paraId="00100DA1" w14:textId="00100DF9">
            <w:pPr>
              <w:pStyle w:val="Normal"/>
              <w:jc w:val="left"/>
            </w:pPr>
            <w:r>
              <w:t xml:space="preserve">39.7</w:t>
            </w:r>
          </w:p>
        </w:tc>
        <w:tc>
          <w:tcPr>
            <w:vAlign w:val="center"/>
            <w:tcBorders>
              <w:top w:val="single" w:sz="4" w:space="0" w:color="auto"/>
              <w:left w:val="single" w:sz="4" w:space="0" w:color="auto"/>
              <w:bottom w:val="single" w:sz="4" w:space="0" w:color="auto"/>
              <w:right w:val="single" w:sz="4" w:space="0" w:color="auto"/>
            </w:tcBorders>
          </w:tcPr>
          <w:p w14:paraId="00100DA3" w14:textId="00100DFA">
            <w:pPr>
              <w:pStyle w:val="Normal"/>
              <w:jc w:val="left"/>
            </w:pPr>
            <w:r>
              <w:t xml:space="preserve">18.6</w:t>
            </w:r>
          </w:p>
        </w:tc>
        <w:tc>
          <w:tcPr>
            <w:vAlign w:val="center"/>
            <w:tcBorders>
              <w:top w:val="single" w:sz="4" w:space="0" w:color="auto"/>
              <w:left w:val="single" w:sz="4" w:space="0" w:color="auto"/>
              <w:bottom w:val="single" w:sz="4" w:space="0" w:color="auto"/>
              <w:right w:val="single" w:sz="4" w:space="0" w:color="auto"/>
            </w:tcBorders>
          </w:tcPr>
          <w:p w14:paraId="00100DA5" w14:textId="00100DFB">
            <w:pPr>
              <w:pStyle w:val="Normal"/>
              <w:jc w:val="left"/>
            </w:pPr>
            <w:r>
              <w:t xml:space="preserve">11.3</w:t>
            </w:r>
          </w:p>
        </w:tc>
        <w:tc>
          <w:tcPr>
            <w:vAlign w:val="center"/>
            <w:tcBorders>
              <w:top w:val="single" w:sz="4" w:space="0" w:color="auto"/>
              <w:left w:val="single" w:sz="4" w:space="0" w:color="auto"/>
              <w:bottom w:val="single" w:sz="4" w:space="0" w:color="auto"/>
              <w:right w:val="single" w:sz="4" w:space="0" w:color="auto"/>
            </w:tcBorders>
          </w:tcPr>
          <w:p w14:paraId="00100DA7" w14:textId="00100DFC">
            <w:pPr>
              <w:pStyle w:val="Normal"/>
              <w:jc w:val="left"/>
            </w:pPr>
            <w:r>
              <w:t xml:space="preserve">98.0</w:t>
            </w:r>
          </w:p>
        </w:tc>
      </w:tr>
      <w:tr>
        <w:tc>
          <w:tcPr>
            <w:vAlign w:val="top"/>
            <w:tcBorders>
              <w:top w:val="single" w:sz="4" w:space="0" w:color="auto"/>
              <w:left w:val="single" w:sz="4" w:space="0" w:color="auto"/>
              <w:bottom w:val="single" w:sz="4" w:space="0" w:color="auto"/>
              <w:right w:val="single" w:sz="4" w:space="0" w:color="auto"/>
            </w:tcBorders>
          </w:tcPr>
          <w:p w14:paraId="00100DA9" w14:textId="00100DFD">
            <w:pPr>
              <w:pStyle w:val="Normal"/>
              <w:jc w:val="left"/>
            </w:pPr>
            <w:r>
              <w:t xml:space="preserve">Short-term lease expense commitment</w:t>
            </w:r>
          </w:p>
        </w:tc>
        <w:tc>
          <w:tcPr>
            <w:vAlign w:val="center"/>
            <w:tcBorders>
              <w:top w:val="single" w:sz="4" w:space="0" w:color="auto"/>
              <w:left w:val="single" w:sz="4" w:space="0" w:color="auto"/>
              <w:bottom w:val="single" w:sz="4" w:space="0" w:color="auto"/>
              <w:right w:val="single" w:sz="4" w:space="0" w:color="auto"/>
            </w:tcBorders>
          </w:tcPr>
          <w:p w14:paraId="00100DAB" w14:textId="00100DFE">
            <w:pPr>
              <w:pStyle w:val="Normal"/>
              <w:jc w:val="left"/>
            </w:pPr>
            <w:r>
              <w:t xml:space="preserve">4.2</w:t>
            </w:r>
          </w:p>
        </w:tc>
        <w:tc>
          <w:tcPr>
            <w:vAlign w:val="center"/>
            <w:tcBorders>
              <w:top w:val="single" w:sz="4" w:space="0" w:color="auto"/>
              <w:left w:val="single" w:sz="4" w:space="0" w:color="auto"/>
              <w:bottom w:val="single" w:sz="4" w:space="0" w:color="auto"/>
              <w:right w:val="single" w:sz="4" w:space="0" w:color="auto"/>
            </w:tcBorders>
          </w:tcPr>
          <w:p w14:paraId="00100DAD" w14:textId="00100DFF">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DAF" w14:textId="00100E00">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DB1" w14:textId="00100E01">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DB3" w14:textId="00100E02">
            <w:pPr>
              <w:pStyle w:val="Normal"/>
              <w:jc w:val="left"/>
            </w:pPr>
            <w:r>
              <w:t xml:space="preserve">4.2</w:t>
            </w:r>
          </w:p>
        </w:tc>
      </w:tr>
      <w:tr>
        <w:tc>
          <w:tcPr>
            <w:vAlign w:val="top"/>
            <w:tcBorders>
              <w:top w:val="single" w:sz="4" w:space="0" w:color="auto"/>
              <w:left w:val="single" w:sz="4" w:space="0" w:color="auto"/>
              <w:bottom w:val="single" w:sz="4" w:space="0" w:color="auto"/>
              <w:right w:val="single" w:sz="4" w:space="0" w:color="auto"/>
            </w:tcBorders>
          </w:tcPr>
          <w:p w14:paraId="00100DB5" w14:textId="00100E03">
            <w:pPr>
              <w:pStyle w:val="Normal"/>
              <w:jc w:val="left"/>
            </w:pPr>
            <w:r>
              <w:t xml:space="preserve">Low-value lease commitment</w:t>
            </w:r>
          </w:p>
        </w:tc>
        <w:tc>
          <w:tcPr>
            <w:vAlign w:val="center"/>
            <w:tcBorders>
              <w:top w:val="single" w:sz="4" w:space="0" w:color="auto"/>
              <w:left w:val="single" w:sz="4" w:space="0" w:color="auto"/>
              <w:bottom w:val="single" w:sz="4" w:space="0" w:color="auto"/>
              <w:right w:val="single" w:sz="4" w:space="0" w:color="auto"/>
            </w:tcBorders>
          </w:tcPr>
          <w:p w14:paraId="00100DB7" w14:textId="00100E04">
            <w:pPr>
              <w:pStyle w:val="Normal"/>
              <w:jc w:val="left"/>
            </w:pPr>
            <w:r>
              <w:t xml:space="preserve">1.1</w:t>
            </w:r>
          </w:p>
        </w:tc>
        <w:tc>
          <w:tcPr>
            <w:vAlign w:val="center"/>
            <w:tcBorders>
              <w:top w:val="single" w:sz="4" w:space="0" w:color="auto"/>
              <w:left w:val="single" w:sz="4" w:space="0" w:color="auto"/>
              <w:bottom w:val="single" w:sz="4" w:space="0" w:color="auto"/>
              <w:right w:val="single" w:sz="4" w:space="0" w:color="auto"/>
            </w:tcBorders>
          </w:tcPr>
          <w:p w14:paraId="00100DB9" w14:textId="00100E05">
            <w:pPr>
              <w:pStyle w:val="Normal"/>
              <w:jc w:val="left"/>
            </w:pPr>
            <w:r>
              <w:t xml:space="preserve">0.6</w:t>
            </w:r>
          </w:p>
        </w:tc>
        <w:tc>
          <w:tcPr>
            <w:vAlign w:val="center"/>
            <w:tcBorders>
              <w:top w:val="single" w:sz="4" w:space="0" w:color="auto"/>
              <w:left w:val="single" w:sz="4" w:space="0" w:color="auto"/>
              <w:bottom w:val="single" w:sz="4" w:space="0" w:color="auto"/>
              <w:right w:val="single" w:sz="4" w:space="0" w:color="auto"/>
            </w:tcBorders>
          </w:tcPr>
          <w:p w14:paraId="00100DBB" w14:textId="00100E06">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DBD" w14:textId="00100E07">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DBF" w14:textId="00100E08">
            <w:pPr>
              <w:pStyle w:val="Normal"/>
              <w:jc w:val="left"/>
            </w:pPr>
            <w:r>
              <w:t xml:space="preserve">1.7</w:t>
            </w:r>
          </w:p>
        </w:tc>
      </w:tr>
      <w:tr>
        <w:tc>
          <w:tcPr>
            <w:vAlign w:val="top"/>
            <w:tcBorders>
              <w:top w:val="single" w:sz="4" w:space="0" w:color="auto"/>
              <w:left w:val="single" w:sz="4" w:space="0" w:color="auto"/>
              <w:bottom w:val="single" w:sz="4" w:space="0" w:color="auto"/>
              <w:right w:val="single" w:sz="4" w:space="0" w:color="auto"/>
            </w:tcBorders>
          </w:tcPr>
          <w:p w14:paraId="00100DC1" w14:textId="00100E09">
            <w:pPr>
              <w:pStyle w:val="Normal"/>
              <w:jc w:val="left"/>
            </w:pPr>
            <w:r>
              <w:t xml:space="preserve">Capital expenditure contracted but not provided for</w:t>
            </w:r>
          </w:p>
        </w:tc>
        <w:tc>
          <w:tcPr>
            <w:vAlign w:val="center"/>
            <w:tcBorders>
              <w:top w:val="single" w:sz="4" w:space="0" w:color="auto"/>
              <w:left w:val="single" w:sz="4" w:space="0" w:color="auto"/>
              <w:bottom w:val="single" w:sz="4" w:space="0" w:color="auto"/>
              <w:right w:val="single" w:sz="4" w:space="0" w:color="auto"/>
            </w:tcBorders>
          </w:tcPr>
          <w:p w14:paraId="00100DC3" w14:textId="00100E0A">
            <w:pPr>
              <w:pStyle w:val="Normal"/>
              <w:jc w:val="left"/>
            </w:pPr>
            <w:r>
              <w:t xml:space="preserve">16.8</w:t>
            </w:r>
          </w:p>
        </w:tc>
        <w:tc>
          <w:tcPr>
            <w:vAlign w:val="center"/>
            <w:tcBorders>
              <w:top w:val="single" w:sz="4" w:space="0" w:color="auto"/>
              <w:left w:val="single" w:sz="4" w:space="0" w:color="auto"/>
              <w:bottom w:val="single" w:sz="4" w:space="0" w:color="auto"/>
              <w:right w:val="single" w:sz="4" w:space="0" w:color="auto"/>
            </w:tcBorders>
          </w:tcPr>
          <w:p w14:paraId="00100DC5" w14:textId="00100E0B">
            <w:pPr>
              <w:pStyle w:val="Normal"/>
              <w:jc w:val="left"/>
            </w:pPr>
            <w:r>
              <w:t xml:space="preserve">7.4</w:t>
            </w:r>
          </w:p>
        </w:tc>
        <w:tc>
          <w:tcPr>
            <w:vAlign w:val="center"/>
            <w:tcBorders>
              <w:top w:val="single" w:sz="4" w:space="0" w:color="auto"/>
              <w:left w:val="single" w:sz="4" w:space="0" w:color="auto"/>
              <w:bottom w:val="single" w:sz="4" w:space="0" w:color="auto"/>
              <w:right w:val="single" w:sz="4" w:space="0" w:color="auto"/>
            </w:tcBorders>
          </w:tcPr>
          <w:p w14:paraId="00100DC7" w14:textId="00100E0C">
            <w:pPr>
              <w:pStyle w:val="Normal"/>
              <w:jc w:val="left"/>
            </w:pPr>
            <w:r>
              <w:t xml:space="preserve">1.9</w:t>
            </w:r>
          </w:p>
        </w:tc>
        <w:tc>
          <w:tcPr>
            <w:vAlign w:val="center"/>
            <w:tcBorders>
              <w:top w:val="single" w:sz="4" w:space="0" w:color="auto"/>
              <w:left w:val="single" w:sz="4" w:space="0" w:color="auto"/>
              <w:bottom w:val="single" w:sz="4" w:space="0" w:color="auto"/>
              <w:right w:val="single" w:sz="4" w:space="0" w:color="auto"/>
            </w:tcBorders>
          </w:tcPr>
          <w:p w14:paraId="00100DC9" w14:textId="00100E0D">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DCB" w14:textId="00100E0E">
            <w:pPr>
              <w:pStyle w:val="Normal"/>
              <w:jc w:val="left"/>
            </w:pPr>
            <w:r>
              <w:t xml:space="preserve">26.1</w:t>
            </w:r>
          </w:p>
        </w:tc>
      </w:tr>
      <w:tr>
        <w:tc>
          <w:tcPr>
            <w:vAlign w:val="top"/>
            <w:tcBorders>
              <w:top w:val="single" w:sz="4" w:space="0" w:color="auto"/>
              <w:left w:val="single" w:sz="4" w:space="0" w:color="auto"/>
              <w:bottom w:val="single" w:sz="4" w:space="0" w:color="auto"/>
              <w:right w:val="single" w:sz="4" w:space="0" w:color="auto"/>
            </w:tcBorders>
          </w:tcPr>
          <w:p w14:paraId="00100DCD" w14:textId="00100E0F">
            <w:pPr>
              <w:pStyle w:val="Normal"/>
              <w:jc w:val="left"/>
            </w:pPr>
            <w:r>
              <w:t xml:space="preserve">Service and outsourcing commitments</w:t>
            </w:r>
          </w:p>
        </w:tc>
        <w:tc>
          <w:tcPr>
            <w:vAlign w:val="center"/>
            <w:tcBorders>
              <w:top w:val="single" w:sz="4" w:space="0" w:color="auto"/>
              <w:left w:val="single" w:sz="4" w:space="0" w:color="auto"/>
              <w:bottom w:val="single" w:sz="4" w:space="0" w:color="auto"/>
              <w:right w:val="single" w:sz="4" w:space="0" w:color="auto"/>
            </w:tcBorders>
          </w:tcPr>
          <w:p w14:paraId="00100DCF" w14:textId="00100E10">
            <w:pPr>
              <w:pStyle w:val="Normal"/>
              <w:jc w:val="left"/>
            </w:pPr>
            <w:r>
              <w:t xml:space="preserve">12.6</w:t>
            </w:r>
          </w:p>
        </w:tc>
        <w:tc>
          <w:tcPr>
            <w:vAlign w:val="center"/>
            <w:tcBorders>
              <w:top w:val="single" w:sz="4" w:space="0" w:color="auto"/>
              <w:left w:val="single" w:sz="4" w:space="0" w:color="auto"/>
              <w:bottom w:val="single" w:sz="4" w:space="0" w:color="auto"/>
              <w:right w:val="single" w:sz="4" w:space="0" w:color="auto"/>
            </w:tcBorders>
          </w:tcPr>
          <w:p w14:paraId="00100DD1" w14:textId="00100E11">
            <w:pPr>
              <w:pStyle w:val="Normal"/>
              <w:jc w:val="left"/>
            </w:pPr>
            <w:r>
              <w:t xml:space="preserve">14.2</w:t>
            </w:r>
          </w:p>
        </w:tc>
        <w:tc>
          <w:tcPr>
            <w:vAlign w:val="center"/>
            <w:tcBorders>
              <w:top w:val="single" w:sz="4" w:space="0" w:color="auto"/>
              <w:left w:val="single" w:sz="4" w:space="0" w:color="auto"/>
              <w:bottom w:val="single" w:sz="4" w:space="0" w:color="auto"/>
              <w:right w:val="single" w:sz="4" w:space="0" w:color="auto"/>
            </w:tcBorders>
          </w:tcPr>
          <w:p w14:paraId="00100DD3" w14:textId="00100E12">
            <w:pPr>
              <w:pStyle w:val="Normal"/>
              <w:jc w:val="left"/>
            </w:pPr>
            <w:r>
              <w:t xml:space="preserve">6.5</w:t>
            </w:r>
          </w:p>
        </w:tc>
        <w:tc>
          <w:tcPr>
            <w:vAlign w:val="center"/>
            <w:tcBorders>
              <w:top w:val="single" w:sz="4" w:space="0" w:color="auto"/>
              <w:left w:val="single" w:sz="4" w:space="0" w:color="auto"/>
              <w:bottom w:val="single" w:sz="4" w:space="0" w:color="auto"/>
              <w:right w:val="single" w:sz="4" w:space="0" w:color="auto"/>
            </w:tcBorders>
          </w:tcPr>
          <w:p w14:paraId="00100DD5" w14:textId="00100E13">
            <w:pPr>
              <w:pStyle w:val="Normal"/>
              <w:jc w:val="left"/>
            </w:pPr>
            <w:r>
              <w:t xml:space="preserve">2.1</w:t>
            </w:r>
          </w:p>
        </w:tc>
        <w:tc>
          <w:tcPr>
            <w:vAlign w:val="center"/>
            <w:tcBorders>
              <w:top w:val="single" w:sz="4" w:space="0" w:color="auto"/>
              <w:left w:val="single" w:sz="4" w:space="0" w:color="auto"/>
              <w:bottom w:val="single" w:sz="4" w:space="0" w:color="auto"/>
              <w:right w:val="single" w:sz="4" w:space="0" w:color="auto"/>
            </w:tcBorders>
          </w:tcPr>
          <w:p w14:paraId="00100DD7" w14:textId="00100E14">
            <w:pPr>
              <w:pStyle w:val="Normal"/>
              <w:jc w:val="left"/>
            </w:pPr>
            <w:r>
              <w:t xml:space="preserve">35.4</w:t>
            </w:r>
          </w:p>
        </w:tc>
      </w:tr>
      <w:tr>
        <w:tc>
          <w:tcPr>
            <w:vAlign w:val="top"/>
            <w:tcBorders>
              <w:top w:val="single" w:sz="4" w:space="0" w:color="auto"/>
              <w:left w:val="single" w:sz="4" w:space="0" w:color="auto"/>
              <w:bottom w:val="single" w:sz="4" w:space="0" w:color="auto"/>
              <w:right w:val="single" w:sz="4" w:space="0" w:color="auto"/>
            </w:tcBorders>
          </w:tcPr>
          <w:p w14:paraId="00100DD9" w14:textId="00100E15">
            <w:pPr>
              <w:pStyle w:val="Normal"/>
              <w:jc w:val="left"/>
            </w:pPr>
            <w:r>
              <w:t xml:space="preserve">Purchase commitments for materials and utilities</w:t>
            </w:r>
          </w:p>
        </w:tc>
        <w:tc>
          <w:tcPr>
            <w:vAlign w:val="center"/>
            <w:tcBorders>
              <w:top w:val="single" w:sz="4" w:space="0" w:color="auto"/>
              <w:left w:val="single" w:sz="4" w:space="0" w:color="auto"/>
              <w:bottom w:val="single" w:sz="4" w:space="0" w:color="auto"/>
              <w:right w:val="single" w:sz="4" w:space="0" w:color="auto"/>
            </w:tcBorders>
          </w:tcPr>
          <w:p w14:paraId="00100DDB" w14:textId="00100E16">
            <w:pPr>
              <w:pStyle w:val="Normal"/>
              <w:jc w:val="left"/>
            </w:pPr>
            <w:r>
              <w:t xml:space="preserve">21.3</w:t>
            </w:r>
          </w:p>
        </w:tc>
        <w:tc>
          <w:tcPr>
            <w:vAlign w:val="center"/>
            <w:tcBorders>
              <w:top w:val="single" w:sz="4" w:space="0" w:color="auto"/>
              <w:left w:val="single" w:sz="4" w:space="0" w:color="auto"/>
              <w:bottom w:val="single" w:sz="4" w:space="0" w:color="auto"/>
              <w:right w:val="single" w:sz="4" w:space="0" w:color="auto"/>
            </w:tcBorders>
          </w:tcPr>
          <w:p w14:paraId="00100DDD" w14:textId="00100E17">
            <w:pPr>
              <w:pStyle w:val="Normal"/>
              <w:jc w:val="left"/>
            </w:pPr>
            <w:r>
              <w:t xml:space="preserve">9.8</w:t>
            </w:r>
          </w:p>
        </w:tc>
        <w:tc>
          <w:tcPr>
            <w:vAlign w:val="center"/>
            <w:tcBorders>
              <w:top w:val="single" w:sz="4" w:space="0" w:color="auto"/>
              <w:left w:val="single" w:sz="4" w:space="0" w:color="auto"/>
              <w:bottom w:val="single" w:sz="4" w:space="0" w:color="auto"/>
              <w:right w:val="single" w:sz="4" w:space="0" w:color="auto"/>
            </w:tcBorders>
          </w:tcPr>
          <w:p w14:paraId="00100DDF" w14:textId="00100E18">
            <w:pPr>
              <w:pStyle w:val="Normal"/>
              <w:jc w:val="left"/>
            </w:pPr>
            <w:r>
              <w:t xml:space="preserve">2.4</w:t>
            </w:r>
          </w:p>
        </w:tc>
        <w:tc>
          <w:tcPr>
            <w:vAlign w:val="center"/>
            <w:tcBorders>
              <w:top w:val="single" w:sz="4" w:space="0" w:color="auto"/>
              <w:left w:val="single" w:sz="4" w:space="0" w:color="auto"/>
              <w:bottom w:val="single" w:sz="4" w:space="0" w:color="auto"/>
              <w:right w:val="single" w:sz="4" w:space="0" w:color="auto"/>
            </w:tcBorders>
          </w:tcPr>
          <w:p w14:paraId="00100DE1" w14:textId="00100E19">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DE3" w14:textId="00100E1A">
            <w:pPr>
              <w:pStyle w:val="Normal"/>
              <w:jc w:val="left"/>
            </w:pPr>
            <w:r>
              <w:t xml:space="preserve">33.5</w:t>
            </w:r>
          </w:p>
        </w:tc>
      </w:tr>
      <w:tr>
        <w:tc>
          <w:tcPr>
            <w:vAlign w:val="top"/>
            <w:tcBorders>
              <w:top w:val="single" w:sz="4" w:space="0" w:color="auto"/>
              <w:left w:val="single" w:sz="4" w:space="0" w:color="auto"/>
              <w:bottom w:val="single" w:sz="4" w:space="0" w:color="auto"/>
              <w:right w:val="single" w:sz="4" w:space="0" w:color="auto"/>
            </w:tcBorders>
          </w:tcPr>
          <w:p w14:paraId="00100DE5" w14:textId="00100E1B">
            <w:pPr>
              <w:pStyle w:val="Normal"/>
              <w:jc w:val="left"/>
            </w:pPr>
            <w:r>
              <w:t xml:space="preserve">Total commitments</w:t>
            </w:r>
          </w:p>
        </w:tc>
        <w:tc>
          <w:tcPr>
            <w:vAlign w:val="center"/>
            <w:tcBorders>
              <w:top w:val="single" w:sz="4" w:space="0" w:color="auto"/>
              <w:left w:val="single" w:sz="4" w:space="0" w:color="auto"/>
              <w:bottom w:val="single" w:sz="4" w:space="0" w:color="auto"/>
              <w:right w:val="single" w:sz="4" w:space="0" w:color="auto"/>
            </w:tcBorders>
          </w:tcPr>
          <w:p w14:paraId="00100DE7" w14:textId="00100E1C">
            <w:pPr>
              <w:pStyle w:val="Normal"/>
              <w:jc w:val="left"/>
            </w:pPr>
            <w:r>
              <w:t xml:space="preserve">84.4</w:t>
            </w:r>
          </w:p>
        </w:tc>
        <w:tc>
          <w:tcPr>
            <w:vAlign w:val="center"/>
            <w:tcBorders>
              <w:top w:val="single" w:sz="4" w:space="0" w:color="auto"/>
              <w:left w:val="single" w:sz="4" w:space="0" w:color="auto"/>
              <w:bottom w:val="single" w:sz="4" w:space="0" w:color="auto"/>
              <w:right w:val="single" w:sz="4" w:space="0" w:color="auto"/>
            </w:tcBorders>
          </w:tcPr>
          <w:p w14:paraId="00100DE9" w14:textId="00100E1D">
            <w:pPr>
              <w:pStyle w:val="Normal"/>
              <w:jc w:val="left"/>
            </w:pPr>
            <w:r>
              <w:t xml:space="preserve">71.7</w:t>
            </w:r>
          </w:p>
        </w:tc>
        <w:tc>
          <w:tcPr>
            <w:vAlign w:val="center"/>
            <w:tcBorders>
              <w:top w:val="single" w:sz="4" w:space="0" w:color="auto"/>
              <w:left w:val="single" w:sz="4" w:space="0" w:color="auto"/>
              <w:bottom w:val="single" w:sz="4" w:space="0" w:color="auto"/>
              <w:right w:val="single" w:sz="4" w:space="0" w:color="auto"/>
            </w:tcBorders>
          </w:tcPr>
          <w:p w14:paraId="00100DEB" w14:textId="00100E1E">
            <w:pPr>
              <w:pStyle w:val="Normal"/>
              <w:jc w:val="left"/>
            </w:pPr>
            <w:r>
              <w:t xml:space="preserve">29.4</w:t>
            </w:r>
          </w:p>
        </w:tc>
        <w:tc>
          <w:tcPr>
            <w:vAlign w:val="center"/>
            <w:tcBorders>
              <w:top w:val="single" w:sz="4" w:space="0" w:color="auto"/>
              <w:left w:val="single" w:sz="4" w:space="0" w:color="auto"/>
              <w:bottom w:val="single" w:sz="4" w:space="0" w:color="auto"/>
              <w:right w:val="single" w:sz="4" w:space="0" w:color="auto"/>
            </w:tcBorders>
          </w:tcPr>
          <w:p w14:paraId="00100DED" w14:textId="00100E1F">
            <w:pPr>
              <w:pStyle w:val="Normal"/>
              <w:jc w:val="left"/>
            </w:pPr>
            <w:r>
              <w:t xml:space="preserve">13.4</w:t>
            </w:r>
          </w:p>
        </w:tc>
        <w:tc>
          <w:tcPr>
            <w:vAlign w:val="center"/>
            <w:tcBorders>
              <w:top w:val="single" w:sz="4" w:space="0" w:color="auto"/>
              <w:left w:val="single" w:sz="4" w:space="0" w:color="auto"/>
              <w:bottom w:val="single" w:sz="4" w:space="0" w:color="auto"/>
              <w:right w:val="single" w:sz="4" w:space="0" w:color="auto"/>
            </w:tcBorders>
          </w:tcPr>
          <w:p w14:paraId="00100DEF" w14:textId="00100E20">
            <w:pPr>
              <w:pStyle w:val="Normal"/>
              <w:jc w:val="left"/>
            </w:pPr>
            <w:r>
              <w:t xml:space="preserve">198.9</w:t>
            </w:r>
          </w:p>
        </w:tc>
      </w:tr>
    </w:tbl>
    <w:p w14:paraId="00100E21" w14:textId="00100E22">
      <w:pPr>
        <w:pStyle w:val="Normal"/>
        <w:jc w:val="left"/>
      </w:pPr>
      <w:r>
        <w:t xml:space="preserve">Table 22 Leases and commitments</w:t>
      </w:r>
    </w:p>
    <w:p w14:paraId="00100E23" w14:textId="00100E24">
      <w:pPr>
        <w:pStyle w:val="Normal"/>
        <w:jc w:val="left"/>
      </w:pPr>
      <w:r>
        <w:t xml:space="preserve">Amounts are presented in Rivermark Group reporting currency units. Lease liabilities reflect contracted undiscounted cash outflows by maturity band at year-end, while other commitments include approved but unrecognized capital expenditure, committed service arrangements, and purchase obligations entered into before the reporting date. Management reviews these commitments as part of liquidity planning and updates forecast timing where project schedules or operating requirements change.</w:t>
      </w:r>
    </w:p>
    <w:p w14:paraId="00100EFC" w14:textId="00100EFD">
      <w:pPr>
        <w:pStyle w:val="Normal"/>
        <w:jc w:val="left"/>
        <w:sectPr>
          <w:type w:val="nextPage"/>
          <w:pgSz w:w="11906" w:h="16838"/>
          <w:pgMar w:top="1440" w:right="1440" w:bottom="1440" w:left="1440" w:header="1440" w:footer="1440" w:gutter="0"/>
          <w:cols w:space="720" w:num="1"/>
        </w:sectPr>
      </w:pPr>
    </w:p>
    <w:p w14:paraId="00100E29" w14:textId="00100E2A">
      <w:pPr>
        <w:pStyle w:val="Normal"/>
        <w:jc w:val="left"/>
      </w:pPr>
      <w:r>
        <w:t xml:space="preserve">Chapter 11 Annex</w:t>
      </w:r>
    </w:p>
    <w:p w14:paraId="00100E2B" w14:textId="00100E2C">
      <w:pPr>
        <w:pStyle w:val="Normal"/>
        <w:jc w:val="left"/>
      </w:pPr>
      <w:r>
        <w:t xml:space="preserve">This annex brings together supplementary exhibits that support the main report and provide additional period comparisons for readers who require a broader operating reference. The schedules in this section are intended to complement, rather than replace, the chapter discussions on segment performance, governance, risk, sustainability, and financial statements. They therefore emphasize cross-period consistency, compact metric presentation, and clear scope notes so that trends can be read alongside the principal disclosures in the body of the report.</w:t>
      </w:r>
    </w:p>
    <w:p w14:paraId="00100E2D" w14:textId="00100E2E">
      <w:pPr>
        <w:pStyle w:val="Normal"/>
        <w:jc w:val="left"/>
      </w:pPr>
      <w:r>
        <w:t xml:space="preserve">The annex exhibits summarize selected indicators over three reporting periods, including revenue-related, operating, workforce, safety, and environmental measures. Certain indicators are presented on a management reporting basis to align with internal performance review, while others are drawn from the consolidated reporting perimeter used elsewhere in this annual report. Where definitions or boundaries differ from chapter-level tables, the related source note explains the basis used. Together, these exhibits provide a concise reference set for year-on-year comparison and support a more complete reading of Rivermark Group’s operational and reporting development.</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E2F" w14:textId="00100E89">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E31" w14:textId="00100E8A">
            <w:pPr>
              <w:pStyle w:val="Normal"/>
              <w:jc w:val="left"/>
            </w:pPr>
            <w:r>
              <w:t xml:space="preserve">2022</w:t>
            </w:r>
          </w:p>
        </w:tc>
        <w:tc>
          <w:tcPr>
            <w:vAlign w:val="center"/>
            <w:tcBorders>
              <w:top w:val="single" w:sz="4" w:space="0" w:color="auto"/>
              <w:left w:val="single" w:sz="4" w:space="0" w:color="auto"/>
              <w:bottom w:val="single" w:sz="4" w:space="0" w:color="auto"/>
              <w:right w:val="single" w:sz="4" w:space="0" w:color="auto"/>
            </w:tcBorders>
          </w:tcPr>
          <w:p w14:paraId="00100E33" w14:textId="00100E8B">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E35" w14:textId="00100E8C">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E37" w14:textId="00100E8D">
            <w:pPr>
              <w:pStyle w:val="Normal"/>
              <w:jc w:val="left"/>
            </w:pPr>
            <w:r>
              <w:t xml:space="preserve">Unit</w:t>
            </w:r>
          </w:p>
        </w:tc>
      </w:tr>
      <w:tr>
        <w:tc>
          <w:tcPr>
            <w:vAlign w:val="center"/>
            <w:tcBorders>
              <w:top w:val="single" w:sz="4" w:space="0" w:color="auto"/>
              <w:left w:val="single" w:sz="4" w:space="0" w:color="auto"/>
              <w:bottom w:val="single" w:sz="4" w:space="0" w:color="auto"/>
              <w:right w:val="single" w:sz="4" w:space="0" w:color="auto"/>
            </w:tcBorders>
          </w:tcPr>
          <w:p w14:paraId="00100E39" w14:textId="00100E8E">
            <w:pPr>
              <w:pStyle w:val="Normal"/>
              <w:jc w:val="left"/>
            </w:pPr>
            <w:r>
              <w:t xml:space="preserve">Group revenue</w:t>
            </w:r>
          </w:p>
        </w:tc>
        <w:tc>
          <w:tcPr>
            <w:vAlign w:val="center"/>
            <w:tcBorders>
              <w:top w:val="single" w:sz="4" w:space="0" w:color="auto"/>
              <w:left w:val="single" w:sz="4" w:space="0" w:color="auto"/>
              <w:bottom w:val="single" w:sz="4" w:space="0" w:color="auto"/>
              <w:right w:val="single" w:sz="4" w:space="0" w:color="auto"/>
            </w:tcBorders>
          </w:tcPr>
          <w:p w14:paraId="00100E3B" w14:textId="00100E8F">
            <w:pPr>
              <w:pStyle w:val="Normal"/>
              <w:jc w:val="left"/>
            </w:pPr>
            <w:r>
              <w:t xml:space="preserve">4,180</w:t>
            </w:r>
          </w:p>
        </w:tc>
        <w:tc>
          <w:tcPr>
            <w:vAlign w:val="center"/>
            <w:tcBorders>
              <w:top w:val="single" w:sz="4" w:space="0" w:color="auto"/>
              <w:left w:val="single" w:sz="4" w:space="0" w:color="auto"/>
              <w:bottom w:val="single" w:sz="4" w:space="0" w:color="auto"/>
              <w:right w:val="single" w:sz="4" w:space="0" w:color="auto"/>
            </w:tcBorders>
          </w:tcPr>
          <w:p w14:paraId="00100E3D" w14:textId="00100E90">
            <w:pPr>
              <w:pStyle w:val="Normal"/>
              <w:jc w:val="left"/>
            </w:pPr>
            <w:r>
              <w:t xml:space="preserve">4,420</w:t>
            </w:r>
          </w:p>
        </w:tc>
        <w:tc>
          <w:tcPr>
            <w:vAlign w:val="center"/>
            <w:tcBorders>
              <w:top w:val="single" w:sz="4" w:space="0" w:color="auto"/>
              <w:left w:val="single" w:sz="4" w:space="0" w:color="auto"/>
              <w:bottom w:val="single" w:sz="4" w:space="0" w:color="auto"/>
              <w:right w:val="single" w:sz="4" w:space="0" w:color="auto"/>
            </w:tcBorders>
          </w:tcPr>
          <w:p w14:paraId="00100E3F" w14:textId="00100E91">
            <w:pPr>
              <w:pStyle w:val="Normal"/>
              <w:jc w:val="left"/>
            </w:pPr>
            <w:r>
              <w:t xml:space="preserve">4,690</w:t>
            </w:r>
          </w:p>
        </w:tc>
        <w:tc>
          <w:tcPr>
            <w:vAlign w:val="center"/>
            <w:tcBorders>
              <w:top w:val="single" w:sz="4" w:space="0" w:color="auto"/>
              <w:left w:val="single" w:sz="4" w:space="0" w:color="auto"/>
              <w:bottom w:val="single" w:sz="4" w:space="0" w:color="auto"/>
              <w:right w:val="single" w:sz="4" w:space="0" w:color="auto"/>
            </w:tcBorders>
          </w:tcPr>
          <w:p w14:paraId="00100E41" w14:textId="00100E92">
            <w:pPr>
              <w:pStyle w:val="Normal"/>
              <w:jc w:val="left"/>
            </w:pPr>
            <w:r>
              <w:t xml:space="preserve">RVM million</w:t>
            </w:r>
          </w:p>
        </w:tc>
      </w:tr>
      <w:tr>
        <w:tc>
          <w:tcPr>
            <w:vAlign w:val="center"/>
            <w:tcBorders>
              <w:top w:val="single" w:sz="4" w:space="0" w:color="auto"/>
              <w:left w:val="single" w:sz="4" w:space="0" w:color="auto"/>
              <w:bottom w:val="single" w:sz="4" w:space="0" w:color="auto"/>
              <w:right w:val="single" w:sz="4" w:space="0" w:color="auto"/>
            </w:tcBorders>
          </w:tcPr>
          <w:p w14:paraId="00100E43" w14:textId="00100E93">
            <w:pPr>
              <w:pStyle w:val="Normal"/>
              <w:jc w:val="left"/>
            </w:pPr>
            <w:r>
              <w:t xml:space="preserve">Adjusted operating profit</w:t>
            </w:r>
          </w:p>
        </w:tc>
        <w:tc>
          <w:tcPr>
            <w:vAlign w:val="center"/>
            <w:tcBorders>
              <w:top w:val="single" w:sz="4" w:space="0" w:color="auto"/>
              <w:left w:val="single" w:sz="4" w:space="0" w:color="auto"/>
              <w:bottom w:val="single" w:sz="4" w:space="0" w:color="auto"/>
              <w:right w:val="single" w:sz="4" w:space="0" w:color="auto"/>
            </w:tcBorders>
          </w:tcPr>
          <w:p w14:paraId="00100E45" w14:textId="00100E94">
            <w:pPr>
              <w:pStyle w:val="Normal"/>
              <w:jc w:val="left"/>
            </w:pPr>
            <w:r>
              <w:t xml:space="preserve">386</w:t>
            </w:r>
          </w:p>
        </w:tc>
        <w:tc>
          <w:tcPr>
            <w:vAlign w:val="center"/>
            <w:tcBorders>
              <w:top w:val="single" w:sz="4" w:space="0" w:color="auto"/>
              <w:left w:val="single" w:sz="4" w:space="0" w:color="auto"/>
              <w:bottom w:val="single" w:sz="4" w:space="0" w:color="auto"/>
              <w:right w:val="single" w:sz="4" w:space="0" w:color="auto"/>
            </w:tcBorders>
          </w:tcPr>
          <w:p w14:paraId="00100E47" w14:textId="00100E95">
            <w:pPr>
              <w:pStyle w:val="Normal"/>
              <w:jc w:val="left"/>
            </w:pPr>
            <w:r>
              <w:t xml:space="preserve">412</w:t>
            </w:r>
          </w:p>
        </w:tc>
        <w:tc>
          <w:tcPr>
            <w:vAlign w:val="center"/>
            <w:tcBorders>
              <w:top w:val="single" w:sz="4" w:space="0" w:color="auto"/>
              <w:left w:val="single" w:sz="4" w:space="0" w:color="auto"/>
              <w:bottom w:val="single" w:sz="4" w:space="0" w:color="auto"/>
              <w:right w:val="single" w:sz="4" w:space="0" w:color="auto"/>
            </w:tcBorders>
          </w:tcPr>
          <w:p w14:paraId="00100E49" w14:textId="00100E96">
            <w:pPr>
              <w:pStyle w:val="Normal"/>
              <w:jc w:val="left"/>
            </w:pPr>
            <w:r>
              <w:t xml:space="preserve">455</w:t>
            </w:r>
          </w:p>
        </w:tc>
        <w:tc>
          <w:tcPr>
            <w:vAlign w:val="center"/>
            <w:tcBorders>
              <w:top w:val="single" w:sz="4" w:space="0" w:color="auto"/>
              <w:left w:val="single" w:sz="4" w:space="0" w:color="auto"/>
              <w:bottom w:val="single" w:sz="4" w:space="0" w:color="auto"/>
              <w:right w:val="single" w:sz="4" w:space="0" w:color="auto"/>
            </w:tcBorders>
          </w:tcPr>
          <w:p w14:paraId="00100E4B" w14:textId="00100E97">
            <w:pPr>
              <w:pStyle w:val="Normal"/>
              <w:jc w:val="left"/>
            </w:pPr>
            <w:r>
              <w:t xml:space="preserve">RVM million</w:t>
            </w:r>
          </w:p>
        </w:tc>
      </w:tr>
      <w:tr>
        <w:tc>
          <w:tcPr>
            <w:vAlign w:val="center"/>
            <w:tcBorders>
              <w:top w:val="single" w:sz="4" w:space="0" w:color="auto"/>
              <w:left w:val="single" w:sz="4" w:space="0" w:color="auto"/>
              <w:bottom w:val="single" w:sz="4" w:space="0" w:color="auto"/>
              <w:right w:val="single" w:sz="4" w:space="0" w:color="auto"/>
            </w:tcBorders>
          </w:tcPr>
          <w:p w14:paraId="00100E4D" w14:textId="00100E98">
            <w:pPr>
              <w:pStyle w:val="Normal"/>
              <w:jc w:val="left"/>
            </w:pPr>
            <w:r>
              <w:t xml:space="preserve">Capital expenditure</w:t>
            </w:r>
          </w:p>
        </w:tc>
        <w:tc>
          <w:tcPr>
            <w:vAlign w:val="center"/>
            <w:tcBorders>
              <w:top w:val="single" w:sz="4" w:space="0" w:color="auto"/>
              <w:left w:val="single" w:sz="4" w:space="0" w:color="auto"/>
              <w:bottom w:val="single" w:sz="4" w:space="0" w:color="auto"/>
              <w:right w:val="single" w:sz="4" w:space="0" w:color="auto"/>
            </w:tcBorders>
          </w:tcPr>
          <w:p w14:paraId="00100E4F" w14:textId="00100E99">
            <w:pPr>
              <w:pStyle w:val="Normal"/>
              <w:jc w:val="left"/>
            </w:pPr>
            <w:r>
              <w:t xml:space="preserve">210</w:t>
            </w:r>
          </w:p>
        </w:tc>
        <w:tc>
          <w:tcPr>
            <w:vAlign w:val="center"/>
            <w:tcBorders>
              <w:top w:val="single" w:sz="4" w:space="0" w:color="auto"/>
              <w:left w:val="single" w:sz="4" w:space="0" w:color="auto"/>
              <w:bottom w:val="single" w:sz="4" w:space="0" w:color="auto"/>
              <w:right w:val="single" w:sz="4" w:space="0" w:color="auto"/>
            </w:tcBorders>
          </w:tcPr>
          <w:p w14:paraId="00100E51" w14:textId="00100E9A">
            <w:pPr>
              <w:pStyle w:val="Normal"/>
              <w:jc w:val="left"/>
            </w:pPr>
            <w:r>
              <w:t xml:space="preserve">236</w:t>
            </w:r>
          </w:p>
        </w:tc>
        <w:tc>
          <w:tcPr>
            <w:vAlign w:val="center"/>
            <w:tcBorders>
              <w:top w:val="single" w:sz="4" w:space="0" w:color="auto"/>
              <w:left w:val="single" w:sz="4" w:space="0" w:color="auto"/>
              <w:bottom w:val="single" w:sz="4" w:space="0" w:color="auto"/>
              <w:right w:val="single" w:sz="4" w:space="0" w:color="auto"/>
            </w:tcBorders>
          </w:tcPr>
          <w:p w14:paraId="00100E53" w14:textId="00100E9B">
            <w:pPr>
              <w:pStyle w:val="Normal"/>
              <w:jc w:val="left"/>
            </w:pPr>
            <w:r>
              <w:t xml:space="preserve">268</w:t>
            </w:r>
          </w:p>
        </w:tc>
        <w:tc>
          <w:tcPr>
            <w:vAlign w:val="center"/>
            <w:tcBorders>
              <w:top w:val="single" w:sz="4" w:space="0" w:color="auto"/>
              <w:left w:val="single" w:sz="4" w:space="0" w:color="auto"/>
              <w:bottom w:val="single" w:sz="4" w:space="0" w:color="auto"/>
              <w:right w:val="single" w:sz="4" w:space="0" w:color="auto"/>
            </w:tcBorders>
          </w:tcPr>
          <w:p w14:paraId="00100E55" w14:textId="00100E9C">
            <w:pPr>
              <w:pStyle w:val="Normal"/>
              <w:jc w:val="left"/>
            </w:pPr>
            <w:r>
              <w:t xml:space="preserve">RVM million</w:t>
            </w:r>
          </w:p>
        </w:tc>
      </w:tr>
      <w:tr>
        <w:tc>
          <w:tcPr>
            <w:vAlign w:val="center"/>
            <w:tcBorders>
              <w:top w:val="single" w:sz="4" w:space="0" w:color="auto"/>
              <w:left w:val="single" w:sz="4" w:space="0" w:color="auto"/>
              <w:bottom w:val="single" w:sz="4" w:space="0" w:color="auto"/>
              <w:right w:val="single" w:sz="4" w:space="0" w:color="auto"/>
            </w:tcBorders>
          </w:tcPr>
          <w:p w14:paraId="00100E57" w14:textId="00100E9D">
            <w:pPr>
              <w:pStyle w:val="Normal"/>
              <w:jc w:val="left"/>
            </w:pPr>
            <w:r>
              <w:t xml:space="preserve">Average headcount</w:t>
            </w:r>
          </w:p>
        </w:tc>
        <w:tc>
          <w:tcPr>
            <w:vAlign w:val="center"/>
            <w:tcBorders>
              <w:top w:val="single" w:sz="4" w:space="0" w:color="auto"/>
              <w:left w:val="single" w:sz="4" w:space="0" w:color="auto"/>
              <w:bottom w:val="single" w:sz="4" w:space="0" w:color="auto"/>
              <w:right w:val="single" w:sz="4" w:space="0" w:color="auto"/>
            </w:tcBorders>
          </w:tcPr>
          <w:p w14:paraId="00100E59" w14:textId="00100E9E">
            <w:pPr>
              <w:pStyle w:val="Normal"/>
              <w:jc w:val="left"/>
            </w:pPr>
            <w:r>
              <w:t xml:space="preserve">11,240</w:t>
            </w:r>
          </w:p>
        </w:tc>
        <w:tc>
          <w:tcPr>
            <w:vAlign w:val="center"/>
            <w:tcBorders>
              <w:top w:val="single" w:sz="4" w:space="0" w:color="auto"/>
              <w:left w:val="single" w:sz="4" w:space="0" w:color="auto"/>
              <w:bottom w:val="single" w:sz="4" w:space="0" w:color="auto"/>
              <w:right w:val="single" w:sz="4" w:space="0" w:color="auto"/>
            </w:tcBorders>
          </w:tcPr>
          <w:p w14:paraId="00100E5B" w14:textId="00100E9F">
            <w:pPr>
              <w:pStyle w:val="Normal"/>
              <w:jc w:val="left"/>
            </w:pPr>
            <w:r>
              <w:t xml:space="preserve">11,580</w:t>
            </w:r>
          </w:p>
        </w:tc>
        <w:tc>
          <w:tcPr>
            <w:vAlign w:val="center"/>
            <w:tcBorders>
              <w:top w:val="single" w:sz="4" w:space="0" w:color="auto"/>
              <w:left w:val="single" w:sz="4" w:space="0" w:color="auto"/>
              <w:bottom w:val="single" w:sz="4" w:space="0" w:color="auto"/>
              <w:right w:val="single" w:sz="4" w:space="0" w:color="auto"/>
            </w:tcBorders>
          </w:tcPr>
          <w:p w14:paraId="00100E5D" w14:textId="00100EA0">
            <w:pPr>
              <w:pStyle w:val="Normal"/>
              <w:jc w:val="left"/>
            </w:pPr>
            <w:r>
              <w:t xml:space="preserve">11,930</w:t>
            </w:r>
          </w:p>
        </w:tc>
        <w:tc>
          <w:tcPr>
            <w:vAlign w:val="center"/>
            <w:tcBorders>
              <w:top w:val="single" w:sz="4" w:space="0" w:color="auto"/>
              <w:left w:val="single" w:sz="4" w:space="0" w:color="auto"/>
              <w:bottom w:val="single" w:sz="4" w:space="0" w:color="auto"/>
              <w:right w:val="single" w:sz="4" w:space="0" w:color="auto"/>
            </w:tcBorders>
          </w:tcPr>
          <w:p w14:paraId="00100E5F" w14:textId="00100EA1">
            <w:pPr>
              <w:pStyle w:val="Normal"/>
              <w:jc w:val="left"/>
            </w:pPr>
            <w:r>
              <w:t xml:space="preserve">employees</w:t>
            </w:r>
          </w:p>
        </w:tc>
      </w:tr>
      <w:tr>
        <w:tc>
          <w:tcPr>
            <w:vAlign w:val="center"/>
            <w:tcBorders>
              <w:top w:val="single" w:sz="4" w:space="0" w:color="auto"/>
              <w:left w:val="single" w:sz="4" w:space="0" w:color="auto"/>
              <w:bottom w:val="single" w:sz="4" w:space="0" w:color="auto"/>
              <w:right w:val="single" w:sz="4" w:space="0" w:color="auto"/>
            </w:tcBorders>
          </w:tcPr>
          <w:p w14:paraId="00100E61" w14:textId="00100EA2">
            <w:pPr>
              <w:pStyle w:val="Normal"/>
              <w:jc w:val="left"/>
            </w:pPr>
            <w:r>
              <w:t xml:space="preserve">Recordable incident rate</w:t>
            </w:r>
          </w:p>
        </w:tc>
        <w:tc>
          <w:tcPr>
            <w:vAlign w:val="center"/>
            <w:tcBorders>
              <w:top w:val="single" w:sz="4" w:space="0" w:color="auto"/>
              <w:left w:val="single" w:sz="4" w:space="0" w:color="auto"/>
              <w:bottom w:val="single" w:sz="4" w:space="0" w:color="auto"/>
              <w:right w:val="single" w:sz="4" w:space="0" w:color="auto"/>
            </w:tcBorders>
          </w:tcPr>
          <w:p w14:paraId="00100E63" w14:textId="00100EA3">
            <w:pPr>
              <w:pStyle w:val="Normal"/>
              <w:jc w:val="left"/>
            </w:pPr>
            <w:r>
              <w:t xml:space="preserve">1.42</w:t>
            </w:r>
          </w:p>
        </w:tc>
        <w:tc>
          <w:tcPr>
            <w:vAlign w:val="center"/>
            <w:tcBorders>
              <w:top w:val="single" w:sz="4" w:space="0" w:color="auto"/>
              <w:left w:val="single" w:sz="4" w:space="0" w:color="auto"/>
              <w:bottom w:val="single" w:sz="4" w:space="0" w:color="auto"/>
              <w:right w:val="single" w:sz="4" w:space="0" w:color="auto"/>
            </w:tcBorders>
          </w:tcPr>
          <w:p w14:paraId="00100E65" w14:textId="00100EA4">
            <w:pPr>
              <w:pStyle w:val="Normal"/>
              <w:jc w:val="left"/>
            </w:pPr>
            <w:r>
              <w:t xml:space="preserve">1.29</w:t>
            </w:r>
          </w:p>
        </w:tc>
        <w:tc>
          <w:tcPr>
            <w:vAlign w:val="center"/>
            <w:tcBorders>
              <w:top w:val="single" w:sz="4" w:space="0" w:color="auto"/>
              <w:left w:val="single" w:sz="4" w:space="0" w:color="auto"/>
              <w:bottom w:val="single" w:sz="4" w:space="0" w:color="auto"/>
              <w:right w:val="single" w:sz="4" w:space="0" w:color="auto"/>
            </w:tcBorders>
          </w:tcPr>
          <w:p w14:paraId="00100E67" w14:textId="00100EA5">
            <w:pPr>
              <w:pStyle w:val="Normal"/>
              <w:jc w:val="left"/>
            </w:pPr>
            <w:r>
              <w:t xml:space="preserve">1.18</w:t>
            </w:r>
          </w:p>
        </w:tc>
        <w:tc>
          <w:tcPr>
            <w:vAlign w:val="center"/>
            <w:tcBorders>
              <w:top w:val="single" w:sz="4" w:space="0" w:color="auto"/>
              <w:left w:val="single" w:sz="4" w:space="0" w:color="auto"/>
              <w:bottom w:val="single" w:sz="4" w:space="0" w:color="auto"/>
              <w:right w:val="single" w:sz="4" w:space="0" w:color="auto"/>
            </w:tcBorders>
          </w:tcPr>
          <w:p w14:paraId="00100E69" w14:textId="00100EA6">
            <w:pPr>
              <w:pStyle w:val="Normal"/>
              <w:jc w:val="left"/>
            </w:pPr>
            <w:r>
              <w:t xml:space="preserve">per 200,000 hours</w:t>
            </w:r>
          </w:p>
        </w:tc>
      </w:tr>
      <w:tr>
        <w:tc>
          <w:tcPr>
            <w:vAlign w:val="center"/>
            <w:tcBorders>
              <w:top w:val="single" w:sz="4" w:space="0" w:color="auto"/>
              <w:left w:val="single" w:sz="4" w:space="0" w:color="auto"/>
              <w:bottom w:val="single" w:sz="4" w:space="0" w:color="auto"/>
              <w:right w:val="single" w:sz="4" w:space="0" w:color="auto"/>
            </w:tcBorders>
          </w:tcPr>
          <w:p w14:paraId="00100E6B" w14:textId="00100EA7">
            <w:pPr>
              <w:pStyle w:val="Normal"/>
              <w:jc w:val="left"/>
            </w:pPr>
            <w:r>
              <w:t xml:space="preserve">Energy consumption</w:t>
            </w:r>
          </w:p>
        </w:tc>
        <w:tc>
          <w:tcPr>
            <w:vAlign w:val="center"/>
            <w:tcBorders>
              <w:top w:val="single" w:sz="4" w:space="0" w:color="auto"/>
              <w:left w:val="single" w:sz="4" w:space="0" w:color="auto"/>
              <w:bottom w:val="single" w:sz="4" w:space="0" w:color="auto"/>
              <w:right w:val="single" w:sz="4" w:space="0" w:color="auto"/>
            </w:tcBorders>
          </w:tcPr>
          <w:p w14:paraId="00100E6D" w14:textId="00100EA8">
            <w:pPr>
              <w:pStyle w:val="Normal"/>
              <w:jc w:val="left"/>
            </w:pPr>
            <w:r>
              <w:t xml:space="preserve">1,960</w:t>
            </w:r>
          </w:p>
        </w:tc>
        <w:tc>
          <w:tcPr>
            <w:vAlign w:val="center"/>
            <w:tcBorders>
              <w:top w:val="single" w:sz="4" w:space="0" w:color="auto"/>
              <w:left w:val="single" w:sz="4" w:space="0" w:color="auto"/>
              <w:bottom w:val="single" w:sz="4" w:space="0" w:color="auto"/>
              <w:right w:val="single" w:sz="4" w:space="0" w:color="auto"/>
            </w:tcBorders>
          </w:tcPr>
          <w:p w14:paraId="00100E6F" w14:textId="00100EA9">
            <w:pPr>
              <w:pStyle w:val="Normal"/>
              <w:jc w:val="left"/>
            </w:pPr>
            <w:r>
              <w:t xml:space="preserve">1,910</w:t>
            </w:r>
          </w:p>
        </w:tc>
        <w:tc>
          <w:tcPr>
            <w:vAlign w:val="center"/>
            <w:tcBorders>
              <w:top w:val="single" w:sz="4" w:space="0" w:color="auto"/>
              <w:left w:val="single" w:sz="4" w:space="0" w:color="auto"/>
              <w:bottom w:val="single" w:sz="4" w:space="0" w:color="auto"/>
              <w:right w:val="single" w:sz="4" w:space="0" w:color="auto"/>
            </w:tcBorders>
          </w:tcPr>
          <w:p w14:paraId="00100E71" w14:textId="00100EAA">
            <w:pPr>
              <w:pStyle w:val="Normal"/>
              <w:jc w:val="left"/>
            </w:pPr>
            <w:r>
              <w:t xml:space="preserve">1,845</w:t>
            </w:r>
          </w:p>
        </w:tc>
        <w:tc>
          <w:tcPr>
            <w:vAlign w:val="center"/>
            <w:tcBorders>
              <w:top w:val="single" w:sz="4" w:space="0" w:color="auto"/>
              <w:left w:val="single" w:sz="4" w:space="0" w:color="auto"/>
              <w:bottom w:val="single" w:sz="4" w:space="0" w:color="auto"/>
              <w:right w:val="single" w:sz="4" w:space="0" w:color="auto"/>
            </w:tcBorders>
          </w:tcPr>
          <w:p w14:paraId="00100E73" w14:textId="00100EAB">
            <w:pPr>
              <w:pStyle w:val="Normal"/>
              <w:jc w:val="left"/>
            </w:pPr>
            <w:r>
              <w:t xml:space="preserve">TJ</w:t>
            </w:r>
          </w:p>
        </w:tc>
      </w:tr>
      <w:tr>
        <w:tc>
          <w:tcPr>
            <w:vAlign w:val="center"/>
            <w:tcBorders>
              <w:top w:val="single" w:sz="4" w:space="0" w:color="auto"/>
              <w:left w:val="single" w:sz="4" w:space="0" w:color="auto"/>
              <w:bottom w:val="single" w:sz="4" w:space="0" w:color="auto"/>
              <w:right w:val="single" w:sz="4" w:space="0" w:color="auto"/>
            </w:tcBorders>
          </w:tcPr>
          <w:p w14:paraId="00100E75" w14:textId="00100EAC">
            <w:pPr>
              <w:pStyle w:val="Normal"/>
              <w:jc w:val="left"/>
            </w:pPr>
            <w:r>
              <w:t xml:space="preserve">Water withdrawal</w:t>
            </w:r>
          </w:p>
        </w:tc>
        <w:tc>
          <w:tcPr>
            <w:vAlign w:val="center"/>
            <w:tcBorders>
              <w:top w:val="single" w:sz="4" w:space="0" w:color="auto"/>
              <w:left w:val="single" w:sz="4" w:space="0" w:color="auto"/>
              <w:bottom w:val="single" w:sz="4" w:space="0" w:color="auto"/>
              <w:right w:val="single" w:sz="4" w:space="0" w:color="auto"/>
            </w:tcBorders>
          </w:tcPr>
          <w:p w14:paraId="00100E77" w14:textId="00100EAD">
            <w:pPr>
              <w:pStyle w:val="Normal"/>
              <w:jc w:val="left"/>
            </w:pPr>
            <w:r>
              <w:t xml:space="preserve">5.8</w:t>
            </w:r>
          </w:p>
        </w:tc>
        <w:tc>
          <w:tcPr>
            <w:vAlign w:val="center"/>
            <w:tcBorders>
              <w:top w:val="single" w:sz="4" w:space="0" w:color="auto"/>
              <w:left w:val="single" w:sz="4" w:space="0" w:color="auto"/>
              <w:bottom w:val="single" w:sz="4" w:space="0" w:color="auto"/>
              <w:right w:val="single" w:sz="4" w:space="0" w:color="auto"/>
            </w:tcBorders>
          </w:tcPr>
          <w:p w14:paraId="00100E79" w14:textId="00100EAE">
            <w:pPr>
              <w:pStyle w:val="Normal"/>
              <w:jc w:val="left"/>
            </w:pPr>
            <w:r>
              <w:t xml:space="preserve">5.6</w:t>
            </w:r>
          </w:p>
        </w:tc>
        <w:tc>
          <w:tcPr>
            <w:vAlign w:val="center"/>
            <w:tcBorders>
              <w:top w:val="single" w:sz="4" w:space="0" w:color="auto"/>
              <w:left w:val="single" w:sz="4" w:space="0" w:color="auto"/>
              <w:bottom w:val="single" w:sz="4" w:space="0" w:color="auto"/>
              <w:right w:val="single" w:sz="4" w:space="0" w:color="auto"/>
            </w:tcBorders>
          </w:tcPr>
          <w:p w14:paraId="00100E7B" w14:textId="00100EAF">
            <w:pPr>
              <w:pStyle w:val="Normal"/>
              <w:jc w:val="left"/>
            </w:pPr>
            <w:r>
              <w:t xml:space="preserve">5.4</w:t>
            </w:r>
          </w:p>
        </w:tc>
        <w:tc>
          <w:tcPr>
            <w:vAlign w:val="center"/>
            <w:tcBorders>
              <w:top w:val="single" w:sz="4" w:space="0" w:color="auto"/>
              <w:left w:val="single" w:sz="4" w:space="0" w:color="auto"/>
              <w:bottom w:val="single" w:sz="4" w:space="0" w:color="auto"/>
              <w:right w:val="single" w:sz="4" w:space="0" w:color="auto"/>
            </w:tcBorders>
          </w:tcPr>
          <w:p w14:paraId="00100E7D" w14:textId="00100EB0">
            <w:pPr>
              <w:pStyle w:val="Normal"/>
              <w:jc w:val="left"/>
            </w:pPr>
            <w:r>
              <w:t xml:space="preserve">million m³</w:t>
            </w:r>
          </w:p>
        </w:tc>
      </w:tr>
      <w:tr>
        <w:tc>
          <w:tcPr>
            <w:vAlign w:val="center"/>
            <w:tcBorders>
              <w:top w:val="single" w:sz="4" w:space="0" w:color="auto"/>
              <w:left w:val="single" w:sz="4" w:space="0" w:color="auto"/>
              <w:bottom w:val="single" w:sz="4" w:space="0" w:color="auto"/>
              <w:right w:val="single" w:sz="4" w:space="0" w:color="auto"/>
            </w:tcBorders>
          </w:tcPr>
          <w:p w14:paraId="00100E7F" w14:textId="00100EB1">
            <w:pPr>
              <w:pStyle w:val="Normal"/>
              <w:jc w:val="left"/>
            </w:pPr>
            <w:r>
              <w:t xml:space="preserve">Closing order backlog</w:t>
            </w:r>
          </w:p>
        </w:tc>
        <w:tc>
          <w:tcPr>
            <w:vAlign w:val="center"/>
            <w:tcBorders>
              <w:top w:val="single" w:sz="4" w:space="0" w:color="auto"/>
              <w:left w:val="single" w:sz="4" w:space="0" w:color="auto"/>
              <w:bottom w:val="single" w:sz="4" w:space="0" w:color="auto"/>
              <w:right w:val="single" w:sz="4" w:space="0" w:color="auto"/>
            </w:tcBorders>
          </w:tcPr>
          <w:p w14:paraId="00100E81" w14:textId="00100EB2">
            <w:pPr>
              <w:pStyle w:val="Normal"/>
              <w:jc w:val="left"/>
            </w:pPr>
            <w:r>
              <w:t xml:space="preserve">1,120</w:t>
            </w:r>
          </w:p>
        </w:tc>
        <w:tc>
          <w:tcPr>
            <w:vAlign w:val="center"/>
            <w:tcBorders>
              <w:top w:val="single" w:sz="4" w:space="0" w:color="auto"/>
              <w:left w:val="single" w:sz="4" w:space="0" w:color="auto"/>
              <w:bottom w:val="single" w:sz="4" w:space="0" w:color="auto"/>
              <w:right w:val="single" w:sz="4" w:space="0" w:color="auto"/>
            </w:tcBorders>
          </w:tcPr>
          <w:p w14:paraId="00100E83" w14:textId="00100EB3">
            <w:pPr>
              <w:pStyle w:val="Normal"/>
              <w:jc w:val="left"/>
            </w:pPr>
            <w:r>
              <w:t xml:space="preserve">1,210</w:t>
            </w:r>
          </w:p>
        </w:tc>
        <w:tc>
          <w:tcPr>
            <w:vAlign w:val="center"/>
            <w:tcBorders>
              <w:top w:val="single" w:sz="4" w:space="0" w:color="auto"/>
              <w:left w:val="single" w:sz="4" w:space="0" w:color="auto"/>
              <w:bottom w:val="single" w:sz="4" w:space="0" w:color="auto"/>
              <w:right w:val="single" w:sz="4" w:space="0" w:color="auto"/>
            </w:tcBorders>
          </w:tcPr>
          <w:p w14:paraId="00100E85" w14:textId="00100EB4">
            <w:pPr>
              <w:pStyle w:val="Normal"/>
              <w:jc w:val="left"/>
            </w:pPr>
            <w:r>
              <w:t xml:space="preserve">1,340</w:t>
            </w:r>
          </w:p>
        </w:tc>
        <w:tc>
          <w:tcPr>
            <w:vAlign w:val="center"/>
            <w:tcBorders>
              <w:top w:val="single" w:sz="4" w:space="0" w:color="auto"/>
              <w:left w:val="single" w:sz="4" w:space="0" w:color="auto"/>
              <w:bottom w:val="single" w:sz="4" w:space="0" w:color="auto"/>
              <w:right w:val="single" w:sz="4" w:space="0" w:color="auto"/>
            </w:tcBorders>
          </w:tcPr>
          <w:p w14:paraId="00100E87" w14:textId="00100EB5">
            <w:pPr>
              <w:pStyle w:val="Normal"/>
              <w:jc w:val="left"/>
            </w:pPr>
            <w:r>
              <w:t xml:space="preserve">RVM million</w:t>
            </w:r>
          </w:p>
        </w:tc>
      </w:tr>
    </w:tbl>
    <w:p w14:paraId="00100EB6" w14:textId="00100EB7">
      <w:pPr>
        <w:pStyle w:val="Normal"/>
        <w:jc w:val="left"/>
      </w:pPr>
      <w:r>
        <w:t xml:space="preserve">Table 23 Supplementary metrics by period</w:t>
      </w:r>
    </w:p>
    <w:p w14:paraId="00100EB8" w14:textId="00100EB9">
      <w:pPr>
        <w:pStyle w:val="Normal"/>
        <w:jc w:val="left"/>
      </w:pPr>
      <w:r>
        <w:t xml:space="preserve">Scope includes continuing operations within the reporting perimeter of Rivermark Group. Selected operational and sustainability indicators are compiled from management reporting records and may not be directly comparable with statutory line items.</w:t>
      </w:r>
    </w:p>
    <w:p w14:paraId="00100EBA" w14:textId="00100EBB">
      <w:pPr>
        <w:pStyle w:val="Normal"/>
        <w:jc w:val="left"/>
      </w:pPr>
      <w:r>
        <w:drawing>
          <wp:inline distT="0" distB="0" distL="0" distR="0">
            <wp:extent cx="4320000" cy="2160000"/>
            <wp:effectExtent l="0" t="0" r="0" b="0"/>
            <wp:docPr id="20" name="Fig-I13-01.png" descr=""/>
            <wp:cNvGraphicFramePr>
              <a:graphicFrameLocks noChangeAspect="1"/>
            </wp:cNvGraphicFramePr>
            <a:graphic>
              <a:graphicData uri="http://schemas.openxmlformats.org/drawingml/2006/picture">
                <pic:pic>
                  <pic:nvPicPr>
                    <pic:cNvPr id="20" name="Fig-I13-01.png"/>
                    <pic:cNvPicPr/>
                  </pic:nvPicPr>
                  <pic:blipFill>
                    <a:blip r:embed="Re06b89041fd442c5" cstate="print"/>
                    <a:stretch>
                      <a:fillRect/>
                    </a:stretch>
                  </pic:blipFill>
                  <pic:spPr>
                    <a:xfrm>
                      <a:off x="0" y="0"/>
                      <a:ext cx="3960000" cy="2520000"/>
                    </a:xfrm>
                    <a:prstGeom prst="rect">
                      <a:avLst/>
                    </a:prstGeom>
                  </pic:spPr>
                </pic:pic>
              </a:graphicData>
            </a:graphic>
          </wp:inline>
        </w:drawing>
      </w:r>
    </w:p>
    <w:p w14:paraId="00100EBC" w14:textId="00100EBD">
      <w:pPr>
        <w:pStyle w:val="Normal"/>
        <w:jc w:val="left"/>
      </w:pPr>
      <w:r>
        <w:t xml:space="preserve">Figure 37 Chart of annex trends</w:t>
      </w:r>
    </w:p>
    <w:p w14:paraId="00100EBE" w14:textId="00100EBF">
      <w:pPr>
        <w:pStyle w:val="Normal"/>
        <w:jc w:val="left"/>
      </w:pPr>
      <w:r>
        <w:t xml:space="preserve">Trend figure presents selected three-year movements for revenue, adjusted operating profit, backlog, and resource indicators using the same annual reporting cut-off applied in the main report.</w:t>
      </w:r>
    </w:p>
    <w:p w14:paraId="00100EC0" w14:textId="00100EC1">
      <w:pPr>
        <w:pStyle w:val="Normal"/>
        <w:jc w:val="left"/>
      </w:pPr>
      <w:r>
        <w:t xml:space="preserve">Figure 38 Supplementary indicator comparison</w:t>
      </w:r>
    </w:p>
    <w:p w14:paraId="00100EFE" w14:textId="00100EFF">
      <w:pPr>
        <w:pStyle w:val="Normal"/>
        <w:jc w:val="left"/>
        <w:sectPr>
          <w:type w:val="nextPage"/>
          <w:pgSz w:w="11906" w:h="16838"/>
          <w:pgMar w:top="1440" w:right="1440" w:bottom="1440" w:left="1440" w:header="1440" w:footer="1440" w:gutter="0"/>
          <w:cols w:space="720" w:num="1"/>
        </w:sectPr>
      </w:pPr>
    </w:p>
    <w:p w14:paraId="00100EC6" w14:textId="00100EC7">
      <w:pPr>
        <w:pStyle w:val="Normal"/>
        <w:jc w:val="left"/>
      </w:pPr>
      <w:r>
        <w:t xml:space="preserve">Chapter 12 Glossary and Contact</w:t>
      </w:r>
    </w:p>
    <w:p w14:paraId="00100EC8" w14:textId="00100EC9">
      <w:pPr>
        <w:pStyle w:val="Normal"/>
        <w:jc w:val="left"/>
      </w:pPr>
      <w:r>
        <w:t xml:space="preserve">This glossary is provided as a practical reference to support the reading of the Rivermark Group Annual Report and to promote consistent interpretation of recurring business, financial, governance, and sustainability terminology. Unless the context requires otherwise, terms used throughout this report carry the meanings assigned by Rivermark Group in its internal reporting framework and external disclosure practice. Certain expressions, including segment labels, performance measures, and operating descriptions, are used in a management reporting sense and may not be directly comparable with similarly named items used by other companies.</w:t>
      </w:r>
    </w:p>
    <w:p w14:paraId="00100ECA" w14:textId="00100ECF">
      <w:pPr>
        <w:pStyle w:val="Normal"/>
        <w:jc w:val="left"/>
      </w:pPr>
      <w:r>
        <w:t xml:space="preserve">Where applicable, abbreviated expressions and selected defined measures are presented in their ordinary reporting context. Examples include references to the Industrial, Consumer, and Services segments, as well as measures such as EBITDA, free cash flow, and order backlog. Terms identified as &lt;i&gt;</w:t>
      </w:r>
      <w:r>
        <w:t xml:space="preserve">reporting perimeter</w:t>
      </w:r>
      <w:r>
        <w:t xml:space="preserve">&lt;/i&gt; or &lt;i&gt;</w:t>
      </w:r>
      <w:r>
        <w:t xml:space="preserve">operating model</w:t>
      </w:r>
      <w:r>
        <w:t xml:space="preserve">&lt;/i&gt; are intended to describe the scope of consolidation and the way the Group organizes value creation, rather than to establish standalone legal definitions. Readers should therefore interpret glossary terms together with the relevant chapter discussion, table captions, and management commentary. The glossary is designed to improve readability and consistency, but it does not replace the detailed explanations contained in the body of the report or the financial statement notes.</w:t>
      </w:r>
    </w:p>
    <w:p w14:paraId="00100ED0" w14:textId="00100ED1">
      <w:pPr>
        <w:pStyle w:val="Normal"/>
        <w:jc w:val="left"/>
      </w:pPr>
      <w:r>
        <w:t xml:space="preserve">Investor and stakeholder inquiries relating to this report may be directed to the Group Investor Relations function at Rivermark Group Headquarters. The primary contact point supports questions on annual reporting content, segment performance disclosures, governance information, sustainability indicators, and published financial statements. Correspondence may also be routed through the Corporate Secretariat when the matter concerns board governance, shareholder communication procedures, or formal document requests.</w:t>
      </w:r>
    </w:p>
    <w:p w14:paraId="00100ED2" w14:textId="00100ED3">
      <w:pPr>
        <w:pStyle w:val="Normal"/>
        <w:jc w:val="left"/>
      </w:pPr>
      <w:r>
        <w:t xml:space="preserve">For written inquiries, readers may contact Investor Relations, Rivermark Group, 18 Harbor Exchange Avenue, North Quay, Rivermark City. General email inquiries may be sent to investors@rivermark-group.example, and telephone inquiries may be directed to +00 410 555 0188 during normal business hours. Media-related questions should be addressed separately through the Corporate Communications office to ensure timely handling. Rivermark Group aims to respond to investor correspondence in an orderly manner, with priority given to matters concerning published disclosures, shareholder meeting information, and requests for clarification on reported results. Updated contact details, if any, will be reflected in subsequent corporate communications and the next reporting cycle.</w:t>
      </w:r>
    </w:p>
    <w:p w14:paraId="00100F00" w14:textId="00100F01">
      <w:pPr>
        <w:pStyle w:val="Normal"/>
        <w:jc w:val="left"/>
        <w:sectPr>
          <w:type w:val="nextPage"/>
          <w:pgSz w:w="11906" w:h="16838"/>
          <w:pgMar w:top="1440" w:right="1440" w:bottom="1440" w:left="1440" w:header="1440" w:footer="1440" w:gutter="0"/>
          <w:cols w:space="720" w:num="1"/>
        </w:sectPr>
      </w:pPr>
    </w:p>
    <w:p w14:paraId="00100ED8" w14:textId="00100ED9">
      <w:pPr>
        <w:pStyle w:val="Normal"/>
        <w:jc w:val="left"/>
      </w:pPr>
      <w:r>
        <w:t xml:space="preserve">Chapter 13 Legal Notice</w:t>
      </w:r>
    </w:p>
    <w:p w14:paraId="00100EDA" w14:textId="00100EDB">
      <w:pPr>
        <w:pStyle w:val="Normal"/>
        <w:jc w:val="left"/>
      </w:pPr>
      <w:r>
        <w:t xml:space="preserve">This annual report has been prepared by Rivermark Group for the purpose of providing a consolidated overview of the Group’s business profile, operating performance, governance arrangements, principal risks, sustainability indicators, and financial position for the reporting year. Unless otherwise stated, the report covers the activities of Rivermark Group and its controlled subsidiaries included within the reporting perimeter used for the consolidated financial statements. Certain operational, environmental, and workforce indicators may reflect management reporting boundaries that align with material operating entities and active sites during the year, and therefore may differ in limited respects from the statutory consolidation scope.</w:t>
      </w:r>
    </w:p>
    <w:p w14:paraId="00100EDC" w14:textId="00100EDD">
      <w:pPr>
        <w:pStyle w:val="Normal"/>
        <w:jc w:val="left"/>
      </w:pPr>
      <w:r>
        <w:t xml:space="preserve">The narrative discussion, operating metrics, charts, and non-financial tables contained in this report are intended to support a general understanding of business developments and management priorities. They should be read together with the consolidated financial statements and accompanying note disclosures included in this report, which remain the primary source for financial interpretation. While Rivermark Group has applied internal review procedures in compiling the information presented, some non-financial data incorporate estimates, classifications, and judgment-based allocations that are subject to refinement as reporting methods evolve. This report does not constitute an offer, solicitation, tax opinion, or legal advice, and it should not be used as a substitute for independent professional assessment of any specific matter.</w:t>
      </w:r>
    </w:p>
    <w:p w14:paraId="00100EDE" w14:textId="00100EDF">
      <w:pPr>
        <w:pStyle w:val="Normal"/>
        <w:jc w:val="left"/>
      </w:pPr>
      <w:r>
        <w:t xml:space="preserve">The information in this report is provided on the basis of conditions, assumptions, and data available as of the date of publication. Statements regarding expected demand, pricing conditions, margin improvement, capital allocation, operational efficiency, pipeline development, liquidity, and other future-oriented matters are inherently subject to uncertainty. Actual outcomes may differ materially because of changes in market demand, input costs, customer purchasing behavior, regulatory developments, financing conditions, labor availability, supply chain disruption, technology performance, contract execution, or other factors that may be outside the reasonable control of Rivermark Group.</w:t>
      </w:r>
    </w:p>
    <w:p w14:paraId="00100EE0" w14:textId="00100EE1">
      <w:pPr>
        <w:pStyle w:val="Normal"/>
        <w:jc w:val="left"/>
      </w:pPr>
      <w:r>
        <w:t xml:space="preserve">Accordingly, readers should exercise caution in placing undue reliance on forward-looking statements, projections, targets, and scenario-based commentary. Rivermark Group undertakes no obligation to publicly revise or update such statements solely as a result of new information, future events, or subsequent developments, except to the extent required by applicable law or binding regulation. No representation or warranty, express or implied, is made as to the completeness, accuracy, or future realization of forward-looking content, and neither Rivermark Group nor its directors, officers, or employees accepts liability for any loss arising from decisions made in reliance on this report. Users of this document should consider their own objectives and consult appropriate advisers before making investment, commercial, accounting, or legal decisions.</w:t>
      </w:r>
    </w:p>
    <w:sectPr>
      <w:type w:val="nextPage"/>
      <w:pgSz w:w="11906" w:h="16838"/>
      <w:pgMar w:top="1440" w:right="1440" w:bottom="1440" w:left="1440" w:header="1440" w:footer="1440" w:gutter="0"/>
      <w:cols w:space="720" w:num="1"/>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2.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3.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4.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5.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6.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7.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8.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9.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0.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1.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2.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3.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4.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5.xml><?xml version="1.0" encoding="utf-8"?>
<w:ftr xmlns:mc="http://schemas.openxmlformats.org/markup-compatibility/2006" xmlns:w14="http://schemas.microsoft.com/office/word/2010/wordml" xmlns:w="http://schemas.openxmlformats.org/wordprocessingml/2006/main" mc:Ignorable="w14">
  <w:p>
    <w:pPr>
      <w:pStyle w:val="Normal"/>
    </w:pPr>
  </w:p>
</w:ftr>
</file>

<file path=word/header1.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2.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3.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4.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5.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6.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7.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8.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9.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0.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1.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2.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3.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4.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5.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6.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7.xml><?xml version="1.0" encoding="utf-8"?>
<w:hdr xmlns:mc="http://schemas.openxmlformats.org/markup-compatibility/2006" xmlns:w14="http://schemas.microsoft.com/office/word/2010/wordml" xmlns:w="http://schemas.openxmlformats.org/wordprocessingml/2006/main" mc:Ignorable="w14">
  <w:p>
    <w:pPr>
      <w:pStyle w:val="Normal"/>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902">
    <w:abstractNumId w:val="0"/>
    <w:lvlOverride w:ilvl="0">
      <w:startOverride w:val="1"/>
    </w:lvlOverride>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eastAsia="zh-C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等线"/>
        <w:sz w:val="22"/>
        <w:szCs w:val="22"/>
      </w:rPr>
    </w:rPrDefault>
    <w:pPrDefault/>
  </w:docDefaults>
  <w:style w:type="paragraph" w:styleId="Normal" w:default="true">
    <w:name w:val="Normal"/>
    <w:qFormat/>
    <w:pPr>
      <w:spacing w:after="0" w:line="259" w:lineRule="auto"/>
    </w:pPr>
  </w:style>
  <w:style w:type="paragraph" w:styleId="ParaBodyText" w:customStyle="true">
    <w:name w:val="Body text"/>
    <w:basedOn w:val="Normal"/>
    <w:pPr>
      <w:spacing w:after="240" w:line="360" w:lineRule="auto"/>
      <w:ind w:firstLine="720"/>
      <w:jc w:val="both"/>
    </w:pPr>
    <w:rPr>
      <w:sz w:val="21"/>
    </w:rPr>
  </w:style>
  <w:style w:type="paragraph" w:styleId="ParaSourceNote" w:customStyle="true">
    <w:name w:val="Source note"/>
    <w:basedOn w:val="Normal"/>
    <w:pPr>
      <w:spacing w:before="120" w:after="120"/>
      <w:jc w:val="left"/>
    </w:pPr>
    <w:rPr>
      <w:sz w:val="21"/>
    </w:rPr>
  </w:style>
  <w:style w:type="paragraph" w:styleId="ParaHeading4" w:customStyle="true">
    <w:name w:val="标题 4"/>
    <w:basedOn w:val="Normal"/>
    <w:pPr>
      <w:spacing w:before="120" w:after="60"/>
      <w:jc w:val="left"/>
      <w:outlineLvl xmlns:w="http://schemas.openxmlformats.org/wordprocessingml/2006/main" w:val="3"/>
    </w:pPr>
    <w:rPr>
      <w:rFonts w:ascii="Calibri" w:hAnsi="Calibri" w:eastAsia="Microsoft YaHei"/>
      <w:b/>
      <w:sz w:val="21"/>
    </w:rPr>
  </w:style>
  <w:style w:type="paragraph" w:styleId="ParaTblDataCell" w:customStyle="true">
    <w:name w:val="Data cell"/>
    <w:basedOn w:val="Normal"/>
    <w:pPr>
      <w:jc w:val="left"/>
    </w:pPr>
    <w:rPr>
      <w:sz w:val="21"/>
    </w:rPr>
  </w:style>
  <w:style w:type="paragraph" w:styleId="ParaLetterBody" w:customStyle="true">
    <w:name w:val="Opening narrative"/>
    <w:basedOn w:val="Normal"/>
    <w:pPr>
      <w:spacing w:after="240" w:line="360" w:lineRule="auto"/>
      <w:ind w:firstLine="720"/>
      <w:jc w:val="both"/>
    </w:pPr>
    <w:rPr>
      <w:sz w:val="24"/>
    </w:rPr>
  </w:style>
  <w:style w:type="paragraph" w:styleId="ParaTocEntryL1" w:customStyle="true">
    <w:name w:val="Contents entry"/>
    <w:basedOn w:val="Normal"/>
    <w:pPr>
      <w:spacing w:before="120" w:after="120"/>
      <w:jc w:val="left"/>
    </w:pPr>
    <w:rPr>
      <w:sz w:val="21"/>
    </w:rPr>
  </w:style>
  <w:style w:type="paragraph" w:styleId="ParaTblHeaderCell" w:customStyle="true">
    <w:name w:val="Header cell"/>
    <w:basedOn w:val="Normal"/>
    <w:pPr>
      <w:jc w:val="center"/>
    </w:pPr>
    <w:rPr>
      <w:b/>
      <w:sz w:val="21"/>
    </w:rPr>
  </w:style>
  <w:style w:type="paragraph" w:styleId="ParaCoverTitle" w:customStyle="true">
    <w:name w:val="Cover title"/>
    <w:basedOn w:val="Normal"/>
    <w:pPr>
      <w:spacing w:after="480"/>
      <w:jc w:val="center"/>
    </w:pPr>
    <w:rPr>
      <w:rFonts w:ascii="Arial" w:hAnsi="Arial" w:eastAsia="Heiti/SimHei"/>
      <w:b/>
      <w:sz w:val="44"/>
    </w:rPr>
  </w:style>
  <w:style w:type="paragraph" w:styleId="ParaCaption" w:customStyle="true">
    <w:name w:val="Caption"/>
    <w:basedOn w:val="Normal"/>
    <w:pPr>
      <w:spacing w:before="120" w:after="120"/>
      <w:jc w:val="center"/>
    </w:pPr>
    <w:rPr>
      <w:rFonts w:ascii="Cambria" w:hAnsi="Cambria" w:eastAsia="Song/SimSun"/>
      <w:b w:val="false"/>
      <w:sz w:val="21"/>
    </w:rPr>
  </w:style>
  <w:style w:type="paragraph" w:styleId="ParaExecutiveSummary" w:customStyle="true">
    <w:name w:val="Summary paragraph"/>
    <w:basedOn w:val="Normal"/>
    <w:pPr>
      <w:spacing w:after="240" w:line="276" w:lineRule="auto"/>
      <w:jc w:val="both"/>
    </w:pPr>
    <w:rPr>
      <w:sz w:val="24"/>
    </w:rPr>
  </w:style>
  <w:style w:type="paragraph" w:styleId="ParaFinancialStatementLine" w:customStyle="true">
    <w:name w:val="Statement lead"/>
    <w:basedOn w:val="Normal"/>
    <w:pPr>
      <w:spacing w:before="240" w:after="120"/>
      <w:jc w:val="left"/>
    </w:pPr>
    <w:rPr>
      <w:b/>
      <w:sz w:val="21"/>
    </w:rPr>
  </w:style>
  <w:style w:type="paragraph" w:styleId="ParaChapterHeading" w:customStyle="true">
    <w:name w:val="Heading 1"/>
    <w:basedOn w:val="Normal"/>
    <w:pPr>
      <w:spacing w:before="480" w:after="240"/>
      <w:outlineLvl xmlns:w="http://schemas.openxmlformats.org/wordprocessingml/2006/main" w:val="0"/>
    </w:pPr>
    <w:rPr>
      <w:b/>
      <w:sz w:val="36"/>
    </w:rPr>
  </w:style>
  <w:style w:type="paragraph" w:styleId="ParaSectionHeading" w:customStyle="true">
    <w:name w:val="Heading 2"/>
    <w:basedOn w:val="Normal"/>
    <w:pPr>
      <w:spacing w:before="360" w:after="120"/>
      <w:outlineLvl xmlns:w="http://schemas.openxmlformats.org/wordprocessingml/2006/main" w:val="1"/>
    </w:pPr>
    <w:rPr>
      <w:b/>
      <w:sz w:val="28"/>
    </w:rPr>
  </w:style>
  <w:style w:type="paragraph" w:styleId="ParaSubsectionHeading" w:customStyle="true">
    <w:name w:val="Heading 3"/>
    <w:basedOn w:val="Normal"/>
    <w:pPr>
      <w:spacing w:before="240" w:after="120"/>
      <w:outlineLvl xmlns:w="http://schemas.openxmlformats.org/wordprocessingml/2006/main" w:val="2"/>
    </w:pPr>
    <w:rPr>
      <w:b/>
      <w:sz w:val="24"/>
    </w:rPr>
  </w:style>
</w:styles>
</file>

<file path=word/_rels/document.xml.rels>&#65279;<?xml version="1.0" encoding="utf-8"?><Relationships xmlns="http://schemas.openxmlformats.org/package/2006/relationships"><Relationship Type="http://schemas.openxmlformats.org/officeDocument/2006/relationships/settings" Target="/word/settings.xml" Id="R7d404604483c4dea" /><Relationship Type="http://schemas.openxmlformats.org/officeDocument/2006/relationships/styles" Target="/word/styles.xml" Id="Raeb96d0ebdc14525" /><Relationship Type="http://schemas.openxmlformats.org/officeDocument/2006/relationships/theme" Target="/word/theme/theme1.xml" Id="Rdac21433f9d14a75" /><Relationship Type="http://schemas.openxmlformats.org/officeDocument/2006/relationships/numbering" Target="/word/numbering.xml" Id="R43389677835e42bc" /><Relationship Type="http://schemas.openxmlformats.org/officeDocument/2006/relationships/image" Target="/media/image.png" Id="R970ac135376a45b0" /><Relationship Type="http://schemas.openxmlformats.org/officeDocument/2006/relationships/header" Target="/word/header1.xml" Id="Re13eb53a2c224b03" /><Relationship Type="http://schemas.openxmlformats.org/officeDocument/2006/relationships/footer" Target="/word/footer1.xml" Id="Rd2de8352b4bc47db" /><Relationship Type="http://schemas.openxmlformats.org/officeDocument/2006/relationships/header" Target="/word/header2.xml" Id="Rbd4ff68575844c21" /><Relationship Type="http://schemas.openxmlformats.org/officeDocument/2006/relationships/header" Target="/word/header3.xml" Id="R3a5646265ed34dab" /><Relationship Type="http://schemas.openxmlformats.org/officeDocument/2006/relationships/footer" Target="/word/footer2.xml" Id="Rda069255d0e24fd9" /><Relationship Type="http://schemas.openxmlformats.org/officeDocument/2006/relationships/image" Target="/media/image2.png" Id="R95d37ed17ceb4492" /><Relationship Type="http://schemas.openxmlformats.org/officeDocument/2006/relationships/header" Target="/word/header4.xml" Id="Rf8715e219f4247fd" /><Relationship Type="http://schemas.openxmlformats.org/officeDocument/2006/relationships/footer" Target="/word/footer3.xml" Id="R38c15155c18e4600" /><Relationship Type="http://schemas.openxmlformats.org/officeDocument/2006/relationships/header" Target="/word/header5.xml" Id="R4bc6f1ce31874000" /><Relationship Type="http://schemas.openxmlformats.org/officeDocument/2006/relationships/image" Target="/media/image3.png" Id="R8f4c05a3ba674153" /><Relationship Type="http://schemas.openxmlformats.org/officeDocument/2006/relationships/header" Target="/word/header6.xml" Id="R84c8b479f20c4f6f" /><Relationship Type="http://schemas.openxmlformats.org/officeDocument/2006/relationships/footer" Target="/word/footer4.xml" Id="R457a9440fb5f4a25" /><Relationship Type="http://schemas.openxmlformats.org/officeDocument/2006/relationships/image" Target="/media/image4.png" Id="Re93e9147a25e4f72" /><Relationship Type="http://schemas.openxmlformats.org/officeDocument/2006/relationships/image" Target="/media/image5.png" Id="R118661e22192449e" /><Relationship Type="http://schemas.openxmlformats.org/officeDocument/2006/relationships/image" Target="/media/image6.png" Id="Rdb117f7c8c2a46a5" /><Relationship Type="http://schemas.openxmlformats.org/officeDocument/2006/relationships/image" Target="/media/image7.png" Id="R3807e0dc0acf4af3" /><Relationship Type="http://schemas.openxmlformats.org/officeDocument/2006/relationships/header" Target="/word/header7.xml" Id="R1a2d2cc7b4a14a77" /><Relationship Type="http://schemas.openxmlformats.org/officeDocument/2006/relationships/footer" Target="/word/footer5.xml" Id="R4e15b57418c54a8a" /><Relationship Type="http://schemas.openxmlformats.org/officeDocument/2006/relationships/image" Target="/media/image8.png" Id="R520545f41ca949fa" /><Relationship Type="http://schemas.openxmlformats.org/officeDocument/2006/relationships/image" Target="/media/image9.png" Id="R1863dfcfa8f74952" /><Relationship Type="http://schemas.openxmlformats.org/officeDocument/2006/relationships/header" Target="/word/header8.xml" Id="Rd1ab619be3f84793" /><Relationship Type="http://schemas.openxmlformats.org/officeDocument/2006/relationships/footer" Target="/word/footer6.xml" Id="Rc04ab25db13c4545" /><Relationship Type="http://schemas.openxmlformats.org/officeDocument/2006/relationships/image" Target="/media/image10.png" Id="R4e4b405e0ea24344" /><Relationship Type="http://schemas.openxmlformats.org/officeDocument/2006/relationships/image" Target="/media/image11.png" Id="R2a2a004abaac4a04" /><Relationship Type="http://schemas.openxmlformats.org/officeDocument/2006/relationships/header" Target="/word/header9.xml" Id="R05411abcc78b4e89" /><Relationship Type="http://schemas.openxmlformats.org/officeDocument/2006/relationships/footer" Target="/word/footer7.xml" Id="R5c42530aaf9e4789" /><Relationship Type="http://schemas.openxmlformats.org/officeDocument/2006/relationships/image" Target="/media/image12.png" Id="R55854f53db6a4527" /><Relationship Type="http://schemas.openxmlformats.org/officeDocument/2006/relationships/header" Target="/word/header10.xml" Id="R9c545da730b740bc" /><Relationship Type="http://schemas.openxmlformats.org/officeDocument/2006/relationships/footer" Target="/word/footer8.xml" Id="Recd349258c7e40be" /><Relationship Type="http://schemas.openxmlformats.org/officeDocument/2006/relationships/image" Target="/media/image13.png" Id="R4e16cb162c964e40" /><Relationship Type="http://schemas.openxmlformats.org/officeDocument/2006/relationships/image" Target="/media/image14.png" Id="R1d99324b2e494738" /><Relationship Type="http://schemas.openxmlformats.org/officeDocument/2006/relationships/header" Target="/word/header11.xml" Id="Rc23e003f835c4103" /><Relationship Type="http://schemas.openxmlformats.org/officeDocument/2006/relationships/footer" Target="/word/footer9.xml" Id="R885dea54d6964477" /><Relationship Type="http://schemas.openxmlformats.org/officeDocument/2006/relationships/image" Target="/media/image15.png" Id="R9d09daa92f654d9e" /><Relationship Type="http://schemas.openxmlformats.org/officeDocument/2006/relationships/image" Target="/media/image16.png" Id="R68f758b6272e4277" /><Relationship Type="http://schemas.openxmlformats.org/officeDocument/2006/relationships/image" Target="/media/image17.png" Id="R87047193c7684e40" /><Relationship Type="http://schemas.openxmlformats.org/officeDocument/2006/relationships/header" Target="/word/header12.xml" Id="R8f7bc032bcd443d5" /><Relationship Type="http://schemas.openxmlformats.org/officeDocument/2006/relationships/footer" Target="/word/footer10.xml" Id="Rd7793b4a879e472b" /><Relationship Type="http://schemas.openxmlformats.org/officeDocument/2006/relationships/image" Target="/media/image18.png" Id="R7a993569cbc349e5" /><Relationship Type="http://schemas.openxmlformats.org/officeDocument/2006/relationships/image" Target="/media/image19.png" Id="R6be113ef10aa4bba" /><Relationship Type="http://schemas.openxmlformats.org/officeDocument/2006/relationships/header" Target="/word/header13.xml" Id="R07c3851165244a0c" /><Relationship Type="http://schemas.openxmlformats.org/officeDocument/2006/relationships/footer" Target="/word/footer11.xml" Id="Read76a27cc3e4a53" /><Relationship Type="http://schemas.openxmlformats.org/officeDocument/2006/relationships/header" Target="/word/header14.xml" Id="R98934760350b4a58" /><Relationship Type="http://schemas.openxmlformats.org/officeDocument/2006/relationships/footer" Target="/word/footer12.xml" Id="Rc54a846d849a4ddc" /><Relationship Type="http://schemas.openxmlformats.org/officeDocument/2006/relationships/image" Target="/media/image20.png" Id="Re06b89041fd442c5" /><Relationship Type="http://schemas.openxmlformats.org/officeDocument/2006/relationships/header" Target="/word/header15.xml" Id="Raf00b1173ffd473c" /><Relationship Type="http://schemas.openxmlformats.org/officeDocument/2006/relationships/footer" Target="/word/footer13.xml" Id="R1a4ea22ea108440f" /><Relationship Type="http://schemas.openxmlformats.org/officeDocument/2006/relationships/header" Target="/word/header16.xml" Id="R998569b324914d3f" /><Relationship Type="http://schemas.openxmlformats.org/officeDocument/2006/relationships/footer" Target="/word/footer14.xml" Id="R505fea09e11548c0" /><Relationship Type="http://schemas.openxmlformats.org/officeDocument/2006/relationships/header" Target="/word/header17.xml" Id="R32bb7a7b35df4551" /><Relationship Type="http://schemas.openxmlformats.org/officeDocument/2006/relationships/footer" Target="/word/footer15.xml" Id="R7e9c26f6e8b1473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2026-08-29T11:29:05Z</dcterms:created>
  <cp:lastModifiedBy>OfficeCLI</cp:lastModifiedBy>
  <dcterms:modified xsi:type="dcterms:W3CDTF">2026-08-29T11:29:05Z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1.0.145</vt:lpwstr>
  </op:property>
  <op:property fmtid="{D5CDD505-2E9C-101B-9397-08002B2CF9AE}" pid="3" name="OfficeCLI.LastModified">
    <vt:lpwstr xmlns:vt="http://schemas.openxmlformats.org/officeDocument/2006/docPropsVTypes">2026-08-29T11:43:02Z</vt:lpwstr>
  </op:property>
</op:Properties>
</file>