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C103" w14:textId="77777777" w:rsidR="00AC4CE6" w:rsidRDefault="00AC4CE6" w:rsidP="00872369">
      <w:pPr>
        <w:pStyle w:val="Title"/>
        <w:jc w:val="center"/>
      </w:pPr>
      <w:r>
        <w:t xml:space="preserve">More than just a name: </w:t>
      </w:r>
    </w:p>
    <w:p w14:paraId="5FA9A555" w14:textId="499EC1E0" w:rsidR="00091ED8" w:rsidRPr="00872369" w:rsidRDefault="00AC4CE6" w:rsidP="00872369">
      <w:pPr>
        <w:pStyle w:val="Title"/>
        <w:jc w:val="center"/>
      </w:pPr>
      <w:r>
        <w:t>The psychological effects of ‘Statistical Significance’</w:t>
      </w:r>
    </w:p>
    <w:p w14:paraId="5EA4F9F7" w14:textId="77777777" w:rsidR="00872369" w:rsidRDefault="00872369" w:rsidP="00872369">
      <w:pPr>
        <w:jc w:val="center"/>
      </w:pPr>
    </w:p>
    <w:p w14:paraId="798879E8" w14:textId="6A809A7F" w:rsidR="008A359D" w:rsidRPr="008A359D" w:rsidRDefault="008A359D" w:rsidP="00872369">
      <w:pPr>
        <w:jc w:val="center"/>
      </w:pPr>
      <w:r>
        <w:t>V.N. Vimal Rao</w:t>
      </w:r>
    </w:p>
    <w:p w14:paraId="18122CED" w14:textId="5FAE4C16" w:rsidR="00445ADC" w:rsidRDefault="00872369" w:rsidP="00872369">
      <w:pPr>
        <w:jc w:val="center"/>
      </w:pPr>
      <w:r>
        <w:t>University of Minnesota</w:t>
      </w:r>
    </w:p>
    <w:p w14:paraId="229CF443" w14:textId="77777777" w:rsidR="007403C7" w:rsidRDefault="001A3C54">
      <w:pPr>
        <w:pStyle w:val="Heading1"/>
      </w:pPr>
      <w:bookmarkStart w:id="0" w:name="_cg9iuhygoigm" w:colFirst="0" w:colLast="0"/>
      <w:bookmarkEnd w:id="0"/>
      <w:r>
        <w:t>Abstract</w:t>
      </w:r>
    </w:p>
    <w:p w14:paraId="6DF843B1" w14:textId="53FF16B2" w:rsidR="00775F76" w:rsidRDefault="00775F76" w:rsidP="00C64221">
      <w:pPr>
        <w:rPr>
          <w:i/>
        </w:rPr>
      </w:pPr>
      <w:r>
        <w:rPr>
          <w:i/>
        </w:rPr>
        <w:t>Traditional statistic</w:t>
      </w:r>
      <w:r w:rsidR="002A77A8">
        <w:rPr>
          <w:i/>
        </w:rPr>
        <w:t>al hypothesis testing</w:t>
      </w:r>
      <w:r>
        <w:rPr>
          <w:i/>
        </w:rPr>
        <w:t xml:space="preserve"> </w:t>
      </w:r>
      <w:r w:rsidR="00AC4CE6">
        <w:rPr>
          <w:i/>
        </w:rPr>
        <w:t xml:space="preserve">privileges p-values less than </w:t>
      </w:r>
      <w:r>
        <w:rPr>
          <w:i/>
        </w:rPr>
        <w:t>.05</w:t>
      </w:r>
      <w:r w:rsidR="00AC4CE6">
        <w:rPr>
          <w:i/>
        </w:rPr>
        <w:t xml:space="preserve"> as achiev</w:t>
      </w:r>
      <w:r w:rsidR="00547582">
        <w:rPr>
          <w:i/>
        </w:rPr>
        <w:t>ing</w:t>
      </w:r>
      <w:r w:rsidR="002A77A8">
        <w:rPr>
          <w:i/>
        </w:rPr>
        <w:t xml:space="preserve"> so-called </w:t>
      </w:r>
      <w:r w:rsidR="00AC4CE6">
        <w:rPr>
          <w:i/>
        </w:rPr>
        <w:t xml:space="preserve">statistical </w:t>
      </w:r>
      <w:r>
        <w:rPr>
          <w:i/>
        </w:rPr>
        <w:t xml:space="preserve">significance. </w:t>
      </w:r>
      <w:r w:rsidR="00AC4CE6">
        <w:rPr>
          <w:i/>
        </w:rPr>
        <w:t xml:space="preserve">Since the </w:t>
      </w:r>
      <w:r w:rsidR="005649CE">
        <w:rPr>
          <w:i/>
        </w:rPr>
        <w:t>mid-20</w:t>
      </w:r>
      <w:r w:rsidR="005649CE" w:rsidRPr="00AC4CE6">
        <w:rPr>
          <w:i/>
          <w:vertAlign w:val="superscript"/>
        </w:rPr>
        <w:t>th</w:t>
      </w:r>
      <w:r w:rsidR="00AC4CE6">
        <w:rPr>
          <w:i/>
        </w:rPr>
        <w:t xml:space="preserve"> century, </w:t>
      </w:r>
      <w:r w:rsidR="002A77A8">
        <w:rPr>
          <w:i/>
        </w:rPr>
        <w:t>this practice has</w:t>
      </w:r>
      <w:r w:rsidR="00AC4CE6">
        <w:rPr>
          <w:i/>
        </w:rPr>
        <w:t xml:space="preserve"> drawn heavy theoretical and methodological criticism, culminating in a 2019 declaration by the American Statistical Association that </w:t>
      </w:r>
      <w:r w:rsidR="002A77A8">
        <w:rPr>
          <w:i/>
        </w:rPr>
        <w:t xml:space="preserve">the term </w:t>
      </w:r>
      <w:r w:rsidR="00AC4CE6">
        <w:rPr>
          <w:i/>
        </w:rPr>
        <w:t xml:space="preserve">statistical significance </w:t>
      </w:r>
      <w:r w:rsidR="002A77A8">
        <w:rPr>
          <w:i/>
        </w:rPr>
        <w:t xml:space="preserve">should henceforth </w:t>
      </w:r>
      <w:r w:rsidR="00AC4CE6">
        <w:rPr>
          <w:i/>
        </w:rPr>
        <w:t xml:space="preserve">be abandoned. </w:t>
      </w:r>
      <w:r w:rsidR="002A77A8">
        <w:rPr>
          <w:i/>
        </w:rPr>
        <w:t xml:space="preserve">Lost in theoretical and methodological debates </w:t>
      </w:r>
      <w:r w:rsidR="00547582">
        <w:rPr>
          <w:i/>
        </w:rPr>
        <w:t>is</w:t>
      </w:r>
      <w:r w:rsidR="002A77A8">
        <w:rPr>
          <w:i/>
        </w:rPr>
        <w:t xml:space="preserve"> the </w:t>
      </w:r>
      <w:r w:rsidR="00AC4CE6">
        <w:rPr>
          <w:i/>
        </w:rPr>
        <w:t xml:space="preserve">psychological </w:t>
      </w:r>
      <w:r>
        <w:rPr>
          <w:i/>
        </w:rPr>
        <w:t xml:space="preserve">consequences of </w:t>
      </w:r>
      <w:r w:rsidR="00AC4CE6">
        <w:rPr>
          <w:i/>
        </w:rPr>
        <w:t xml:space="preserve">the </w:t>
      </w:r>
      <w:r w:rsidR="00547582">
        <w:rPr>
          <w:i/>
        </w:rPr>
        <w:t>statistical</w:t>
      </w:r>
      <w:r w:rsidR="00AC4CE6">
        <w:rPr>
          <w:i/>
        </w:rPr>
        <w:t xml:space="preserve"> significan</w:t>
      </w:r>
      <w:r w:rsidR="00547582">
        <w:rPr>
          <w:i/>
        </w:rPr>
        <w:t>ce</w:t>
      </w:r>
      <w:r w:rsidR="00AC4CE6">
        <w:rPr>
          <w:i/>
        </w:rPr>
        <w:t xml:space="preserve"> </w:t>
      </w:r>
      <w:r w:rsidR="00547582">
        <w:rPr>
          <w:i/>
        </w:rPr>
        <w:t xml:space="preserve">category </w:t>
      </w:r>
      <w:r w:rsidR="00AC4CE6">
        <w:rPr>
          <w:i/>
        </w:rPr>
        <w:t xml:space="preserve">label </w:t>
      </w:r>
      <w:r w:rsidR="002A77A8">
        <w:rPr>
          <w:i/>
        </w:rPr>
        <w:t>on individuals’</w:t>
      </w:r>
      <w:r w:rsidR="00FE2A58">
        <w:rPr>
          <w:i/>
        </w:rPr>
        <w:t xml:space="preserve"> </w:t>
      </w:r>
      <w:r>
        <w:rPr>
          <w:i/>
        </w:rPr>
        <w:t xml:space="preserve">mental representations of </w:t>
      </w:r>
      <w:r w:rsidR="002A77A8">
        <w:rPr>
          <w:i/>
        </w:rPr>
        <w:t>p-values</w:t>
      </w:r>
      <w:r w:rsidR="00AC4CE6">
        <w:rPr>
          <w:i/>
        </w:rPr>
        <w:t>.</w:t>
      </w:r>
      <w:r w:rsidR="002A77A8">
        <w:rPr>
          <w:i/>
        </w:rPr>
        <w:t xml:space="preserve"> Category labels can incite a distortion of the mental representation of physical continuums, known as a categorical perception effect, where differences within a category are perceptually minimized while differences across categorical boundaries are perceptually exaggerated. W</w:t>
      </w:r>
      <w:r w:rsidR="00AC4CE6">
        <w:rPr>
          <w:i/>
        </w:rPr>
        <w:t>e examine</w:t>
      </w:r>
      <w:r w:rsidR="002A77A8">
        <w:rPr>
          <w:i/>
        </w:rPr>
        <w:t>d</w:t>
      </w:r>
      <w:r w:rsidR="00AC4CE6">
        <w:rPr>
          <w:i/>
        </w:rPr>
        <w:t xml:space="preserve"> </w:t>
      </w:r>
      <w:r>
        <w:rPr>
          <w:i/>
        </w:rPr>
        <w:t xml:space="preserve">whether .05 </w:t>
      </w:r>
      <w:r w:rsidR="00AC4CE6">
        <w:rPr>
          <w:i/>
        </w:rPr>
        <w:t xml:space="preserve">has become a </w:t>
      </w:r>
      <w:r w:rsidR="002A77A8">
        <w:rPr>
          <w:i/>
        </w:rPr>
        <w:t>such a</w:t>
      </w:r>
      <w:r w:rsidR="00AC4CE6">
        <w:rPr>
          <w:i/>
        </w:rPr>
        <w:t xml:space="preserve"> boundary, </w:t>
      </w:r>
      <w:r w:rsidR="00547582">
        <w:rPr>
          <w:i/>
        </w:rPr>
        <w:t>forming</w:t>
      </w:r>
      <w:r w:rsidR="009827A8">
        <w:rPr>
          <w:i/>
        </w:rPr>
        <w:t xml:space="preserve"> a discontinuity </w:t>
      </w:r>
      <w:r w:rsidR="00B77F3F">
        <w:rPr>
          <w:i/>
        </w:rPr>
        <w:t>in</w:t>
      </w:r>
      <w:r w:rsidR="009827A8">
        <w:rPr>
          <w:i/>
        </w:rPr>
        <w:t xml:space="preserve"> the mental number line</w:t>
      </w:r>
      <w:r w:rsidR="00AC4CE6">
        <w:rPr>
          <w:i/>
        </w:rPr>
        <w:t xml:space="preserve">, </w:t>
      </w:r>
      <w:r w:rsidR="002A77A8">
        <w:rPr>
          <w:i/>
        </w:rPr>
        <w:t>exaggerating perceived differences between statistically significan</w:t>
      </w:r>
      <w:r w:rsidR="00547582">
        <w:rPr>
          <w:i/>
        </w:rPr>
        <w:t>t</w:t>
      </w:r>
      <w:r w:rsidR="002A77A8">
        <w:rPr>
          <w:i/>
        </w:rPr>
        <w:t xml:space="preserve"> p-values and those that are not</w:t>
      </w:r>
      <w:r>
        <w:rPr>
          <w:i/>
        </w:rPr>
        <w:t xml:space="preserve">. </w:t>
      </w:r>
      <w:r w:rsidRPr="003B6E3B">
        <w:rPr>
          <w:i/>
        </w:rPr>
        <w:t>25 graduate students with statistical training</w:t>
      </w:r>
      <w:r>
        <w:rPr>
          <w:i/>
        </w:rPr>
        <w:t xml:space="preserve"> viewed pairs of p-values and judged whether they were “similar” or “different”. </w:t>
      </w:r>
      <w:r w:rsidR="00547582">
        <w:rPr>
          <w:i/>
        </w:rPr>
        <w:t>P</w:t>
      </w:r>
      <w:r w:rsidR="00401C02">
        <w:rPr>
          <w:i/>
        </w:rPr>
        <w:t xml:space="preserve">articipants were </w:t>
      </w:r>
      <w:r w:rsidR="00547582">
        <w:rPr>
          <w:i/>
        </w:rPr>
        <w:t xml:space="preserve">between 1.5 to 4 times </w:t>
      </w:r>
      <w:r w:rsidR="00401C02">
        <w:rPr>
          <w:i/>
        </w:rPr>
        <w:t xml:space="preserve">more likely to judge p-values as </w:t>
      </w:r>
      <w:r w:rsidR="00445ADC">
        <w:rPr>
          <w:i/>
        </w:rPr>
        <w:t xml:space="preserve">“different” </w:t>
      </w:r>
      <w:r>
        <w:rPr>
          <w:i/>
        </w:rPr>
        <w:t>when they crossed the .05 boundary (e.g., .04</w:t>
      </w:r>
      <w:r w:rsidR="002A77A8">
        <w:rPr>
          <w:i/>
        </w:rPr>
        <w:t>8</w:t>
      </w:r>
      <w:r w:rsidR="003960FD">
        <w:t xml:space="preserve"> – </w:t>
      </w:r>
      <w:r>
        <w:rPr>
          <w:i/>
        </w:rPr>
        <w:t>.05</w:t>
      </w:r>
      <w:r w:rsidR="002A77A8">
        <w:rPr>
          <w:i/>
        </w:rPr>
        <w:t>2</w:t>
      </w:r>
      <w:r>
        <w:rPr>
          <w:i/>
        </w:rPr>
        <w:t>) compared to when they did not (e.g., .0</w:t>
      </w:r>
      <w:r w:rsidR="002A77A8">
        <w:rPr>
          <w:i/>
        </w:rPr>
        <w:t>28</w:t>
      </w:r>
      <w:r w:rsidR="003960FD">
        <w:t xml:space="preserve"> – </w:t>
      </w:r>
      <w:r>
        <w:rPr>
          <w:i/>
        </w:rPr>
        <w:t>.0</w:t>
      </w:r>
      <w:r w:rsidR="002A77A8">
        <w:rPr>
          <w:i/>
        </w:rPr>
        <w:t>32</w:t>
      </w:r>
      <w:r>
        <w:rPr>
          <w:i/>
        </w:rPr>
        <w:t>).</w:t>
      </w:r>
      <w:r w:rsidR="00547582">
        <w:rPr>
          <w:i/>
        </w:rPr>
        <w:t xml:space="preserve"> Furthermore, participants were approximately 24% faster at selecting “different” when p-values crossed the .05 boundary. This evidence, consistent with the predictions of a categorical perception effect and contrary to current theories of the mental representation of numbers, </w:t>
      </w:r>
      <w:r w:rsidR="00401C02">
        <w:rPr>
          <w:i/>
        </w:rPr>
        <w:t xml:space="preserve">suggests </w:t>
      </w:r>
      <w:r>
        <w:rPr>
          <w:i/>
        </w:rPr>
        <w:t xml:space="preserve">that traditional statistical </w:t>
      </w:r>
      <w:r w:rsidR="005649CE">
        <w:rPr>
          <w:i/>
        </w:rPr>
        <w:t>training</w:t>
      </w:r>
      <w:r>
        <w:rPr>
          <w:i/>
        </w:rPr>
        <w:t xml:space="preserve"> creates a </w:t>
      </w:r>
      <w:r w:rsidR="0065190D">
        <w:rPr>
          <w:i/>
        </w:rPr>
        <w:t xml:space="preserve">psychologically real </w:t>
      </w:r>
      <w:r w:rsidR="005649CE">
        <w:rPr>
          <w:i/>
        </w:rPr>
        <w:t>separation</w:t>
      </w:r>
      <w:r w:rsidR="00232D7A">
        <w:rPr>
          <w:i/>
        </w:rPr>
        <w:t xml:space="preserve"> between</w:t>
      </w:r>
      <w:r w:rsidR="00C64221">
        <w:rPr>
          <w:i/>
        </w:rPr>
        <w:t xml:space="preserve"> </w:t>
      </w:r>
      <w:r w:rsidR="005649CE">
        <w:rPr>
          <w:i/>
        </w:rPr>
        <w:t xml:space="preserve">statistically </w:t>
      </w:r>
      <w:r>
        <w:rPr>
          <w:i/>
        </w:rPr>
        <w:t>significant and non-significant</w:t>
      </w:r>
      <w:r w:rsidR="00232D7A">
        <w:rPr>
          <w:i/>
        </w:rPr>
        <w:t xml:space="preserve"> p-values</w:t>
      </w:r>
      <w:r w:rsidR="00547582">
        <w:rPr>
          <w:i/>
        </w:rPr>
        <w:t>.</w:t>
      </w:r>
      <w:r>
        <w:rPr>
          <w:i/>
        </w:rPr>
        <w:t xml:space="preserve"> </w:t>
      </w:r>
      <w:r w:rsidR="00B77F3F">
        <w:rPr>
          <w:i/>
        </w:rPr>
        <w:t>A</w:t>
      </w:r>
      <w:r>
        <w:rPr>
          <w:i/>
        </w:rPr>
        <w:t xml:space="preserve"> </w:t>
      </w:r>
      <w:r w:rsidR="00232D7A">
        <w:rPr>
          <w:i/>
        </w:rPr>
        <w:t>distortion</w:t>
      </w:r>
      <w:r w:rsidR="00547582">
        <w:rPr>
          <w:i/>
        </w:rPr>
        <w:t xml:space="preserve"> of the mental representation of p-values implies that statistical significance, so entrenched in teaching and practice, is more than just a name – it has permeated the way we fundamentally perceive p-values, a precursor to reasoning about them and making inferences. </w:t>
      </w:r>
      <w:r w:rsidR="002A77A8">
        <w:rPr>
          <w:i/>
        </w:rPr>
        <w:t xml:space="preserve">To truly realize a world beyond p &lt; .05, we must first rectify the psychological repercussions of a century of statistical significance. </w:t>
      </w:r>
    </w:p>
    <w:p w14:paraId="48ED4B3F" w14:textId="77777777" w:rsidR="003B6E3B" w:rsidRDefault="003B6E3B"/>
    <w:p w14:paraId="71CC2A6C" w14:textId="1A9785BF" w:rsidR="007403C7" w:rsidRDefault="001A3C54">
      <w:r>
        <w:t xml:space="preserve">Keywords: statistics education; </w:t>
      </w:r>
      <w:r w:rsidR="008415DE">
        <w:t>rational number processing; categorical perception.</w:t>
      </w:r>
    </w:p>
    <w:p w14:paraId="4FB0A6DB" w14:textId="77777777" w:rsidR="00AA4EC6" w:rsidRDefault="00AA4EC6">
      <w:pPr>
        <w:rPr>
          <w:sz w:val="40"/>
          <w:szCs w:val="40"/>
        </w:rPr>
      </w:pPr>
      <w:bookmarkStart w:id="1" w:name="_9sa8ch45qt0c" w:colFirst="0" w:colLast="0"/>
      <w:bookmarkEnd w:id="1"/>
      <w:r>
        <w:br w:type="page"/>
      </w:r>
    </w:p>
    <w:p w14:paraId="08AA66D5" w14:textId="77777777" w:rsidR="00AA4EC6" w:rsidRPr="00AA4EC6" w:rsidRDefault="00AA4EC6" w:rsidP="00AA4EC6">
      <w:pPr>
        <w:spacing w:line="240" w:lineRule="auto"/>
        <w:rPr>
          <w:rFonts w:ascii="Times New Roman" w:eastAsia="Times New Roman" w:hAnsi="Times New Roman" w:cs="Times New Roman"/>
          <w:sz w:val="20"/>
          <w:szCs w:val="20"/>
          <w:lang w:val="en-US" w:bidi="ta-IN"/>
        </w:rPr>
      </w:pPr>
      <w:r w:rsidRPr="00AA4EC6">
        <w:rPr>
          <w:rFonts w:eastAsia="Times New Roman"/>
          <w:color w:val="222222"/>
          <w:sz w:val="20"/>
          <w:szCs w:val="20"/>
          <w:shd w:val="clear" w:color="auto" w:fill="FFFFFF"/>
          <w:lang w:val="en-US" w:bidi="ta-IN"/>
        </w:rPr>
        <w:lastRenderedPageBreak/>
        <w:t xml:space="preserve">Phil of Sci can also be a mess.  But as </w:t>
      </w:r>
      <w:proofErr w:type="spellStart"/>
      <w:r w:rsidRPr="00AA4EC6">
        <w:rPr>
          <w:rFonts w:eastAsia="Times New Roman"/>
          <w:color w:val="222222"/>
          <w:sz w:val="20"/>
          <w:szCs w:val="20"/>
          <w:shd w:val="clear" w:color="auto" w:fill="FFFFFF"/>
          <w:lang w:val="en-US" w:bidi="ta-IN"/>
        </w:rPr>
        <w:t>Sashank</w:t>
      </w:r>
      <w:proofErr w:type="spellEnd"/>
      <w:r w:rsidRPr="00AA4EC6">
        <w:rPr>
          <w:rFonts w:eastAsia="Times New Roman"/>
          <w:color w:val="222222"/>
          <w:sz w:val="20"/>
          <w:szCs w:val="20"/>
          <w:shd w:val="clear" w:color="auto" w:fill="FFFFFF"/>
          <w:lang w:val="en-US" w:bidi="ta-IN"/>
        </w:rPr>
        <w:t xml:space="preserve"> said, this is a </w:t>
      </w:r>
      <w:proofErr w:type="gramStart"/>
      <w:r w:rsidRPr="00AA4EC6">
        <w:rPr>
          <w:rFonts w:eastAsia="Times New Roman"/>
          <w:color w:val="222222"/>
          <w:sz w:val="20"/>
          <w:szCs w:val="20"/>
          <w:shd w:val="clear" w:color="auto" w:fill="FFFFFF"/>
          <w:lang w:val="en-US" w:bidi="ta-IN"/>
        </w:rPr>
        <w:t>really clear</w:t>
      </w:r>
      <w:proofErr w:type="gramEnd"/>
      <w:r w:rsidRPr="00AA4EC6">
        <w:rPr>
          <w:rFonts w:eastAsia="Times New Roman"/>
          <w:color w:val="222222"/>
          <w:sz w:val="20"/>
          <w:szCs w:val="20"/>
          <w:shd w:val="clear" w:color="auto" w:fill="FFFFFF"/>
          <w:lang w:val="en-US" w:bidi="ta-IN"/>
        </w:rPr>
        <w:t xml:space="preserve"> model-competition paradigm where both models are principled.  </w:t>
      </w:r>
      <w:proofErr w:type="gramStart"/>
      <w:r w:rsidRPr="00AA4EC6">
        <w:rPr>
          <w:rFonts w:eastAsia="Times New Roman"/>
          <w:color w:val="222222"/>
          <w:sz w:val="20"/>
          <w:szCs w:val="20"/>
          <w:shd w:val="clear" w:color="auto" w:fill="FFFFFF"/>
          <w:lang w:val="en-US" w:bidi="ta-IN"/>
        </w:rPr>
        <w:t>It’s</w:t>
      </w:r>
      <w:proofErr w:type="gramEnd"/>
      <w:r w:rsidRPr="00AA4EC6">
        <w:rPr>
          <w:rFonts w:eastAsia="Times New Roman"/>
          <w:color w:val="222222"/>
          <w:sz w:val="20"/>
          <w:szCs w:val="20"/>
          <w:shd w:val="clear" w:color="auto" w:fill="FFFFFF"/>
          <w:lang w:val="en-US" w:bidi="ta-IN"/>
        </w:rPr>
        <w:t xml:space="preserve"> hard to come up with a more optimal design than this!</w:t>
      </w:r>
    </w:p>
    <w:p w14:paraId="0C37AA63"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4E90437F"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222222"/>
          <w:sz w:val="20"/>
          <w:szCs w:val="20"/>
          <w:lang w:val="en-US" w:bidi="ta-IN"/>
        </w:rPr>
        <w:t>To reiterate:</w:t>
      </w:r>
    </w:p>
    <w:p w14:paraId="0F7A4D6F"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61F95D2F"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222222"/>
          <w:sz w:val="20"/>
          <w:szCs w:val="20"/>
          <w:lang w:val="en-US" w:bidi="ta-IN"/>
        </w:rPr>
        <w:t>CPE and Log MNL make different predictions about the p-value MNL.  You then carefully chose stimuli for which CPE and Log MNL would make differing predictions.  The contrasts you make (e.g., below/across/above) are driven by consideration of </w:t>
      </w:r>
      <w:r w:rsidRPr="00AA4EC6">
        <w:rPr>
          <w:rFonts w:eastAsia="Times New Roman"/>
          <w:i/>
          <w:iCs/>
          <w:color w:val="222222"/>
          <w:sz w:val="20"/>
          <w:szCs w:val="20"/>
          <w:lang w:val="en-US" w:bidi="ta-IN"/>
        </w:rPr>
        <w:t>both</w:t>
      </w:r>
      <w:r w:rsidRPr="00AA4EC6">
        <w:rPr>
          <w:rFonts w:eastAsia="Times New Roman"/>
          <w:color w:val="222222"/>
          <w:sz w:val="20"/>
          <w:szCs w:val="20"/>
          <w:lang w:val="en-US" w:bidi="ta-IN"/>
        </w:rPr>
        <w:t> models — they provide differential predictions.  This is the best kind of design.</w:t>
      </w:r>
    </w:p>
    <w:p w14:paraId="3678C751"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52832FD6"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222222"/>
          <w:sz w:val="20"/>
          <w:szCs w:val="20"/>
          <w:lang w:val="en-US" w:bidi="ta-IN"/>
        </w:rPr>
        <w:t xml:space="preserve">If instead you had just been thinking about corroborating vs. falsifying log MNL, you would have probably chosen p-values somewhat uniformly along a continuum, maybe from .01 to .1, without preferential treatment near .05.  Even if you just had an inkling that .05 was interesting, maybe </w:t>
      </w:r>
      <w:proofErr w:type="gramStart"/>
      <w:r w:rsidRPr="00AA4EC6">
        <w:rPr>
          <w:rFonts w:eastAsia="Times New Roman"/>
          <w:color w:val="222222"/>
          <w:sz w:val="20"/>
          <w:szCs w:val="20"/>
          <w:lang w:val="en-US" w:bidi="ta-IN"/>
        </w:rPr>
        <w:t>you’d</w:t>
      </w:r>
      <w:proofErr w:type="gramEnd"/>
      <w:r w:rsidRPr="00AA4EC6">
        <w:rPr>
          <w:rFonts w:eastAsia="Times New Roman"/>
          <w:color w:val="222222"/>
          <w:sz w:val="20"/>
          <w:szCs w:val="20"/>
          <w:lang w:val="en-US" w:bidi="ta-IN"/>
        </w:rPr>
        <w:t xml:space="preserve"> sprinkle a bit more stims around .05, but you wouldn’t have chosen the tightly controlled .03 and .07 (and others) comparisons.</w:t>
      </w:r>
    </w:p>
    <w:p w14:paraId="0DCF148A"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5C53A5E8"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roofErr w:type="gramStart"/>
      <w:r w:rsidRPr="00AA4EC6">
        <w:rPr>
          <w:rFonts w:eastAsia="Times New Roman"/>
          <w:color w:val="222222"/>
          <w:sz w:val="20"/>
          <w:szCs w:val="20"/>
          <w:lang w:val="en-US" w:bidi="ta-IN"/>
        </w:rPr>
        <w:t>It’s</w:t>
      </w:r>
      <w:proofErr w:type="gramEnd"/>
      <w:r w:rsidRPr="00AA4EC6">
        <w:rPr>
          <w:rFonts w:eastAsia="Times New Roman"/>
          <w:color w:val="222222"/>
          <w:sz w:val="20"/>
          <w:szCs w:val="20"/>
          <w:lang w:val="en-US" w:bidi="ta-IN"/>
        </w:rPr>
        <w:t xml:space="preserve"> precisely because you had a clearly articulated CPE model in mind that you designed the study so well to contrast the two models — and you knew that .03 and .07 were relevant controls for .05 because A) there’s a potential for any decade to have a CPE, and B) we know that log compression makes different predictions above/below .05.  In other words, you were considering both models!</w:t>
      </w:r>
    </w:p>
    <w:p w14:paraId="1010A2D4"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694367EB"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000000"/>
          <w:sz w:val="20"/>
          <w:szCs w:val="20"/>
          <w:lang w:val="en-US" w:bidi="ta-IN"/>
        </w:rPr>
        <w:t>The strength of your design and careful consideration of stimuli are that they provide clearly distinguishable predictions.  </w:t>
      </w:r>
      <w:r w:rsidRPr="00AA4EC6">
        <w:rPr>
          <w:rFonts w:eastAsia="Times New Roman"/>
          <w:color w:val="222222"/>
          <w:sz w:val="20"/>
          <w:szCs w:val="20"/>
          <w:lang w:val="en-US" w:bidi="ta-IN"/>
        </w:rPr>
        <w:t>That applies to the </w:t>
      </w:r>
      <w:r w:rsidRPr="00AA4EC6">
        <w:rPr>
          <w:rFonts w:eastAsia="Times New Roman"/>
          <w:i/>
          <w:iCs/>
          <w:color w:val="222222"/>
          <w:sz w:val="20"/>
          <w:szCs w:val="20"/>
          <w:lang w:val="en-US" w:bidi="ta-IN"/>
        </w:rPr>
        <w:t>research design </w:t>
      </w:r>
      <w:r w:rsidRPr="00AA4EC6">
        <w:rPr>
          <w:rFonts w:eastAsia="Times New Roman"/>
          <w:color w:val="222222"/>
          <w:sz w:val="20"/>
          <w:szCs w:val="20"/>
          <w:lang w:val="en-US" w:bidi="ta-IN"/>
        </w:rPr>
        <w:t>itself.  This is separate from stats.</w:t>
      </w:r>
    </w:p>
    <w:p w14:paraId="59F69875"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6443A488"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222222"/>
          <w:sz w:val="20"/>
          <w:szCs w:val="20"/>
          <w:lang w:val="en-US" w:bidi="ta-IN"/>
        </w:rPr>
        <w:t xml:space="preserve">On the stats end, you can think of this in </w:t>
      </w:r>
      <w:proofErr w:type="spellStart"/>
      <w:r w:rsidRPr="00AA4EC6">
        <w:rPr>
          <w:rFonts w:eastAsia="Times New Roman"/>
          <w:color w:val="222222"/>
          <w:sz w:val="20"/>
          <w:szCs w:val="20"/>
          <w:lang w:val="en-US" w:bidi="ta-IN"/>
        </w:rPr>
        <w:t>Neyman</w:t>
      </w:r>
      <w:proofErr w:type="spellEnd"/>
      <w:r w:rsidRPr="00AA4EC6">
        <w:rPr>
          <w:rFonts w:eastAsia="Times New Roman"/>
          <w:color w:val="222222"/>
          <w:sz w:val="20"/>
          <w:szCs w:val="20"/>
          <w:lang w:val="en-US" w:bidi="ta-IN"/>
        </w:rPr>
        <w:t xml:space="preserve"> terms or in likelihood terms or in Bayesian terms or whatever.  You could articulate both models and compute a Bayes factor or a likelihood ratio.  But </w:t>
      </w:r>
      <w:proofErr w:type="gramStart"/>
      <w:r w:rsidRPr="00AA4EC6">
        <w:rPr>
          <w:rFonts w:eastAsia="Times New Roman"/>
          <w:color w:val="222222"/>
          <w:sz w:val="20"/>
          <w:szCs w:val="20"/>
          <w:lang w:val="en-US" w:bidi="ta-IN"/>
        </w:rPr>
        <w:t>it’s</w:t>
      </w:r>
      <w:proofErr w:type="gramEnd"/>
      <w:r w:rsidRPr="00AA4EC6">
        <w:rPr>
          <w:rFonts w:eastAsia="Times New Roman"/>
          <w:color w:val="222222"/>
          <w:sz w:val="20"/>
          <w:szCs w:val="20"/>
          <w:lang w:val="en-US" w:bidi="ta-IN"/>
        </w:rPr>
        <w:t xml:space="preserve"> a model-comparison study design.  Which is rarer than </w:t>
      </w:r>
      <w:proofErr w:type="gramStart"/>
      <w:r w:rsidRPr="00AA4EC6">
        <w:rPr>
          <w:rFonts w:eastAsia="Times New Roman"/>
          <w:color w:val="222222"/>
          <w:sz w:val="20"/>
          <w:szCs w:val="20"/>
          <w:lang w:val="en-US" w:bidi="ta-IN"/>
        </w:rPr>
        <w:t>we’d</w:t>
      </w:r>
      <w:proofErr w:type="gramEnd"/>
      <w:r w:rsidRPr="00AA4EC6">
        <w:rPr>
          <w:rFonts w:eastAsia="Times New Roman"/>
          <w:color w:val="222222"/>
          <w:sz w:val="20"/>
          <w:szCs w:val="20"/>
          <w:lang w:val="en-US" w:bidi="ta-IN"/>
        </w:rPr>
        <w:t xml:space="preserve"> hope.  </w:t>
      </w:r>
      <w:proofErr w:type="gramStart"/>
      <w:r w:rsidRPr="00AA4EC6">
        <w:rPr>
          <w:rFonts w:eastAsia="Times New Roman"/>
          <w:color w:val="222222"/>
          <w:sz w:val="20"/>
          <w:szCs w:val="20"/>
          <w:lang w:val="en-US" w:bidi="ta-IN"/>
        </w:rPr>
        <w:t>So</w:t>
      </w:r>
      <w:proofErr w:type="gramEnd"/>
      <w:r w:rsidRPr="00AA4EC6">
        <w:rPr>
          <w:rFonts w:eastAsia="Times New Roman"/>
          <w:color w:val="222222"/>
          <w:sz w:val="20"/>
          <w:szCs w:val="20"/>
          <w:lang w:val="en-US" w:bidi="ta-IN"/>
        </w:rPr>
        <w:t xml:space="preserve"> lean into it!  Bask in the science glory.</w:t>
      </w:r>
    </w:p>
    <w:p w14:paraId="120BE20E"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6CEBF518"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roofErr w:type="gramStart"/>
      <w:r w:rsidRPr="00AA4EC6">
        <w:rPr>
          <w:rFonts w:eastAsia="Times New Roman"/>
          <w:color w:val="222222"/>
          <w:sz w:val="20"/>
          <w:szCs w:val="20"/>
          <w:lang w:val="en-US" w:bidi="ta-IN"/>
        </w:rPr>
        <w:t>You’re</w:t>
      </w:r>
      <w:proofErr w:type="gramEnd"/>
      <w:r w:rsidRPr="00AA4EC6">
        <w:rPr>
          <w:rFonts w:eastAsia="Times New Roman"/>
          <w:color w:val="222222"/>
          <w:sz w:val="20"/>
          <w:szCs w:val="20"/>
          <w:lang w:val="en-US" w:bidi="ta-IN"/>
        </w:rPr>
        <w:t xml:space="preserve"> right that the CPE model doesn’t provide a specific magnitude of exaggeration.  </w:t>
      </w:r>
      <w:proofErr w:type="gramStart"/>
      <w:r w:rsidRPr="00AA4EC6">
        <w:rPr>
          <w:rFonts w:eastAsia="Times New Roman"/>
          <w:color w:val="222222"/>
          <w:sz w:val="20"/>
          <w:szCs w:val="20"/>
          <w:lang w:val="en-US" w:bidi="ta-IN"/>
        </w:rPr>
        <w:t>That’s</w:t>
      </w:r>
      <w:proofErr w:type="gramEnd"/>
      <w:r w:rsidRPr="00AA4EC6">
        <w:rPr>
          <w:rFonts w:eastAsia="Times New Roman"/>
          <w:color w:val="222222"/>
          <w:sz w:val="20"/>
          <w:szCs w:val="20"/>
          <w:lang w:val="en-US" w:bidi="ta-IN"/>
        </w:rPr>
        <w:t xml:space="preserve"> a limitation of our knowledge, not the design.  </w:t>
      </w:r>
      <w:proofErr w:type="gramStart"/>
      <w:r w:rsidRPr="00AA4EC6">
        <w:rPr>
          <w:rFonts w:eastAsia="Times New Roman"/>
          <w:color w:val="222222"/>
          <w:sz w:val="20"/>
          <w:szCs w:val="20"/>
          <w:lang w:val="en-US" w:bidi="ta-IN"/>
        </w:rPr>
        <w:t>There’s</w:t>
      </w:r>
      <w:proofErr w:type="gramEnd"/>
      <w:r w:rsidRPr="00AA4EC6">
        <w:rPr>
          <w:rFonts w:eastAsia="Times New Roman"/>
          <w:color w:val="222222"/>
          <w:sz w:val="20"/>
          <w:szCs w:val="20"/>
          <w:lang w:val="en-US" w:bidi="ta-IN"/>
        </w:rPr>
        <w:t xml:space="preserve"> no way to theoretically justify a given size of the distortion to model, because there’s no analogous research on CPEs in numbers to draw from.</w:t>
      </w:r>
    </w:p>
    <w:p w14:paraId="33269AE5"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6B1122B9"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roofErr w:type="gramStart"/>
      <w:r w:rsidRPr="00AA4EC6">
        <w:rPr>
          <w:rFonts w:eastAsia="Times New Roman"/>
          <w:color w:val="222222"/>
          <w:sz w:val="20"/>
          <w:szCs w:val="20"/>
          <w:lang w:val="en-US" w:bidi="ta-IN"/>
        </w:rPr>
        <w:t>So</w:t>
      </w:r>
      <w:proofErr w:type="gramEnd"/>
      <w:r w:rsidRPr="00AA4EC6">
        <w:rPr>
          <w:rFonts w:eastAsia="Times New Roman"/>
          <w:color w:val="222222"/>
          <w:sz w:val="20"/>
          <w:szCs w:val="20"/>
          <w:lang w:val="en-US" w:bidi="ta-IN"/>
        </w:rPr>
        <w:t xml:space="preserve"> in Bayesian (non-</w:t>
      </w:r>
      <w:proofErr w:type="spellStart"/>
      <w:r w:rsidRPr="00AA4EC6">
        <w:rPr>
          <w:rFonts w:eastAsia="Times New Roman"/>
          <w:color w:val="222222"/>
          <w:sz w:val="20"/>
          <w:szCs w:val="20"/>
          <w:lang w:val="en-US" w:bidi="ta-IN"/>
        </w:rPr>
        <w:t>Neyman</w:t>
      </w:r>
      <w:proofErr w:type="spellEnd"/>
      <w:r w:rsidRPr="00AA4EC6">
        <w:rPr>
          <w:rFonts w:eastAsia="Times New Roman"/>
          <w:color w:val="222222"/>
          <w:sz w:val="20"/>
          <w:szCs w:val="20"/>
          <w:lang w:val="en-US" w:bidi="ta-IN"/>
        </w:rPr>
        <w:t>-</w:t>
      </w:r>
      <w:proofErr w:type="spellStart"/>
      <w:r w:rsidRPr="00AA4EC6">
        <w:rPr>
          <w:rFonts w:eastAsia="Times New Roman"/>
          <w:color w:val="222222"/>
          <w:sz w:val="20"/>
          <w:szCs w:val="20"/>
          <w:lang w:val="en-US" w:bidi="ta-IN"/>
        </w:rPr>
        <w:t>ian</w:t>
      </w:r>
      <w:proofErr w:type="spellEnd"/>
      <w:r w:rsidRPr="00AA4EC6">
        <w:rPr>
          <w:rFonts w:eastAsia="Times New Roman"/>
          <w:color w:val="222222"/>
          <w:sz w:val="20"/>
          <w:szCs w:val="20"/>
          <w:lang w:val="en-US" w:bidi="ta-IN"/>
        </w:rPr>
        <w:t xml:space="preserve">) terms, you can think of the CPE model’s 'distortion parameter’ (the extent of distortion) as being relatively disperse/uniform but having very low probability for a CPE of 0.  And </w:t>
      </w:r>
      <w:proofErr w:type="gramStart"/>
      <w:r w:rsidRPr="00AA4EC6">
        <w:rPr>
          <w:rFonts w:eastAsia="Times New Roman"/>
          <w:color w:val="222222"/>
          <w:sz w:val="20"/>
          <w:szCs w:val="20"/>
          <w:lang w:val="en-US" w:bidi="ta-IN"/>
        </w:rPr>
        <w:t>that’s</w:t>
      </w:r>
      <w:proofErr w:type="gramEnd"/>
      <w:r w:rsidRPr="00AA4EC6">
        <w:rPr>
          <w:rFonts w:eastAsia="Times New Roman"/>
          <w:color w:val="222222"/>
          <w:sz w:val="20"/>
          <w:szCs w:val="20"/>
          <w:lang w:val="en-US" w:bidi="ta-IN"/>
        </w:rPr>
        <w:t xml:space="preserve"> OK!  </w:t>
      </w:r>
      <w:proofErr w:type="gramStart"/>
      <w:r w:rsidRPr="00AA4EC6">
        <w:rPr>
          <w:rFonts w:eastAsia="Times New Roman"/>
          <w:color w:val="222222"/>
          <w:sz w:val="20"/>
          <w:szCs w:val="20"/>
          <w:lang w:val="en-US" w:bidi="ta-IN"/>
        </w:rPr>
        <w:t>It’s</w:t>
      </w:r>
      <w:proofErr w:type="gramEnd"/>
      <w:r w:rsidRPr="00AA4EC6">
        <w:rPr>
          <w:rFonts w:eastAsia="Times New Roman"/>
          <w:color w:val="222222"/>
          <w:sz w:val="20"/>
          <w:szCs w:val="20"/>
          <w:lang w:val="en-US" w:bidi="ta-IN"/>
        </w:rPr>
        <w:t xml:space="preserve"> still a qualitatively clear prediction that differs from Log MNL.  Then you do the study, and our posterior for the parameter gets a lot more precise — IF there is a CPE effect (if we get a peak in the likelihood </w:t>
      </w:r>
      <w:proofErr w:type="gramStart"/>
      <w:r w:rsidRPr="00AA4EC6">
        <w:rPr>
          <w:rFonts w:eastAsia="Times New Roman"/>
          <w:color w:val="222222"/>
          <w:sz w:val="20"/>
          <w:szCs w:val="20"/>
          <w:lang w:val="en-US" w:bidi="ta-IN"/>
        </w:rPr>
        <w:t>that’s</w:t>
      </w:r>
      <w:proofErr w:type="gramEnd"/>
      <w:r w:rsidRPr="00AA4EC6">
        <w:rPr>
          <w:rFonts w:eastAsia="Times New Roman"/>
          <w:color w:val="222222"/>
          <w:sz w:val="20"/>
          <w:szCs w:val="20"/>
          <w:lang w:val="en-US" w:bidi="ta-IN"/>
        </w:rPr>
        <w:t xml:space="preserve"> not around 0), then we get a narrower posterior around a decent quantification of the distortion.</w:t>
      </w:r>
    </w:p>
    <w:p w14:paraId="0B6E03C1"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1692B000"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222222"/>
          <w:sz w:val="20"/>
          <w:szCs w:val="20"/>
          <w:lang w:val="en-US" w:bidi="ta-IN"/>
        </w:rPr>
        <w:t xml:space="preserve">Meanwhile, the Log MNL model predicts none of this — it makes the predictions you show in that graph.  We have a very clear quantification for this ‘log distortion’ because </w:t>
      </w:r>
      <w:proofErr w:type="gramStart"/>
      <w:r w:rsidRPr="00AA4EC6">
        <w:rPr>
          <w:rFonts w:eastAsia="Times New Roman"/>
          <w:color w:val="222222"/>
          <w:sz w:val="20"/>
          <w:szCs w:val="20"/>
          <w:lang w:val="en-US" w:bidi="ta-IN"/>
        </w:rPr>
        <w:t>it’s</w:t>
      </w:r>
      <w:proofErr w:type="gramEnd"/>
      <w:r w:rsidRPr="00AA4EC6">
        <w:rPr>
          <w:rFonts w:eastAsia="Times New Roman"/>
          <w:color w:val="222222"/>
          <w:sz w:val="20"/>
          <w:szCs w:val="20"/>
          <w:lang w:val="en-US" w:bidi="ta-IN"/>
        </w:rPr>
        <w:t xml:space="preserve"> extremely well studied.  It’s OK to have one more </w:t>
      </w:r>
      <w:proofErr w:type="spellStart"/>
      <w:r w:rsidRPr="00AA4EC6">
        <w:rPr>
          <w:rFonts w:eastAsia="Times New Roman"/>
          <w:color w:val="222222"/>
          <w:sz w:val="20"/>
          <w:szCs w:val="20"/>
          <w:lang w:val="en-US" w:bidi="ta-IN"/>
        </w:rPr>
        <w:t>more</w:t>
      </w:r>
      <w:proofErr w:type="spellEnd"/>
      <w:r w:rsidRPr="00AA4EC6">
        <w:rPr>
          <w:rFonts w:eastAsia="Times New Roman"/>
          <w:color w:val="222222"/>
          <w:sz w:val="20"/>
          <w:szCs w:val="20"/>
          <w:lang w:val="en-US" w:bidi="ta-IN"/>
        </w:rPr>
        <w:t xml:space="preserve"> precise than the other because they differ qualitatively and they specifically </w:t>
      </w:r>
      <w:proofErr w:type="gramStart"/>
      <w:r w:rsidRPr="00AA4EC6">
        <w:rPr>
          <w:rFonts w:eastAsia="Times New Roman"/>
          <w:color w:val="222222"/>
          <w:sz w:val="20"/>
          <w:szCs w:val="20"/>
          <w:lang w:val="en-US" w:bidi="ta-IN"/>
        </w:rPr>
        <w:t>differ  in</w:t>
      </w:r>
      <w:proofErr w:type="gramEnd"/>
      <w:r w:rsidRPr="00AA4EC6">
        <w:rPr>
          <w:rFonts w:eastAsia="Times New Roman"/>
          <w:color w:val="222222"/>
          <w:sz w:val="20"/>
          <w:szCs w:val="20"/>
          <w:lang w:val="en-US" w:bidi="ta-IN"/>
        </w:rPr>
        <w:t xml:space="preserve"> their predictions for the stimuli you chose — that’s why you chose them!</w:t>
      </w:r>
    </w:p>
    <w:p w14:paraId="14769BE9" w14:textId="77777777" w:rsidR="00AA4EC6" w:rsidRPr="00AA4EC6" w:rsidRDefault="00AA4EC6" w:rsidP="00AA4EC6">
      <w:pPr>
        <w:shd w:val="clear" w:color="auto" w:fill="FFFFFF"/>
        <w:spacing w:line="240" w:lineRule="auto"/>
        <w:rPr>
          <w:rFonts w:eastAsia="Times New Roman"/>
          <w:color w:val="222222"/>
          <w:sz w:val="20"/>
          <w:szCs w:val="20"/>
          <w:lang w:val="en-US" w:bidi="ta-IN"/>
        </w:rPr>
      </w:pPr>
    </w:p>
    <w:p w14:paraId="2547FE0E" w14:textId="77777777" w:rsidR="00AA4EC6" w:rsidRPr="00AA4EC6" w:rsidRDefault="00AA4EC6" w:rsidP="00AA4EC6">
      <w:pPr>
        <w:shd w:val="clear" w:color="auto" w:fill="FFFFFF"/>
        <w:spacing w:line="240" w:lineRule="auto"/>
        <w:rPr>
          <w:rFonts w:eastAsia="Times New Roman"/>
          <w:color w:val="222222"/>
          <w:sz w:val="20"/>
          <w:szCs w:val="20"/>
          <w:lang w:val="en-US" w:bidi="ta-IN"/>
        </w:rPr>
      </w:pPr>
      <w:r w:rsidRPr="00AA4EC6">
        <w:rPr>
          <w:rFonts w:eastAsia="Times New Roman"/>
          <w:color w:val="222222"/>
          <w:sz w:val="20"/>
          <w:szCs w:val="20"/>
          <w:lang w:val="en-US" w:bidi="ta-IN"/>
        </w:rPr>
        <w:t>And so on, in a cycle.  Observation informs theory, which informs research design, which informs your stat analysis models, which informs your inferences from the data, which informs theory again …. etc.  </w:t>
      </w:r>
      <w:proofErr w:type="gramStart"/>
      <w:r w:rsidRPr="00AA4EC6">
        <w:rPr>
          <w:rFonts w:eastAsia="Times New Roman"/>
          <w:color w:val="222222"/>
          <w:sz w:val="20"/>
          <w:szCs w:val="20"/>
          <w:lang w:val="en-US" w:bidi="ta-IN"/>
        </w:rPr>
        <w:t>Hopefully</w:t>
      </w:r>
      <w:proofErr w:type="gramEnd"/>
      <w:r w:rsidRPr="00AA4EC6">
        <w:rPr>
          <w:rFonts w:eastAsia="Times New Roman"/>
          <w:color w:val="222222"/>
          <w:sz w:val="20"/>
          <w:szCs w:val="20"/>
          <w:lang w:val="en-US" w:bidi="ta-IN"/>
        </w:rPr>
        <w:t xml:space="preserve"> this makes some sense.  I think </w:t>
      </w:r>
      <w:proofErr w:type="gramStart"/>
      <w:r w:rsidRPr="00AA4EC6">
        <w:rPr>
          <w:rFonts w:eastAsia="Times New Roman"/>
          <w:color w:val="222222"/>
          <w:sz w:val="20"/>
          <w:szCs w:val="20"/>
          <w:lang w:val="en-US" w:bidi="ta-IN"/>
        </w:rPr>
        <w:t>I’m</w:t>
      </w:r>
      <w:proofErr w:type="gramEnd"/>
      <w:r w:rsidRPr="00AA4EC6">
        <w:rPr>
          <w:rFonts w:eastAsia="Times New Roman"/>
          <w:color w:val="222222"/>
          <w:sz w:val="20"/>
          <w:szCs w:val="20"/>
          <w:lang w:val="en-US" w:bidi="ta-IN"/>
        </w:rPr>
        <w:t xml:space="preserve"> just repeating myself at this point, and maybe it’s easier to discuss not-via-email.</w:t>
      </w:r>
    </w:p>
    <w:p w14:paraId="18E54943" w14:textId="77777777" w:rsidR="00AA4EC6" w:rsidRDefault="00AA4EC6">
      <w:pPr>
        <w:rPr>
          <w:sz w:val="40"/>
          <w:szCs w:val="40"/>
        </w:rPr>
      </w:pPr>
      <w:r>
        <w:br w:type="page"/>
      </w:r>
    </w:p>
    <w:p w14:paraId="40845A82" w14:textId="46FDFD25" w:rsidR="007403C7" w:rsidRDefault="001A3C54">
      <w:pPr>
        <w:pStyle w:val="Heading1"/>
        <w:spacing w:line="480" w:lineRule="auto"/>
      </w:pPr>
      <w:r>
        <w:lastRenderedPageBreak/>
        <w:t>Introduction</w:t>
      </w:r>
    </w:p>
    <w:p w14:paraId="733C5124" w14:textId="1BE5DA98" w:rsidR="00BD2BB0" w:rsidRDefault="0060796F" w:rsidP="0060796F">
      <w:pPr>
        <w:spacing w:line="480" w:lineRule="auto"/>
        <w:ind w:firstLine="720"/>
      </w:pPr>
      <w:r>
        <w:t xml:space="preserve">The phenomenon of </w:t>
      </w:r>
      <w:r w:rsidRPr="00232D7A">
        <w:rPr>
          <w:i/>
          <w:iCs/>
        </w:rPr>
        <w:t>p</w:t>
      </w:r>
      <w:r>
        <w:t xml:space="preserve">-hacking </w:t>
      </w:r>
      <w:r w:rsidR="006D1DD8">
        <w:t>has spurred</w:t>
      </w:r>
      <w:r>
        <w:t xml:space="preserve"> debate </w:t>
      </w:r>
      <w:r w:rsidR="006D1DD8">
        <w:t>among researchers</w:t>
      </w:r>
      <w:r>
        <w:t xml:space="preserve"> (Wasserstein et al., 2019). </w:t>
      </w:r>
      <w:r w:rsidR="0065190D">
        <w:t xml:space="preserve"> </w:t>
      </w:r>
      <w:r w:rsidR="006D1DD8">
        <w:t>Beyond these</w:t>
      </w:r>
      <w:r w:rsidR="00602C97">
        <w:t xml:space="preserve"> methodological concerns</w:t>
      </w:r>
      <w:r w:rsidR="006D1DD8">
        <w:t>, we consider here the question of whether</w:t>
      </w:r>
      <w:r w:rsidR="0045325D">
        <w:t xml:space="preserve"> </w:t>
      </w:r>
      <w:r w:rsidR="00602C97">
        <w:t xml:space="preserve">instruction </w:t>
      </w:r>
      <w:r w:rsidR="0045325D">
        <w:t>and practice</w:t>
      </w:r>
      <w:r w:rsidR="00602C97">
        <w:t xml:space="preserve"> emphasiz</w:t>
      </w:r>
      <w:r w:rsidR="0045325D">
        <w:t>ing</w:t>
      </w:r>
      <w:r w:rsidR="00602C97">
        <w:t xml:space="preserve"> a </w:t>
      </w:r>
      <w:r w:rsidR="00602C97" w:rsidRPr="00FA30FA">
        <w:rPr>
          <w:i/>
        </w:rPr>
        <w:t>statistical boundary</w:t>
      </w:r>
      <w:r w:rsidR="00602C97">
        <w:t xml:space="preserve"> at 0.05 result</w:t>
      </w:r>
      <w:r w:rsidR="0045325D">
        <w:t>ed</w:t>
      </w:r>
      <w:r w:rsidR="00602C97">
        <w:t xml:space="preserve"> in a </w:t>
      </w:r>
      <w:r w:rsidR="00602C97" w:rsidRPr="00FA30FA">
        <w:rPr>
          <w:i/>
        </w:rPr>
        <w:t>mental boundary</w:t>
      </w:r>
      <w:r w:rsidR="00602C97">
        <w:t xml:space="preserve"> in people’s understandings of probabilities</w:t>
      </w:r>
      <w:r w:rsidR="00FA30FA">
        <w:t>.</w:t>
      </w:r>
      <w:r w:rsidR="00602C97">
        <w:t xml:space="preserve"> </w:t>
      </w:r>
      <w:r w:rsidR="006D1DD8">
        <w:t>C</w:t>
      </w:r>
      <w:r w:rsidR="00BD2BB0">
        <w:t xml:space="preserve">ognitive science </w:t>
      </w:r>
      <w:r w:rsidR="006D1DD8">
        <w:t xml:space="preserve">research </w:t>
      </w:r>
      <w:r w:rsidR="00BD2BB0">
        <w:t xml:space="preserve">has </w:t>
      </w:r>
      <w:r w:rsidR="006D1DD8">
        <w:t>investigated how people use categories to divide continuous cognitive representations in the service of</w:t>
      </w:r>
      <w:r w:rsidR="00BD2BB0">
        <w:t xml:space="preserve"> learning </w:t>
      </w:r>
      <w:r w:rsidR="00146E27">
        <w:t xml:space="preserve">and communication </w:t>
      </w:r>
      <w:r w:rsidR="00BD2BB0">
        <w:t>(Bruner et al., 1956; Gibson, 1969)</w:t>
      </w:r>
      <w:r w:rsidR="00E05D54">
        <w:t xml:space="preserve">. </w:t>
      </w:r>
      <w:r w:rsidR="001A23C7">
        <w:t>These</w:t>
      </w:r>
      <w:r w:rsidR="00A46F99">
        <w:t xml:space="preserve"> </w:t>
      </w:r>
      <w:r w:rsidR="00602C97">
        <w:t>categories have consequences. In particular, the</w:t>
      </w:r>
      <w:r w:rsidR="00BD2BB0">
        <w:t xml:space="preserve"> </w:t>
      </w:r>
      <w:r w:rsidR="00BD2BB0" w:rsidRPr="00182DCC">
        <w:rPr>
          <w:i/>
        </w:rPr>
        <w:t>categorical perception effect</w:t>
      </w:r>
      <w:r w:rsidR="00BD2BB0">
        <w:t xml:space="preserve"> (CPE; </w:t>
      </w:r>
      <w:proofErr w:type="spellStart"/>
      <w:r w:rsidR="00BD2BB0">
        <w:t>Harnad</w:t>
      </w:r>
      <w:proofErr w:type="spellEnd"/>
      <w:r w:rsidR="00BD2BB0">
        <w:t>, 1987)</w:t>
      </w:r>
      <w:r w:rsidR="00602C97">
        <w:t xml:space="preserve"> is the</w:t>
      </w:r>
      <w:r w:rsidR="00BD2BB0">
        <w:t xml:space="preserve"> distortion in the way people perceive</w:t>
      </w:r>
      <w:r w:rsidR="00146E27">
        <w:t xml:space="preserve"> exemplars </w:t>
      </w:r>
      <w:r w:rsidR="001A23C7">
        <w:t xml:space="preserve">on the same </w:t>
      </w:r>
      <w:r w:rsidR="00146E27">
        <w:t xml:space="preserve">vs. </w:t>
      </w:r>
      <w:r w:rsidR="001A23C7">
        <w:t xml:space="preserve">different sides of </w:t>
      </w:r>
      <w:r w:rsidR="00146E27">
        <w:t>a category boundary</w:t>
      </w:r>
      <w:r w:rsidR="00BD2BB0">
        <w:t xml:space="preserve"> (Fleming et al., 2013; </w:t>
      </w:r>
      <w:proofErr w:type="spellStart"/>
      <w:r w:rsidR="00BD2BB0">
        <w:t>Notmon</w:t>
      </w:r>
      <w:proofErr w:type="spellEnd"/>
      <w:r w:rsidR="00BD2BB0">
        <w:t xml:space="preserve"> et al., 2005).</w:t>
      </w:r>
    </w:p>
    <w:p w14:paraId="738BBEB6" w14:textId="5BFFB456" w:rsidR="00BD2BB0" w:rsidRDefault="00146E27" w:rsidP="00583FF7">
      <w:pPr>
        <w:spacing w:line="480" w:lineRule="auto"/>
        <w:ind w:firstLine="720"/>
      </w:pPr>
      <w:r>
        <w:t>Given the predominance of the 0.05 boundary in science and calls for</w:t>
      </w:r>
      <w:r w:rsidR="00071719">
        <w:t xml:space="preserve"> its</w:t>
      </w:r>
      <w:r>
        <w:t xml:space="preserve"> reform, it is important to understand whether researchers </w:t>
      </w:r>
      <w:r w:rsidR="00602C97">
        <w:t>show a</w:t>
      </w:r>
      <w:r w:rsidR="00445ADC">
        <w:t xml:space="preserve"> CPE on the </w:t>
      </w:r>
      <w:r w:rsidR="00445ADC" w:rsidRPr="00BD2BB0">
        <w:rPr>
          <w:i/>
          <w:iCs/>
        </w:rPr>
        <w:t>p</w:t>
      </w:r>
      <w:r w:rsidR="00445ADC">
        <w:t>-value continuum</w:t>
      </w:r>
      <w:r w:rsidR="00071719">
        <w:t xml:space="preserve">. The presence of distortions around the significance cutoff </w:t>
      </w:r>
      <w:r w:rsidR="00CB7115">
        <w:t>could</w:t>
      </w:r>
      <w:r w:rsidR="00445ADC">
        <w:t xml:space="preserve"> </w:t>
      </w:r>
      <w:r w:rsidR="00CA0E06">
        <w:t>affect</w:t>
      </w:r>
      <w:r w:rsidR="00445ADC">
        <w:t xml:space="preserve"> researchers</w:t>
      </w:r>
      <w:r w:rsidR="00CA0E06">
        <w:t xml:space="preserve">’ </w:t>
      </w:r>
      <w:r w:rsidR="00795757">
        <w:t xml:space="preserve">statistical interpretations and </w:t>
      </w:r>
      <w:r w:rsidR="00CA0E06">
        <w:t>decisions</w:t>
      </w:r>
      <w:r w:rsidR="00602C97">
        <w:t xml:space="preserve">. </w:t>
      </w:r>
      <w:r w:rsidR="001A23C7">
        <w:t>The potential existence of such distortions would spur new</w:t>
      </w:r>
      <w:r w:rsidR="00602C97">
        <w:t xml:space="preserve"> research on instruction and practice of statistics</w:t>
      </w:r>
      <w:r w:rsidR="00445ADC">
        <w:t xml:space="preserve">. </w:t>
      </w:r>
      <w:r w:rsidR="00071719">
        <w:t>I</w:t>
      </w:r>
      <w:r w:rsidR="00445ADC">
        <w:t>n this study</w:t>
      </w:r>
      <w:r w:rsidR="00071719">
        <w:t>,</w:t>
      </w:r>
      <w:r w:rsidR="00445ADC">
        <w:t xml:space="preserve"> we explore whether a CPE </w:t>
      </w:r>
      <w:r w:rsidR="00602C97">
        <w:t xml:space="preserve">for </w:t>
      </w:r>
      <w:r w:rsidR="00602C97" w:rsidRPr="00602C97">
        <w:rPr>
          <w:i/>
        </w:rPr>
        <w:t>p</w:t>
      </w:r>
      <w:r w:rsidR="00602C97">
        <w:t xml:space="preserve">-values </w:t>
      </w:r>
      <w:r w:rsidR="00445ADC" w:rsidRPr="00602C97">
        <w:t>exists</w:t>
      </w:r>
      <w:r w:rsidR="00445ADC">
        <w:t xml:space="preserve"> in individuals with statistical training.</w:t>
      </w:r>
    </w:p>
    <w:p w14:paraId="4DC17EA2" w14:textId="77777777" w:rsidR="007403C7" w:rsidRDefault="001A3C54">
      <w:pPr>
        <w:pStyle w:val="Heading1"/>
        <w:spacing w:line="480" w:lineRule="auto"/>
      </w:pPr>
      <w:bookmarkStart w:id="2" w:name="_9l1gwo3af4ub" w:colFirst="0" w:colLast="0"/>
      <w:bookmarkEnd w:id="2"/>
      <w:r>
        <w:t>Background</w:t>
      </w:r>
    </w:p>
    <w:p w14:paraId="6202A39E" w14:textId="34829FDC" w:rsidR="00583FF7" w:rsidRPr="00583FF7" w:rsidRDefault="00A46F99" w:rsidP="00B60E29">
      <w:pPr>
        <w:spacing w:line="480" w:lineRule="auto"/>
        <w:ind w:firstLine="720"/>
      </w:pPr>
      <w:r>
        <w:t xml:space="preserve">The use of </w:t>
      </w:r>
      <w:r>
        <w:rPr>
          <w:i/>
          <w:iCs/>
        </w:rPr>
        <w:t>p-</w:t>
      </w:r>
      <w:r>
        <w:t>values and null hypothesis significance testing (NHST)</w:t>
      </w:r>
      <w:r w:rsidR="00F65323">
        <w:t xml:space="preserve"> traces</w:t>
      </w:r>
      <w:r>
        <w:t xml:space="preserve"> back to the early 20</w:t>
      </w:r>
      <w:r w:rsidRPr="00A46F99">
        <w:rPr>
          <w:vertAlign w:val="superscript"/>
        </w:rPr>
        <w:t>th</w:t>
      </w:r>
      <w:r>
        <w:t xml:space="preserve"> century (</w:t>
      </w:r>
      <w:proofErr w:type="spellStart"/>
      <w:r>
        <w:t>Biau</w:t>
      </w:r>
      <w:proofErr w:type="spellEnd"/>
      <w:r>
        <w:t xml:space="preserve"> et al., 2010; </w:t>
      </w:r>
      <w:proofErr w:type="spellStart"/>
      <w:r w:rsidR="00583FF7">
        <w:t>Gigerenzer</w:t>
      </w:r>
      <w:proofErr w:type="spellEnd"/>
      <w:r w:rsidR="00583FF7">
        <w:t>, 2004</w:t>
      </w:r>
      <w:r w:rsidR="001A3C54">
        <w:t>).</w:t>
      </w:r>
      <w:r>
        <w:t xml:space="preserve"> To identify sufficient</w:t>
      </w:r>
      <w:r w:rsidR="0065190D">
        <w:t>ly</w:t>
      </w:r>
      <w:r>
        <w:t xml:space="preserve"> small </w:t>
      </w:r>
      <w:r>
        <w:rPr>
          <w:i/>
          <w:iCs/>
        </w:rPr>
        <w:t>p</w:t>
      </w:r>
      <w:r>
        <w:t xml:space="preserve">-values, 0.05 was taken to be a convenient limit to identity a significant deviation from the hypothesized mean </w:t>
      </w:r>
      <w:r w:rsidR="00232D7A">
        <w:t>(Fisher, 1925)</w:t>
      </w:r>
      <w:r w:rsidR="001A3C54">
        <w:t xml:space="preserve">. </w:t>
      </w:r>
      <w:proofErr w:type="spellStart"/>
      <w:r>
        <w:t>Neyman</w:t>
      </w:r>
      <w:proofErr w:type="spellEnd"/>
      <w:r>
        <w:t xml:space="preserve"> </w:t>
      </w:r>
      <w:r w:rsidR="001A23C7">
        <w:t>and</w:t>
      </w:r>
      <w:r>
        <w:t xml:space="preserve"> Pearson (193</w:t>
      </w:r>
      <w:r w:rsidR="00BD73F0">
        <w:t>3</w:t>
      </w:r>
      <w:r>
        <w:t xml:space="preserve">) suggested a method by which in the “long run of experience, we shall not be too often wrong” (p. 291). Together, these practices combined to form the modern practice of NHST, where a hypothesis is rejected if and only if a </w:t>
      </w:r>
      <w:r>
        <w:rPr>
          <w:i/>
          <w:iCs/>
        </w:rPr>
        <w:lastRenderedPageBreak/>
        <w:t>p</w:t>
      </w:r>
      <w:r>
        <w:t xml:space="preserve">-value is less than 0.05.  </w:t>
      </w:r>
      <w:r w:rsidR="00B60E29">
        <w:t>In this way, the artificial boundary of</w:t>
      </w:r>
      <w:r w:rsidR="00E10F34">
        <w:t xml:space="preserve"> </w:t>
      </w:r>
      <w:r>
        <w:t xml:space="preserve">0.05 became </w:t>
      </w:r>
      <w:r w:rsidR="00583FF7">
        <w:t>a gatekeeper to publication (</w:t>
      </w:r>
      <w:proofErr w:type="spellStart"/>
      <w:r w:rsidR="005708CE">
        <w:t>Tramifow</w:t>
      </w:r>
      <w:proofErr w:type="spellEnd"/>
      <w:r w:rsidR="005708CE">
        <w:t xml:space="preserve">, 2014; </w:t>
      </w:r>
      <w:proofErr w:type="spellStart"/>
      <w:r w:rsidR="00583FF7">
        <w:t>Stang</w:t>
      </w:r>
      <w:proofErr w:type="spellEnd"/>
      <w:r w:rsidR="00583FF7">
        <w:t xml:space="preserve"> et al., 2010). </w:t>
      </w:r>
    </w:p>
    <w:p w14:paraId="6D8AECBA" w14:textId="6F0E23D5" w:rsidR="00517CA5" w:rsidRDefault="00AD2CBE" w:rsidP="00517CA5">
      <w:pPr>
        <w:spacing w:line="480" w:lineRule="auto"/>
        <w:ind w:firstLine="720"/>
      </w:pPr>
      <w:r>
        <w:t>Methodological c</w:t>
      </w:r>
      <w:r w:rsidR="00773D9C">
        <w:t xml:space="preserve">ritiques of </w:t>
      </w:r>
      <w:r w:rsidR="00A46F99">
        <w:t>NHST</w:t>
      </w:r>
      <w:r w:rsidR="00773D9C">
        <w:t xml:space="preserve"> </w:t>
      </w:r>
      <w:r w:rsidR="00025FFF">
        <w:t>have focused on the logic of the approach. Here, we consider the cognitive consequences of conceptualizing 0.05 as the boundary between “significant” and “null” results. We begin with</w:t>
      </w:r>
      <w:r w:rsidR="00773D9C">
        <w:t xml:space="preserve"> categorization</w:t>
      </w:r>
      <w:r w:rsidR="00025FFF">
        <w:t>, which</w:t>
      </w:r>
      <w:r w:rsidR="00773D9C">
        <w:t xml:space="preserve"> is fundamental </w:t>
      </w:r>
      <w:r w:rsidR="001A3C54">
        <w:t xml:space="preserve">to </w:t>
      </w:r>
      <w:r w:rsidR="00EB2FB0">
        <w:t>human inference and</w:t>
      </w:r>
      <w:r w:rsidR="001A3C54">
        <w:t xml:space="preserve"> perception (Bruner et al., 1956). </w:t>
      </w:r>
      <w:r w:rsidR="00852749">
        <w:t xml:space="preserve">CPEs alter perception such that two </w:t>
      </w:r>
      <w:r w:rsidR="00A46F99">
        <w:t>values</w:t>
      </w:r>
      <w:r w:rsidR="00852749">
        <w:t xml:space="preserve"> on the same side of </w:t>
      </w:r>
      <w:r w:rsidR="00A46F99">
        <w:t>a</w:t>
      </w:r>
      <w:r w:rsidR="00852749">
        <w:t xml:space="preserve"> boundary may appear more similar than </w:t>
      </w:r>
      <w:r w:rsidR="00A46F99">
        <w:t>two values on opposite</w:t>
      </w:r>
      <w:r w:rsidR="00852749">
        <w:t xml:space="preserve"> side</w:t>
      </w:r>
      <w:r w:rsidR="00A46F99">
        <w:t>s</w:t>
      </w:r>
      <w:r w:rsidR="00852749">
        <w:t xml:space="preserve"> of </w:t>
      </w:r>
      <w:r w:rsidR="00A46F99">
        <w:t>a</w:t>
      </w:r>
      <w:r w:rsidR="00852749">
        <w:t xml:space="preserve"> boundary, </w:t>
      </w:r>
      <w:r w:rsidR="00320097">
        <w:t xml:space="preserve">even when </w:t>
      </w:r>
      <w:r w:rsidR="00852749">
        <w:t xml:space="preserve">the </w:t>
      </w:r>
      <w:r>
        <w:t xml:space="preserve">physical or numerical </w:t>
      </w:r>
      <w:r w:rsidR="00852749">
        <w:t xml:space="preserve">distance between </w:t>
      </w:r>
      <w:r w:rsidR="00320097">
        <w:t>the pairs is the same</w:t>
      </w:r>
      <w:r w:rsidR="00852749">
        <w:t xml:space="preserve"> (</w:t>
      </w:r>
      <w:r w:rsidR="001A3C54">
        <w:t>Goldstone, 1994</w:t>
      </w:r>
      <w:r w:rsidR="00BC4A02">
        <w:t xml:space="preserve">; </w:t>
      </w:r>
      <w:proofErr w:type="spellStart"/>
      <w:r w:rsidR="00BC4A02">
        <w:t>Harnad</w:t>
      </w:r>
      <w:proofErr w:type="spellEnd"/>
      <w:r w:rsidR="00BC4A02">
        <w:t>, 2017</w:t>
      </w:r>
      <w:r w:rsidR="001A3C54">
        <w:t xml:space="preserve">). </w:t>
      </w:r>
      <w:r w:rsidR="00025FFF">
        <w:t xml:space="preserve">This phantom discontinuity </w:t>
      </w:r>
      <w:r w:rsidR="008A359D">
        <w:t xml:space="preserve">in perception </w:t>
      </w:r>
      <w:r w:rsidR="00025FFF">
        <w:t xml:space="preserve">can lead reasoners to make suboptimal decisions </w:t>
      </w:r>
      <w:r w:rsidR="008A359D">
        <w:t xml:space="preserve">in subsequent judgements based on these implicit perceptions </w:t>
      </w:r>
      <w:r w:rsidR="00025FFF">
        <w:t xml:space="preserve">(Fleming et al., 2013; </w:t>
      </w:r>
      <w:proofErr w:type="spellStart"/>
      <w:r w:rsidR="00025FFF">
        <w:t>Notmon</w:t>
      </w:r>
      <w:proofErr w:type="spellEnd"/>
      <w:r w:rsidR="00025FFF">
        <w:t xml:space="preserve"> et al., 2005).</w:t>
      </w:r>
    </w:p>
    <w:p w14:paraId="4F94A2B8" w14:textId="71AB588C" w:rsidR="00583FF7" w:rsidRDefault="00583FF7" w:rsidP="00941877">
      <w:pPr>
        <w:spacing w:line="480" w:lineRule="auto"/>
        <w:ind w:firstLine="720"/>
      </w:pPr>
      <w:r>
        <w:t xml:space="preserve">To understand how a CPE may warp the mental representation of </w:t>
      </w:r>
      <w:r w:rsidRPr="00583FF7">
        <w:rPr>
          <w:i/>
          <w:iCs/>
        </w:rPr>
        <w:t>p</w:t>
      </w:r>
      <w:r>
        <w:t>-values,</w:t>
      </w:r>
      <w:r w:rsidR="00320097">
        <w:t xml:space="preserve"> it is important to first know that the mental representation of numbers in general is continuous.</w:t>
      </w:r>
      <w:r w:rsidR="00E867D7">
        <w:t xml:space="preserve"> </w:t>
      </w:r>
      <w:r w:rsidR="002B520F">
        <w:t xml:space="preserve">Natural </w:t>
      </w:r>
      <w:r w:rsidR="00320097">
        <w:t xml:space="preserve">numbers are mapped to points on </w:t>
      </w:r>
      <w:r>
        <w:t>a</w:t>
      </w:r>
      <w:r w:rsidR="001A3C54">
        <w:t xml:space="preserve"> logarithmically compressed mental number line (</w:t>
      </w:r>
      <w:proofErr w:type="spellStart"/>
      <w:r w:rsidR="001A3C54">
        <w:t>Dehaene</w:t>
      </w:r>
      <w:proofErr w:type="spellEnd"/>
      <w:r w:rsidR="001A3C54">
        <w:t xml:space="preserve"> et al., 1990). </w:t>
      </w:r>
      <w:r w:rsidR="00320097">
        <w:t xml:space="preserve">This is </w:t>
      </w:r>
      <w:r w:rsidR="002B520F">
        <w:t>also true</w:t>
      </w:r>
      <w:r w:rsidR="00320097">
        <w:t xml:space="preserve"> of rational numbers expressed as </w:t>
      </w:r>
      <w:r w:rsidR="001A3C54">
        <w:t xml:space="preserve">decimals (Varma &amp; Karl, 2013). </w:t>
      </w:r>
      <w:r w:rsidR="00320097">
        <w:t>The evidence for a</w:t>
      </w:r>
      <w:r w:rsidR="008760F4">
        <w:t xml:space="preserve"> </w:t>
      </w:r>
      <w:r w:rsidR="00C2173C">
        <w:t xml:space="preserve">non-linear </w:t>
      </w:r>
      <w:r w:rsidR="008760F4">
        <w:t>mental number line</w:t>
      </w:r>
      <w:r w:rsidR="00320097">
        <w:t xml:space="preserve"> comes in part from </w:t>
      </w:r>
      <w:r w:rsidR="00941877">
        <w:t xml:space="preserve">experiments where people are asked </w:t>
      </w:r>
      <w:r w:rsidR="00B35D37">
        <w:t xml:space="preserve">to identify the </w:t>
      </w:r>
      <w:r w:rsidR="00941877">
        <w:t>greater (or lesser) of</w:t>
      </w:r>
      <w:r w:rsidR="00B35D37">
        <w:t xml:space="preserve"> a pair of numbers. </w:t>
      </w:r>
      <w:r w:rsidR="00941877">
        <w:t>P</w:t>
      </w:r>
      <w:r w:rsidR="00792271">
        <w:t xml:space="preserve">eople </w:t>
      </w:r>
      <w:r w:rsidR="0092446A">
        <w:t>make faster judgments when</w:t>
      </w:r>
      <w:r w:rsidR="00B35D37">
        <w:t xml:space="preserve"> </w:t>
      </w:r>
      <w:r w:rsidR="0092446A">
        <w:t xml:space="preserve">the </w:t>
      </w:r>
      <w:r w:rsidR="00941877">
        <w:t>numbers are small versus large (e.g.,</w:t>
      </w:r>
      <w:r w:rsidR="00B35D37">
        <w:t xml:space="preserve"> </w:t>
      </w:r>
      <w:r w:rsidR="0092446A">
        <w:t xml:space="preserve">1 v 2 is faster than </w:t>
      </w:r>
      <w:r w:rsidR="00B35D37">
        <w:t xml:space="preserve">8 v </w:t>
      </w:r>
      <w:r w:rsidR="0092446A">
        <w:t>9</w:t>
      </w:r>
      <w:r w:rsidR="00B35D37">
        <w:t>; LeFevre et al., 1996)</w:t>
      </w:r>
      <w:r w:rsidR="00E867D7">
        <w:t xml:space="preserve">; this is </w:t>
      </w:r>
      <w:r w:rsidR="00941877">
        <w:t xml:space="preserve">the </w:t>
      </w:r>
      <w:r w:rsidR="00941877">
        <w:rPr>
          <w:i/>
        </w:rPr>
        <w:t>size</w:t>
      </w:r>
      <w:r w:rsidR="00941877">
        <w:t xml:space="preserve"> effect. They make faster judgments</w:t>
      </w:r>
      <w:r w:rsidR="001A3C54">
        <w:t xml:space="preserve"> </w:t>
      </w:r>
      <w:r w:rsidR="0092446A">
        <w:t xml:space="preserve">when </w:t>
      </w:r>
      <w:r w:rsidR="001A3C54">
        <w:t xml:space="preserve">the distance between </w:t>
      </w:r>
      <w:r w:rsidR="0092446A">
        <w:t xml:space="preserve">numbers is </w:t>
      </w:r>
      <w:r w:rsidR="00941877">
        <w:t>far vs. near (</w:t>
      </w:r>
      <w:r w:rsidR="001A3C54" w:rsidRPr="00B35D37">
        <w:t>e</w:t>
      </w:r>
      <w:r w:rsidR="001A3C54">
        <w:t xml:space="preserve">.g., </w:t>
      </w:r>
      <w:r w:rsidR="0092446A">
        <w:t xml:space="preserve">2 v </w:t>
      </w:r>
      <w:r w:rsidR="00941877">
        <w:t xml:space="preserve">8 </w:t>
      </w:r>
      <w:r w:rsidR="0092446A">
        <w:t xml:space="preserve">is faster than </w:t>
      </w:r>
      <w:r w:rsidR="001A3C54">
        <w:t>3 v 5; Cohen, 2010)</w:t>
      </w:r>
      <w:r w:rsidR="00E867D7">
        <w:t xml:space="preserve">; this is </w:t>
      </w:r>
      <w:r w:rsidR="00941877">
        <w:t xml:space="preserve">the </w:t>
      </w:r>
      <w:r w:rsidR="00941877">
        <w:rPr>
          <w:i/>
        </w:rPr>
        <w:t>distance</w:t>
      </w:r>
      <w:r w:rsidR="00941877">
        <w:t xml:space="preserve"> effect. Finally, they make faster judgments for pairs of multi-digit numbers</w:t>
      </w:r>
      <w:r w:rsidR="00B35D37">
        <w:t xml:space="preserve"> when </w:t>
      </w:r>
      <w:r w:rsidR="00941877">
        <w:t>the digit in each place of the larger number is greater than its counterpart in the smaller number (</w:t>
      </w:r>
      <w:r w:rsidR="001A3C54">
        <w:t xml:space="preserve">e.g., </w:t>
      </w:r>
      <w:r w:rsidR="00694A08">
        <w:t xml:space="preserve">35 v 46 is faster than </w:t>
      </w:r>
      <w:r w:rsidR="001A3C54">
        <w:t xml:space="preserve">36 v 45; </w:t>
      </w:r>
      <w:proofErr w:type="spellStart"/>
      <w:r w:rsidR="001A3C54">
        <w:t>Nuerk</w:t>
      </w:r>
      <w:proofErr w:type="spellEnd"/>
      <w:r w:rsidR="001A3C54">
        <w:t xml:space="preserve"> et al., 2001)</w:t>
      </w:r>
      <w:r w:rsidR="00E867D7">
        <w:t>; this is</w:t>
      </w:r>
      <w:r w:rsidR="00941877">
        <w:t xml:space="preserve"> the </w:t>
      </w:r>
      <w:r w:rsidR="00941877">
        <w:rPr>
          <w:i/>
        </w:rPr>
        <w:t>compatibility</w:t>
      </w:r>
      <w:r w:rsidR="00941877">
        <w:t xml:space="preserve"> effect</w:t>
      </w:r>
      <w:r w:rsidR="001A3C54">
        <w:t xml:space="preserve">. </w:t>
      </w:r>
      <w:r w:rsidR="002B520F">
        <w:t>T</w:t>
      </w:r>
      <w:r w:rsidR="00F42008">
        <w:t xml:space="preserve">here are </w:t>
      </w:r>
      <w:r w:rsidR="002B520F">
        <w:t xml:space="preserve">also </w:t>
      </w:r>
      <w:r w:rsidR="00F42008">
        <w:t xml:space="preserve">discontinuities of the mental number line caused by the place-value symbol system for naming numbers. For example, </w:t>
      </w:r>
      <w:r w:rsidR="005708CE">
        <w:t xml:space="preserve">determining </w:t>
      </w:r>
      <w:r w:rsidR="00AC3F80">
        <w:t xml:space="preserve">the midpoint between </w:t>
      </w:r>
      <w:r w:rsidR="00F42008">
        <w:t xml:space="preserve">two </w:t>
      </w:r>
      <w:r w:rsidR="00AC3F80">
        <w:t xml:space="preserve">numbers </w:t>
      </w:r>
      <w:r w:rsidR="00F42008">
        <w:t xml:space="preserve">is slower and </w:t>
      </w:r>
      <w:r w:rsidR="00F42008">
        <w:lastRenderedPageBreak/>
        <w:t>less accurate when the</w:t>
      </w:r>
      <w:r w:rsidR="00AC3F80">
        <w:t xml:space="preserve"> tens digits </w:t>
      </w:r>
      <w:r w:rsidR="00F42008">
        <w:t>differ</w:t>
      </w:r>
      <w:r w:rsidR="005708CE">
        <w:t xml:space="preserve"> (</w:t>
      </w:r>
      <w:r w:rsidR="00F42008">
        <w:t xml:space="preserve">e.g., </w:t>
      </w:r>
      <w:r w:rsidR="005708CE">
        <w:t>bisecting</w:t>
      </w:r>
      <w:r w:rsidR="00AC3F80">
        <w:t xml:space="preserve"> 27 – 35 is harder than 21 – 29; </w:t>
      </w:r>
      <w:proofErr w:type="spellStart"/>
      <w:r w:rsidR="00AC3F80">
        <w:t>Nuerk</w:t>
      </w:r>
      <w:proofErr w:type="spellEnd"/>
      <w:r w:rsidR="00AC3F80">
        <w:t xml:space="preserve"> et al., 2011)</w:t>
      </w:r>
      <w:r w:rsidR="00E867D7">
        <w:t>; this is</w:t>
      </w:r>
      <w:r w:rsidR="002B520F">
        <w:t xml:space="preserve"> </w:t>
      </w:r>
      <w:r w:rsidR="00F42008">
        <w:t xml:space="preserve">the </w:t>
      </w:r>
      <w:r w:rsidR="00F42008">
        <w:rPr>
          <w:i/>
          <w:iCs/>
        </w:rPr>
        <w:t>decade crossing</w:t>
      </w:r>
      <w:r w:rsidR="00F42008">
        <w:t xml:space="preserve"> effect</w:t>
      </w:r>
      <w:r w:rsidR="00AC3F80">
        <w:t xml:space="preserve">. </w:t>
      </w:r>
    </w:p>
    <w:p w14:paraId="2BE7D435" w14:textId="2E25EC86" w:rsidR="007403C7" w:rsidRDefault="00FF20AB" w:rsidP="004F1148">
      <w:pPr>
        <w:spacing w:line="480" w:lineRule="auto"/>
        <w:ind w:firstLine="720"/>
      </w:pPr>
      <w:r>
        <w:t xml:space="preserve">The question we consider here is whether traditional </w:t>
      </w:r>
      <w:r w:rsidR="002F222A">
        <w:t xml:space="preserve">statistics instruction results in a discontinuity in the mental number line at 0.05. If this is </w:t>
      </w:r>
      <w:r w:rsidR="002F222A">
        <w:rPr>
          <w:b/>
          <w:i/>
        </w:rPr>
        <w:t>not</w:t>
      </w:r>
      <w:r w:rsidR="002F222A">
        <w:t xml:space="preserve"> the case, </w:t>
      </w:r>
      <w:r w:rsidR="002B520F">
        <w:t xml:space="preserve">participants </w:t>
      </w:r>
      <w:r w:rsidR="00B62475">
        <w:t>should</w:t>
      </w:r>
      <w:r w:rsidR="002F222A">
        <w:t xml:space="preserve"> </w:t>
      </w:r>
      <w:r w:rsidR="001A3C54">
        <w:t xml:space="preserve">perceive </w:t>
      </w:r>
      <w:r w:rsidR="001A3C54">
        <w:rPr>
          <w:i/>
        </w:rPr>
        <w:t>p</w:t>
      </w:r>
      <w:r w:rsidR="001A3C54">
        <w:t xml:space="preserve"> = 0.049 and </w:t>
      </w:r>
      <w:r w:rsidR="001A3C54">
        <w:rPr>
          <w:i/>
        </w:rPr>
        <w:t>p</w:t>
      </w:r>
      <w:r w:rsidR="001A3C54">
        <w:t xml:space="preserve"> = 0.051 to be </w:t>
      </w:r>
      <w:r w:rsidR="00B62475" w:rsidRPr="00FA30FA">
        <w:rPr>
          <w:i/>
        </w:rPr>
        <w:t>more similar</w:t>
      </w:r>
      <w:r w:rsidR="00B62475">
        <w:t xml:space="preserve"> than</w:t>
      </w:r>
      <w:r w:rsidR="001A3C54">
        <w:t xml:space="preserve"> </w:t>
      </w:r>
      <w:r w:rsidR="001A3C54">
        <w:rPr>
          <w:i/>
        </w:rPr>
        <w:t>p</w:t>
      </w:r>
      <w:r w:rsidR="001A3C54">
        <w:t xml:space="preserve"> = 0.019 and </w:t>
      </w:r>
      <w:r w:rsidR="001A3C54">
        <w:rPr>
          <w:i/>
        </w:rPr>
        <w:t>p</w:t>
      </w:r>
      <w:r w:rsidR="001A3C54">
        <w:t xml:space="preserve"> = 0.021</w:t>
      </w:r>
      <w:r w:rsidR="00B62475">
        <w:t xml:space="preserve"> </w:t>
      </w:r>
      <w:r w:rsidR="00E867D7">
        <w:t xml:space="preserve">because of the </w:t>
      </w:r>
      <w:r w:rsidR="001A3C54">
        <w:t>size effect</w:t>
      </w:r>
      <w:r w:rsidR="00E867D7">
        <w:t>; than</w:t>
      </w:r>
      <w:r w:rsidR="001A3C54">
        <w:t xml:space="preserve"> </w:t>
      </w:r>
      <w:r w:rsidR="001A3C54">
        <w:rPr>
          <w:i/>
        </w:rPr>
        <w:t>p</w:t>
      </w:r>
      <w:r w:rsidR="001A3C54">
        <w:t xml:space="preserve"> = 0.028 and </w:t>
      </w:r>
      <w:r w:rsidR="001A3C54">
        <w:rPr>
          <w:i/>
        </w:rPr>
        <w:t>p</w:t>
      </w:r>
      <w:r w:rsidR="001A3C54">
        <w:t xml:space="preserve"> = 0.033 </w:t>
      </w:r>
      <w:r w:rsidR="00E867D7">
        <w:t xml:space="preserve">because of the </w:t>
      </w:r>
      <w:r w:rsidR="001A3C54">
        <w:t>size and distance effect</w:t>
      </w:r>
      <w:r w:rsidR="00E867D7">
        <w:t>;</w:t>
      </w:r>
      <w:r w:rsidR="001A3C54">
        <w:t xml:space="preserve"> and</w:t>
      </w:r>
      <w:r w:rsidR="00E867D7">
        <w:t xml:space="preserve"> than</w:t>
      </w:r>
      <w:r w:rsidR="001A3C54">
        <w:t xml:space="preserve"> </w:t>
      </w:r>
      <w:r w:rsidR="001A3C54">
        <w:rPr>
          <w:i/>
        </w:rPr>
        <w:t>p</w:t>
      </w:r>
      <w:r w:rsidR="001A3C54">
        <w:t xml:space="preserve"> = 0.012 and </w:t>
      </w:r>
      <w:r w:rsidR="001A3C54">
        <w:rPr>
          <w:i/>
        </w:rPr>
        <w:t>p</w:t>
      </w:r>
      <w:r w:rsidR="001A3C54">
        <w:t xml:space="preserve"> = 0.023 </w:t>
      </w:r>
      <w:r w:rsidR="00E867D7">
        <w:t xml:space="preserve">because of the </w:t>
      </w:r>
      <w:r w:rsidR="001A3C54">
        <w:t>size, distance, and compatibility effect</w:t>
      </w:r>
      <w:r w:rsidR="00E867D7">
        <w:t>s</w:t>
      </w:r>
      <w:r w:rsidR="001A3C54">
        <w:t xml:space="preserve">. However, </w:t>
      </w:r>
      <w:r w:rsidR="005708CE">
        <w:t>if a</w:t>
      </w:r>
      <w:r w:rsidR="007C1F0D">
        <w:t xml:space="preserve"> CPE exists</w:t>
      </w:r>
      <w:r w:rsidR="00C919F3">
        <w:t>,</w:t>
      </w:r>
      <w:r w:rsidR="007C1F0D">
        <w:t xml:space="preserve"> </w:t>
      </w:r>
      <w:r w:rsidR="001A3C54">
        <w:t xml:space="preserve">individuals may perceive </w:t>
      </w:r>
      <w:r w:rsidR="001A3C54">
        <w:rPr>
          <w:i/>
        </w:rPr>
        <w:t>p</w:t>
      </w:r>
      <w:r w:rsidR="001A3C54">
        <w:t xml:space="preserve"> = 0.049 and </w:t>
      </w:r>
      <w:r w:rsidR="001A3C54">
        <w:rPr>
          <w:i/>
        </w:rPr>
        <w:t>p</w:t>
      </w:r>
      <w:r w:rsidR="001A3C54">
        <w:t xml:space="preserve"> = 0.051 to be </w:t>
      </w:r>
      <w:r w:rsidR="001A3C54" w:rsidRPr="00FA30FA">
        <w:rPr>
          <w:i/>
        </w:rPr>
        <w:t xml:space="preserve">more </w:t>
      </w:r>
      <w:r w:rsidR="00B62475" w:rsidRPr="00FA30FA">
        <w:rPr>
          <w:i/>
        </w:rPr>
        <w:t>different</w:t>
      </w:r>
      <w:r w:rsidR="00B62475">
        <w:t xml:space="preserve"> </w:t>
      </w:r>
      <w:r w:rsidR="001A3C54">
        <w:t xml:space="preserve">than </w:t>
      </w:r>
      <w:r w:rsidR="00E867D7">
        <w:t xml:space="preserve">any of </w:t>
      </w:r>
      <w:r w:rsidR="001A3C54">
        <w:t>the other pairs</w:t>
      </w:r>
      <w:r w:rsidR="00B62475">
        <w:t xml:space="preserve"> because </w:t>
      </w:r>
      <w:r w:rsidR="00E867D7">
        <w:t xml:space="preserve">only in this case do </w:t>
      </w:r>
      <w:r w:rsidR="00B62475">
        <w:t xml:space="preserve">the two </w:t>
      </w:r>
      <w:r w:rsidR="00B62475">
        <w:rPr>
          <w:i/>
        </w:rPr>
        <w:t>p</w:t>
      </w:r>
      <w:r w:rsidR="00B62475">
        <w:t>-values cross the putative 0.05 boundary</w:t>
      </w:r>
      <w:r w:rsidR="00E05D54">
        <w:t xml:space="preserve">. Thus, </w:t>
      </w:r>
      <w:r w:rsidR="001A3C54">
        <w:t xml:space="preserve">the goal of this study is to </w:t>
      </w:r>
      <w:r w:rsidR="005708CE">
        <w:t>identify</w:t>
      </w:r>
      <w:r w:rsidR="001A3C54">
        <w:t xml:space="preserve"> </w:t>
      </w:r>
      <w:r w:rsidR="005708CE">
        <w:t xml:space="preserve">whether a CPE effect exists in the perception of </w:t>
      </w:r>
      <w:r w:rsidR="005708CE">
        <w:rPr>
          <w:i/>
          <w:iCs/>
        </w:rPr>
        <w:t>p</w:t>
      </w:r>
      <w:r w:rsidR="005708CE">
        <w:t>-values.</w:t>
      </w:r>
      <w:r w:rsidR="001A3C54">
        <w:t xml:space="preserve"> </w:t>
      </w:r>
    </w:p>
    <w:p w14:paraId="77C4C87F" w14:textId="77777777" w:rsidR="007403C7" w:rsidRDefault="001A3C54">
      <w:pPr>
        <w:pStyle w:val="Heading1"/>
        <w:spacing w:line="480" w:lineRule="auto"/>
      </w:pPr>
      <w:bookmarkStart w:id="3" w:name="_hdlpoo8kjuhk" w:colFirst="0" w:colLast="0"/>
      <w:bookmarkEnd w:id="3"/>
      <w:r>
        <w:t>Methods</w:t>
      </w:r>
    </w:p>
    <w:p w14:paraId="534CA8C5" w14:textId="56D4C103" w:rsidR="007403C7" w:rsidRDefault="00E051BD">
      <w:pPr>
        <w:spacing w:line="480" w:lineRule="auto"/>
        <w:ind w:firstLine="720"/>
      </w:pPr>
      <w:r>
        <w:t xml:space="preserve">We recruited </w:t>
      </w:r>
      <w:r w:rsidR="005F6759">
        <w:t xml:space="preserve">graduate students </w:t>
      </w:r>
      <w:r w:rsidR="001A3C54">
        <w:t>associated with</w:t>
      </w:r>
      <w:r w:rsidR="00517CA5">
        <w:t xml:space="preserve"> </w:t>
      </w:r>
      <w:r w:rsidR="004F1148">
        <w:t>an</w:t>
      </w:r>
      <w:r w:rsidR="00517CA5">
        <w:t xml:space="preserve"> E</w:t>
      </w:r>
      <w:r w:rsidR="001A3C54">
        <w:t xml:space="preserve">ducational </w:t>
      </w:r>
      <w:r w:rsidR="00517CA5">
        <w:t>P</w:t>
      </w:r>
      <w:r w:rsidR="001A3C54">
        <w:t>sychology</w:t>
      </w:r>
      <w:r w:rsidR="004F1148">
        <w:t xml:space="preserve"> department</w:t>
      </w:r>
      <w:r w:rsidR="001A3C54">
        <w:t xml:space="preserve"> at a </w:t>
      </w:r>
      <w:r w:rsidR="00E867D7">
        <w:t xml:space="preserve">public university in the </w:t>
      </w:r>
      <w:r w:rsidR="001A3C54">
        <w:t xml:space="preserve">midwestern </w:t>
      </w:r>
      <w:r w:rsidR="00626FD4">
        <w:t>US</w:t>
      </w:r>
      <w:r w:rsidR="001A3C54">
        <w:t xml:space="preserve">. </w:t>
      </w:r>
      <w:r>
        <w:t>Eligible p</w:t>
      </w:r>
      <w:r w:rsidR="001A3C54">
        <w:t xml:space="preserve">articipants </w:t>
      </w:r>
      <w:r>
        <w:t xml:space="preserve">where those </w:t>
      </w:r>
      <w:r w:rsidR="001A3C54">
        <w:t xml:space="preserve">who </w:t>
      </w:r>
      <w:r w:rsidR="00626FD4">
        <w:t xml:space="preserve">reported having </w:t>
      </w:r>
      <w:r w:rsidR="001A3C54">
        <w:t>experience</w:t>
      </w:r>
      <w:r w:rsidR="005F6759">
        <w:t xml:space="preserve"> in their own research or teaching</w:t>
      </w:r>
      <w:r w:rsidR="001A3C54">
        <w:t xml:space="preserve"> with hypothesis tests and </w:t>
      </w:r>
      <w:r w:rsidR="001A3C54">
        <w:rPr>
          <w:i/>
        </w:rPr>
        <w:t>p</w:t>
      </w:r>
      <w:r w:rsidR="001A3C54">
        <w:t>-values. Of 40 initial respondents,</w:t>
      </w:r>
      <w:r w:rsidR="00091ED8">
        <w:t xml:space="preserve"> </w:t>
      </w:r>
      <w:r w:rsidR="001A3C54">
        <w:t xml:space="preserve">25 </w:t>
      </w:r>
      <w:r w:rsidR="00517CA5">
        <w:t>were deemed eligible</w:t>
      </w:r>
      <w:r w:rsidR="003978C9">
        <w:t xml:space="preserve"> and</w:t>
      </w:r>
      <w:r w:rsidR="00517CA5">
        <w:t xml:space="preserve"> </w:t>
      </w:r>
      <w:r w:rsidR="001A3C54">
        <w:t>completed the study in full. Participants were</w:t>
      </w:r>
      <w:r w:rsidR="003978C9">
        <w:t xml:space="preserve"> recruited on a voluntary basis and</w:t>
      </w:r>
      <w:r w:rsidR="001A3C54">
        <w:t xml:space="preserve"> not compensated for completing the study. </w:t>
      </w:r>
    </w:p>
    <w:p w14:paraId="3EF3787D" w14:textId="6529FB61" w:rsidR="007403C7" w:rsidRDefault="005F6759" w:rsidP="00DA56E6">
      <w:pPr>
        <w:spacing w:line="480" w:lineRule="auto"/>
        <w:ind w:firstLine="720"/>
      </w:pPr>
      <w:r>
        <w:t xml:space="preserve">Each stimulus was a pair of </w:t>
      </w:r>
      <w:r w:rsidRPr="00A46F99">
        <w:rPr>
          <w:i/>
          <w:iCs/>
        </w:rPr>
        <w:t>p</w:t>
      </w:r>
      <w:r>
        <w:t>-values</w:t>
      </w:r>
      <w:r w:rsidR="00225BBC">
        <w:t xml:space="preserve">. </w:t>
      </w:r>
      <w:r w:rsidR="007D2FA9">
        <w:t>The</w:t>
      </w:r>
      <w:r w:rsidR="00453283">
        <w:t xml:space="preserve"> </w:t>
      </w:r>
      <w:r w:rsidR="007D2FA9">
        <w:t xml:space="preserve">within-pair </w:t>
      </w:r>
      <w:r w:rsidR="00453283">
        <w:t xml:space="preserve">distance </w:t>
      </w:r>
      <w:r>
        <w:t xml:space="preserve">between </w:t>
      </w:r>
      <w:r w:rsidR="00453283">
        <w:t xml:space="preserve">the two values </w:t>
      </w:r>
      <w:r>
        <w:t xml:space="preserve">ranged from 0.002 to 0.009 in thousandths increments. </w:t>
      </w:r>
      <w:r w:rsidR="00225BBC">
        <w:t xml:space="preserve">Between 10 to </w:t>
      </w:r>
      <w:r w:rsidR="001A3C54">
        <w:t xml:space="preserve">12 stimuli pairs were created for each </w:t>
      </w:r>
      <w:r w:rsidR="000F4294">
        <w:t xml:space="preserve">within-pair </w:t>
      </w:r>
      <w:r w:rsidR="00453283">
        <w:t>distance</w:t>
      </w:r>
      <w:r w:rsidR="004F1148">
        <w:t xml:space="preserve">. The critical variable was boundary-crossing. Of these 10-12 pairs, </w:t>
      </w:r>
      <w:r w:rsidR="001A3C54">
        <w:t xml:space="preserve">three </w:t>
      </w:r>
      <w:r w:rsidR="00B76D11">
        <w:t xml:space="preserve">or </w:t>
      </w:r>
      <w:r w:rsidR="001A3C54">
        <w:t>four cross</w:t>
      </w:r>
      <w:r w:rsidR="004F1148">
        <w:t>ed</w:t>
      </w:r>
      <w:r w:rsidR="001A3C54">
        <w:t xml:space="preserve"> the 0.05 boundary, three</w:t>
      </w:r>
      <w:r w:rsidR="00FA30FA">
        <w:t xml:space="preserve"> or four</w:t>
      </w:r>
      <w:r w:rsidR="001A3C54">
        <w:t xml:space="preserve"> </w:t>
      </w:r>
      <w:r w:rsidR="004F1148">
        <w:t xml:space="preserve">were </w:t>
      </w:r>
      <w:r w:rsidR="001A3C54">
        <w:t>below the boundary</w:t>
      </w:r>
      <w:r>
        <w:t>,</w:t>
      </w:r>
      <w:r w:rsidR="001A3C54">
        <w:t xml:space="preserve"> and three </w:t>
      </w:r>
      <w:r w:rsidR="00FA30FA">
        <w:t xml:space="preserve">or four </w:t>
      </w:r>
      <w:r w:rsidR="004F1148">
        <w:t xml:space="preserve">were </w:t>
      </w:r>
      <w:r w:rsidR="001A3C54">
        <w:t xml:space="preserve">above the boundary. </w:t>
      </w:r>
      <w:r w:rsidR="004F1148">
        <w:t>All pairs were of the form “0.0XY” where X and Y were non-zero digits</w:t>
      </w:r>
      <w:r w:rsidR="002B520F" w:rsidRPr="002B520F">
        <w:t xml:space="preserve"> </w:t>
      </w:r>
      <w:r w:rsidR="002B520F">
        <w:t>to control for a potential effect of a different number of leading zeros on reaction time (Schulze et al., 1991)</w:t>
      </w:r>
      <w:r w:rsidR="004F1148">
        <w:t xml:space="preserve">. Each pair of </w:t>
      </w:r>
      <w:r w:rsidR="004F1148">
        <w:rPr>
          <w:i/>
        </w:rPr>
        <w:t>p</w:t>
      </w:r>
      <w:r w:rsidR="004F1148">
        <w:t xml:space="preserve">-values </w:t>
      </w:r>
      <w:r w:rsidR="00DA56E6">
        <w:t>had different digits in the hundredths place</w:t>
      </w:r>
      <w:r w:rsidR="003E028D">
        <w:t>.</w:t>
      </w:r>
      <w:r w:rsidR="00DA56E6">
        <w:t xml:space="preserve"> </w:t>
      </w:r>
      <w:r w:rsidR="00E051BD">
        <w:lastRenderedPageBreak/>
        <w:t xml:space="preserve">We included additional </w:t>
      </w:r>
      <w:r w:rsidR="00B941F4">
        <w:t xml:space="preserve">filler </w:t>
      </w:r>
      <w:r w:rsidR="00E051BD">
        <w:t>stimuli</w:t>
      </w:r>
      <w:r w:rsidR="00517CA5">
        <w:t xml:space="preserve"> </w:t>
      </w:r>
      <w:r w:rsidR="003960FD">
        <w:t>so that</w:t>
      </w:r>
      <w:r w:rsidR="00517CA5">
        <w:t xml:space="preserve"> participants would not </w:t>
      </w:r>
      <w:r w:rsidR="003960FD">
        <w:t>notice and begin attending to</w:t>
      </w:r>
      <w:r w:rsidR="00517CA5">
        <w:t xml:space="preserve"> the uneven distribution of digits in the stimulus set.</w:t>
      </w:r>
    </w:p>
    <w:p w14:paraId="75AD9FD5" w14:textId="2883D99E" w:rsidR="00637FC6" w:rsidRDefault="001A3C54" w:rsidP="00637FC6">
      <w:pPr>
        <w:spacing w:line="480" w:lineRule="auto"/>
        <w:ind w:firstLine="720"/>
      </w:pPr>
      <w:r>
        <w:t xml:space="preserve">Pairs of </w:t>
      </w:r>
      <w:r>
        <w:rPr>
          <w:i/>
        </w:rPr>
        <w:t>p</w:t>
      </w:r>
      <w:r>
        <w:t>-values were presented sequential</w:t>
      </w:r>
      <w:r w:rsidR="00F15EE5">
        <w:t>ly</w:t>
      </w:r>
      <w:r>
        <w:t xml:space="preserve"> to participants</w:t>
      </w:r>
      <w:r w:rsidR="00F15EE5">
        <w:t xml:space="preserve">, with the first </w:t>
      </w:r>
      <w:r w:rsidR="00F15EE5">
        <w:rPr>
          <w:i/>
        </w:rPr>
        <w:t>p</w:t>
      </w:r>
      <w:r w:rsidR="00F15EE5">
        <w:t xml:space="preserve">-value shown for </w:t>
      </w:r>
      <w:r w:rsidR="00F210AF">
        <w:t>one second</w:t>
      </w:r>
      <w:r w:rsidR="00F15EE5">
        <w:t xml:space="preserve"> and the second shown until </w:t>
      </w:r>
      <w:r w:rsidR="003D3308">
        <w:t xml:space="preserve">either </w:t>
      </w:r>
      <w:r w:rsidR="00F15EE5">
        <w:t>a response was made</w:t>
      </w:r>
      <w:r w:rsidR="00F210AF">
        <w:t xml:space="preserve"> or five second</w:t>
      </w:r>
      <w:r w:rsidR="00182DCC">
        <w:t>s</w:t>
      </w:r>
      <w:r w:rsidR="00F210AF">
        <w:t xml:space="preserve"> elapsed</w:t>
      </w:r>
      <w:r>
        <w:t>.</w:t>
      </w:r>
      <w:r w:rsidR="000D3C30" w:rsidRPr="000D3C30">
        <w:t xml:space="preserve"> </w:t>
      </w:r>
      <w:r w:rsidR="000D3C30">
        <w:t xml:space="preserve">Participants were asked to judge whether the two </w:t>
      </w:r>
      <w:r w:rsidR="000D3C30">
        <w:rPr>
          <w:i/>
        </w:rPr>
        <w:t>p</w:t>
      </w:r>
      <w:r w:rsidR="000D3C30">
        <w:t xml:space="preserve">-values were “similar” to or “different” from each other, and to indicate their choice as quickly as possible by pressing either F (for similar) </w:t>
      </w:r>
      <w:r w:rsidR="000D3C30" w:rsidRPr="00F15EE5">
        <w:t>or</w:t>
      </w:r>
      <w:r w:rsidR="000D3C30">
        <w:t xml:space="preserve"> J (for different) on their keyboard. This format is known as an AX categorical discrimination task and is widely used in CPE studies (e.g., </w:t>
      </w:r>
      <w:proofErr w:type="spellStart"/>
      <w:r w:rsidR="000D3C30">
        <w:t>Hary</w:t>
      </w:r>
      <w:proofErr w:type="spellEnd"/>
      <w:r w:rsidR="000D3C30">
        <w:t xml:space="preserve"> &amp; Massaro, 1982). </w:t>
      </w:r>
      <w:r w:rsidR="004D40F9">
        <w:t>Of the 10-12 trials for each distance, in one half</w:t>
      </w:r>
      <w:r w:rsidR="004533D3">
        <w:t xml:space="preserve"> the first </w:t>
      </w:r>
      <w:r w:rsidR="004533D3" w:rsidRPr="00EE466C">
        <w:rPr>
          <w:i/>
        </w:rPr>
        <w:t>p</w:t>
      </w:r>
      <w:r w:rsidR="004533D3">
        <w:t>-value presented was smaller than the second one</w:t>
      </w:r>
      <w:r w:rsidR="004D40F9">
        <w:t>, and in the other half it was larger</w:t>
      </w:r>
      <w:r w:rsidR="004533D3">
        <w:t xml:space="preserve">. </w:t>
      </w:r>
      <w:r w:rsidR="00517CA5">
        <w:t xml:space="preserve">To </w:t>
      </w:r>
      <w:r w:rsidR="004533D3">
        <w:t>induce a statistical mindset</w:t>
      </w:r>
      <w:r w:rsidR="00517CA5">
        <w:t xml:space="preserve">, </w:t>
      </w:r>
      <w:r w:rsidR="004533D3" w:rsidRPr="00AC3F80">
        <w:rPr>
          <w:i/>
        </w:rPr>
        <w:t>p</w:t>
      </w:r>
      <w:r w:rsidR="004533D3">
        <w:t xml:space="preserve">-values </w:t>
      </w:r>
      <w:r w:rsidR="00517CA5">
        <w:t>were presented in the form “</w:t>
      </w:r>
      <w:r w:rsidR="00517CA5">
        <w:rPr>
          <w:i/>
          <w:iCs/>
        </w:rPr>
        <w:t>p</w:t>
      </w:r>
      <w:r w:rsidR="00517CA5">
        <w:t xml:space="preserve"> = 0.036”. </w:t>
      </w:r>
      <w:r w:rsidR="00637FC6">
        <w:t>Stimuli were blocked into six sets of 18 pairs, with a 20</w:t>
      </w:r>
      <w:r w:rsidR="005D6495">
        <w:t>-</w:t>
      </w:r>
      <w:r w:rsidR="00637FC6">
        <w:t xml:space="preserve">second break between each </w:t>
      </w:r>
      <w:r w:rsidR="00AC3F80">
        <w:t>block</w:t>
      </w:r>
      <w:r w:rsidR="00637FC6">
        <w:t xml:space="preserve">. An additional six stimuli were presented in an initial training phase to familiarize </w:t>
      </w:r>
      <w:r w:rsidR="004533D3">
        <w:t xml:space="preserve">participants </w:t>
      </w:r>
      <w:r w:rsidR="00637FC6">
        <w:t>with the t</w:t>
      </w:r>
      <w:r w:rsidR="004533D3">
        <w:t>ask</w:t>
      </w:r>
      <w:r w:rsidR="00637FC6">
        <w:t xml:space="preserve"> procedures. </w:t>
      </w:r>
    </w:p>
    <w:p w14:paraId="5B96D49A" w14:textId="213BA6B3" w:rsidR="007403C7" w:rsidRDefault="00140B2C" w:rsidP="00B125D0">
      <w:pPr>
        <w:spacing w:line="480" w:lineRule="auto"/>
        <w:ind w:firstLine="720"/>
      </w:pPr>
      <w:r>
        <w:t>We</w:t>
      </w:r>
      <w:r w:rsidR="00F67661">
        <w:t xml:space="preserve"> looked for categorical </w:t>
      </w:r>
      <w:r w:rsidR="004533D3">
        <w:t xml:space="preserve">perception </w:t>
      </w:r>
      <w:r w:rsidR="00F67661">
        <w:t>in two ways. First, we investigated whether similar vs. different judgments</w:t>
      </w:r>
      <w:r>
        <w:t xml:space="preserve"> (for which there is no objectively correct response)</w:t>
      </w:r>
      <w:r w:rsidR="00F67661">
        <w:t xml:space="preserve"> changed as a function of </w:t>
      </w:r>
      <w:r w:rsidR="00B125D0">
        <w:t xml:space="preserve">whether the </w:t>
      </w:r>
      <w:r w:rsidR="00B125D0" w:rsidRPr="00FA30FA">
        <w:rPr>
          <w:i/>
          <w:iCs/>
        </w:rPr>
        <w:t>p</w:t>
      </w:r>
      <w:r w:rsidR="00B125D0">
        <w:t xml:space="preserve">-values </w:t>
      </w:r>
      <w:r w:rsidR="00F67661" w:rsidRPr="00B125D0">
        <w:t>cross</w:t>
      </w:r>
      <w:r w:rsidR="00B125D0">
        <w:t>ed</w:t>
      </w:r>
      <w:r w:rsidR="00F67661">
        <w:t xml:space="preserve"> the 0.05 boundary </w:t>
      </w:r>
      <w:r w:rsidR="001A3C54">
        <w:t>with a log-binomial mixed effects model</w:t>
      </w:r>
      <w:r w:rsidR="000E6E2E">
        <w:t xml:space="preserve"> (</w:t>
      </w:r>
      <w:r w:rsidR="001A3C54">
        <w:t>e.g.</w:t>
      </w:r>
      <w:r w:rsidR="000E6E2E">
        <w:t>,</w:t>
      </w:r>
      <w:r w:rsidR="001A3C54">
        <w:t xml:space="preserve"> </w:t>
      </w:r>
      <w:proofErr w:type="spellStart"/>
      <w:r w:rsidR="001A3C54">
        <w:t>Cudeck</w:t>
      </w:r>
      <w:proofErr w:type="spellEnd"/>
      <w:r w:rsidR="001A3C54">
        <w:t>, 1996</w:t>
      </w:r>
      <w:r w:rsidR="000E6E2E">
        <w:t xml:space="preserve">; </w:t>
      </w:r>
      <w:proofErr w:type="spellStart"/>
      <w:r w:rsidR="001A3C54">
        <w:t>Marschner</w:t>
      </w:r>
      <w:proofErr w:type="spellEnd"/>
      <w:r w:rsidR="001A3C54">
        <w:t xml:space="preserve"> &amp; Gillet, 2012). </w:t>
      </w:r>
      <w:r w:rsidR="00B125D0">
        <w:t>To isolate the effect of 0.05 boundary-crossing, the</w:t>
      </w:r>
      <w:r w:rsidR="001A3C54">
        <w:t xml:space="preserve"> model adjusted for </w:t>
      </w:r>
      <w:r w:rsidR="00453BC0">
        <w:t xml:space="preserve">size of the </w:t>
      </w:r>
      <w:r w:rsidR="008530BA" w:rsidRPr="00EE466C">
        <w:rPr>
          <w:i/>
        </w:rPr>
        <w:t>p</w:t>
      </w:r>
      <w:r w:rsidR="008530BA">
        <w:t>-values</w:t>
      </w:r>
      <w:r w:rsidR="00453BC0">
        <w:t xml:space="preserve">, the </w:t>
      </w:r>
      <w:r w:rsidR="006F0979">
        <w:t xml:space="preserve">distance </w:t>
      </w:r>
      <w:r w:rsidR="00453BC0">
        <w:t xml:space="preserve">between them, </w:t>
      </w:r>
      <w:r w:rsidR="002B520F">
        <w:t>the pair’s digit compatibility</w:t>
      </w:r>
      <w:r w:rsidR="00453BC0">
        <w:t xml:space="preserve">, and </w:t>
      </w:r>
      <w:r w:rsidR="008530BA">
        <w:t xml:space="preserve">whether the smaller </w:t>
      </w:r>
      <w:r w:rsidR="008530BA" w:rsidRPr="00EE466C">
        <w:rPr>
          <w:i/>
        </w:rPr>
        <w:t>p</w:t>
      </w:r>
      <w:r w:rsidR="008530BA">
        <w:t>-value was presented first</w:t>
      </w:r>
      <w:r w:rsidR="006F0979">
        <w:t>.</w:t>
      </w:r>
    </w:p>
    <w:p w14:paraId="48906838" w14:textId="40BA113B" w:rsidR="00464522" w:rsidRDefault="006F0979" w:rsidP="00F67661">
      <w:pPr>
        <w:spacing w:line="480" w:lineRule="auto"/>
        <w:ind w:firstLine="720"/>
      </w:pPr>
      <w:r>
        <w:t xml:space="preserve">Second, we </w:t>
      </w:r>
      <w:r w:rsidR="00F67661">
        <w:t xml:space="preserve">looked for </w:t>
      </w:r>
      <w:r w:rsidR="00AC3F80">
        <w:t>differences</w:t>
      </w:r>
      <w:r w:rsidR="00F67661">
        <w:t xml:space="preserve"> in participants</w:t>
      </w:r>
      <w:r w:rsidR="00140B2C">
        <w:t>’</w:t>
      </w:r>
      <w:r w:rsidR="00F67661">
        <w:t xml:space="preserve"> reaction times as a function of crossing the 0.05 boundary using</w:t>
      </w:r>
      <w:r w:rsidR="001A3C54">
        <w:t xml:space="preserve"> a linear mixed effects model</w:t>
      </w:r>
      <w:r w:rsidR="00140B2C">
        <w:t xml:space="preserve">, which </w:t>
      </w:r>
      <w:r w:rsidR="002E1EEF">
        <w:t>analyzed</w:t>
      </w:r>
      <w:r w:rsidR="001A3C54">
        <w:t xml:space="preserve"> the relationship between reaction time and whether the stimuli crossed the boundary</w:t>
      </w:r>
      <w:r w:rsidR="002E1EEF">
        <w:t>, and</w:t>
      </w:r>
      <w:r w:rsidR="001A3C54">
        <w:t xml:space="preserve"> a</w:t>
      </w:r>
      <w:r w:rsidR="004D40F9">
        <w:t>gain</w:t>
      </w:r>
      <w:r w:rsidR="001A3C54">
        <w:t xml:space="preserve"> adjusted for the </w:t>
      </w:r>
      <w:r w:rsidR="00453BC0">
        <w:t>size, distance, compatibility, and order</w:t>
      </w:r>
      <w:r w:rsidR="00E051BD">
        <w:t>.</w:t>
      </w:r>
    </w:p>
    <w:p w14:paraId="4466EEDD" w14:textId="3D33DD60" w:rsidR="007403C7" w:rsidRDefault="00464522" w:rsidP="00F67661">
      <w:pPr>
        <w:spacing w:line="480" w:lineRule="auto"/>
        <w:ind w:firstLine="720"/>
      </w:pPr>
      <w:r>
        <w:t xml:space="preserve">Both mixed effects models converged without singularities, </w:t>
      </w:r>
      <w:r w:rsidR="00140B2C">
        <w:t>so</w:t>
      </w:r>
      <w:r>
        <w:t xml:space="preserve"> </w:t>
      </w:r>
      <w:r w:rsidR="001A3C54">
        <w:t xml:space="preserve">ANOVA Type III Sums of Squares tests were used to generate </w:t>
      </w:r>
      <w:r w:rsidR="001A3C54">
        <w:rPr>
          <w:i/>
        </w:rPr>
        <w:t>p</w:t>
      </w:r>
      <w:r w:rsidR="001A3C54">
        <w:t>-values for factors (</w:t>
      </w:r>
      <w:proofErr w:type="spellStart"/>
      <w:r w:rsidR="001A3C54">
        <w:t>Matuschek</w:t>
      </w:r>
      <w:proofErr w:type="spellEnd"/>
      <w:r w:rsidR="001A3C54">
        <w:t xml:space="preserve"> et al., 2017).  All analyses were completed using R</w:t>
      </w:r>
      <w:r w:rsidR="006F0979">
        <w:t xml:space="preserve"> (R Core Team, 2019)</w:t>
      </w:r>
      <w:r w:rsidR="001A3C54">
        <w:t xml:space="preserve"> and the lme4 package (Bates et al., 2015</w:t>
      </w:r>
      <w:r w:rsidR="006F0979">
        <w:t>)</w:t>
      </w:r>
      <w:r w:rsidR="001A3C54">
        <w:t>.</w:t>
      </w:r>
    </w:p>
    <w:p w14:paraId="56C6C367" w14:textId="77777777" w:rsidR="007403C7" w:rsidRDefault="001A3C54">
      <w:pPr>
        <w:pStyle w:val="Heading1"/>
        <w:spacing w:line="480" w:lineRule="auto"/>
      </w:pPr>
      <w:bookmarkStart w:id="4" w:name="_vywtrmw8p9pu" w:colFirst="0" w:colLast="0"/>
      <w:bookmarkEnd w:id="4"/>
      <w:r>
        <w:lastRenderedPageBreak/>
        <w:t>Results</w:t>
      </w:r>
    </w:p>
    <w:p w14:paraId="733E7FAC" w14:textId="5C53EE41" w:rsidR="00F67661" w:rsidRDefault="00F67661" w:rsidP="00AC3F80">
      <w:pPr>
        <w:spacing w:line="480" w:lineRule="auto"/>
        <w:ind w:firstLine="720"/>
      </w:pPr>
      <w:r>
        <w:t xml:space="preserve">Judgments of </w:t>
      </w:r>
      <w:r w:rsidR="00AC3F80">
        <w:t>similarity</w:t>
      </w:r>
      <w:r>
        <w:t xml:space="preserve"> vs. difference showed the predicted categorical perception effect. F</w:t>
      </w:r>
      <w:r w:rsidR="001A3C54">
        <w:t xml:space="preserve">or a given distance, participants were more likely to label the pair as different when the </w:t>
      </w:r>
      <w:r w:rsidR="005A1241">
        <w:rPr>
          <w:i/>
          <w:iCs/>
        </w:rPr>
        <w:t>p</w:t>
      </w:r>
      <w:r w:rsidR="005A1241">
        <w:t>-values</w:t>
      </w:r>
      <w:r w:rsidR="001A3C54">
        <w:t xml:space="preserve"> crossed the boundary</w:t>
      </w:r>
      <w:r w:rsidR="00464522">
        <w:t xml:space="preserve"> (</w:t>
      </w:r>
      <w:r w:rsidR="00464522">
        <w:rPr>
          <w:i/>
          <w:iCs/>
        </w:rPr>
        <w:t>p</w:t>
      </w:r>
      <w:r w:rsidR="00464522">
        <w:t xml:space="preserve"> </w:t>
      </w:r>
      <w:r w:rsidR="008A359D">
        <w:t>&lt; 0.0001</w:t>
      </w:r>
      <w:r w:rsidR="00464522">
        <w:t>)</w:t>
      </w:r>
      <w:r w:rsidR="001A3C54">
        <w:t xml:space="preserve">, as shown in Figure </w:t>
      </w:r>
      <w:r w:rsidR="00A46F99">
        <w:t>1</w:t>
      </w:r>
      <w:r w:rsidR="001A3C54">
        <w:t xml:space="preserve">. </w:t>
      </w:r>
      <w:r w:rsidR="00140B2C">
        <w:t xml:space="preserve">The point estimate was </w:t>
      </w:r>
      <w:r w:rsidR="008A359D">
        <w:t>2.42</w:t>
      </w:r>
      <w:r w:rsidR="00140B2C">
        <w:t xml:space="preserve"> (</w:t>
      </w:r>
      <w:r w:rsidR="00140B2C">
        <w:rPr>
          <w:i/>
        </w:rPr>
        <w:t xml:space="preserve">95% CI: </w:t>
      </w:r>
      <w:r w:rsidR="008A359D">
        <w:rPr>
          <w:i/>
          <w:iCs/>
        </w:rPr>
        <w:t>1.49</w:t>
      </w:r>
      <w:r w:rsidR="00140B2C" w:rsidRPr="00FA30FA">
        <w:rPr>
          <w:i/>
          <w:iCs/>
        </w:rPr>
        <w:t xml:space="preserve"> </w:t>
      </w:r>
      <w:r w:rsidR="00140B2C" w:rsidRPr="00140B2C">
        <w:rPr>
          <w:i/>
          <w:iCs/>
        </w:rPr>
        <w:t xml:space="preserve">– </w:t>
      </w:r>
      <w:r w:rsidR="008A359D">
        <w:rPr>
          <w:i/>
          <w:iCs/>
        </w:rPr>
        <w:t>3.95</w:t>
      </w:r>
      <w:r w:rsidR="00140B2C">
        <w:t>)</w:t>
      </w:r>
      <w:r>
        <w:t xml:space="preserve">, implying that for a given distance between stimuli, participants were approximately </w:t>
      </w:r>
      <w:r w:rsidR="008A359D">
        <w:t>two and a half times</w:t>
      </w:r>
      <w:r>
        <w:t xml:space="preserve"> more likely to indicate that the pair were different from each other when the </w:t>
      </w:r>
      <w:r>
        <w:rPr>
          <w:i/>
          <w:iCs/>
        </w:rPr>
        <w:t>p</w:t>
      </w:r>
      <w:r>
        <w:t xml:space="preserve">-values crossed the boundary (compared to both being below or both above). Among </w:t>
      </w:r>
      <w:r w:rsidR="003A3532">
        <w:t xml:space="preserve">the </w:t>
      </w:r>
      <w:r>
        <w:t>other variables, participants were more likely to indicate that a stimulus pair was different as the distance between stimuli in the pair increased (</w:t>
      </w:r>
      <w:r>
        <w:rPr>
          <w:i/>
          <w:iCs/>
        </w:rPr>
        <w:t>p</w:t>
      </w:r>
      <w:r>
        <w:t xml:space="preserve"> &lt; 0.00</w:t>
      </w:r>
      <w:r w:rsidR="008A359D">
        <w:t>0</w:t>
      </w:r>
      <w:r>
        <w:t>1</w:t>
      </w:r>
      <w:r w:rsidR="00AC3F80">
        <w:t>)</w:t>
      </w:r>
      <w:r w:rsidR="00F51E0A">
        <w:t xml:space="preserve">, </w:t>
      </w:r>
      <w:r w:rsidR="00A46F99">
        <w:t>analogous to</w:t>
      </w:r>
      <w:r w:rsidR="00F51E0A">
        <w:t xml:space="preserve"> the distance effect</w:t>
      </w:r>
      <w:r w:rsidR="00AC3F80">
        <w:t>. No other covariates were significant.</w:t>
      </w:r>
    </w:p>
    <w:p w14:paraId="2F8CBCA8" w14:textId="094417FB" w:rsidR="007403C7" w:rsidRDefault="001A3C54" w:rsidP="00091ED8">
      <w:pPr>
        <w:spacing w:line="480" w:lineRule="auto"/>
      </w:pPr>
      <w:r>
        <w:tab/>
        <w:t xml:space="preserve">Analysis of participants’ reaction times indicated large individual differences that appeared to obscure group differences. </w:t>
      </w:r>
      <w:r w:rsidR="003507B8">
        <w:t xml:space="preserve">Nevertheless, </w:t>
      </w:r>
      <w:r w:rsidR="00637FC6">
        <w:t xml:space="preserve">after controlling for covariates, </w:t>
      </w:r>
      <w:r>
        <w:t>participants may have been slightly faster at identifying pairs of stimuli as different when they crossed the 0.05 boundary (</w:t>
      </w:r>
      <w:r>
        <w:rPr>
          <w:i/>
        </w:rPr>
        <w:t>p</w:t>
      </w:r>
      <w:r>
        <w:t xml:space="preserve"> = 0.08</w:t>
      </w:r>
      <w:r w:rsidR="008A359D">
        <w:t>25</w:t>
      </w:r>
      <w:r>
        <w:t>). On average, participants were approximately 0.</w:t>
      </w:r>
      <w:r w:rsidR="008A359D">
        <w:t>282</w:t>
      </w:r>
      <w:r>
        <w:t xml:space="preserve"> seconds faster (</w:t>
      </w:r>
      <w:r w:rsidR="00B53EAA">
        <w:rPr>
          <w:i/>
        </w:rPr>
        <w:t>95% CI: -</w:t>
      </w:r>
      <w:r w:rsidR="008A359D">
        <w:rPr>
          <w:i/>
        </w:rPr>
        <w:t>.048s</w:t>
      </w:r>
      <w:r w:rsidR="00B53EAA">
        <w:rPr>
          <w:i/>
        </w:rPr>
        <w:t xml:space="preserve"> – </w:t>
      </w:r>
      <w:r w:rsidR="008A359D">
        <w:rPr>
          <w:i/>
        </w:rPr>
        <w:t>.612s faster</w:t>
      </w:r>
      <w:r>
        <w:t xml:space="preserve">) </w:t>
      </w:r>
      <w:r w:rsidR="003507B8">
        <w:t xml:space="preserve">in such cases, </w:t>
      </w:r>
      <w:r>
        <w:t>a</w:t>
      </w:r>
      <w:r w:rsidR="008A359D">
        <w:t>n estimated</w:t>
      </w:r>
      <w:r>
        <w:t xml:space="preserve"> </w:t>
      </w:r>
      <w:r w:rsidR="008A359D">
        <w:t>24</w:t>
      </w:r>
      <w:r>
        <w:t>% reduction in reaction time against the model</w:t>
      </w:r>
      <w:r w:rsidR="00355FC5">
        <w:t>-</w:t>
      </w:r>
      <w:r>
        <w:t>adjusted mean</w:t>
      </w:r>
      <w:r w:rsidR="002E1EEF">
        <w:t>.</w:t>
      </w:r>
      <w:r>
        <w:t xml:space="preserve"> As expected, reaction times were faster as the distance between the pairs of stimuli increased (</w:t>
      </w:r>
      <w:r>
        <w:rPr>
          <w:i/>
        </w:rPr>
        <w:t>p</w:t>
      </w:r>
      <w:r>
        <w:t xml:space="preserve"> = 0.0</w:t>
      </w:r>
      <w:r w:rsidR="008A359D">
        <w:t>043</w:t>
      </w:r>
      <w:r w:rsidR="00111115">
        <w:t>)</w:t>
      </w:r>
      <w:r>
        <w:t xml:space="preserve">. </w:t>
      </w:r>
      <w:r w:rsidR="00E051BD">
        <w:t>No other covariates were significant.</w:t>
      </w:r>
    </w:p>
    <w:p w14:paraId="452E4E3A" w14:textId="77777777" w:rsidR="007403C7" w:rsidRDefault="001A3C54">
      <w:pPr>
        <w:pStyle w:val="Heading1"/>
        <w:spacing w:line="480" w:lineRule="auto"/>
      </w:pPr>
      <w:bookmarkStart w:id="5" w:name="_laud4pmribnh" w:colFirst="0" w:colLast="0"/>
      <w:bookmarkEnd w:id="5"/>
      <w:r>
        <w:t>Discussion</w:t>
      </w:r>
    </w:p>
    <w:p w14:paraId="04AECF64" w14:textId="3516254D" w:rsidR="00D47CE2" w:rsidRDefault="001A3C54">
      <w:pPr>
        <w:spacing w:line="480" w:lineRule="auto"/>
      </w:pPr>
      <w:r>
        <w:tab/>
        <w:t xml:space="preserve">This study </w:t>
      </w:r>
      <w:r w:rsidR="00CC5D6F">
        <w:t>investigated whether there is a</w:t>
      </w:r>
      <w:r>
        <w:t xml:space="preserve"> </w:t>
      </w:r>
      <w:r w:rsidR="00E051BD">
        <w:t>CPE</w:t>
      </w:r>
      <w:r>
        <w:t xml:space="preserve"> on the mental representation of the </w:t>
      </w:r>
      <w:r>
        <w:rPr>
          <w:i/>
        </w:rPr>
        <w:t>p</w:t>
      </w:r>
      <w:r>
        <w:t>-value continuum</w:t>
      </w:r>
      <w:r w:rsidR="00D47CE2">
        <w:t>, with traditional statistical training resulting in a boundary at 0.05</w:t>
      </w:r>
      <w:r>
        <w:t>.</w:t>
      </w:r>
      <w:r w:rsidR="00D47CE2">
        <w:t xml:space="preserve"> In fact, this appears to be the case.</w:t>
      </w:r>
      <w:r>
        <w:t xml:space="preserve"> </w:t>
      </w:r>
      <w:r w:rsidR="00D47CE2">
        <w:t>Participants were</w:t>
      </w:r>
      <w:r>
        <w:t xml:space="preserve"> more likely to </w:t>
      </w:r>
      <w:r w:rsidR="00D05255">
        <w:t xml:space="preserve">judge </w:t>
      </w:r>
      <w:r>
        <w:t xml:space="preserve">a pair of </w:t>
      </w:r>
      <w:r>
        <w:rPr>
          <w:i/>
        </w:rPr>
        <w:t>p</w:t>
      </w:r>
      <w:r>
        <w:t xml:space="preserve">-values </w:t>
      </w:r>
      <w:r w:rsidR="00D05255">
        <w:t>as ‘</w:t>
      </w:r>
      <w:r>
        <w:t>different</w:t>
      </w:r>
      <w:r w:rsidR="00D05255">
        <w:t>’ (vs. ‘similar’)</w:t>
      </w:r>
      <w:r>
        <w:t xml:space="preserve"> when they cross</w:t>
      </w:r>
      <w:r w:rsidR="00355FC5">
        <w:t>ed</w:t>
      </w:r>
      <w:r>
        <w:t xml:space="preserve"> the 0.05 boundary</w:t>
      </w:r>
      <w:r w:rsidR="00D47CE2">
        <w:t xml:space="preserve">. They </w:t>
      </w:r>
      <w:r w:rsidR="008A359D">
        <w:t>may</w:t>
      </w:r>
      <w:r w:rsidR="00D47CE2">
        <w:t xml:space="preserve"> also</w:t>
      </w:r>
      <w:r>
        <w:t xml:space="preserve"> </w:t>
      </w:r>
      <w:r w:rsidR="008A359D">
        <w:t xml:space="preserve">be </w:t>
      </w:r>
      <w:r>
        <w:t xml:space="preserve">slightly faster </w:t>
      </w:r>
      <w:r w:rsidR="00D47CE2">
        <w:t>to make</w:t>
      </w:r>
      <w:r>
        <w:t xml:space="preserve"> </w:t>
      </w:r>
      <w:r>
        <w:lastRenderedPageBreak/>
        <w:t xml:space="preserve">this </w:t>
      </w:r>
      <w:r w:rsidR="00D05255">
        <w:t>judgment</w:t>
      </w:r>
      <w:r w:rsidR="00D47CE2">
        <w:t>. These effects were present</w:t>
      </w:r>
      <w:r>
        <w:t xml:space="preserve"> </w:t>
      </w:r>
      <w:r w:rsidR="003507B8">
        <w:t xml:space="preserve">even </w:t>
      </w:r>
      <w:r>
        <w:t xml:space="preserve">after controlling </w:t>
      </w:r>
      <w:r w:rsidR="00453BC0">
        <w:t xml:space="preserve">for </w:t>
      </w:r>
      <w:r w:rsidR="00D47CE2">
        <w:t xml:space="preserve">the </w:t>
      </w:r>
      <w:r w:rsidR="00453BC0">
        <w:t>size, distance, compatibility, and order</w:t>
      </w:r>
      <w:r w:rsidR="00D47CE2">
        <w:t xml:space="preserve"> effects in the mathematical cognition literature</w:t>
      </w:r>
      <w:r>
        <w:t>.</w:t>
      </w:r>
    </w:p>
    <w:p w14:paraId="1C7BCEB4" w14:textId="29217398" w:rsidR="007403C7" w:rsidRDefault="00D47CE2" w:rsidP="00E10F34">
      <w:pPr>
        <w:spacing w:line="480" w:lineRule="auto"/>
        <w:ind w:firstLine="720"/>
      </w:pPr>
      <w:r>
        <w:t>The finding of a CPE shows that</w:t>
      </w:r>
      <w:r w:rsidR="001A3C54">
        <w:t xml:space="preserve"> </w:t>
      </w:r>
      <w:r w:rsidR="00AC3F80">
        <w:t xml:space="preserve">the </w:t>
      </w:r>
      <w:r w:rsidR="00AC3F80">
        <w:rPr>
          <w:i/>
          <w:iCs/>
        </w:rPr>
        <w:t>p</w:t>
      </w:r>
      <w:r w:rsidR="00AC3F80">
        <w:t>-value continuum</w:t>
      </w:r>
      <w:r>
        <w:t xml:space="preserve"> contains a </w:t>
      </w:r>
      <w:r w:rsidR="00E10F34">
        <w:t>discontinuity</w:t>
      </w:r>
      <w:r>
        <w:t xml:space="preserve"> at 0.05.</w:t>
      </w:r>
      <w:r w:rsidR="008A359D">
        <w:t xml:space="preserve"> This is a discontinuity in participants’ perception of </w:t>
      </w:r>
      <w:r w:rsidR="008A359D">
        <w:rPr>
          <w:i/>
          <w:iCs/>
        </w:rPr>
        <w:t>p</w:t>
      </w:r>
      <w:r w:rsidR="008A359D">
        <w:t xml:space="preserve">-values beyond a simple application of a label that fundamentally affects their statistical reasoning and decision making about </w:t>
      </w:r>
      <w:r w:rsidR="008A359D">
        <w:rPr>
          <w:i/>
          <w:iCs/>
        </w:rPr>
        <w:t>p</w:t>
      </w:r>
      <w:r w:rsidR="008A359D">
        <w:t>-values.</w:t>
      </w:r>
      <w:r>
        <w:t xml:space="preserve"> We hypothesize that this is a consequence of traditional statistics instruction, and with reading a </w:t>
      </w:r>
      <w:r w:rsidR="003A3532">
        <w:t xml:space="preserve">scientific </w:t>
      </w:r>
      <w:r>
        <w:t xml:space="preserve">literature still dominated by NHST. </w:t>
      </w:r>
      <w:r w:rsidR="0020352C">
        <w:t xml:space="preserve">We are in the process of collecting additional data to more strongly test this learning hypothesis. Specifically, if </w:t>
      </w:r>
      <w:r w:rsidR="003A3532">
        <w:t>this instructional and experiential hypothesis</w:t>
      </w:r>
      <w:r w:rsidR="0020352C">
        <w:t xml:space="preserve"> is true, then the CPE for </w:t>
      </w:r>
      <w:r w:rsidR="0020352C">
        <w:rPr>
          <w:i/>
        </w:rPr>
        <w:t>p</w:t>
      </w:r>
      <w:r w:rsidR="0020352C">
        <w:t>-values should be relatively small for first-year graduate students, should increase over graduate training and statistical coursework, and should be relatively large in working scientists.</w:t>
      </w:r>
    </w:p>
    <w:p w14:paraId="298A00DE" w14:textId="0D868AE5" w:rsidR="00AC3F80" w:rsidRDefault="00AC3F80" w:rsidP="00AC3F80">
      <w:pPr>
        <w:spacing w:line="480" w:lineRule="auto"/>
      </w:pPr>
      <w:r>
        <w:tab/>
      </w:r>
      <w:r w:rsidR="0020352C">
        <w:t xml:space="preserve">This study had </w:t>
      </w:r>
      <w:r w:rsidR="00737AAC">
        <w:t>several</w:t>
      </w:r>
      <w:r w:rsidR="0020352C">
        <w:t xml:space="preserve"> limitations. First</w:t>
      </w:r>
      <w:r>
        <w:t xml:space="preserve">, </w:t>
      </w:r>
      <w:r w:rsidR="0020352C">
        <w:t xml:space="preserve">it included </w:t>
      </w:r>
      <w:r>
        <w:t xml:space="preserve">only 25 participants </w:t>
      </w:r>
      <w:r w:rsidR="0020352C">
        <w:t>who made only</w:t>
      </w:r>
      <w:r>
        <w:t xml:space="preserve"> 108 </w:t>
      </w:r>
      <w:r w:rsidR="0020352C">
        <w:t>judgments. Thus, the data were no</w:t>
      </w:r>
      <w:r w:rsidR="00E10F34">
        <w:t>i</w:t>
      </w:r>
      <w:r w:rsidR="0020352C">
        <w:t xml:space="preserve">sy, and the </w:t>
      </w:r>
      <w:r>
        <w:t>reaction time data</w:t>
      </w:r>
      <w:r w:rsidR="0020352C">
        <w:t xml:space="preserve"> </w:t>
      </w:r>
      <w:r w:rsidR="00E10F34">
        <w:t>exhibited unexpected patterns most likely explained by measurement variability occluding a possible CPE</w:t>
      </w:r>
      <w:r>
        <w:t>.</w:t>
      </w:r>
      <w:r w:rsidR="00B53EAA">
        <w:t xml:space="preserve"> </w:t>
      </w:r>
      <w:r w:rsidR="0020352C">
        <w:t>Second</w:t>
      </w:r>
      <w:r>
        <w:t>,</w:t>
      </w:r>
      <w:r w:rsidR="0020352C">
        <w:t xml:space="preserve"> the CPE found here might be paradigm-specific, and further studies are needed </w:t>
      </w:r>
      <w:r w:rsidR="003A3532">
        <w:t xml:space="preserve">showing the 0.05 </w:t>
      </w:r>
      <w:r w:rsidR="00737AAC">
        <w:t>remains</w:t>
      </w:r>
      <w:r w:rsidR="003A3532">
        <w:t xml:space="preserve"> a boundary </w:t>
      </w:r>
      <w:r w:rsidR="00737AAC">
        <w:t>across</w:t>
      </w:r>
      <w:r w:rsidR="003A3532">
        <w:t xml:space="preserve"> </w:t>
      </w:r>
      <w:r>
        <w:t xml:space="preserve">a </w:t>
      </w:r>
      <w:r w:rsidR="00737AAC">
        <w:t xml:space="preserve">range </w:t>
      </w:r>
      <w:r>
        <w:t>of discrimination tasks</w:t>
      </w:r>
      <w:r w:rsidR="00B53EAA">
        <w:t xml:space="preserve"> (</w:t>
      </w:r>
      <w:proofErr w:type="spellStart"/>
      <w:r w:rsidR="00B53EAA">
        <w:t>Gerrits</w:t>
      </w:r>
      <w:proofErr w:type="spellEnd"/>
      <w:r w:rsidR="00B53EAA">
        <w:t xml:space="preserve"> &amp; Schouten, 2004).</w:t>
      </w:r>
      <w:r>
        <w:t xml:space="preserve">  </w:t>
      </w:r>
      <w:r w:rsidR="00B53EAA">
        <w:t xml:space="preserve">Nevertheless, </w:t>
      </w:r>
      <w:r w:rsidR="00286BAA">
        <w:t>the current study</w:t>
      </w:r>
      <w:r w:rsidR="00B53EAA">
        <w:t xml:space="preserve"> provide</w:t>
      </w:r>
      <w:r w:rsidR="00286BAA">
        <w:t>s</w:t>
      </w:r>
      <w:r w:rsidR="00B53EAA">
        <w:t xml:space="preserve"> a first insight into the cognitive models underlying interpretation of </w:t>
      </w:r>
      <w:r w:rsidR="00B53EAA">
        <w:rPr>
          <w:i/>
        </w:rPr>
        <w:t>p</w:t>
      </w:r>
      <w:r w:rsidR="00B53EAA">
        <w:t>-</w:t>
      </w:r>
      <w:proofErr w:type="gramStart"/>
      <w:r w:rsidR="00B53EAA">
        <w:t>values</w:t>
      </w:r>
      <w:r w:rsidR="00286BAA">
        <w:t>,</w:t>
      </w:r>
      <w:r w:rsidR="00B53EAA">
        <w:t xml:space="preserve"> and</w:t>
      </w:r>
      <w:proofErr w:type="gramEnd"/>
      <w:r w:rsidR="00B53EAA">
        <w:t xml:space="preserve"> set</w:t>
      </w:r>
      <w:r w:rsidR="00286BAA">
        <w:t>s</w:t>
      </w:r>
      <w:r w:rsidR="00B53EAA">
        <w:t xml:space="preserve"> the stage for future research. </w:t>
      </w:r>
    </w:p>
    <w:p w14:paraId="72A5255C" w14:textId="00C58ECB" w:rsidR="00AC3F80" w:rsidRPr="00AC3F80" w:rsidRDefault="00AC3F80" w:rsidP="00737AAC">
      <w:pPr>
        <w:spacing w:line="480" w:lineRule="auto"/>
      </w:pPr>
      <w:r>
        <w:tab/>
        <w:t xml:space="preserve">In recent years, statisticians have argued that comparisons of statistical significance and non-statistical significance should not be made (Wasserstein et al., 2019). The advice is meant to obviate the phenomenon of </w:t>
      </w:r>
      <w:r>
        <w:rPr>
          <w:i/>
        </w:rPr>
        <w:t>p-</w:t>
      </w:r>
      <w:r w:rsidRPr="00453BC0">
        <w:rPr>
          <w:iCs/>
        </w:rPr>
        <w:t>hacking</w:t>
      </w:r>
      <w:r>
        <w:t xml:space="preserve">, wherein researchers make self-serving decisions to produce attractive </w:t>
      </w:r>
      <w:r>
        <w:rPr>
          <w:i/>
        </w:rPr>
        <w:t>p</w:t>
      </w:r>
      <w:r>
        <w:t>-values that may increase their odds of publishing (</w:t>
      </w:r>
      <w:proofErr w:type="spellStart"/>
      <w:r>
        <w:t>Simonsohn</w:t>
      </w:r>
      <w:proofErr w:type="spellEnd"/>
      <w:r>
        <w:t xml:space="preserve"> et al., 2014). However, such dichotomous categorizations can be helpful to novice learners (Gibson, 1969), and </w:t>
      </w:r>
      <w:bookmarkStart w:id="6" w:name="_Hlk47450056"/>
      <w:r>
        <w:t xml:space="preserve">some statisticians have pushed back on the abandonment of statistical significance in the classroom for this reason (e.g., Krueger &amp; Heck, 2019). </w:t>
      </w:r>
      <w:bookmarkEnd w:id="6"/>
      <w:r>
        <w:t xml:space="preserve">Our results show that CPEs </w:t>
      </w:r>
      <w:r w:rsidR="00B53EAA">
        <w:t>for</w:t>
      </w:r>
      <w:r>
        <w:t xml:space="preserve"> </w:t>
      </w:r>
      <w:r>
        <w:rPr>
          <w:i/>
          <w:iCs/>
        </w:rPr>
        <w:t>p</w:t>
      </w:r>
      <w:r>
        <w:t>-value</w:t>
      </w:r>
      <w:r w:rsidR="00B53EAA">
        <w:t>s</w:t>
      </w:r>
      <w:r>
        <w:t xml:space="preserve"> </w:t>
      </w:r>
      <w:r w:rsidR="005708CE">
        <w:t>ma</w:t>
      </w:r>
      <w:r w:rsidR="00B53EAA">
        <w:t>y</w:t>
      </w:r>
      <w:r w:rsidR="005708CE">
        <w:t xml:space="preserve"> exist</w:t>
      </w:r>
      <w:r w:rsidR="00B53EAA">
        <w:t xml:space="preserve">. However, CPEs that result from early categorizations are not permanent – </w:t>
      </w:r>
      <w:r w:rsidR="00B53EAA">
        <w:lastRenderedPageBreak/>
        <w:t xml:space="preserve">categorizations and perceptions can change (Goldstone, 1994). </w:t>
      </w:r>
      <w:r w:rsidR="00737AAC">
        <w:t>Thus, a promising direction for future research would be to develop classroom activities and run an instructional study showing the NHST can be taught to students without distorting their perceptions of the probability of theories given evidence. This would be an important step towards</w:t>
      </w:r>
      <w:r w:rsidR="005708CE">
        <w:t xml:space="preserve"> a world beyond “</w:t>
      </w:r>
      <w:r w:rsidR="005708CE">
        <w:rPr>
          <w:i/>
          <w:iCs/>
        </w:rPr>
        <w:t>p</w:t>
      </w:r>
      <w:r w:rsidR="005708CE">
        <w:t xml:space="preserve"> &lt; 0.05</w:t>
      </w:r>
      <w:r w:rsidR="00B53EAA">
        <w:t>”</w:t>
      </w:r>
      <w:r>
        <w:t xml:space="preserve">. </w:t>
      </w:r>
    </w:p>
    <w:p w14:paraId="732345F1" w14:textId="161F3325" w:rsidR="00637FC6" w:rsidRDefault="00091ED8" w:rsidP="002E1EEF">
      <w:pPr>
        <w:pStyle w:val="Heading1"/>
        <w:spacing w:line="480" w:lineRule="auto"/>
      </w:pPr>
      <w:r>
        <w:t>Figures</w:t>
      </w:r>
    </w:p>
    <w:p w14:paraId="468E7CC5" w14:textId="5FFD4B12" w:rsidR="00091ED8" w:rsidRDefault="00091ED8" w:rsidP="00637FC6">
      <w:pPr>
        <w:spacing w:line="480" w:lineRule="auto"/>
        <w:jc w:val="center"/>
      </w:pPr>
      <w:r>
        <w:t xml:space="preserve">Figure </w:t>
      </w:r>
      <w:r w:rsidR="002E1EEF">
        <w:t>1</w:t>
      </w:r>
      <w:r>
        <w:t xml:space="preserve">. Unadjusted mean propensity to identify a pair as different </w:t>
      </w:r>
      <w:r>
        <w:rPr>
          <w:noProof/>
        </w:rPr>
        <w:drawing>
          <wp:inline distT="114300" distB="114300" distL="114300" distR="114300" wp14:anchorId="5F1D456B" wp14:editId="4201E1FF">
            <wp:extent cx="4791075" cy="31623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91075" cy="3162300"/>
                    </a:xfrm>
                    <a:prstGeom prst="rect">
                      <a:avLst/>
                    </a:prstGeom>
                    <a:ln/>
                  </pic:spPr>
                </pic:pic>
              </a:graphicData>
            </a:graphic>
          </wp:inline>
        </w:drawing>
      </w:r>
    </w:p>
    <w:p w14:paraId="1335D951" w14:textId="4F834235" w:rsidR="00E05D54" w:rsidRDefault="00E05D54" w:rsidP="00637FC6">
      <w:pPr>
        <w:spacing w:line="480" w:lineRule="auto"/>
        <w:jc w:val="center"/>
      </w:pPr>
    </w:p>
    <w:p w14:paraId="0382C673" w14:textId="20EF0149" w:rsidR="007403C7" w:rsidRDefault="001A3C54">
      <w:pPr>
        <w:pStyle w:val="Heading1"/>
        <w:spacing w:line="480" w:lineRule="auto"/>
      </w:pPr>
      <w:r>
        <w:t>References</w:t>
      </w:r>
    </w:p>
    <w:p w14:paraId="544566EB" w14:textId="5E8CBD0B" w:rsidR="007403C7" w:rsidRDefault="001A3C54" w:rsidP="008A359D">
      <w:pPr>
        <w:spacing w:after="240" w:line="240" w:lineRule="auto"/>
        <w:ind w:left="720" w:hanging="720"/>
      </w:pPr>
      <w:r>
        <w:t xml:space="preserve">Bates, D., </w:t>
      </w:r>
      <w:proofErr w:type="spellStart"/>
      <w:r>
        <w:t>Maechler</w:t>
      </w:r>
      <w:proofErr w:type="spellEnd"/>
      <w:r>
        <w:t xml:space="preserve">, M., </w:t>
      </w:r>
      <w:proofErr w:type="spellStart"/>
      <w:r>
        <w:t>Bolker</w:t>
      </w:r>
      <w:proofErr w:type="spellEnd"/>
      <w:r>
        <w:t xml:space="preserve">, B., Walker, S., Christensen, R. H. B., </w:t>
      </w:r>
      <w:proofErr w:type="spellStart"/>
      <w:r>
        <w:t>Singmann</w:t>
      </w:r>
      <w:proofErr w:type="spellEnd"/>
      <w:r>
        <w:t xml:space="preserve">, H., ... &amp; </w:t>
      </w:r>
      <w:proofErr w:type="spellStart"/>
      <w:r>
        <w:t>Bolker</w:t>
      </w:r>
      <w:proofErr w:type="spellEnd"/>
      <w:r>
        <w:t xml:space="preserve">, M. B. (2015). Package ‘lme4’. </w:t>
      </w:r>
      <w:r>
        <w:rPr>
          <w:i/>
        </w:rPr>
        <w:t>Convergence, 12</w:t>
      </w:r>
      <w:r>
        <w:t>(1), 2.</w:t>
      </w:r>
    </w:p>
    <w:p w14:paraId="22B61FEF" w14:textId="238FCBDE" w:rsidR="007403C7" w:rsidRDefault="001A3C54" w:rsidP="008A359D">
      <w:pPr>
        <w:spacing w:after="240" w:line="240" w:lineRule="auto"/>
        <w:ind w:left="720" w:hanging="720"/>
      </w:pPr>
      <w:proofErr w:type="spellStart"/>
      <w:r>
        <w:t>Biau</w:t>
      </w:r>
      <w:proofErr w:type="spellEnd"/>
      <w:r>
        <w:t xml:space="preserve">, D. J., </w:t>
      </w:r>
      <w:proofErr w:type="spellStart"/>
      <w:r>
        <w:t>Jolles</w:t>
      </w:r>
      <w:proofErr w:type="spellEnd"/>
      <w:r>
        <w:t xml:space="preserve">, B. M., &amp; </w:t>
      </w:r>
      <w:proofErr w:type="spellStart"/>
      <w:r>
        <w:t>Porcher</w:t>
      </w:r>
      <w:proofErr w:type="spellEnd"/>
      <w:r>
        <w:t xml:space="preserve">, R. (2010). P value and the theory of hypothesis testing: an explanation for new researchers. </w:t>
      </w:r>
      <w:r>
        <w:rPr>
          <w:i/>
        </w:rPr>
        <w:t xml:space="preserve">Clinical </w:t>
      </w:r>
      <w:proofErr w:type="spellStart"/>
      <w:r>
        <w:rPr>
          <w:i/>
        </w:rPr>
        <w:t>Orthopaedics</w:t>
      </w:r>
      <w:proofErr w:type="spellEnd"/>
      <w:r>
        <w:rPr>
          <w:i/>
        </w:rPr>
        <w:t xml:space="preserve"> and Related Research, 468</w:t>
      </w:r>
      <w:r>
        <w:t>(3), 885-892.</w:t>
      </w:r>
    </w:p>
    <w:p w14:paraId="40E71776" w14:textId="2C53BD3E" w:rsidR="007403C7" w:rsidRDefault="001A3C54" w:rsidP="008A359D">
      <w:pPr>
        <w:spacing w:after="240" w:line="240" w:lineRule="auto"/>
        <w:ind w:left="720" w:hanging="720"/>
      </w:pPr>
      <w:r>
        <w:lastRenderedPageBreak/>
        <w:t xml:space="preserve">Bruner, J. S., Goodnow, J. J., &amp; Austin, G. A. (1956). </w:t>
      </w:r>
      <w:r>
        <w:rPr>
          <w:i/>
        </w:rPr>
        <w:t>A study of thinking</w:t>
      </w:r>
      <w:r>
        <w:t xml:space="preserve">. New York: Wiley. </w:t>
      </w:r>
    </w:p>
    <w:p w14:paraId="0F3B8BDA" w14:textId="70EF6DC9" w:rsidR="007403C7" w:rsidRDefault="001A3C54" w:rsidP="008A359D">
      <w:pPr>
        <w:spacing w:after="240" w:line="240" w:lineRule="auto"/>
        <w:ind w:left="720" w:hanging="720"/>
      </w:pPr>
      <w:r>
        <w:t>Cohen, D. J. (2010). Evidence for direct retrieval of relative quantity information i</w:t>
      </w:r>
      <w:r w:rsidR="008A359D">
        <w:t>n</w:t>
      </w:r>
      <w:r>
        <w:t xml:space="preserve"> a quantity judgment task: Decimals, integers, and the role of physical similarity. </w:t>
      </w:r>
      <w:r>
        <w:rPr>
          <w:i/>
        </w:rPr>
        <w:t>Journal of Experimental Psychology: Learning, Memory, and Cognition, 36</w:t>
      </w:r>
      <w:r>
        <w:t>(6), 1389.</w:t>
      </w:r>
    </w:p>
    <w:p w14:paraId="591148D7" w14:textId="0A51B1F5" w:rsidR="007403C7" w:rsidRDefault="001A3C54" w:rsidP="008A359D">
      <w:pPr>
        <w:spacing w:after="240" w:line="240" w:lineRule="auto"/>
        <w:ind w:left="720" w:hanging="720"/>
      </w:pPr>
      <w:proofErr w:type="spellStart"/>
      <w:r>
        <w:t>Cudeck</w:t>
      </w:r>
      <w:proofErr w:type="spellEnd"/>
      <w:r>
        <w:t xml:space="preserve">, R. (1996). Mixed-effects models in the study of individual differences with repeated measures data. </w:t>
      </w:r>
      <w:r>
        <w:rPr>
          <w:i/>
        </w:rPr>
        <w:t>Multivariate behavioral research, 31</w:t>
      </w:r>
      <w:r>
        <w:t>(3), 371-403.</w:t>
      </w:r>
    </w:p>
    <w:p w14:paraId="4BE9F3DF" w14:textId="454BDC5D" w:rsidR="007403C7" w:rsidRDefault="001A3C54" w:rsidP="008A359D">
      <w:pPr>
        <w:spacing w:after="240" w:line="240" w:lineRule="auto"/>
        <w:ind w:left="720" w:hanging="720"/>
      </w:pPr>
      <w:proofErr w:type="spellStart"/>
      <w:r>
        <w:t>Dehaene</w:t>
      </w:r>
      <w:proofErr w:type="spellEnd"/>
      <w:r>
        <w:t xml:space="preserve">, S., </w:t>
      </w:r>
      <w:proofErr w:type="spellStart"/>
      <w:r>
        <w:t>Dupoux</w:t>
      </w:r>
      <w:proofErr w:type="spellEnd"/>
      <w:r>
        <w:t xml:space="preserve">, E., &amp; </w:t>
      </w:r>
      <w:proofErr w:type="spellStart"/>
      <w:r>
        <w:t>Mehler</w:t>
      </w:r>
      <w:proofErr w:type="spellEnd"/>
      <w:r>
        <w:t xml:space="preserve">, J. (1990). Is numerical comparison digital? Analogical and symbolic effects in two-digit number comparison. </w:t>
      </w:r>
      <w:r>
        <w:rPr>
          <w:i/>
        </w:rPr>
        <w:t>Journal of experimental Psychology: Human Perception and performance, 16</w:t>
      </w:r>
      <w:r>
        <w:t>(3), 626.</w:t>
      </w:r>
    </w:p>
    <w:p w14:paraId="5F3C88E6" w14:textId="3B159041" w:rsidR="007403C7" w:rsidRDefault="001A3C54" w:rsidP="008A359D">
      <w:pPr>
        <w:spacing w:after="240" w:line="240" w:lineRule="auto"/>
        <w:ind w:left="720" w:hanging="720"/>
      </w:pPr>
      <w:r>
        <w:t xml:space="preserve">Fisher, R.A. (1925). </w:t>
      </w:r>
      <w:r>
        <w:rPr>
          <w:i/>
        </w:rPr>
        <w:t>Statistical methods for research workers.</w:t>
      </w:r>
      <w:r>
        <w:t xml:space="preserve"> London: Oliver and Boyd.</w:t>
      </w:r>
    </w:p>
    <w:p w14:paraId="706C476C" w14:textId="0396610B" w:rsidR="007403C7" w:rsidRDefault="001A3C54" w:rsidP="008A359D">
      <w:pPr>
        <w:spacing w:after="240" w:line="240" w:lineRule="auto"/>
        <w:ind w:left="720" w:hanging="720"/>
      </w:pPr>
      <w:r>
        <w:t xml:space="preserve">Fleming, S. M., Maloney, L. T., &amp; </w:t>
      </w:r>
      <w:proofErr w:type="spellStart"/>
      <w:r>
        <w:t>Daw</w:t>
      </w:r>
      <w:proofErr w:type="spellEnd"/>
      <w:r>
        <w:t xml:space="preserve">, N. D. (2013). The irrationality of categorical perception. </w:t>
      </w:r>
      <w:r>
        <w:rPr>
          <w:i/>
        </w:rPr>
        <w:t>Journal of Neuroscience, 33</w:t>
      </w:r>
      <w:r>
        <w:t>(49), 19060-19070.</w:t>
      </w:r>
    </w:p>
    <w:p w14:paraId="20FDAF42" w14:textId="346AE315" w:rsidR="007403C7" w:rsidRDefault="001A3C54" w:rsidP="008A359D">
      <w:pPr>
        <w:spacing w:after="240" w:line="240" w:lineRule="auto"/>
        <w:ind w:left="720" w:hanging="720"/>
      </w:pPr>
      <w:proofErr w:type="spellStart"/>
      <w:r>
        <w:t>Gerrits</w:t>
      </w:r>
      <w:proofErr w:type="spellEnd"/>
      <w:r>
        <w:t xml:space="preserve">, E., &amp; Schouten, M. E. H. (2004). Categorical perception depends on the discrimination task. </w:t>
      </w:r>
      <w:r>
        <w:rPr>
          <w:i/>
        </w:rPr>
        <w:t>Perception &amp; psychophysics, 66</w:t>
      </w:r>
      <w:r>
        <w:t>(3), 363-376.</w:t>
      </w:r>
    </w:p>
    <w:p w14:paraId="10B98352" w14:textId="5E77C91A" w:rsidR="007403C7" w:rsidRDefault="001A3C54" w:rsidP="008A359D">
      <w:pPr>
        <w:spacing w:after="240" w:line="240" w:lineRule="auto"/>
        <w:ind w:left="720" w:hanging="720"/>
      </w:pPr>
      <w:proofErr w:type="spellStart"/>
      <w:r>
        <w:t>Gigerenzer</w:t>
      </w:r>
      <w:proofErr w:type="spellEnd"/>
      <w:r>
        <w:t xml:space="preserve">, G. (2004). Mindless statistics. </w:t>
      </w:r>
      <w:r>
        <w:rPr>
          <w:i/>
        </w:rPr>
        <w:t xml:space="preserve">The Journal of </w:t>
      </w:r>
      <w:proofErr w:type="gramStart"/>
      <w:r>
        <w:rPr>
          <w:i/>
        </w:rPr>
        <w:t>Socio-Economics</w:t>
      </w:r>
      <w:proofErr w:type="gramEnd"/>
      <w:r>
        <w:rPr>
          <w:i/>
        </w:rPr>
        <w:t>, 33</w:t>
      </w:r>
      <w:r>
        <w:t>(5), 587-606.</w:t>
      </w:r>
    </w:p>
    <w:p w14:paraId="206CD205" w14:textId="45F8378C" w:rsidR="007403C7" w:rsidRDefault="001A3C54" w:rsidP="008A359D">
      <w:pPr>
        <w:spacing w:after="240" w:line="240" w:lineRule="auto"/>
        <w:ind w:left="720" w:hanging="720"/>
      </w:pPr>
      <w:r>
        <w:t xml:space="preserve">Goldstone, R. L. (1994). Influences of categorization on perceptual discrimination. </w:t>
      </w:r>
      <w:r>
        <w:rPr>
          <w:i/>
        </w:rPr>
        <w:t>Journal of Experimental Psychology: General, 123</w:t>
      </w:r>
      <w:r>
        <w:t>(2), 178.</w:t>
      </w:r>
    </w:p>
    <w:p w14:paraId="6B33D923" w14:textId="30ABB2D4" w:rsidR="007403C7" w:rsidRDefault="001A3C54" w:rsidP="008A359D">
      <w:pPr>
        <w:spacing w:after="240" w:line="240" w:lineRule="auto"/>
        <w:ind w:left="720" w:hanging="720"/>
      </w:pPr>
      <w:proofErr w:type="spellStart"/>
      <w:r>
        <w:t>Harnad</w:t>
      </w:r>
      <w:proofErr w:type="spellEnd"/>
      <w:r>
        <w:t xml:space="preserve">, S. (1987) Psychophysical and cognitive aspects of categorical perception: A critical overview. In </w:t>
      </w:r>
      <w:proofErr w:type="spellStart"/>
      <w:r>
        <w:t>Harnad</w:t>
      </w:r>
      <w:proofErr w:type="spellEnd"/>
      <w:r>
        <w:t xml:space="preserve">, S. (ed.) (1987) </w:t>
      </w:r>
      <w:r>
        <w:rPr>
          <w:i/>
        </w:rPr>
        <w:t>Categorical Perception: The Groundwork of Cognition</w:t>
      </w:r>
      <w:r>
        <w:t>. New York: Cambridge University Press.</w:t>
      </w:r>
    </w:p>
    <w:p w14:paraId="7C9C1665" w14:textId="4DB8413D" w:rsidR="007403C7" w:rsidRDefault="001A3C54" w:rsidP="008A359D">
      <w:pPr>
        <w:spacing w:after="240" w:line="240" w:lineRule="auto"/>
        <w:ind w:left="720" w:hanging="720"/>
      </w:pPr>
      <w:proofErr w:type="spellStart"/>
      <w:r>
        <w:t>Harnad</w:t>
      </w:r>
      <w:proofErr w:type="spellEnd"/>
      <w:r>
        <w:t xml:space="preserve">, S. (2017). To cognize is to categorize: Cognition is categorization. In </w:t>
      </w:r>
      <w:r>
        <w:rPr>
          <w:i/>
        </w:rPr>
        <w:t>Handbook of categorization in cognitive science</w:t>
      </w:r>
      <w:r>
        <w:t xml:space="preserve"> (pp. 21-54). Elsevier.</w:t>
      </w:r>
    </w:p>
    <w:p w14:paraId="1E0DE537" w14:textId="649BF2A3" w:rsidR="007403C7" w:rsidRDefault="001A3C54" w:rsidP="008A359D">
      <w:pPr>
        <w:spacing w:after="240" w:line="240" w:lineRule="auto"/>
        <w:ind w:left="720" w:hanging="720"/>
      </w:pPr>
      <w:proofErr w:type="spellStart"/>
      <w:r>
        <w:t>Hary</w:t>
      </w:r>
      <w:proofErr w:type="spellEnd"/>
      <w:r>
        <w:t xml:space="preserve">, J. M., &amp; Massaro, D. W. (1982). Categorical results do not imply categorical perception. </w:t>
      </w:r>
      <w:r>
        <w:rPr>
          <w:i/>
        </w:rPr>
        <w:t>Perception &amp; Psychophysics, 32</w:t>
      </w:r>
      <w:r>
        <w:t>(5), 409-418.</w:t>
      </w:r>
    </w:p>
    <w:p w14:paraId="447F4868" w14:textId="01E5B6A1" w:rsidR="007403C7" w:rsidRDefault="001A3C54" w:rsidP="008A359D">
      <w:pPr>
        <w:spacing w:after="240" w:line="240" w:lineRule="auto"/>
        <w:ind w:left="720" w:hanging="720"/>
      </w:pPr>
      <w:r>
        <w:t xml:space="preserve">Krueger, J. I., &amp; Heck, P. R. (2019). Putting the p-value in its place. </w:t>
      </w:r>
      <w:r>
        <w:rPr>
          <w:i/>
        </w:rPr>
        <w:t>The American Statistician, 73</w:t>
      </w:r>
      <w:r>
        <w:t>(S1), 122-128.</w:t>
      </w:r>
    </w:p>
    <w:p w14:paraId="125C8FCF" w14:textId="1122DF85" w:rsidR="007403C7" w:rsidRDefault="001A3C54" w:rsidP="008A359D">
      <w:pPr>
        <w:spacing w:after="240" w:line="240" w:lineRule="auto"/>
        <w:ind w:left="720" w:hanging="720"/>
      </w:pPr>
      <w:r>
        <w:t xml:space="preserve">LeFevre, J. A., </w:t>
      </w:r>
      <w:proofErr w:type="spellStart"/>
      <w:r>
        <w:t>Sadesky</w:t>
      </w:r>
      <w:proofErr w:type="spellEnd"/>
      <w:r>
        <w:t xml:space="preserve">, G. S., &amp; </w:t>
      </w:r>
      <w:proofErr w:type="spellStart"/>
      <w:r>
        <w:t>Bisanz</w:t>
      </w:r>
      <w:proofErr w:type="spellEnd"/>
      <w:r>
        <w:t xml:space="preserve">, J. (1996). Selection of procedures in mental addition: Reassessing the problem size effect in adults. </w:t>
      </w:r>
      <w:r>
        <w:rPr>
          <w:i/>
        </w:rPr>
        <w:t>Journal of Experimental Psychology: Learning, Memory, and Cognition, 22</w:t>
      </w:r>
      <w:r>
        <w:t>(1), 216.</w:t>
      </w:r>
    </w:p>
    <w:p w14:paraId="629E5243" w14:textId="43E05B7F" w:rsidR="007403C7" w:rsidRDefault="001A3C54" w:rsidP="008A359D">
      <w:pPr>
        <w:spacing w:after="240" w:line="240" w:lineRule="auto"/>
        <w:ind w:left="720" w:hanging="720"/>
      </w:pPr>
      <w:proofErr w:type="spellStart"/>
      <w:r>
        <w:t>Marschner</w:t>
      </w:r>
      <w:proofErr w:type="spellEnd"/>
      <w:r>
        <w:t xml:space="preserve">, I. C., &amp; Gillett, A. C. (2012). Relative risk regression: reliable and flexible methods for log-binomial models. </w:t>
      </w:r>
      <w:r>
        <w:rPr>
          <w:i/>
        </w:rPr>
        <w:t>Biostatistics, 13</w:t>
      </w:r>
      <w:r>
        <w:t>(1), 179-192.</w:t>
      </w:r>
    </w:p>
    <w:p w14:paraId="125E7B88" w14:textId="0DB06A08" w:rsidR="00BD73F0" w:rsidRDefault="001A3C54" w:rsidP="008A359D">
      <w:pPr>
        <w:spacing w:after="240" w:line="240" w:lineRule="auto"/>
        <w:ind w:left="720" w:hanging="720"/>
      </w:pPr>
      <w:proofErr w:type="spellStart"/>
      <w:r>
        <w:t>Matuschek</w:t>
      </w:r>
      <w:proofErr w:type="spellEnd"/>
      <w:r>
        <w:t xml:space="preserve">, H., </w:t>
      </w:r>
      <w:proofErr w:type="spellStart"/>
      <w:r>
        <w:t>Kliegl</w:t>
      </w:r>
      <w:proofErr w:type="spellEnd"/>
      <w:r>
        <w:t xml:space="preserve">, R., </w:t>
      </w:r>
      <w:proofErr w:type="spellStart"/>
      <w:r>
        <w:t>Vasishth</w:t>
      </w:r>
      <w:proofErr w:type="spellEnd"/>
      <w:r>
        <w:t xml:space="preserve">, S., </w:t>
      </w:r>
      <w:proofErr w:type="spellStart"/>
      <w:r>
        <w:t>Baayen</w:t>
      </w:r>
      <w:proofErr w:type="spellEnd"/>
      <w:r>
        <w:t xml:space="preserve">, H., &amp; Bates, D. (2017). Balancing Type I error and power in linear mixed models. </w:t>
      </w:r>
      <w:r>
        <w:rPr>
          <w:i/>
        </w:rPr>
        <w:t xml:space="preserve">Journal of Memory and Language, 94, </w:t>
      </w:r>
      <w:r>
        <w:t>305-315.</w:t>
      </w:r>
    </w:p>
    <w:p w14:paraId="58EE2331" w14:textId="0CE02321" w:rsidR="00BD73F0" w:rsidRDefault="00BD73F0" w:rsidP="008A359D">
      <w:pPr>
        <w:spacing w:after="240" w:line="240" w:lineRule="auto"/>
        <w:ind w:left="720" w:hanging="720"/>
      </w:pPr>
      <w:proofErr w:type="spellStart"/>
      <w:r w:rsidRPr="00BD73F0">
        <w:t>Neyman</w:t>
      </w:r>
      <w:proofErr w:type="spellEnd"/>
      <w:r w:rsidRPr="00BD73F0">
        <w:t xml:space="preserve">, J., &amp; Pearson, E. S. (1933). IX. On the problem of the most efficient tests of statistical hypotheses. </w:t>
      </w:r>
      <w:r w:rsidRPr="00BD73F0">
        <w:rPr>
          <w:i/>
          <w:iCs/>
        </w:rPr>
        <w:t>Philosophical Transactions of the Royal Society of London. Series A, Containing Papers of a Mathematical or Physical Character, 231</w:t>
      </w:r>
      <w:r w:rsidRPr="00BD73F0">
        <w:t>(694-706), 289-337.</w:t>
      </w:r>
    </w:p>
    <w:p w14:paraId="2ACCDE1D" w14:textId="3F251695" w:rsidR="007403C7" w:rsidRDefault="00BD73F0" w:rsidP="008A359D">
      <w:pPr>
        <w:spacing w:after="240" w:line="240" w:lineRule="auto"/>
        <w:ind w:left="720" w:hanging="720"/>
      </w:pPr>
      <w:proofErr w:type="spellStart"/>
      <w:r>
        <w:lastRenderedPageBreak/>
        <w:t>Notman</w:t>
      </w:r>
      <w:proofErr w:type="spellEnd"/>
      <w:r>
        <w:t xml:space="preserve">, L. A., Sowden, P. T., &amp; </w:t>
      </w:r>
      <w:proofErr w:type="spellStart"/>
      <w:r>
        <w:t>Özgen</w:t>
      </w:r>
      <w:proofErr w:type="spellEnd"/>
      <w:r>
        <w:t xml:space="preserve">, E. (2005). The nature of learned categorical perception effects: a psychophysical approach. </w:t>
      </w:r>
      <w:r>
        <w:rPr>
          <w:i/>
        </w:rPr>
        <w:t>Cognition, 95</w:t>
      </w:r>
      <w:r>
        <w:t>(2), B1-B14.</w:t>
      </w:r>
    </w:p>
    <w:p w14:paraId="6157E1D6" w14:textId="3826AF6F" w:rsidR="007403C7" w:rsidRDefault="001A3C54" w:rsidP="008A359D">
      <w:pPr>
        <w:spacing w:after="240" w:line="240" w:lineRule="auto"/>
        <w:ind w:left="720" w:hanging="720"/>
      </w:pPr>
      <w:proofErr w:type="spellStart"/>
      <w:r>
        <w:t>Nuerk</w:t>
      </w:r>
      <w:proofErr w:type="spellEnd"/>
      <w:r>
        <w:t xml:space="preserve">, H. C., Moeller, K., Klein, E., </w:t>
      </w:r>
      <w:proofErr w:type="spellStart"/>
      <w:r>
        <w:t>Willmes</w:t>
      </w:r>
      <w:proofErr w:type="spellEnd"/>
      <w:r>
        <w:t>, K., &amp; Fischer, M. H. (2011). Extending the mental number line: A review of multi-digit number processing.</w:t>
      </w:r>
      <w:r>
        <w:rPr>
          <w:i/>
        </w:rPr>
        <w:t xml:space="preserve"> Journal of Psychology, 219</w:t>
      </w:r>
      <w:r>
        <w:t>(1), 3.</w:t>
      </w:r>
    </w:p>
    <w:p w14:paraId="4D61597F" w14:textId="3BC964A4" w:rsidR="007403C7" w:rsidRDefault="001A3C54" w:rsidP="008A359D">
      <w:pPr>
        <w:spacing w:after="240" w:line="240" w:lineRule="auto"/>
        <w:ind w:left="720" w:hanging="720"/>
      </w:pPr>
      <w:proofErr w:type="spellStart"/>
      <w:r>
        <w:t>Nuerk</w:t>
      </w:r>
      <w:proofErr w:type="spellEnd"/>
      <w:r>
        <w:t xml:space="preserve">, H. C., </w:t>
      </w:r>
      <w:proofErr w:type="spellStart"/>
      <w:r>
        <w:t>Weger</w:t>
      </w:r>
      <w:proofErr w:type="spellEnd"/>
      <w:r>
        <w:t xml:space="preserve">, U., &amp; </w:t>
      </w:r>
      <w:proofErr w:type="spellStart"/>
      <w:r>
        <w:t>Willmes</w:t>
      </w:r>
      <w:proofErr w:type="spellEnd"/>
      <w:r>
        <w:t xml:space="preserve">, K. (2001). Decade breaks in the mental number line? Putting the tens and units back in different bins. </w:t>
      </w:r>
      <w:r>
        <w:rPr>
          <w:i/>
        </w:rPr>
        <w:t>Cognition, 82</w:t>
      </w:r>
      <w:r>
        <w:t>(1), B25-B33.</w:t>
      </w:r>
    </w:p>
    <w:p w14:paraId="453E96A4" w14:textId="0EFA84E8" w:rsidR="00453BC0" w:rsidRDefault="00453BC0" w:rsidP="008A359D">
      <w:pPr>
        <w:spacing w:after="240" w:line="240" w:lineRule="auto"/>
        <w:ind w:left="720" w:hanging="720"/>
      </w:pPr>
      <w:r>
        <w:t xml:space="preserve">R Core Team (2019). R: A language and environment for statistical computing. R Foundation for Statistical Computing, Vienna, Austria. URL </w:t>
      </w:r>
      <w:hyperlink r:id="rId9" w:history="1">
        <w:r w:rsidRPr="00C16D8F">
          <w:rPr>
            <w:rStyle w:val="Hyperlink"/>
          </w:rPr>
          <w:t>https://www.R-project.org/</w:t>
        </w:r>
      </w:hyperlink>
      <w:r>
        <w:t>.</w:t>
      </w:r>
    </w:p>
    <w:p w14:paraId="1868D18B" w14:textId="147CB362" w:rsidR="007403C7" w:rsidRDefault="001A3C54" w:rsidP="008A359D">
      <w:pPr>
        <w:spacing w:after="240" w:line="240" w:lineRule="auto"/>
        <w:ind w:left="720" w:hanging="720"/>
      </w:pPr>
      <w:r>
        <w:t xml:space="preserve">Schulze, K. G., Schmidt-Nielsen, A., &amp; Achille, L. B. (1991). Comparing three numbers: The effect of number of digits, range, and leading zeros. </w:t>
      </w:r>
      <w:r>
        <w:rPr>
          <w:i/>
        </w:rPr>
        <w:t>Bulletin of the Psychonomic Society, 29</w:t>
      </w:r>
      <w:r>
        <w:t>(4), 361-364.</w:t>
      </w:r>
    </w:p>
    <w:p w14:paraId="2B9B46DD" w14:textId="5CA3D705" w:rsidR="007403C7" w:rsidRDefault="001A3C54" w:rsidP="008A359D">
      <w:pPr>
        <w:spacing w:after="240" w:line="240" w:lineRule="auto"/>
        <w:ind w:left="720" w:hanging="720"/>
      </w:pPr>
      <w:proofErr w:type="spellStart"/>
      <w:r>
        <w:t>Simonsohn</w:t>
      </w:r>
      <w:proofErr w:type="spellEnd"/>
      <w:r>
        <w:t xml:space="preserve">, U., Nelson, L. D., &amp; Simmons, J. P. (2014). P-curve: a key to the file-drawer. </w:t>
      </w:r>
      <w:r>
        <w:rPr>
          <w:i/>
        </w:rPr>
        <w:t>Journal of experimental psychology: General, 143</w:t>
      </w:r>
      <w:r>
        <w:t>(2), 534.</w:t>
      </w:r>
    </w:p>
    <w:p w14:paraId="63A33408" w14:textId="309198E8" w:rsidR="007403C7" w:rsidRDefault="001A3C54" w:rsidP="008A359D">
      <w:pPr>
        <w:spacing w:after="240" w:line="240" w:lineRule="auto"/>
        <w:ind w:left="720" w:hanging="720"/>
      </w:pPr>
      <w:proofErr w:type="spellStart"/>
      <w:r>
        <w:t>Stang</w:t>
      </w:r>
      <w:proofErr w:type="spellEnd"/>
      <w:r>
        <w:t xml:space="preserve">, A., Poole, C., &amp; </w:t>
      </w:r>
      <w:proofErr w:type="spellStart"/>
      <w:r>
        <w:t>Kuss</w:t>
      </w:r>
      <w:proofErr w:type="spellEnd"/>
      <w:r>
        <w:t xml:space="preserve">, O. (2010). The ongoing tyranny of statistical significance testing in biomedical research. </w:t>
      </w:r>
      <w:r>
        <w:rPr>
          <w:i/>
        </w:rPr>
        <w:t>European journal of epidemiology, 25</w:t>
      </w:r>
      <w:r>
        <w:t>(4), 225-230.</w:t>
      </w:r>
    </w:p>
    <w:p w14:paraId="0C03AD33" w14:textId="40C06939" w:rsidR="00BD73F0" w:rsidRDefault="001A3C54" w:rsidP="008A359D">
      <w:pPr>
        <w:spacing w:after="240" w:line="240" w:lineRule="auto"/>
        <w:ind w:left="720" w:hanging="720"/>
      </w:pPr>
      <w:proofErr w:type="spellStart"/>
      <w:r>
        <w:t>Trafimow</w:t>
      </w:r>
      <w:proofErr w:type="spellEnd"/>
      <w:r>
        <w:t xml:space="preserve">, D. (2014). Editorial. </w:t>
      </w:r>
      <w:r>
        <w:rPr>
          <w:i/>
        </w:rPr>
        <w:t>Basic and Applied Social Psychology, 36</w:t>
      </w:r>
      <w:r>
        <w:t>(1), 1-2.</w:t>
      </w:r>
    </w:p>
    <w:p w14:paraId="261AEA29" w14:textId="043357EA" w:rsidR="007403C7" w:rsidRDefault="00BD73F0" w:rsidP="008A359D">
      <w:pPr>
        <w:spacing w:after="240" w:line="240" w:lineRule="auto"/>
        <w:ind w:left="720" w:hanging="720"/>
      </w:pPr>
      <w:r w:rsidRPr="00BD73F0">
        <w:t xml:space="preserve">Varma, S., &amp; Karl, S. R. (2013). Understanding decimal proportions: Discrete representations, parallel access, and privileged processing of zero. </w:t>
      </w:r>
      <w:r w:rsidRPr="00BD73F0">
        <w:rPr>
          <w:i/>
          <w:iCs/>
        </w:rPr>
        <w:t>Cognitive Psychology, 66</w:t>
      </w:r>
      <w:r w:rsidRPr="00BD73F0">
        <w:t>(3), 283-301.</w:t>
      </w:r>
    </w:p>
    <w:p w14:paraId="6A57F382" w14:textId="59AC258A" w:rsidR="007403C7" w:rsidRDefault="001A3C54" w:rsidP="008A359D">
      <w:pPr>
        <w:spacing w:after="240" w:line="240" w:lineRule="auto"/>
        <w:ind w:left="720" w:hanging="720"/>
      </w:pPr>
      <w:r>
        <w:t xml:space="preserve">Wasserstein, R. L., </w:t>
      </w:r>
      <w:proofErr w:type="spellStart"/>
      <w:r>
        <w:t>Schirm</w:t>
      </w:r>
      <w:proofErr w:type="spellEnd"/>
      <w:r>
        <w:t xml:space="preserve">, A. L., &amp; Lazar, N. A. (2019). Moving to a World Beyond “p&lt; 0.05”. </w:t>
      </w:r>
      <w:r>
        <w:rPr>
          <w:i/>
        </w:rPr>
        <w:t>The American Statistician, 73</w:t>
      </w:r>
      <w:r>
        <w:t xml:space="preserve"> (S1), 1-19.</w:t>
      </w:r>
    </w:p>
    <w:sectPr w:rsidR="007403C7">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07D2F" w14:textId="77777777" w:rsidR="00594322" w:rsidRDefault="00594322">
      <w:pPr>
        <w:spacing w:line="240" w:lineRule="auto"/>
      </w:pPr>
      <w:r>
        <w:separator/>
      </w:r>
    </w:p>
  </w:endnote>
  <w:endnote w:type="continuationSeparator" w:id="0">
    <w:p w14:paraId="1DED38DA" w14:textId="77777777" w:rsidR="00594322" w:rsidRDefault="00594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6FBE0" w14:textId="77777777" w:rsidR="0065190D" w:rsidRDefault="0065190D">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10D09" w14:textId="77777777" w:rsidR="0065190D" w:rsidRDefault="0065190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70842" w14:textId="77777777" w:rsidR="00594322" w:rsidRDefault="00594322">
      <w:pPr>
        <w:spacing w:line="240" w:lineRule="auto"/>
      </w:pPr>
      <w:r>
        <w:separator/>
      </w:r>
    </w:p>
  </w:footnote>
  <w:footnote w:type="continuationSeparator" w:id="0">
    <w:p w14:paraId="6FCFBF88" w14:textId="77777777" w:rsidR="00594322" w:rsidRDefault="005943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1842D2"/>
    <w:multiLevelType w:val="hybridMultilevel"/>
    <w:tmpl w:val="8A5EAAD0"/>
    <w:lvl w:ilvl="0" w:tplc="D22A15EE">
      <w:start w:val="1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3C7"/>
    <w:rsid w:val="00025FFF"/>
    <w:rsid w:val="00027132"/>
    <w:rsid w:val="00035084"/>
    <w:rsid w:val="00043D5C"/>
    <w:rsid w:val="00071719"/>
    <w:rsid w:val="00091ED8"/>
    <w:rsid w:val="000A4ACC"/>
    <w:rsid w:val="000B2A2E"/>
    <w:rsid w:val="000C1F7E"/>
    <w:rsid w:val="000C7E06"/>
    <w:rsid w:val="000D3C30"/>
    <w:rsid w:val="000D7476"/>
    <w:rsid w:val="000E6E2E"/>
    <w:rsid w:val="000F4294"/>
    <w:rsid w:val="00111115"/>
    <w:rsid w:val="00113B8D"/>
    <w:rsid w:val="00140B2C"/>
    <w:rsid w:val="00146E27"/>
    <w:rsid w:val="00157309"/>
    <w:rsid w:val="00182DCC"/>
    <w:rsid w:val="00190E3F"/>
    <w:rsid w:val="00196944"/>
    <w:rsid w:val="001A23C7"/>
    <w:rsid w:val="001A3C54"/>
    <w:rsid w:val="001B7928"/>
    <w:rsid w:val="001E0903"/>
    <w:rsid w:val="001E5AED"/>
    <w:rsid w:val="001F50D3"/>
    <w:rsid w:val="001F622D"/>
    <w:rsid w:val="0020352C"/>
    <w:rsid w:val="00214FFE"/>
    <w:rsid w:val="00225BBC"/>
    <w:rsid w:val="00226432"/>
    <w:rsid w:val="00232D7A"/>
    <w:rsid w:val="00253340"/>
    <w:rsid w:val="00257EDE"/>
    <w:rsid w:val="00266A43"/>
    <w:rsid w:val="00286BAA"/>
    <w:rsid w:val="00291D48"/>
    <w:rsid w:val="002A77A8"/>
    <w:rsid w:val="002B520F"/>
    <w:rsid w:val="002E1EEF"/>
    <w:rsid w:val="002F222A"/>
    <w:rsid w:val="00314138"/>
    <w:rsid w:val="00317D32"/>
    <w:rsid w:val="00320097"/>
    <w:rsid w:val="00324205"/>
    <w:rsid w:val="0032686D"/>
    <w:rsid w:val="003507B8"/>
    <w:rsid w:val="00355FC5"/>
    <w:rsid w:val="003662D0"/>
    <w:rsid w:val="003960FD"/>
    <w:rsid w:val="003978C9"/>
    <w:rsid w:val="003A3532"/>
    <w:rsid w:val="003A3F1D"/>
    <w:rsid w:val="003B6E3B"/>
    <w:rsid w:val="003D3308"/>
    <w:rsid w:val="003E028D"/>
    <w:rsid w:val="003E24AA"/>
    <w:rsid w:val="003F2641"/>
    <w:rsid w:val="00401C02"/>
    <w:rsid w:val="00416C1E"/>
    <w:rsid w:val="00422946"/>
    <w:rsid w:val="00431B0D"/>
    <w:rsid w:val="00445ADC"/>
    <w:rsid w:val="0045325D"/>
    <w:rsid w:val="00453283"/>
    <w:rsid w:val="004533D3"/>
    <w:rsid w:val="00453BC0"/>
    <w:rsid w:val="00464522"/>
    <w:rsid w:val="00467866"/>
    <w:rsid w:val="0047012F"/>
    <w:rsid w:val="004C11F4"/>
    <w:rsid w:val="004D3497"/>
    <w:rsid w:val="004D40F9"/>
    <w:rsid w:val="004F1148"/>
    <w:rsid w:val="005125B4"/>
    <w:rsid w:val="00517CA5"/>
    <w:rsid w:val="00547582"/>
    <w:rsid w:val="00550B95"/>
    <w:rsid w:val="005649CE"/>
    <w:rsid w:val="005708CE"/>
    <w:rsid w:val="00583FF7"/>
    <w:rsid w:val="00594322"/>
    <w:rsid w:val="005A1241"/>
    <w:rsid w:val="005A6905"/>
    <w:rsid w:val="005D6495"/>
    <w:rsid w:val="005F6759"/>
    <w:rsid w:val="00602C97"/>
    <w:rsid w:val="00602EB4"/>
    <w:rsid w:val="0060796F"/>
    <w:rsid w:val="00612303"/>
    <w:rsid w:val="00626FD4"/>
    <w:rsid w:val="00632C87"/>
    <w:rsid w:val="00634FDF"/>
    <w:rsid w:val="00637FC6"/>
    <w:rsid w:val="0065190D"/>
    <w:rsid w:val="00666D9C"/>
    <w:rsid w:val="006824A3"/>
    <w:rsid w:val="00685905"/>
    <w:rsid w:val="00694A08"/>
    <w:rsid w:val="006A7D2D"/>
    <w:rsid w:val="006B1C6A"/>
    <w:rsid w:val="006B3DE9"/>
    <w:rsid w:val="006C5AE8"/>
    <w:rsid w:val="006C5C30"/>
    <w:rsid w:val="006D1DD8"/>
    <w:rsid w:val="006F0979"/>
    <w:rsid w:val="006F5233"/>
    <w:rsid w:val="00705FAE"/>
    <w:rsid w:val="00712E7A"/>
    <w:rsid w:val="0071613C"/>
    <w:rsid w:val="00716849"/>
    <w:rsid w:val="00737AAC"/>
    <w:rsid w:val="007403C7"/>
    <w:rsid w:val="00773D9C"/>
    <w:rsid w:val="00775F76"/>
    <w:rsid w:val="0078337C"/>
    <w:rsid w:val="00792271"/>
    <w:rsid w:val="0079444C"/>
    <w:rsid w:val="00795757"/>
    <w:rsid w:val="007A08D7"/>
    <w:rsid w:val="007A7A00"/>
    <w:rsid w:val="007C1F0D"/>
    <w:rsid w:val="007D28EC"/>
    <w:rsid w:val="007D2FA9"/>
    <w:rsid w:val="007D30C4"/>
    <w:rsid w:val="007E31A3"/>
    <w:rsid w:val="008415DE"/>
    <w:rsid w:val="00852749"/>
    <w:rsid w:val="008530BA"/>
    <w:rsid w:val="0085339B"/>
    <w:rsid w:val="008673B8"/>
    <w:rsid w:val="00872369"/>
    <w:rsid w:val="008760F4"/>
    <w:rsid w:val="00881EBC"/>
    <w:rsid w:val="008A359D"/>
    <w:rsid w:val="008E1F7D"/>
    <w:rsid w:val="008E41E6"/>
    <w:rsid w:val="00921942"/>
    <w:rsid w:val="0092446A"/>
    <w:rsid w:val="00925709"/>
    <w:rsid w:val="00941877"/>
    <w:rsid w:val="00952BFC"/>
    <w:rsid w:val="009827A8"/>
    <w:rsid w:val="009A3200"/>
    <w:rsid w:val="009C77EA"/>
    <w:rsid w:val="009E32DC"/>
    <w:rsid w:val="009E3F4C"/>
    <w:rsid w:val="00A40C15"/>
    <w:rsid w:val="00A46F99"/>
    <w:rsid w:val="00A92569"/>
    <w:rsid w:val="00AA4EC6"/>
    <w:rsid w:val="00AB42FF"/>
    <w:rsid w:val="00AB4882"/>
    <w:rsid w:val="00AC3F80"/>
    <w:rsid w:val="00AC4CE6"/>
    <w:rsid w:val="00AD2CBE"/>
    <w:rsid w:val="00AF4798"/>
    <w:rsid w:val="00B125D0"/>
    <w:rsid w:val="00B35D37"/>
    <w:rsid w:val="00B53EAA"/>
    <w:rsid w:val="00B60E29"/>
    <w:rsid w:val="00B62475"/>
    <w:rsid w:val="00B64779"/>
    <w:rsid w:val="00B76D11"/>
    <w:rsid w:val="00B77F3F"/>
    <w:rsid w:val="00B941F4"/>
    <w:rsid w:val="00BA7DE3"/>
    <w:rsid w:val="00BB2F43"/>
    <w:rsid w:val="00BC05C2"/>
    <w:rsid w:val="00BC4A02"/>
    <w:rsid w:val="00BD2BB0"/>
    <w:rsid w:val="00BD73F0"/>
    <w:rsid w:val="00BE4DF2"/>
    <w:rsid w:val="00C04CB2"/>
    <w:rsid w:val="00C2173C"/>
    <w:rsid w:val="00C26095"/>
    <w:rsid w:val="00C27B87"/>
    <w:rsid w:val="00C450F8"/>
    <w:rsid w:val="00C64221"/>
    <w:rsid w:val="00C919F3"/>
    <w:rsid w:val="00C9269D"/>
    <w:rsid w:val="00CA0E06"/>
    <w:rsid w:val="00CA326B"/>
    <w:rsid w:val="00CA60F1"/>
    <w:rsid w:val="00CB63E0"/>
    <w:rsid w:val="00CB7115"/>
    <w:rsid w:val="00CC431F"/>
    <w:rsid w:val="00CC5209"/>
    <w:rsid w:val="00CC5D6F"/>
    <w:rsid w:val="00CE6323"/>
    <w:rsid w:val="00D03FDB"/>
    <w:rsid w:val="00D05255"/>
    <w:rsid w:val="00D06034"/>
    <w:rsid w:val="00D06CCD"/>
    <w:rsid w:val="00D12928"/>
    <w:rsid w:val="00D375F2"/>
    <w:rsid w:val="00D41A83"/>
    <w:rsid w:val="00D47CE2"/>
    <w:rsid w:val="00D56BCA"/>
    <w:rsid w:val="00D80EA2"/>
    <w:rsid w:val="00D81B93"/>
    <w:rsid w:val="00D90D4D"/>
    <w:rsid w:val="00DA56E6"/>
    <w:rsid w:val="00DC2E5E"/>
    <w:rsid w:val="00DD1806"/>
    <w:rsid w:val="00E034A0"/>
    <w:rsid w:val="00E051BD"/>
    <w:rsid w:val="00E05D54"/>
    <w:rsid w:val="00E10F34"/>
    <w:rsid w:val="00E43ACE"/>
    <w:rsid w:val="00E46498"/>
    <w:rsid w:val="00E51C3A"/>
    <w:rsid w:val="00E867D7"/>
    <w:rsid w:val="00E968C9"/>
    <w:rsid w:val="00EB2FB0"/>
    <w:rsid w:val="00EB3AAA"/>
    <w:rsid w:val="00EC0C3D"/>
    <w:rsid w:val="00EC4B4E"/>
    <w:rsid w:val="00EC616E"/>
    <w:rsid w:val="00ED6137"/>
    <w:rsid w:val="00ED6AAF"/>
    <w:rsid w:val="00F043C2"/>
    <w:rsid w:val="00F15EE5"/>
    <w:rsid w:val="00F20700"/>
    <w:rsid w:val="00F210AF"/>
    <w:rsid w:val="00F2690D"/>
    <w:rsid w:val="00F4080A"/>
    <w:rsid w:val="00F42008"/>
    <w:rsid w:val="00F468FE"/>
    <w:rsid w:val="00F50384"/>
    <w:rsid w:val="00F51E0A"/>
    <w:rsid w:val="00F617FE"/>
    <w:rsid w:val="00F65323"/>
    <w:rsid w:val="00F67661"/>
    <w:rsid w:val="00F92A99"/>
    <w:rsid w:val="00FA30FA"/>
    <w:rsid w:val="00FB1751"/>
    <w:rsid w:val="00FB5F5C"/>
    <w:rsid w:val="00FD44C1"/>
    <w:rsid w:val="00FD7111"/>
    <w:rsid w:val="00FE2A58"/>
    <w:rsid w:val="00FF20AB"/>
    <w:rsid w:val="00FF46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1E27"/>
  <w15:docId w15:val="{069FACCC-700E-439D-BA86-A74AF827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415D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15D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15DE"/>
    <w:rPr>
      <w:sz w:val="16"/>
      <w:szCs w:val="16"/>
    </w:rPr>
  </w:style>
  <w:style w:type="paragraph" w:styleId="CommentText">
    <w:name w:val="annotation text"/>
    <w:basedOn w:val="Normal"/>
    <w:link w:val="CommentTextChar"/>
    <w:uiPriority w:val="99"/>
    <w:unhideWhenUsed/>
    <w:rsid w:val="008415DE"/>
    <w:pPr>
      <w:spacing w:line="240" w:lineRule="auto"/>
    </w:pPr>
    <w:rPr>
      <w:sz w:val="20"/>
      <w:szCs w:val="20"/>
    </w:rPr>
  </w:style>
  <w:style w:type="character" w:customStyle="1" w:styleId="CommentTextChar">
    <w:name w:val="Comment Text Char"/>
    <w:basedOn w:val="DefaultParagraphFont"/>
    <w:link w:val="CommentText"/>
    <w:uiPriority w:val="99"/>
    <w:rsid w:val="008415DE"/>
    <w:rPr>
      <w:sz w:val="20"/>
      <w:szCs w:val="20"/>
    </w:rPr>
  </w:style>
  <w:style w:type="paragraph" w:styleId="CommentSubject">
    <w:name w:val="annotation subject"/>
    <w:basedOn w:val="CommentText"/>
    <w:next w:val="CommentText"/>
    <w:link w:val="CommentSubjectChar"/>
    <w:uiPriority w:val="99"/>
    <w:semiHidden/>
    <w:unhideWhenUsed/>
    <w:rsid w:val="008415DE"/>
    <w:rPr>
      <w:b/>
      <w:bCs/>
    </w:rPr>
  </w:style>
  <w:style w:type="character" w:customStyle="1" w:styleId="CommentSubjectChar">
    <w:name w:val="Comment Subject Char"/>
    <w:basedOn w:val="CommentTextChar"/>
    <w:link w:val="CommentSubject"/>
    <w:uiPriority w:val="99"/>
    <w:semiHidden/>
    <w:rsid w:val="008415DE"/>
    <w:rPr>
      <w:b/>
      <w:bCs/>
      <w:sz w:val="20"/>
      <w:szCs w:val="20"/>
    </w:rPr>
  </w:style>
  <w:style w:type="paragraph" w:styleId="Revision">
    <w:name w:val="Revision"/>
    <w:hidden/>
    <w:uiPriority w:val="99"/>
    <w:semiHidden/>
    <w:rsid w:val="00CA326B"/>
    <w:pPr>
      <w:spacing w:line="240" w:lineRule="auto"/>
    </w:pPr>
  </w:style>
  <w:style w:type="character" w:styleId="Hyperlink">
    <w:name w:val="Hyperlink"/>
    <w:basedOn w:val="DefaultParagraphFont"/>
    <w:uiPriority w:val="99"/>
    <w:unhideWhenUsed/>
    <w:rsid w:val="00266A43"/>
    <w:rPr>
      <w:color w:val="0000FF" w:themeColor="hyperlink"/>
      <w:u w:val="single"/>
    </w:rPr>
  </w:style>
  <w:style w:type="character" w:styleId="UnresolvedMention">
    <w:name w:val="Unresolved Mention"/>
    <w:basedOn w:val="DefaultParagraphFont"/>
    <w:uiPriority w:val="99"/>
    <w:semiHidden/>
    <w:unhideWhenUsed/>
    <w:rsid w:val="00266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4645">
      <w:bodyDiv w:val="1"/>
      <w:marLeft w:val="0"/>
      <w:marRight w:val="0"/>
      <w:marTop w:val="0"/>
      <w:marBottom w:val="0"/>
      <w:divBdr>
        <w:top w:val="none" w:sz="0" w:space="0" w:color="auto"/>
        <w:left w:val="none" w:sz="0" w:space="0" w:color="auto"/>
        <w:bottom w:val="none" w:sz="0" w:space="0" w:color="auto"/>
        <w:right w:val="none" w:sz="0" w:space="0" w:color="auto"/>
      </w:divBdr>
      <w:divsChild>
        <w:div w:id="3090160">
          <w:marLeft w:val="0"/>
          <w:marRight w:val="0"/>
          <w:marTop w:val="0"/>
          <w:marBottom w:val="0"/>
          <w:divBdr>
            <w:top w:val="none" w:sz="0" w:space="0" w:color="auto"/>
            <w:left w:val="none" w:sz="0" w:space="0" w:color="auto"/>
            <w:bottom w:val="none" w:sz="0" w:space="0" w:color="auto"/>
            <w:right w:val="none" w:sz="0" w:space="0" w:color="auto"/>
          </w:divBdr>
        </w:div>
        <w:div w:id="1458450362">
          <w:marLeft w:val="0"/>
          <w:marRight w:val="0"/>
          <w:marTop w:val="0"/>
          <w:marBottom w:val="0"/>
          <w:divBdr>
            <w:top w:val="none" w:sz="0" w:space="0" w:color="auto"/>
            <w:left w:val="none" w:sz="0" w:space="0" w:color="auto"/>
            <w:bottom w:val="none" w:sz="0" w:space="0" w:color="auto"/>
            <w:right w:val="none" w:sz="0" w:space="0" w:color="auto"/>
          </w:divBdr>
          <w:divsChild>
            <w:div w:id="1498300108">
              <w:marLeft w:val="0"/>
              <w:marRight w:val="0"/>
              <w:marTop w:val="0"/>
              <w:marBottom w:val="0"/>
              <w:divBdr>
                <w:top w:val="none" w:sz="0" w:space="0" w:color="auto"/>
                <w:left w:val="none" w:sz="0" w:space="0" w:color="auto"/>
                <w:bottom w:val="none" w:sz="0" w:space="0" w:color="auto"/>
                <w:right w:val="none" w:sz="0" w:space="0" w:color="auto"/>
              </w:divBdr>
            </w:div>
            <w:div w:id="821384149">
              <w:marLeft w:val="0"/>
              <w:marRight w:val="0"/>
              <w:marTop w:val="0"/>
              <w:marBottom w:val="0"/>
              <w:divBdr>
                <w:top w:val="none" w:sz="0" w:space="0" w:color="auto"/>
                <w:left w:val="none" w:sz="0" w:space="0" w:color="auto"/>
                <w:bottom w:val="none" w:sz="0" w:space="0" w:color="auto"/>
                <w:right w:val="none" w:sz="0" w:space="0" w:color="auto"/>
              </w:divBdr>
            </w:div>
            <w:div w:id="777872624">
              <w:marLeft w:val="0"/>
              <w:marRight w:val="0"/>
              <w:marTop w:val="0"/>
              <w:marBottom w:val="0"/>
              <w:divBdr>
                <w:top w:val="none" w:sz="0" w:space="0" w:color="auto"/>
                <w:left w:val="none" w:sz="0" w:space="0" w:color="auto"/>
                <w:bottom w:val="none" w:sz="0" w:space="0" w:color="auto"/>
                <w:right w:val="none" w:sz="0" w:space="0" w:color="auto"/>
              </w:divBdr>
            </w:div>
            <w:div w:id="1699620807">
              <w:marLeft w:val="0"/>
              <w:marRight w:val="0"/>
              <w:marTop w:val="0"/>
              <w:marBottom w:val="0"/>
              <w:divBdr>
                <w:top w:val="none" w:sz="0" w:space="0" w:color="auto"/>
                <w:left w:val="none" w:sz="0" w:space="0" w:color="auto"/>
                <w:bottom w:val="none" w:sz="0" w:space="0" w:color="auto"/>
                <w:right w:val="none" w:sz="0" w:space="0" w:color="auto"/>
              </w:divBdr>
            </w:div>
            <w:div w:id="37509044">
              <w:marLeft w:val="0"/>
              <w:marRight w:val="0"/>
              <w:marTop w:val="0"/>
              <w:marBottom w:val="0"/>
              <w:divBdr>
                <w:top w:val="none" w:sz="0" w:space="0" w:color="auto"/>
                <w:left w:val="none" w:sz="0" w:space="0" w:color="auto"/>
                <w:bottom w:val="none" w:sz="0" w:space="0" w:color="auto"/>
                <w:right w:val="none" w:sz="0" w:space="0" w:color="auto"/>
              </w:divBdr>
            </w:div>
            <w:div w:id="1135637780">
              <w:marLeft w:val="0"/>
              <w:marRight w:val="0"/>
              <w:marTop w:val="0"/>
              <w:marBottom w:val="0"/>
              <w:divBdr>
                <w:top w:val="none" w:sz="0" w:space="0" w:color="auto"/>
                <w:left w:val="none" w:sz="0" w:space="0" w:color="auto"/>
                <w:bottom w:val="none" w:sz="0" w:space="0" w:color="auto"/>
                <w:right w:val="none" w:sz="0" w:space="0" w:color="auto"/>
              </w:divBdr>
            </w:div>
            <w:div w:id="484205197">
              <w:marLeft w:val="0"/>
              <w:marRight w:val="0"/>
              <w:marTop w:val="0"/>
              <w:marBottom w:val="0"/>
              <w:divBdr>
                <w:top w:val="none" w:sz="0" w:space="0" w:color="auto"/>
                <w:left w:val="none" w:sz="0" w:space="0" w:color="auto"/>
                <w:bottom w:val="none" w:sz="0" w:space="0" w:color="auto"/>
                <w:right w:val="none" w:sz="0" w:space="0" w:color="auto"/>
              </w:divBdr>
            </w:div>
            <w:div w:id="1363477614">
              <w:marLeft w:val="0"/>
              <w:marRight w:val="0"/>
              <w:marTop w:val="0"/>
              <w:marBottom w:val="0"/>
              <w:divBdr>
                <w:top w:val="none" w:sz="0" w:space="0" w:color="auto"/>
                <w:left w:val="none" w:sz="0" w:space="0" w:color="auto"/>
                <w:bottom w:val="none" w:sz="0" w:space="0" w:color="auto"/>
                <w:right w:val="none" w:sz="0" w:space="0" w:color="auto"/>
              </w:divBdr>
            </w:div>
            <w:div w:id="1726686382">
              <w:marLeft w:val="0"/>
              <w:marRight w:val="0"/>
              <w:marTop w:val="0"/>
              <w:marBottom w:val="0"/>
              <w:divBdr>
                <w:top w:val="none" w:sz="0" w:space="0" w:color="auto"/>
                <w:left w:val="none" w:sz="0" w:space="0" w:color="auto"/>
                <w:bottom w:val="none" w:sz="0" w:space="0" w:color="auto"/>
                <w:right w:val="none" w:sz="0" w:space="0" w:color="auto"/>
              </w:divBdr>
            </w:div>
            <w:div w:id="862984759">
              <w:marLeft w:val="0"/>
              <w:marRight w:val="0"/>
              <w:marTop w:val="0"/>
              <w:marBottom w:val="0"/>
              <w:divBdr>
                <w:top w:val="none" w:sz="0" w:space="0" w:color="auto"/>
                <w:left w:val="none" w:sz="0" w:space="0" w:color="auto"/>
                <w:bottom w:val="none" w:sz="0" w:space="0" w:color="auto"/>
                <w:right w:val="none" w:sz="0" w:space="0" w:color="auto"/>
              </w:divBdr>
            </w:div>
            <w:div w:id="958947704">
              <w:marLeft w:val="0"/>
              <w:marRight w:val="0"/>
              <w:marTop w:val="0"/>
              <w:marBottom w:val="0"/>
              <w:divBdr>
                <w:top w:val="none" w:sz="0" w:space="0" w:color="auto"/>
                <w:left w:val="none" w:sz="0" w:space="0" w:color="auto"/>
                <w:bottom w:val="none" w:sz="0" w:space="0" w:color="auto"/>
                <w:right w:val="none" w:sz="0" w:space="0" w:color="auto"/>
              </w:divBdr>
              <w:divsChild>
                <w:div w:id="606473749">
                  <w:marLeft w:val="0"/>
                  <w:marRight w:val="0"/>
                  <w:marTop w:val="0"/>
                  <w:marBottom w:val="0"/>
                  <w:divBdr>
                    <w:top w:val="none" w:sz="0" w:space="0" w:color="auto"/>
                    <w:left w:val="none" w:sz="0" w:space="0" w:color="auto"/>
                    <w:bottom w:val="none" w:sz="0" w:space="0" w:color="auto"/>
                    <w:right w:val="none" w:sz="0" w:space="0" w:color="auto"/>
                  </w:divBdr>
                  <w:divsChild>
                    <w:div w:id="1572422208">
                      <w:marLeft w:val="0"/>
                      <w:marRight w:val="0"/>
                      <w:marTop w:val="0"/>
                      <w:marBottom w:val="0"/>
                      <w:divBdr>
                        <w:top w:val="none" w:sz="0" w:space="0" w:color="auto"/>
                        <w:left w:val="none" w:sz="0" w:space="0" w:color="auto"/>
                        <w:bottom w:val="none" w:sz="0" w:space="0" w:color="auto"/>
                        <w:right w:val="none" w:sz="0" w:space="0" w:color="auto"/>
                      </w:divBdr>
                      <w:divsChild>
                        <w:div w:id="778796176">
                          <w:marLeft w:val="0"/>
                          <w:marRight w:val="0"/>
                          <w:marTop w:val="0"/>
                          <w:marBottom w:val="0"/>
                          <w:divBdr>
                            <w:top w:val="none" w:sz="0" w:space="0" w:color="auto"/>
                            <w:left w:val="none" w:sz="0" w:space="0" w:color="auto"/>
                            <w:bottom w:val="none" w:sz="0" w:space="0" w:color="auto"/>
                            <w:right w:val="none" w:sz="0" w:space="0" w:color="auto"/>
                          </w:divBdr>
                        </w:div>
                        <w:div w:id="1217937313">
                          <w:marLeft w:val="0"/>
                          <w:marRight w:val="0"/>
                          <w:marTop w:val="0"/>
                          <w:marBottom w:val="0"/>
                          <w:divBdr>
                            <w:top w:val="none" w:sz="0" w:space="0" w:color="auto"/>
                            <w:left w:val="none" w:sz="0" w:space="0" w:color="auto"/>
                            <w:bottom w:val="none" w:sz="0" w:space="0" w:color="auto"/>
                            <w:right w:val="none" w:sz="0" w:space="0" w:color="auto"/>
                          </w:divBdr>
                        </w:div>
                        <w:div w:id="764346948">
                          <w:marLeft w:val="0"/>
                          <w:marRight w:val="0"/>
                          <w:marTop w:val="0"/>
                          <w:marBottom w:val="0"/>
                          <w:divBdr>
                            <w:top w:val="none" w:sz="0" w:space="0" w:color="auto"/>
                            <w:left w:val="none" w:sz="0" w:space="0" w:color="auto"/>
                            <w:bottom w:val="none" w:sz="0" w:space="0" w:color="auto"/>
                            <w:right w:val="none" w:sz="0" w:space="0" w:color="auto"/>
                          </w:divBdr>
                        </w:div>
                        <w:div w:id="1815491419">
                          <w:marLeft w:val="0"/>
                          <w:marRight w:val="0"/>
                          <w:marTop w:val="0"/>
                          <w:marBottom w:val="0"/>
                          <w:divBdr>
                            <w:top w:val="none" w:sz="0" w:space="0" w:color="auto"/>
                            <w:left w:val="none" w:sz="0" w:space="0" w:color="auto"/>
                            <w:bottom w:val="none" w:sz="0" w:space="0" w:color="auto"/>
                            <w:right w:val="none" w:sz="0" w:space="0" w:color="auto"/>
                          </w:divBdr>
                        </w:div>
                        <w:div w:id="1275865432">
                          <w:marLeft w:val="0"/>
                          <w:marRight w:val="0"/>
                          <w:marTop w:val="0"/>
                          <w:marBottom w:val="0"/>
                          <w:divBdr>
                            <w:top w:val="none" w:sz="0" w:space="0" w:color="auto"/>
                            <w:left w:val="none" w:sz="0" w:space="0" w:color="auto"/>
                            <w:bottom w:val="none" w:sz="0" w:space="0" w:color="auto"/>
                            <w:right w:val="none" w:sz="0" w:space="0" w:color="auto"/>
                          </w:divBdr>
                        </w:div>
                        <w:div w:id="991257458">
                          <w:marLeft w:val="0"/>
                          <w:marRight w:val="0"/>
                          <w:marTop w:val="0"/>
                          <w:marBottom w:val="0"/>
                          <w:divBdr>
                            <w:top w:val="none" w:sz="0" w:space="0" w:color="auto"/>
                            <w:left w:val="none" w:sz="0" w:space="0" w:color="auto"/>
                            <w:bottom w:val="none" w:sz="0" w:space="0" w:color="auto"/>
                            <w:right w:val="none" w:sz="0" w:space="0" w:color="auto"/>
                          </w:divBdr>
                        </w:div>
                        <w:div w:id="1154420442">
                          <w:marLeft w:val="0"/>
                          <w:marRight w:val="0"/>
                          <w:marTop w:val="0"/>
                          <w:marBottom w:val="0"/>
                          <w:divBdr>
                            <w:top w:val="none" w:sz="0" w:space="0" w:color="auto"/>
                            <w:left w:val="none" w:sz="0" w:space="0" w:color="auto"/>
                            <w:bottom w:val="none" w:sz="0" w:space="0" w:color="auto"/>
                            <w:right w:val="none" w:sz="0" w:space="0" w:color="auto"/>
                          </w:divBdr>
                        </w:div>
                        <w:div w:id="12577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464753">
      <w:bodyDiv w:val="1"/>
      <w:marLeft w:val="0"/>
      <w:marRight w:val="0"/>
      <w:marTop w:val="0"/>
      <w:marBottom w:val="0"/>
      <w:divBdr>
        <w:top w:val="none" w:sz="0" w:space="0" w:color="auto"/>
        <w:left w:val="none" w:sz="0" w:space="0" w:color="auto"/>
        <w:bottom w:val="none" w:sz="0" w:space="0" w:color="auto"/>
        <w:right w:val="none" w:sz="0" w:space="0" w:color="auto"/>
      </w:divBdr>
    </w:div>
    <w:div w:id="1484541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30734-BEE3-9E4D-A345-275637D7E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11</Pages>
  <Words>3526</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19</cp:revision>
  <dcterms:created xsi:type="dcterms:W3CDTF">2020-08-08T22:59:00Z</dcterms:created>
  <dcterms:modified xsi:type="dcterms:W3CDTF">2021-04-10T18:19:00Z</dcterms:modified>
</cp:coreProperties>
</file>