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F10A" w14:textId="77777777" w:rsidR="00327EE7" w:rsidRDefault="00327EE7">
      <w:pPr>
        <w:pBdr>
          <w:top w:val="nil"/>
          <w:left w:val="nil"/>
          <w:bottom w:val="nil"/>
          <w:right w:val="nil"/>
          <w:between w:val="nil"/>
        </w:pBdr>
        <w:jc w:val="center"/>
        <w:rPr>
          <w:b/>
          <w:smallCaps/>
          <w:color w:val="000000"/>
          <w:sz w:val="28"/>
          <w:szCs w:val="28"/>
        </w:rPr>
      </w:pPr>
    </w:p>
    <w:p w14:paraId="108FBA32" w14:textId="77777777" w:rsidR="00327EE7" w:rsidRDefault="00327EE7">
      <w:pPr>
        <w:pBdr>
          <w:top w:val="nil"/>
          <w:left w:val="nil"/>
          <w:bottom w:val="nil"/>
          <w:right w:val="nil"/>
          <w:between w:val="nil"/>
        </w:pBdr>
        <w:jc w:val="center"/>
        <w:rPr>
          <w:b/>
          <w:smallCaps/>
          <w:color w:val="000000"/>
          <w:sz w:val="28"/>
          <w:szCs w:val="28"/>
        </w:rPr>
      </w:pPr>
    </w:p>
    <w:p w14:paraId="5711180A" w14:textId="77777777" w:rsidR="00327EE7" w:rsidRDefault="00327EE7">
      <w:pPr>
        <w:pBdr>
          <w:top w:val="nil"/>
          <w:left w:val="nil"/>
          <w:bottom w:val="nil"/>
          <w:right w:val="nil"/>
          <w:between w:val="nil"/>
        </w:pBdr>
        <w:jc w:val="center"/>
        <w:rPr>
          <w:b/>
          <w:smallCaps/>
          <w:color w:val="000000"/>
          <w:sz w:val="28"/>
          <w:szCs w:val="28"/>
        </w:rPr>
      </w:pPr>
    </w:p>
    <w:p w14:paraId="7330A651" w14:textId="77777777" w:rsidR="00327EE7" w:rsidRDefault="00327EE7">
      <w:pPr>
        <w:pBdr>
          <w:top w:val="nil"/>
          <w:left w:val="nil"/>
          <w:bottom w:val="nil"/>
          <w:right w:val="nil"/>
          <w:between w:val="nil"/>
        </w:pBdr>
        <w:jc w:val="center"/>
        <w:rPr>
          <w:b/>
          <w:smallCaps/>
          <w:color w:val="000000"/>
          <w:sz w:val="28"/>
          <w:szCs w:val="28"/>
        </w:rPr>
      </w:pPr>
    </w:p>
    <w:p w14:paraId="09809923" w14:textId="45D40E2D" w:rsidR="00EA40B7" w:rsidRDefault="006B39EF">
      <w:pPr>
        <w:pBdr>
          <w:top w:val="nil"/>
          <w:left w:val="nil"/>
          <w:bottom w:val="nil"/>
          <w:right w:val="nil"/>
          <w:between w:val="nil"/>
        </w:pBdr>
        <w:jc w:val="center"/>
        <w:rPr>
          <w:b/>
          <w:smallCaps/>
          <w:color w:val="000000"/>
          <w:sz w:val="28"/>
          <w:szCs w:val="28"/>
        </w:rPr>
      </w:pPr>
      <w:r>
        <w:rPr>
          <w:b/>
          <w:smallCaps/>
          <w:color w:val="000000"/>
          <w:sz w:val="28"/>
          <w:szCs w:val="28"/>
        </w:rPr>
        <w:t>Investigating multidimensionality in student responses to the Comprehensive Assessment of Outcomes in Statistics</w:t>
      </w:r>
    </w:p>
    <w:p w14:paraId="2F48F6D3" w14:textId="2C6966B1" w:rsidR="00327EE7" w:rsidRDefault="00327EE7">
      <w:pPr>
        <w:pBdr>
          <w:top w:val="nil"/>
          <w:left w:val="nil"/>
          <w:bottom w:val="nil"/>
          <w:right w:val="nil"/>
          <w:between w:val="nil"/>
        </w:pBdr>
        <w:jc w:val="center"/>
        <w:rPr>
          <w:b/>
          <w:smallCaps/>
          <w:color w:val="000000"/>
          <w:sz w:val="28"/>
          <w:szCs w:val="28"/>
        </w:rPr>
      </w:pPr>
    </w:p>
    <w:p w14:paraId="6295521D" w14:textId="77777777" w:rsidR="00327EE7" w:rsidRDefault="00327EE7">
      <w:pPr>
        <w:pBdr>
          <w:top w:val="nil"/>
          <w:left w:val="nil"/>
          <w:bottom w:val="nil"/>
          <w:right w:val="nil"/>
          <w:between w:val="nil"/>
        </w:pBdr>
        <w:jc w:val="center"/>
        <w:rPr>
          <w:b/>
          <w:smallCaps/>
          <w:color w:val="000000"/>
          <w:sz w:val="28"/>
          <w:szCs w:val="28"/>
        </w:rPr>
      </w:pPr>
    </w:p>
    <w:p w14:paraId="257F7882" w14:textId="77777777" w:rsidR="00EA40B7" w:rsidRDefault="00EA40B7">
      <w:pPr>
        <w:pBdr>
          <w:top w:val="nil"/>
          <w:left w:val="nil"/>
          <w:bottom w:val="nil"/>
          <w:right w:val="nil"/>
          <w:between w:val="nil"/>
        </w:pBdr>
        <w:ind w:firstLine="340"/>
        <w:rPr>
          <w:color w:val="000000"/>
        </w:rPr>
      </w:pPr>
    </w:p>
    <w:p w14:paraId="263ECDD3" w14:textId="77777777" w:rsidR="00EA40B7" w:rsidRDefault="006B39EF">
      <w:pPr>
        <w:pBdr>
          <w:top w:val="nil"/>
          <w:left w:val="nil"/>
          <w:bottom w:val="nil"/>
          <w:right w:val="nil"/>
          <w:between w:val="nil"/>
        </w:pBdr>
        <w:jc w:val="center"/>
        <w:rPr>
          <w:smallCaps/>
          <w:color w:val="000000"/>
        </w:rPr>
      </w:pPr>
      <w:r>
        <w:rPr>
          <w:smallCaps/>
          <w:color w:val="000000"/>
        </w:rPr>
        <w:t>V.N. Vimal Rao</w:t>
      </w:r>
    </w:p>
    <w:p w14:paraId="526ACCC7" w14:textId="77777777" w:rsidR="00EA40B7" w:rsidRDefault="006B39EF">
      <w:pPr>
        <w:pBdr>
          <w:top w:val="nil"/>
          <w:left w:val="nil"/>
          <w:bottom w:val="nil"/>
          <w:right w:val="nil"/>
          <w:between w:val="nil"/>
        </w:pBdr>
        <w:jc w:val="center"/>
        <w:rPr>
          <w:i/>
          <w:color w:val="000000"/>
        </w:rPr>
      </w:pPr>
      <w:r>
        <w:rPr>
          <w:i/>
          <w:color w:val="000000"/>
        </w:rPr>
        <w:t>University of Minnesota</w:t>
      </w:r>
    </w:p>
    <w:p w14:paraId="663EBFD0" w14:textId="77777777" w:rsidR="00EA40B7" w:rsidRDefault="006B39EF">
      <w:pPr>
        <w:pBdr>
          <w:top w:val="nil"/>
          <w:left w:val="nil"/>
          <w:bottom w:val="nil"/>
          <w:right w:val="nil"/>
          <w:between w:val="nil"/>
        </w:pBdr>
        <w:jc w:val="center"/>
        <w:rPr>
          <w:i/>
          <w:color w:val="000000"/>
        </w:rPr>
      </w:pPr>
      <w:r>
        <w:rPr>
          <w:i/>
          <w:color w:val="000000"/>
        </w:rPr>
        <w:t>rao00013@umn.edu</w:t>
      </w:r>
    </w:p>
    <w:p w14:paraId="10518062" w14:textId="77777777" w:rsidR="00EA40B7" w:rsidRDefault="00EA40B7">
      <w:pPr>
        <w:pBdr>
          <w:top w:val="nil"/>
          <w:left w:val="nil"/>
          <w:bottom w:val="nil"/>
          <w:right w:val="nil"/>
          <w:between w:val="nil"/>
        </w:pBdr>
        <w:ind w:firstLine="340"/>
        <w:rPr>
          <w:color w:val="000000"/>
        </w:rPr>
      </w:pPr>
    </w:p>
    <w:p w14:paraId="21B6DFB5" w14:textId="157C1D1F" w:rsidR="00EA40B7" w:rsidRDefault="00EA40B7">
      <w:pPr>
        <w:pBdr>
          <w:top w:val="nil"/>
          <w:left w:val="nil"/>
          <w:bottom w:val="nil"/>
          <w:right w:val="nil"/>
          <w:between w:val="nil"/>
        </w:pBdr>
        <w:ind w:firstLine="340"/>
        <w:rPr>
          <w:color w:val="000000"/>
        </w:rPr>
      </w:pPr>
    </w:p>
    <w:p w14:paraId="5575E808" w14:textId="77777777" w:rsidR="00327EE7" w:rsidRDefault="00327EE7">
      <w:pPr>
        <w:pBdr>
          <w:top w:val="nil"/>
          <w:left w:val="nil"/>
          <w:bottom w:val="nil"/>
          <w:right w:val="nil"/>
          <w:between w:val="nil"/>
        </w:pBdr>
        <w:ind w:firstLine="340"/>
        <w:rPr>
          <w:color w:val="000000"/>
        </w:rPr>
      </w:pPr>
    </w:p>
    <w:p w14:paraId="17D6E14C" w14:textId="77777777" w:rsidR="00327EE7" w:rsidRDefault="00327EE7">
      <w:pPr>
        <w:pBdr>
          <w:top w:val="nil"/>
          <w:left w:val="nil"/>
          <w:bottom w:val="nil"/>
          <w:right w:val="nil"/>
          <w:between w:val="nil"/>
        </w:pBdr>
        <w:ind w:firstLine="340"/>
        <w:rPr>
          <w:color w:val="000000"/>
        </w:rPr>
      </w:pPr>
    </w:p>
    <w:p w14:paraId="7FB0EDC1" w14:textId="77777777" w:rsidR="00EA40B7" w:rsidRDefault="006B39EF">
      <w:pPr>
        <w:pBdr>
          <w:top w:val="nil"/>
          <w:left w:val="nil"/>
          <w:bottom w:val="nil"/>
          <w:right w:val="nil"/>
          <w:between w:val="nil"/>
        </w:pBdr>
        <w:jc w:val="center"/>
        <w:rPr>
          <w:b/>
          <w:smallCaps/>
          <w:color w:val="000000"/>
        </w:rPr>
      </w:pPr>
      <w:r>
        <w:rPr>
          <w:b/>
          <w:smallCaps/>
          <w:color w:val="000000"/>
        </w:rPr>
        <w:t>ABSTRACT</w:t>
      </w:r>
    </w:p>
    <w:p w14:paraId="419DFE7F" w14:textId="77777777" w:rsidR="00EA40B7" w:rsidRDefault="00EA40B7">
      <w:pPr>
        <w:pBdr>
          <w:top w:val="nil"/>
          <w:left w:val="nil"/>
          <w:bottom w:val="nil"/>
          <w:right w:val="nil"/>
          <w:between w:val="nil"/>
        </w:pBdr>
        <w:ind w:firstLine="340"/>
        <w:rPr>
          <w:color w:val="000000"/>
        </w:rPr>
      </w:pPr>
    </w:p>
    <w:p w14:paraId="653931DD" w14:textId="2D2AF8E1" w:rsidR="00EA40B7" w:rsidRDefault="006B39EF">
      <w:pPr>
        <w:pBdr>
          <w:top w:val="nil"/>
          <w:left w:val="nil"/>
          <w:bottom w:val="nil"/>
          <w:right w:val="nil"/>
          <w:between w:val="nil"/>
        </w:pBdr>
        <w:spacing w:line="480" w:lineRule="auto"/>
        <w:rPr>
          <w:i/>
          <w:color w:val="000000"/>
        </w:rPr>
      </w:pPr>
      <w:r>
        <w:rPr>
          <w:i/>
          <w:color w:val="000000"/>
        </w:rPr>
        <w:t>The Comprehensive Assessment of Outcomes in Statistics (CAOS) is a test designed to measure students’ conceptual understanding of basic learning outcomes after a first course in statistics). Research utilizing CAOS has sometimes included an analysis of items by topic</w:t>
      </w:r>
      <w:r w:rsidR="008C1DE0">
        <w:rPr>
          <w:i/>
          <w:color w:val="000000"/>
        </w:rPr>
        <w:t xml:space="preserve">, </w:t>
      </w:r>
      <w:r>
        <w:rPr>
          <w:i/>
          <w:color w:val="000000"/>
        </w:rPr>
        <w:t xml:space="preserve">tantamount to the utilization of subscores. To date only one study of multidimensionality has been conducted utilizing CAOS data. In this paper I extend previous analyses of dimensionality of student responses to CAOS by applying multidimensional item response theory (MIRT) methods to 14 years of CAOS data in an attempt to provide validity evidence for the use of subscores. Results indicate that a bifactor model fits the data better than a unidimensional model, providing evidence of multidimensionality. However, further analysis is required in order to fully establish the validity of the use of CAOS subscores.  </w:t>
      </w:r>
    </w:p>
    <w:p w14:paraId="5E3AE26B" w14:textId="77777777" w:rsidR="00EA40B7" w:rsidRDefault="00EA40B7">
      <w:pPr>
        <w:pBdr>
          <w:top w:val="nil"/>
          <w:left w:val="nil"/>
          <w:bottom w:val="nil"/>
          <w:right w:val="nil"/>
          <w:between w:val="nil"/>
        </w:pBdr>
        <w:rPr>
          <w:color w:val="000000"/>
        </w:rPr>
      </w:pPr>
    </w:p>
    <w:p w14:paraId="140D1BBC" w14:textId="649A9F16" w:rsidR="00EA40B7" w:rsidRDefault="006B39EF">
      <w:pPr>
        <w:pBdr>
          <w:top w:val="nil"/>
          <w:left w:val="nil"/>
          <w:bottom w:val="nil"/>
          <w:right w:val="nil"/>
          <w:between w:val="nil"/>
        </w:pBdr>
        <w:ind w:left="1304" w:hanging="964"/>
        <w:rPr>
          <w:i/>
          <w:color w:val="000000"/>
        </w:rPr>
      </w:pPr>
      <w:r>
        <w:rPr>
          <w:b/>
          <w:i/>
          <w:color w:val="000000"/>
        </w:rPr>
        <w:t>Keywords:</w:t>
      </w:r>
      <w:r>
        <w:rPr>
          <w:rFonts w:ascii="Arial" w:eastAsia="Arial" w:hAnsi="Arial" w:cs="Arial"/>
          <w:b/>
          <w:color w:val="000000"/>
          <w:sz w:val="24"/>
          <w:szCs w:val="24"/>
        </w:rPr>
        <w:t xml:space="preserve"> </w:t>
      </w:r>
      <w:r>
        <w:rPr>
          <w:i/>
          <w:color w:val="000000"/>
        </w:rPr>
        <w:t>Statistics education research; CAOS; multidimensional item response theory; multilevel modeling</w:t>
      </w:r>
    </w:p>
    <w:p w14:paraId="55EDAE3F" w14:textId="77777777" w:rsidR="00EA40B7" w:rsidRDefault="00EA40B7">
      <w:pPr>
        <w:pBdr>
          <w:top w:val="nil"/>
          <w:left w:val="nil"/>
          <w:bottom w:val="nil"/>
          <w:right w:val="nil"/>
          <w:between w:val="nil"/>
        </w:pBdr>
        <w:ind w:firstLine="340"/>
        <w:rPr>
          <w:color w:val="000000"/>
        </w:rPr>
      </w:pPr>
    </w:p>
    <w:p w14:paraId="1A429482" w14:textId="77777777" w:rsidR="00EA40B7" w:rsidRDefault="00EA40B7">
      <w:pPr>
        <w:pBdr>
          <w:top w:val="nil"/>
          <w:left w:val="nil"/>
          <w:bottom w:val="nil"/>
          <w:right w:val="nil"/>
          <w:between w:val="nil"/>
        </w:pBdr>
        <w:ind w:firstLine="340"/>
        <w:rPr>
          <w:color w:val="000000"/>
        </w:rPr>
      </w:pPr>
    </w:p>
    <w:p w14:paraId="07480F1B" w14:textId="77777777" w:rsidR="00EA40B7" w:rsidRDefault="006B39EF">
      <w:pPr>
        <w:jc w:val="left"/>
        <w:rPr>
          <w:b/>
          <w:smallCaps/>
        </w:rPr>
      </w:pPr>
      <w:r>
        <w:br w:type="page"/>
      </w:r>
    </w:p>
    <w:p w14:paraId="7278240C" w14:textId="77777777" w:rsidR="00EA40B7" w:rsidRDefault="006B39EF">
      <w:pPr>
        <w:numPr>
          <w:ilvl w:val="0"/>
          <w:numId w:val="1"/>
        </w:numPr>
        <w:pBdr>
          <w:top w:val="nil"/>
          <w:left w:val="nil"/>
          <w:bottom w:val="nil"/>
          <w:right w:val="nil"/>
          <w:between w:val="nil"/>
        </w:pBdr>
        <w:jc w:val="center"/>
      </w:pPr>
      <w:r>
        <w:rPr>
          <w:b/>
          <w:smallCaps/>
          <w:color w:val="000000"/>
        </w:rPr>
        <w:lastRenderedPageBreak/>
        <w:t>Introduction</w:t>
      </w:r>
    </w:p>
    <w:p w14:paraId="060BC4C4" w14:textId="77777777" w:rsidR="00EA40B7" w:rsidRDefault="00EA40B7">
      <w:pPr>
        <w:pBdr>
          <w:top w:val="nil"/>
          <w:left w:val="nil"/>
          <w:bottom w:val="nil"/>
          <w:right w:val="nil"/>
          <w:between w:val="nil"/>
        </w:pBdr>
        <w:rPr>
          <w:color w:val="000000"/>
        </w:rPr>
      </w:pPr>
    </w:p>
    <w:p w14:paraId="0C8855F8" w14:textId="77777777" w:rsidR="00EA40B7" w:rsidRDefault="006B39EF">
      <w:pPr>
        <w:pBdr>
          <w:top w:val="nil"/>
          <w:left w:val="nil"/>
          <w:bottom w:val="nil"/>
          <w:right w:val="nil"/>
          <w:between w:val="nil"/>
        </w:pBdr>
        <w:spacing w:line="480" w:lineRule="auto"/>
        <w:ind w:firstLine="340"/>
        <w:rPr>
          <w:color w:val="000000"/>
        </w:rPr>
      </w:pPr>
      <w:r>
        <w:rPr>
          <w:color w:val="000000"/>
        </w:rPr>
        <w:t>The Comprehensive Assessment of Outcomes in Statistics (CAOS) was developed as part of the ARTIST project (delMas, Garfield, &amp; Chance, 2003; Garfield, delMas, &amp; Chance, 2002) to measure students’ conceptual understanding of basic learning outcomes after taking a first course in statistics (</w:t>
      </w:r>
      <w:proofErr w:type="spellStart"/>
      <w:r>
        <w:rPr>
          <w:color w:val="000000"/>
        </w:rPr>
        <w:t>delMas</w:t>
      </w:r>
      <w:proofErr w:type="spellEnd"/>
      <w:r>
        <w:rPr>
          <w:color w:val="000000"/>
        </w:rPr>
        <w:t xml:space="preserve">, Garfield, </w:t>
      </w:r>
      <w:proofErr w:type="spellStart"/>
      <w:r>
        <w:rPr>
          <w:color w:val="000000"/>
        </w:rPr>
        <w:t>Ooms</w:t>
      </w:r>
      <w:proofErr w:type="spellEnd"/>
      <w:r>
        <w:rPr>
          <w:color w:val="000000"/>
        </w:rPr>
        <w:t xml:space="preserve">, &amp; Chance, 2007). The test was designed to focus on students’ reasoning about variability, thought to be the main learning objective of a first course in statistics that follows the </w:t>
      </w:r>
      <w:r>
        <w:rPr>
          <w:i/>
          <w:color w:val="000000"/>
        </w:rPr>
        <w:t>consensus curriculum</w:t>
      </w:r>
      <w:r>
        <w:rPr>
          <w:color w:val="000000"/>
        </w:rPr>
        <w:t xml:space="preserve"> (Cobb, 2007). This construct, reasoning about variability, was thought to include reasoning about distributions, comparing groups of data, sampling, and sampling distributions (delMas et al., 2007). Items on the test were designed to address both students’ statistical reasoning and statistical literacy (</w:t>
      </w:r>
      <w:proofErr w:type="spellStart"/>
      <w:r>
        <w:rPr>
          <w:color w:val="000000"/>
        </w:rPr>
        <w:t>delMas</w:t>
      </w:r>
      <w:proofErr w:type="spellEnd"/>
      <w:r>
        <w:rPr>
          <w:color w:val="000000"/>
        </w:rPr>
        <w:t xml:space="preserve">, Garfield, &amp; </w:t>
      </w:r>
      <w:proofErr w:type="spellStart"/>
      <w:r>
        <w:rPr>
          <w:color w:val="000000"/>
        </w:rPr>
        <w:t>Ooms</w:t>
      </w:r>
      <w:proofErr w:type="spellEnd"/>
      <w:r>
        <w:rPr>
          <w:color w:val="000000"/>
        </w:rPr>
        <w:t>, 2005).</w:t>
      </w:r>
    </w:p>
    <w:p w14:paraId="6556B880" w14:textId="77777777" w:rsidR="00EA40B7" w:rsidRDefault="006B39EF">
      <w:pPr>
        <w:pBdr>
          <w:top w:val="nil"/>
          <w:left w:val="nil"/>
          <w:bottom w:val="nil"/>
          <w:right w:val="nil"/>
          <w:between w:val="nil"/>
        </w:pBdr>
        <w:spacing w:line="480" w:lineRule="auto"/>
        <w:ind w:firstLine="340"/>
        <w:rPr>
          <w:color w:val="000000"/>
        </w:rPr>
      </w:pPr>
      <w:r>
        <w:rPr>
          <w:color w:val="000000"/>
        </w:rPr>
        <w:t>To date there has only been one study examining the dimensionality of the latent traits governing student responses to CAOS. delMas (2014) conducted a confirmatory factor analysis (CFA) of a unidimensional model on data collected between 2005 and 2013 and found strong evidence suggesting that CAOS measures a single construct, which was thought to represent students’ statistical understanding of concepts taught in introductory statistics courses.</w:t>
      </w:r>
    </w:p>
    <w:p w14:paraId="4AF0E330" w14:textId="727B2F62" w:rsidR="00EA40B7" w:rsidRDefault="006B39EF">
      <w:pPr>
        <w:pBdr>
          <w:top w:val="nil"/>
          <w:left w:val="nil"/>
          <w:bottom w:val="nil"/>
          <w:right w:val="nil"/>
          <w:between w:val="nil"/>
        </w:pBdr>
        <w:spacing w:line="480" w:lineRule="auto"/>
        <w:ind w:firstLine="340"/>
        <w:rPr>
          <w:color w:val="000000"/>
        </w:rPr>
      </w:pPr>
      <w:r>
        <w:rPr>
          <w:color w:val="000000"/>
        </w:rPr>
        <w:t>Despite a lack of statistical evidence of multidimensionality, CAOS subscores have been reported and analy</w:t>
      </w:r>
      <w:r w:rsidR="00CA1329">
        <w:rPr>
          <w:color w:val="000000"/>
        </w:rPr>
        <w:t>z</w:t>
      </w:r>
      <w:r>
        <w:rPr>
          <w:color w:val="000000"/>
        </w:rPr>
        <w:t>ed in teaching and research. Instructors utilizing CAOS receive item analysis reports that summarize student performance on the test and include the distribution of students’ score by topic. Empirical studies have also included analyses of student scores by topic (</w:t>
      </w:r>
      <w:proofErr w:type="spellStart"/>
      <w:r>
        <w:rPr>
          <w:color w:val="000000"/>
        </w:rPr>
        <w:t>delMas</w:t>
      </w:r>
      <w:proofErr w:type="spellEnd"/>
      <w:r>
        <w:rPr>
          <w:color w:val="000000"/>
        </w:rPr>
        <w:t xml:space="preserve">, 2014; </w:t>
      </w:r>
      <w:proofErr w:type="spellStart"/>
      <w:r>
        <w:rPr>
          <w:color w:val="000000"/>
        </w:rPr>
        <w:t>Tintle</w:t>
      </w:r>
      <w:proofErr w:type="spellEnd"/>
      <w:r>
        <w:rPr>
          <w:color w:val="000000"/>
        </w:rPr>
        <w:t xml:space="preserve"> et al., 2014). </w:t>
      </w:r>
    </w:p>
    <w:p w14:paraId="1648765E"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Without analyses of multidimensionality of latent traits measured by CAOS, the validity of subscore analysis, and whether or not such an analysis provides any meaningful summary information upon which inference can be based, remains undetermined.  </w:t>
      </w:r>
    </w:p>
    <w:p w14:paraId="74F1A406" w14:textId="77777777" w:rsidR="00EA40B7" w:rsidRDefault="006B39EF">
      <w:pPr>
        <w:numPr>
          <w:ilvl w:val="0"/>
          <w:numId w:val="1"/>
        </w:numPr>
        <w:pBdr>
          <w:top w:val="nil"/>
          <w:left w:val="nil"/>
          <w:bottom w:val="nil"/>
          <w:right w:val="nil"/>
          <w:between w:val="nil"/>
        </w:pBdr>
        <w:jc w:val="center"/>
      </w:pPr>
      <w:r>
        <w:rPr>
          <w:b/>
          <w:smallCaps/>
          <w:color w:val="000000"/>
        </w:rPr>
        <w:lastRenderedPageBreak/>
        <w:t>Background</w:t>
      </w:r>
    </w:p>
    <w:p w14:paraId="752E7D00" w14:textId="77777777" w:rsidR="00EA40B7" w:rsidRDefault="00EA40B7">
      <w:pPr>
        <w:pBdr>
          <w:top w:val="nil"/>
          <w:left w:val="nil"/>
          <w:bottom w:val="nil"/>
          <w:right w:val="nil"/>
          <w:between w:val="nil"/>
        </w:pBdr>
        <w:rPr>
          <w:color w:val="000000"/>
        </w:rPr>
      </w:pPr>
    </w:p>
    <w:p w14:paraId="137E6EE6" w14:textId="77777777" w:rsidR="00EA40B7" w:rsidRDefault="006B39EF">
      <w:pPr>
        <w:numPr>
          <w:ilvl w:val="1"/>
          <w:numId w:val="1"/>
        </w:numPr>
        <w:pBdr>
          <w:top w:val="nil"/>
          <w:left w:val="nil"/>
          <w:bottom w:val="nil"/>
          <w:right w:val="nil"/>
          <w:between w:val="nil"/>
        </w:pBdr>
      </w:pPr>
      <w:r>
        <w:rPr>
          <w:b/>
          <w:smallCaps/>
          <w:color w:val="000000"/>
        </w:rPr>
        <w:t xml:space="preserve"> CAOS Topics</w:t>
      </w:r>
    </w:p>
    <w:p w14:paraId="747137CE" w14:textId="77777777" w:rsidR="00EA40B7" w:rsidRDefault="00EA40B7">
      <w:pPr>
        <w:pBdr>
          <w:top w:val="nil"/>
          <w:left w:val="nil"/>
          <w:bottom w:val="nil"/>
          <w:right w:val="nil"/>
          <w:between w:val="nil"/>
        </w:pBdr>
        <w:ind w:firstLine="340"/>
        <w:rPr>
          <w:color w:val="000000"/>
        </w:rPr>
      </w:pPr>
    </w:p>
    <w:p w14:paraId="3676DA44"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While not including the calculation of subscores, delMas et al. (2007) included a discussion of students' gains in understanding by topic area. This discussion partitioned the 40 CAOS items into 10 topic areas representing data collection and design, descriptive statistics, graphical representations, boxplots, the normal distribution, bivariate data, probability, sampling variability, confidence intervals, and tests of significance.  </w:t>
      </w:r>
    </w:p>
    <w:p w14:paraId="08A02312" w14:textId="27535678" w:rsidR="00EA40B7" w:rsidRDefault="006B39EF">
      <w:pPr>
        <w:pBdr>
          <w:top w:val="nil"/>
          <w:left w:val="nil"/>
          <w:bottom w:val="nil"/>
          <w:right w:val="nil"/>
          <w:between w:val="nil"/>
        </w:pBdr>
        <w:spacing w:line="480" w:lineRule="auto"/>
        <w:ind w:firstLine="340"/>
        <w:rPr>
          <w:color w:val="000000"/>
        </w:rPr>
      </w:pPr>
      <w:proofErr w:type="spellStart"/>
      <w:r>
        <w:rPr>
          <w:color w:val="000000"/>
        </w:rPr>
        <w:t>Tintle</w:t>
      </w:r>
      <w:proofErr w:type="spellEnd"/>
      <w:r>
        <w:rPr>
          <w:color w:val="000000"/>
        </w:rPr>
        <w:t xml:space="preserve"> et al. (2011) utilized CAOS to assess the effects of different curricula on students’ understanding of statistics. This analysis included an evaluation of student performance by topic. The 40 CAOS items were grouped according to the framework presented by delMas et al. (2007) </w:t>
      </w:r>
      <w:proofErr w:type="gramStart"/>
      <w:r>
        <w:rPr>
          <w:color w:val="000000"/>
        </w:rPr>
        <w:t>with the exception of</w:t>
      </w:r>
      <w:proofErr w:type="gramEnd"/>
      <w:r>
        <w:rPr>
          <w:color w:val="000000"/>
        </w:rPr>
        <w:t xml:space="preserve"> the normal distribution, resulting in the use of nine total topic areas</w:t>
      </w:r>
      <w:r w:rsidR="004C5A34">
        <w:rPr>
          <w:color w:val="000000"/>
        </w:rPr>
        <w:t xml:space="preserve"> (Table 1)</w:t>
      </w:r>
      <w:r>
        <w:rPr>
          <w:color w:val="000000"/>
        </w:rPr>
        <w:t>. These nine topics were similarly utilized in subsequent studies (</w:t>
      </w:r>
      <w:proofErr w:type="spellStart"/>
      <w:r>
        <w:rPr>
          <w:color w:val="000000"/>
        </w:rPr>
        <w:t>Tintle</w:t>
      </w:r>
      <w:proofErr w:type="spellEnd"/>
      <w:r>
        <w:rPr>
          <w:color w:val="000000"/>
        </w:rPr>
        <w:t xml:space="preserve"> et al., 2012; </w:t>
      </w:r>
      <w:proofErr w:type="spellStart"/>
      <w:r>
        <w:rPr>
          <w:color w:val="000000"/>
        </w:rPr>
        <w:t>Tintle</w:t>
      </w:r>
      <w:proofErr w:type="spellEnd"/>
      <w:r>
        <w:rPr>
          <w:color w:val="000000"/>
        </w:rPr>
        <w:t xml:space="preserve"> et al., 2014). </w:t>
      </w:r>
    </w:p>
    <w:p w14:paraId="40B3DDE6" w14:textId="77777777" w:rsidR="00327EE7" w:rsidRDefault="00327EE7" w:rsidP="004C5A34">
      <w:pPr>
        <w:jc w:val="center"/>
        <w:rPr>
          <w:i/>
        </w:rPr>
      </w:pPr>
    </w:p>
    <w:p w14:paraId="79CA71F8" w14:textId="7FD59B4D" w:rsidR="004C5A34" w:rsidRDefault="004C5A34" w:rsidP="004C5A34">
      <w:pPr>
        <w:jc w:val="center"/>
        <w:rPr>
          <w:i/>
        </w:rPr>
      </w:pPr>
      <w:r>
        <w:rPr>
          <w:i/>
        </w:rPr>
        <w:t xml:space="preserve">Table 1. Items by topic as </w:t>
      </w:r>
      <w:r w:rsidR="008C1DE0">
        <w:rPr>
          <w:i/>
        </w:rPr>
        <w:t>analyze</w:t>
      </w:r>
      <w:r>
        <w:rPr>
          <w:i/>
        </w:rPr>
        <w:t xml:space="preserve">d by </w:t>
      </w:r>
      <w:proofErr w:type="spellStart"/>
      <w:r>
        <w:rPr>
          <w:i/>
        </w:rPr>
        <w:t>Tintle</w:t>
      </w:r>
      <w:proofErr w:type="spellEnd"/>
      <w:r>
        <w:rPr>
          <w:i/>
        </w:rPr>
        <w:t xml:space="preserve"> et al. (2011)</w:t>
      </w:r>
    </w:p>
    <w:p w14:paraId="66834109" w14:textId="77777777" w:rsidR="004C5A34" w:rsidRDefault="004C5A34" w:rsidP="004C5A34">
      <w:pPr>
        <w:jc w:val="center"/>
      </w:pPr>
    </w:p>
    <w:tbl>
      <w:tblPr>
        <w:tblStyle w:val="a"/>
        <w:tblW w:w="5310" w:type="dxa"/>
        <w:jc w:val="center"/>
        <w:tblLayout w:type="fixed"/>
        <w:tblLook w:val="0400" w:firstRow="0" w:lastRow="0" w:firstColumn="0" w:lastColumn="0" w:noHBand="0" w:noVBand="1"/>
      </w:tblPr>
      <w:tblGrid>
        <w:gridCol w:w="2520"/>
        <w:gridCol w:w="2790"/>
      </w:tblGrid>
      <w:tr w:rsidR="004C5A34" w14:paraId="189BD456" w14:textId="77777777" w:rsidTr="008141F2">
        <w:trPr>
          <w:trHeight w:val="300"/>
          <w:jc w:val="center"/>
        </w:trPr>
        <w:tc>
          <w:tcPr>
            <w:tcW w:w="2520" w:type="dxa"/>
            <w:tcBorders>
              <w:top w:val="nil"/>
              <w:left w:val="nil"/>
              <w:bottom w:val="single" w:sz="8" w:space="0" w:color="000000"/>
              <w:right w:val="nil"/>
            </w:tcBorders>
            <w:shd w:val="clear" w:color="auto" w:fill="auto"/>
            <w:vAlign w:val="center"/>
          </w:tcPr>
          <w:p w14:paraId="5462DF8B" w14:textId="77777777" w:rsidR="004C5A34" w:rsidRDefault="004C5A34" w:rsidP="008141F2">
            <w:pPr>
              <w:rPr>
                <w:sz w:val="20"/>
                <w:szCs w:val="20"/>
              </w:rPr>
            </w:pPr>
            <w:r>
              <w:rPr>
                <w:sz w:val="20"/>
                <w:szCs w:val="20"/>
              </w:rPr>
              <w:t> </w:t>
            </w:r>
          </w:p>
        </w:tc>
        <w:tc>
          <w:tcPr>
            <w:tcW w:w="2790" w:type="dxa"/>
            <w:tcBorders>
              <w:top w:val="single" w:sz="8" w:space="0" w:color="000000"/>
              <w:left w:val="nil"/>
              <w:bottom w:val="single" w:sz="8" w:space="0" w:color="000000"/>
              <w:right w:val="nil"/>
            </w:tcBorders>
            <w:shd w:val="clear" w:color="auto" w:fill="auto"/>
            <w:vAlign w:val="center"/>
          </w:tcPr>
          <w:p w14:paraId="7026B933" w14:textId="77777777" w:rsidR="004C5A34" w:rsidRDefault="004C5A34" w:rsidP="008141F2">
            <w:pPr>
              <w:jc w:val="center"/>
              <w:rPr>
                <w:sz w:val="20"/>
                <w:szCs w:val="20"/>
              </w:rPr>
            </w:pPr>
            <w:r>
              <w:rPr>
                <w:sz w:val="20"/>
                <w:szCs w:val="20"/>
              </w:rPr>
              <w:t>Item Numbers</w:t>
            </w:r>
          </w:p>
        </w:tc>
      </w:tr>
      <w:tr w:rsidR="004C5A34" w14:paraId="4D436F8B" w14:textId="77777777" w:rsidTr="008141F2">
        <w:trPr>
          <w:trHeight w:val="300"/>
          <w:jc w:val="center"/>
        </w:trPr>
        <w:tc>
          <w:tcPr>
            <w:tcW w:w="2520" w:type="dxa"/>
            <w:tcBorders>
              <w:top w:val="nil"/>
              <w:left w:val="nil"/>
              <w:bottom w:val="nil"/>
              <w:right w:val="nil"/>
            </w:tcBorders>
            <w:shd w:val="clear" w:color="auto" w:fill="auto"/>
            <w:vAlign w:val="center"/>
          </w:tcPr>
          <w:p w14:paraId="2D2DB5FE" w14:textId="6F880E91" w:rsidR="004C5A34" w:rsidRDefault="00B773E4" w:rsidP="008141F2">
            <w:pPr>
              <w:rPr>
                <w:sz w:val="20"/>
                <w:szCs w:val="20"/>
              </w:rPr>
            </w:pPr>
            <w:r>
              <w:rPr>
                <w:sz w:val="20"/>
                <w:szCs w:val="20"/>
              </w:rPr>
              <w:t>D</w:t>
            </w:r>
            <w:r w:rsidR="004C5A34">
              <w:rPr>
                <w:sz w:val="20"/>
                <w:szCs w:val="20"/>
              </w:rPr>
              <w:t>ata collection and design</w:t>
            </w:r>
          </w:p>
        </w:tc>
        <w:tc>
          <w:tcPr>
            <w:tcW w:w="2790" w:type="dxa"/>
            <w:tcBorders>
              <w:top w:val="nil"/>
              <w:left w:val="nil"/>
              <w:bottom w:val="nil"/>
              <w:right w:val="nil"/>
            </w:tcBorders>
            <w:shd w:val="clear" w:color="auto" w:fill="auto"/>
            <w:vAlign w:val="center"/>
          </w:tcPr>
          <w:p w14:paraId="4DABA771" w14:textId="77777777" w:rsidR="004C5A34" w:rsidRDefault="004C5A34" w:rsidP="008141F2">
            <w:pPr>
              <w:jc w:val="center"/>
              <w:rPr>
                <w:sz w:val="20"/>
                <w:szCs w:val="20"/>
              </w:rPr>
            </w:pPr>
            <w:r>
              <w:rPr>
                <w:sz w:val="20"/>
                <w:szCs w:val="20"/>
              </w:rPr>
              <w:t>7, 22, 24, 38</w:t>
            </w:r>
          </w:p>
        </w:tc>
      </w:tr>
      <w:tr w:rsidR="004C5A34" w14:paraId="00AA734C" w14:textId="77777777" w:rsidTr="008141F2">
        <w:trPr>
          <w:trHeight w:val="300"/>
          <w:jc w:val="center"/>
        </w:trPr>
        <w:tc>
          <w:tcPr>
            <w:tcW w:w="2520" w:type="dxa"/>
            <w:tcBorders>
              <w:top w:val="nil"/>
              <w:left w:val="nil"/>
              <w:bottom w:val="nil"/>
              <w:right w:val="nil"/>
            </w:tcBorders>
            <w:shd w:val="clear" w:color="auto" w:fill="auto"/>
            <w:vAlign w:val="center"/>
          </w:tcPr>
          <w:p w14:paraId="2F1B0B01" w14:textId="51A3D539" w:rsidR="004C5A34" w:rsidRDefault="00B773E4" w:rsidP="008141F2">
            <w:pPr>
              <w:rPr>
                <w:sz w:val="20"/>
                <w:szCs w:val="20"/>
              </w:rPr>
            </w:pPr>
            <w:r>
              <w:rPr>
                <w:sz w:val="20"/>
                <w:szCs w:val="20"/>
              </w:rPr>
              <w:t>D</w:t>
            </w:r>
            <w:r w:rsidR="004C5A34">
              <w:rPr>
                <w:sz w:val="20"/>
                <w:szCs w:val="20"/>
              </w:rPr>
              <w:t>escriptive statistics</w:t>
            </w:r>
          </w:p>
        </w:tc>
        <w:tc>
          <w:tcPr>
            <w:tcW w:w="2790" w:type="dxa"/>
            <w:tcBorders>
              <w:top w:val="nil"/>
              <w:left w:val="nil"/>
              <w:bottom w:val="nil"/>
              <w:right w:val="nil"/>
            </w:tcBorders>
            <w:shd w:val="clear" w:color="auto" w:fill="auto"/>
            <w:vAlign w:val="center"/>
          </w:tcPr>
          <w:p w14:paraId="3B81E13B" w14:textId="77777777" w:rsidR="004C5A34" w:rsidRDefault="004C5A34" w:rsidP="008141F2">
            <w:pPr>
              <w:jc w:val="center"/>
              <w:rPr>
                <w:sz w:val="20"/>
                <w:szCs w:val="20"/>
              </w:rPr>
            </w:pPr>
            <w:r>
              <w:rPr>
                <w:sz w:val="20"/>
                <w:szCs w:val="20"/>
              </w:rPr>
              <w:t>14, 15, 18</w:t>
            </w:r>
          </w:p>
        </w:tc>
      </w:tr>
      <w:tr w:rsidR="004C5A34" w14:paraId="08531C0F" w14:textId="77777777" w:rsidTr="008141F2">
        <w:trPr>
          <w:trHeight w:val="300"/>
          <w:jc w:val="center"/>
        </w:trPr>
        <w:tc>
          <w:tcPr>
            <w:tcW w:w="2520" w:type="dxa"/>
            <w:tcBorders>
              <w:top w:val="nil"/>
              <w:left w:val="nil"/>
              <w:bottom w:val="nil"/>
              <w:right w:val="nil"/>
            </w:tcBorders>
            <w:shd w:val="clear" w:color="auto" w:fill="auto"/>
            <w:vAlign w:val="center"/>
          </w:tcPr>
          <w:p w14:paraId="2615DC70" w14:textId="1537D1FD" w:rsidR="004C5A34" w:rsidRDefault="00B773E4" w:rsidP="008141F2">
            <w:pPr>
              <w:rPr>
                <w:sz w:val="20"/>
                <w:szCs w:val="20"/>
              </w:rPr>
            </w:pPr>
            <w:r>
              <w:rPr>
                <w:sz w:val="20"/>
                <w:szCs w:val="20"/>
              </w:rPr>
              <w:t>G</w:t>
            </w:r>
            <w:r w:rsidR="004C5A34">
              <w:rPr>
                <w:sz w:val="20"/>
                <w:szCs w:val="20"/>
              </w:rPr>
              <w:t>raphical representations</w:t>
            </w:r>
          </w:p>
        </w:tc>
        <w:tc>
          <w:tcPr>
            <w:tcW w:w="2790" w:type="dxa"/>
            <w:tcBorders>
              <w:top w:val="nil"/>
              <w:left w:val="nil"/>
              <w:bottom w:val="nil"/>
              <w:right w:val="nil"/>
            </w:tcBorders>
            <w:shd w:val="clear" w:color="auto" w:fill="auto"/>
            <w:vAlign w:val="center"/>
          </w:tcPr>
          <w:p w14:paraId="2FB68683" w14:textId="77777777" w:rsidR="004C5A34" w:rsidRDefault="004C5A34" w:rsidP="008141F2">
            <w:pPr>
              <w:jc w:val="center"/>
              <w:rPr>
                <w:sz w:val="20"/>
                <w:szCs w:val="20"/>
              </w:rPr>
            </w:pPr>
            <w:r>
              <w:rPr>
                <w:sz w:val="20"/>
                <w:szCs w:val="20"/>
              </w:rPr>
              <w:t>1, 3, 4, 5, 6, 11, 12, 13, 33</w:t>
            </w:r>
          </w:p>
        </w:tc>
      </w:tr>
      <w:tr w:rsidR="004C5A34" w14:paraId="391F0EAB" w14:textId="77777777" w:rsidTr="008141F2">
        <w:trPr>
          <w:trHeight w:val="300"/>
          <w:jc w:val="center"/>
        </w:trPr>
        <w:tc>
          <w:tcPr>
            <w:tcW w:w="2520" w:type="dxa"/>
            <w:tcBorders>
              <w:top w:val="nil"/>
              <w:left w:val="nil"/>
              <w:bottom w:val="nil"/>
              <w:right w:val="nil"/>
            </w:tcBorders>
            <w:shd w:val="clear" w:color="auto" w:fill="auto"/>
            <w:vAlign w:val="center"/>
          </w:tcPr>
          <w:p w14:paraId="776819B7" w14:textId="197F8811" w:rsidR="004C5A34" w:rsidRDefault="00B773E4" w:rsidP="008141F2">
            <w:pPr>
              <w:rPr>
                <w:sz w:val="20"/>
                <w:szCs w:val="20"/>
              </w:rPr>
            </w:pPr>
            <w:r>
              <w:rPr>
                <w:sz w:val="20"/>
                <w:szCs w:val="20"/>
              </w:rPr>
              <w:t>B</w:t>
            </w:r>
            <w:r w:rsidR="004C5A34">
              <w:rPr>
                <w:sz w:val="20"/>
                <w:szCs w:val="20"/>
              </w:rPr>
              <w:t>oxplots</w:t>
            </w:r>
          </w:p>
        </w:tc>
        <w:tc>
          <w:tcPr>
            <w:tcW w:w="2790" w:type="dxa"/>
            <w:tcBorders>
              <w:top w:val="nil"/>
              <w:left w:val="nil"/>
              <w:bottom w:val="nil"/>
              <w:right w:val="nil"/>
            </w:tcBorders>
            <w:shd w:val="clear" w:color="auto" w:fill="auto"/>
            <w:vAlign w:val="center"/>
          </w:tcPr>
          <w:p w14:paraId="6FAF74C1" w14:textId="77777777" w:rsidR="004C5A34" w:rsidRDefault="004C5A34" w:rsidP="008141F2">
            <w:pPr>
              <w:jc w:val="center"/>
              <w:rPr>
                <w:sz w:val="20"/>
                <w:szCs w:val="20"/>
              </w:rPr>
            </w:pPr>
            <w:r>
              <w:rPr>
                <w:sz w:val="20"/>
                <w:szCs w:val="20"/>
              </w:rPr>
              <w:t>2, 8, 9, 10</w:t>
            </w:r>
          </w:p>
        </w:tc>
      </w:tr>
      <w:tr w:rsidR="004C5A34" w14:paraId="1D025A9D" w14:textId="77777777" w:rsidTr="008141F2">
        <w:trPr>
          <w:trHeight w:val="300"/>
          <w:jc w:val="center"/>
        </w:trPr>
        <w:tc>
          <w:tcPr>
            <w:tcW w:w="2520" w:type="dxa"/>
            <w:tcBorders>
              <w:top w:val="nil"/>
              <w:left w:val="nil"/>
              <w:bottom w:val="nil"/>
              <w:right w:val="nil"/>
            </w:tcBorders>
            <w:shd w:val="clear" w:color="auto" w:fill="auto"/>
            <w:vAlign w:val="center"/>
          </w:tcPr>
          <w:p w14:paraId="77828804" w14:textId="4C93ADA5" w:rsidR="004C5A34" w:rsidRDefault="00B773E4" w:rsidP="008141F2">
            <w:pPr>
              <w:rPr>
                <w:sz w:val="20"/>
                <w:szCs w:val="20"/>
              </w:rPr>
            </w:pPr>
            <w:r>
              <w:rPr>
                <w:sz w:val="20"/>
                <w:szCs w:val="20"/>
              </w:rPr>
              <w:t>B</w:t>
            </w:r>
            <w:r w:rsidR="004C5A34">
              <w:rPr>
                <w:sz w:val="20"/>
                <w:szCs w:val="20"/>
              </w:rPr>
              <w:t>ivariate data</w:t>
            </w:r>
          </w:p>
        </w:tc>
        <w:tc>
          <w:tcPr>
            <w:tcW w:w="2790" w:type="dxa"/>
            <w:tcBorders>
              <w:top w:val="nil"/>
              <w:left w:val="nil"/>
              <w:bottom w:val="nil"/>
              <w:right w:val="nil"/>
            </w:tcBorders>
            <w:shd w:val="clear" w:color="auto" w:fill="auto"/>
            <w:vAlign w:val="center"/>
          </w:tcPr>
          <w:p w14:paraId="65A8EFBF" w14:textId="77777777" w:rsidR="004C5A34" w:rsidRDefault="004C5A34" w:rsidP="008141F2">
            <w:pPr>
              <w:jc w:val="center"/>
              <w:rPr>
                <w:sz w:val="20"/>
                <w:szCs w:val="20"/>
              </w:rPr>
            </w:pPr>
            <w:r>
              <w:rPr>
                <w:sz w:val="20"/>
                <w:szCs w:val="20"/>
              </w:rPr>
              <w:t>20, 21, 39</w:t>
            </w:r>
          </w:p>
        </w:tc>
      </w:tr>
      <w:tr w:rsidR="004C5A34" w14:paraId="37D02FBD" w14:textId="77777777" w:rsidTr="008141F2">
        <w:trPr>
          <w:trHeight w:val="300"/>
          <w:jc w:val="center"/>
        </w:trPr>
        <w:tc>
          <w:tcPr>
            <w:tcW w:w="2520" w:type="dxa"/>
            <w:tcBorders>
              <w:top w:val="nil"/>
              <w:left w:val="nil"/>
              <w:bottom w:val="nil"/>
              <w:right w:val="nil"/>
            </w:tcBorders>
            <w:shd w:val="clear" w:color="auto" w:fill="auto"/>
            <w:vAlign w:val="center"/>
          </w:tcPr>
          <w:p w14:paraId="7E5B05E8" w14:textId="587978FE" w:rsidR="004C5A34" w:rsidRDefault="00B773E4" w:rsidP="008141F2">
            <w:pPr>
              <w:rPr>
                <w:sz w:val="20"/>
                <w:szCs w:val="20"/>
              </w:rPr>
            </w:pPr>
            <w:r>
              <w:rPr>
                <w:sz w:val="20"/>
                <w:szCs w:val="20"/>
              </w:rPr>
              <w:t>P</w:t>
            </w:r>
            <w:r w:rsidR="004C5A34">
              <w:rPr>
                <w:sz w:val="20"/>
                <w:szCs w:val="20"/>
              </w:rPr>
              <w:t>robability</w:t>
            </w:r>
          </w:p>
        </w:tc>
        <w:tc>
          <w:tcPr>
            <w:tcW w:w="2790" w:type="dxa"/>
            <w:tcBorders>
              <w:top w:val="nil"/>
              <w:left w:val="nil"/>
              <w:bottom w:val="nil"/>
              <w:right w:val="nil"/>
            </w:tcBorders>
            <w:shd w:val="clear" w:color="auto" w:fill="auto"/>
            <w:vAlign w:val="center"/>
          </w:tcPr>
          <w:p w14:paraId="04FEA36D" w14:textId="77777777" w:rsidR="004C5A34" w:rsidRDefault="004C5A34" w:rsidP="008141F2">
            <w:pPr>
              <w:jc w:val="center"/>
              <w:rPr>
                <w:sz w:val="20"/>
                <w:szCs w:val="20"/>
              </w:rPr>
            </w:pPr>
            <w:r>
              <w:rPr>
                <w:sz w:val="20"/>
                <w:szCs w:val="20"/>
              </w:rPr>
              <w:t>36, 37</w:t>
            </w:r>
          </w:p>
        </w:tc>
      </w:tr>
      <w:tr w:rsidR="004C5A34" w14:paraId="03FA07C6" w14:textId="77777777" w:rsidTr="008141F2">
        <w:trPr>
          <w:trHeight w:val="300"/>
          <w:jc w:val="center"/>
        </w:trPr>
        <w:tc>
          <w:tcPr>
            <w:tcW w:w="2520" w:type="dxa"/>
            <w:tcBorders>
              <w:top w:val="nil"/>
              <w:left w:val="nil"/>
              <w:bottom w:val="nil"/>
              <w:right w:val="nil"/>
            </w:tcBorders>
            <w:shd w:val="clear" w:color="auto" w:fill="auto"/>
            <w:vAlign w:val="center"/>
          </w:tcPr>
          <w:p w14:paraId="48C446C4" w14:textId="4723913F" w:rsidR="004C5A34" w:rsidRDefault="00B773E4" w:rsidP="008141F2">
            <w:pPr>
              <w:rPr>
                <w:sz w:val="20"/>
                <w:szCs w:val="20"/>
              </w:rPr>
            </w:pPr>
            <w:r>
              <w:rPr>
                <w:sz w:val="20"/>
                <w:szCs w:val="20"/>
              </w:rPr>
              <w:t>S</w:t>
            </w:r>
            <w:r w:rsidR="004C5A34">
              <w:rPr>
                <w:sz w:val="20"/>
                <w:szCs w:val="20"/>
              </w:rPr>
              <w:t>ampling variability</w:t>
            </w:r>
          </w:p>
        </w:tc>
        <w:tc>
          <w:tcPr>
            <w:tcW w:w="2790" w:type="dxa"/>
            <w:tcBorders>
              <w:top w:val="nil"/>
              <w:left w:val="nil"/>
              <w:bottom w:val="nil"/>
              <w:right w:val="nil"/>
            </w:tcBorders>
            <w:shd w:val="clear" w:color="auto" w:fill="auto"/>
            <w:vAlign w:val="center"/>
          </w:tcPr>
          <w:p w14:paraId="2CDBB6A1" w14:textId="77777777" w:rsidR="004C5A34" w:rsidRDefault="004C5A34" w:rsidP="008141F2">
            <w:pPr>
              <w:jc w:val="center"/>
              <w:rPr>
                <w:sz w:val="20"/>
                <w:szCs w:val="20"/>
              </w:rPr>
            </w:pPr>
            <w:r>
              <w:rPr>
                <w:sz w:val="20"/>
                <w:szCs w:val="20"/>
              </w:rPr>
              <w:t>16, 17, 32, 34, 35</w:t>
            </w:r>
          </w:p>
        </w:tc>
      </w:tr>
      <w:tr w:rsidR="004C5A34" w14:paraId="716C186D" w14:textId="77777777" w:rsidTr="008141F2">
        <w:trPr>
          <w:trHeight w:val="300"/>
          <w:jc w:val="center"/>
        </w:trPr>
        <w:tc>
          <w:tcPr>
            <w:tcW w:w="2520" w:type="dxa"/>
            <w:tcBorders>
              <w:top w:val="nil"/>
              <w:left w:val="nil"/>
              <w:right w:val="nil"/>
            </w:tcBorders>
            <w:shd w:val="clear" w:color="auto" w:fill="auto"/>
            <w:vAlign w:val="center"/>
          </w:tcPr>
          <w:p w14:paraId="2A08DCC5" w14:textId="3A880A15" w:rsidR="004C5A34" w:rsidRDefault="00B773E4" w:rsidP="008141F2">
            <w:pPr>
              <w:rPr>
                <w:sz w:val="20"/>
                <w:szCs w:val="20"/>
              </w:rPr>
            </w:pPr>
            <w:r>
              <w:rPr>
                <w:sz w:val="20"/>
                <w:szCs w:val="20"/>
              </w:rPr>
              <w:t>C</w:t>
            </w:r>
            <w:r w:rsidR="004C5A34">
              <w:rPr>
                <w:sz w:val="20"/>
                <w:szCs w:val="20"/>
              </w:rPr>
              <w:t>onfidence intervals</w:t>
            </w:r>
          </w:p>
        </w:tc>
        <w:tc>
          <w:tcPr>
            <w:tcW w:w="2790" w:type="dxa"/>
            <w:tcBorders>
              <w:top w:val="nil"/>
              <w:left w:val="nil"/>
              <w:right w:val="nil"/>
            </w:tcBorders>
            <w:shd w:val="clear" w:color="auto" w:fill="auto"/>
            <w:vAlign w:val="center"/>
          </w:tcPr>
          <w:p w14:paraId="310A40FE" w14:textId="77777777" w:rsidR="004C5A34" w:rsidRDefault="004C5A34" w:rsidP="008141F2">
            <w:pPr>
              <w:jc w:val="center"/>
              <w:rPr>
                <w:sz w:val="20"/>
                <w:szCs w:val="20"/>
              </w:rPr>
            </w:pPr>
            <w:r>
              <w:rPr>
                <w:sz w:val="20"/>
                <w:szCs w:val="20"/>
              </w:rPr>
              <w:t>28, 29, 30, 31</w:t>
            </w:r>
          </w:p>
        </w:tc>
      </w:tr>
      <w:tr w:rsidR="004C5A34" w14:paraId="15C3860F" w14:textId="77777777" w:rsidTr="008141F2">
        <w:trPr>
          <w:trHeight w:val="300"/>
          <w:jc w:val="center"/>
        </w:trPr>
        <w:tc>
          <w:tcPr>
            <w:tcW w:w="2520" w:type="dxa"/>
            <w:tcBorders>
              <w:top w:val="nil"/>
              <w:left w:val="nil"/>
              <w:bottom w:val="single" w:sz="4" w:space="0" w:color="auto"/>
              <w:right w:val="nil"/>
            </w:tcBorders>
            <w:shd w:val="clear" w:color="auto" w:fill="auto"/>
            <w:vAlign w:val="center"/>
          </w:tcPr>
          <w:p w14:paraId="5AF20ABA" w14:textId="0FF7AC90" w:rsidR="004C5A34" w:rsidRDefault="00B773E4" w:rsidP="008141F2">
            <w:pPr>
              <w:rPr>
                <w:sz w:val="20"/>
                <w:szCs w:val="20"/>
              </w:rPr>
            </w:pPr>
            <w:r>
              <w:rPr>
                <w:sz w:val="20"/>
                <w:szCs w:val="20"/>
              </w:rPr>
              <w:t>T</w:t>
            </w:r>
            <w:r w:rsidR="004C5A34">
              <w:rPr>
                <w:sz w:val="20"/>
                <w:szCs w:val="20"/>
              </w:rPr>
              <w:t>ests of significance</w:t>
            </w:r>
          </w:p>
        </w:tc>
        <w:tc>
          <w:tcPr>
            <w:tcW w:w="2790" w:type="dxa"/>
            <w:tcBorders>
              <w:top w:val="nil"/>
              <w:left w:val="nil"/>
              <w:bottom w:val="single" w:sz="4" w:space="0" w:color="auto"/>
              <w:right w:val="nil"/>
            </w:tcBorders>
            <w:shd w:val="clear" w:color="auto" w:fill="auto"/>
            <w:vAlign w:val="center"/>
          </w:tcPr>
          <w:p w14:paraId="1292689A" w14:textId="77777777" w:rsidR="004C5A34" w:rsidRDefault="004C5A34" w:rsidP="008141F2">
            <w:pPr>
              <w:jc w:val="center"/>
              <w:rPr>
                <w:sz w:val="20"/>
                <w:szCs w:val="20"/>
              </w:rPr>
            </w:pPr>
            <w:r>
              <w:rPr>
                <w:sz w:val="20"/>
                <w:szCs w:val="20"/>
              </w:rPr>
              <w:t>19, 23, 25, 26, 27, 40</w:t>
            </w:r>
          </w:p>
        </w:tc>
      </w:tr>
    </w:tbl>
    <w:p w14:paraId="08FAA413" w14:textId="77777777" w:rsidR="004C5A34" w:rsidRDefault="004C5A34" w:rsidP="004C5A34">
      <w:pPr>
        <w:ind w:firstLine="340"/>
      </w:pPr>
    </w:p>
    <w:p w14:paraId="67D1E1A5" w14:textId="77777777" w:rsidR="004C5A34" w:rsidRDefault="004C5A34">
      <w:pPr>
        <w:pBdr>
          <w:top w:val="nil"/>
          <w:left w:val="nil"/>
          <w:bottom w:val="nil"/>
          <w:right w:val="nil"/>
          <w:between w:val="nil"/>
        </w:pBdr>
        <w:spacing w:line="480" w:lineRule="auto"/>
        <w:ind w:firstLine="340"/>
        <w:rPr>
          <w:color w:val="000000"/>
        </w:rPr>
      </w:pPr>
    </w:p>
    <w:p w14:paraId="026E1E25" w14:textId="19A79D54" w:rsidR="00EA40B7" w:rsidRDefault="00327EE7">
      <w:pPr>
        <w:pBdr>
          <w:top w:val="nil"/>
          <w:left w:val="nil"/>
          <w:bottom w:val="nil"/>
          <w:right w:val="nil"/>
          <w:between w:val="nil"/>
        </w:pBdr>
        <w:spacing w:line="480" w:lineRule="auto"/>
        <w:ind w:firstLine="340"/>
        <w:rPr>
          <w:color w:val="000000"/>
        </w:rPr>
      </w:pPr>
      <w:proofErr w:type="spellStart"/>
      <w:r>
        <w:rPr>
          <w:color w:val="000000"/>
        </w:rPr>
        <w:t>D</w:t>
      </w:r>
      <w:r w:rsidR="006B39EF">
        <w:rPr>
          <w:color w:val="000000"/>
        </w:rPr>
        <w:t>elMas</w:t>
      </w:r>
      <w:proofErr w:type="spellEnd"/>
      <w:r w:rsidR="006B39EF">
        <w:rPr>
          <w:color w:val="000000"/>
        </w:rPr>
        <w:t xml:space="preserve"> (2014) found that IRT models poorly described student performance on item 32, and therefore excluded it from analyses. Furthermore, since CAOS contains many testlets, i.e.</w:t>
      </w:r>
      <w:r w:rsidR="00A311D3">
        <w:rPr>
          <w:color w:val="000000"/>
        </w:rPr>
        <w:t>,</w:t>
      </w:r>
      <w:r w:rsidR="006B39EF">
        <w:rPr>
          <w:color w:val="000000"/>
        </w:rPr>
        <w:t xml:space="preserve"> a group of items developed as a single unit to be administered together </w:t>
      </w:r>
      <w:r w:rsidR="006B39EF">
        <w:rPr>
          <w:color w:val="000000"/>
        </w:rPr>
        <w:lastRenderedPageBreak/>
        <w:t>(</w:t>
      </w:r>
      <w:proofErr w:type="spellStart"/>
      <w:r w:rsidR="006B39EF">
        <w:rPr>
          <w:color w:val="000000"/>
        </w:rPr>
        <w:t>Wainer</w:t>
      </w:r>
      <w:proofErr w:type="spellEnd"/>
      <w:r w:rsidR="006B39EF">
        <w:rPr>
          <w:color w:val="000000"/>
        </w:rPr>
        <w:t xml:space="preserve">, Bradlow, &amp; Wang, 2007), delMas compressed items belonging to a testlet in a manner consistent with a graded response model (GRM; </w:t>
      </w:r>
      <w:proofErr w:type="spellStart"/>
      <w:r w:rsidR="006B39EF">
        <w:rPr>
          <w:color w:val="000000"/>
        </w:rPr>
        <w:t>Samejima</w:t>
      </w:r>
      <w:proofErr w:type="spellEnd"/>
      <w:r w:rsidR="006B39EF">
        <w:rPr>
          <w:color w:val="000000"/>
        </w:rPr>
        <w:t>, 1969) to control for significant local dependence of items affecting model fit. This resulted in the reduction of 40 total items to 24 locally independent items, and prompted a revision of the partition of items by topic, since many of the original topic areas were left with only a single composite item. delMas thus collapsed the original 10 topic areas into six topic areas, as is detailed in Table 2, which were used to analyze the stability of student performance by topic across time.</w:t>
      </w:r>
    </w:p>
    <w:p w14:paraId="01E9C274" w14:textId="77777777" w:rsidR="00327EE7" w:rsidRDefault="00327EE7" w:rsidP="004C5A34">
      <w:pPr>
        <w:jc w:val="center"/>
        <w:rPr>
          <w:i/>
        </w:rPr>
      </w:pPr>
    </w:p>
    <w:p w14:paraId="55F7E35B" w14:textId="11BFB0AE" w:rsidR="004C5A34" w:rsidRDefault="004C5A34" w:rsidP="004C5A34">
      <w:pPr>
        <w:jc w:val="center"/>
        <w:rPr>
          <w:i/>
        </w:rPr>
      </w:pPr>
      <w:r>
        <w:rPr>
          <w:i/>
        </w:rPr>
        <w:t xml:space="preserve">Table 2. Items by topic as </w:t>
      </w:r>
      <w:r w:rsidR="008C1DE0">
        <w:rPr>
          <w:i/>
        </w:rPr>
        <w:t>analyze</w:t>
      </w:r>
      <w:r>
        <w:rPr>
          <w:i/>
        </w:rPr>
        <w:t>d by delMas (2014)</w:t>
      </w:r>
    </w:p>
    <w:p w14:paraId="21DA0C40" w14:textId="77777777" w:rsidR="004C5A34" w:rsidRDefault="004C5A34" w:rsidP="004C5A34">
      <w:pPr>
        <w:jc w:val="center"/>
      </w:pPr>
    </w:p>
    <w:tbl>
      <w:tblPr>
        <w:tblStyle w:val="a0"/>
        <w:tblW w:w="6840" w:type="dxa"/>
        <w:jc w:val="center"/>
        <w:tblLayout w:type="fixed"/>
        <w:tblLook w:val="0400" w:firstRow="0" w:lastRow="0" w:firstColumn="0" w:lastColumn="0" w:noHBand="0" w:noVBand="1"/>
      </w:tblPr>
      <w:tblGrid>
        <w:gridCol w:w="2520"/>
        <w:gridCol w:w="4320"/>
      </w:tblGrid>
      <w:tr w:rsidR="004C5A34" w14:paraId="446E80FE" w14:textId="77777777" w:rsidTr="008141F2">
        <w:trPr>
          <w:trHeight w:val="300"/>
          <w:jc w:val="center"/>
        </w:trPr>
        <w:tc>
          <w:tcPr>
            <w:tcW w:w="2520" w:type="dxa"/>
            <w:tcBorders>
              <w:top w:val="nil"/>
              <w:left w:val="nil"/>
              <w:bottom w:val="single" w:sz="8" w:space="0" w:color="000000"/>
              <w:right w:val="nil"/>
            </w:tcBorders>
            <w:shd w:val="clear" w:color="auto" w:fill="auto"/>
            <w:vAlign w:val="center"/>
          </w:tcPr>
          <w:p w14:paraId="4514C632" w14:textId="77777777" w:rsidR="004C5A34" w:rsidRDefault="004C5A34" w:rsidP="008141F2">
            <w:pPr>
              <w:rPr>
                <w:sz w:val="20"/>
                <w:szCs w:val="20"/>
              </w:rPr>
            </w:pPr>
            <w:r>
              <w:rPr>
                <w:sz w:val="20"/>
                <w:szCs w:val="20"/>
              </w:rPr>
              <w:t> </w:t>
            </w:r>
          </w:p>
        </w:tc>
        <w:tc>
          <w:tcPr>
            <w:tcW w:w="4320" w:type="dxa"/>
            <w:tcBorders>
              <w:top w:val="single" w:sz="8" w:space="0" w:color="000000"/>
              <w:left w:val="nil"/>
              <w:bottom w:val="single" w:sz="8" w:space="0" w:color="000000"/>
              <w:right w:val="nil"/>
            </w:tcBorders>
            <w:shd w:val="clear" w:color="auto" w:fill="auto"/>
            <w:vAlign w:val="center"/>
          </w:tcPr>
          <w:p w14:paraId="490448ED" w14:textId="77777777" w:rsidR="004C5A34" w:rsidRDefault="004C5A34" w:rsidP="008141F2">
            <w:pPr>
              <w:jc w:val="center"/>
              <w:rPr>
                <w:sz w:val="20"/>
                <w:szCs w:val="20"/>
              </w:rPr>
            </w:pPr>
            <w:r>
              <w:rPr>
                <w:sz w:val="20"/>
                <w:szCs w:val="20"/>
              </w:rPr>
              <w:t>Item Numbers</w:t>
            </w:r>
          </w:p>
        </w:tc>
      </w:tr>
      <w:tr w:rsidR="004C5A34" w14:paraId="501CABE8" w14:textId="77777777" w:rsidTr="008141F2">
        <w:trPr>
          <w:trHeight w:val="300"/>
          <w:jc w:val="center"/>
        </w:trPr>
        <w:tc>
          <w:tcPr>
            <w:tcW w:w="2520" w:type="dxa"/>
            <w:tcBorders>
              <w:top w:val="nil"/>
              <w:left w:val="nil"/>
              <w:bottom w:val="nil"/>
              <w:right w:val="nil"/>
            </w:tcBorders>
            <w:shd w:val="clear" w:color="auto" w:fill="auto"/>
            <w:vAlign w:val="center"/>
          </w:tcPr>
          <w:p w14:paraId="5E576265" w14:textId="68F7FEB0" w:rsidR="004C5A34" w:rsidRDefault="008C1DE0" w:rsidP="008141F2">
            <w:pPr>
              <w:rPr>
                <w:sz w:val="20"/>
                <w:szCs w:val="20"/>
              </w:rPr>
            </w:pPr>
            <w:r>
              <w:rPr>
                <w:sz w:val="20"/>
                <w:szCs w:val="20"/>
              </w:rPr>
              <w:t>D</w:t>
            </w:r>
            <w:r w:rsidR="004C5A34">
              <w:rPr>
                <w:sz w:val="20"/>
                <w:szCs w:val="20"/>
              </w:rPr>
              <w:t>ata collection and design</w:t>
            </w:r>
          </w:p>
        </w:tc>
        <w:tc>
          <w:tcPr>
            <w:tcW w:w="4320" w:type="dxa"/>
            <w:tcBorders>
              <w:top w:val="nil"/>
              <w:left w:val="nil"/>
              <w:bottom w:val="nil"/>
              <w:right w:val="nil"/>
            </w:tcBorders>
            <w:shd w:val="clear" w:color="auto" w:fill="auto"/>
            <w:vAlign w:val="center"/>
          </w:tcPr>
          <w:p w14:paraId="59669987" w14:textId="77777777" w:rsidR="004C5A34" w:rsidRDefault="004C5A34" w:rsidP="008141F2">
            <w:pPr>
              <w:jc w:val="center"/>
              <w:rPr>
                <w:sz w:val="20"/>
                <w:szCs w:val="20"/>
              </w:rPr>
            </w:pPr>
            <w:r>
              <w:rPr>
                <w:sz w:val="20"/>
                <w:szCs w:val="20"/>
              </w:rPr>
              <w:t>7, 22, {23, 24}, 37, 38</w:t>
            </w:r>
          </w:p>
        </w:tc>
      </w:tr>
      <w:tr w:rsidR="004C5A34" w14:paraId="41C7927D" w14:textId="77777777" w:rsidTr="008141F2">
        <w:trPr>
          <w:trHeight w:val="300"/>
          <w:jc w:val="center"/>
        </w:trPr>
        <w:tc>
          <w:tcPr>
            <w:tcW w:w="2520" w:type="dxa"/>
            <w:tcBorders>
              <w:top w:val="nil"/>
              <w:left w:val="nil"/>
              <w:bottom w:val="nil"/>
              <w:right w:val="nil"/>
            </w:tcBorders>
            <w:shd w:val="clear" w:color="auto" w:fill="auto"/>
            <w:vAlign w:val="center"/>
          </w:tcPr>
          <w:p w14:paraId="76FBB147" w14:textId="52C5B14B" w:rsidR="004C5A34" w:rsidRDefault="008C1DE0" w:rsidP="008141F2">
            <w:pPr>
              <w:rPr>
                <w:sz w:val="20"/>
                <w:szCs w:val="20"/>
              </w:rPr>
            </w:pPr>
            <w:r>
              <w:rPr>
                <w:sz w:val="20"/>
                <w:szCs w:val="20"/>
              </w:rPr>
              <w:t>V</w:t>
            </w:r>
            <w:r w:rsidR="004C5A34">
              <w:rPr>
                <w:sz w:val="20"/>
                <w:szCs w:val="20"/>
              </w:rPr>
              <w:t>ariability</w:t>
            </w:r>
          </w:p>
        </w:tc>
        <w:tc>
          <w:tcPr>
            <w:tcW w:w="4320" w:type="dxa"/>
            <w:tcBorders>
              <w:top w:val="nil"/>
              <w:left w:val="nil"/>
              <w:bottom w:val="nil"/>
              <w:right w:val="nil"/>
            </w:tcBorders>
            <w:shd w:val="clear" w:color="auto" w:fill="auto"/>
            <w:vAlign w:val="center"/>
          </w:tcPr>
          <w:p w14:paraId="30CCF45E" w14:textId="77777777" w:rsidR="004C5A34" w:rsidRDefault="004C5A34" w:rsidP="008141F2">
            <w:pPr>
              <w:jc w:val="center"/>
              <w:rPr>
                <w:sz w:val="20"/>
                <w:szCs w:val="20"/>
              </w:rPr>
            </w:pPr>
            <w:r>
              <w:rPr>
                <w:sz w:val="20"/>
                <w:szCs w:val="20"/>
              </w:rPr>
              <w:t>{14, 15}, 18</w:t>
            </w:r>
          </w:p>
        </w:tc>
      </w:tr>
      <w:tr w:rsidR="004C5A34" w14:paraId="1E41837D" w14:textId="77777777" w:rsidTr="008141F2">
        <w:trPr>
          <w:trHeight w:val="300"/>
          <w:jc w:val="center"/>
        </w:trPr>
        <w:tc>
          <w:tcPr>
            <w:tcW w:w="2520" w:type="dxa"/>
            <w:tcBorders>
              <w:top w:val="nil"/>
              <w:left w:val="nil"/>
              <w:bottom w:val="nil"/>
              <w:right w:val="nil"/>
            </w:tcBorders>
            <w:shd w:val="clear" w:color="auto" w:fill="auto"/>
            <w:vAlign w:val="center"/>
          </w:tcPr>
          <w:p w14:paraId="204BA52C" w14:textId="087836A3" w:rsidR="004C5A34" w:rsidRDefault="008C1DE0" w:rsidP="008141F2">
            <w:pPr>
              <w:rPr>
                <w:sz w:val="20"/>
                <w:szCs w:val="20"/>
              </w:rPr>
            </w:pPr>
            <w:r>
              <w:rPr>
                <w:sz w:val="20"/>
                <w:szCs w:val="20"/>
              </w:rPr>
              <w:t>G</w:t>
            </w:r>
            <w:r w:rsidR="004C5A34">
              <w:rPr>
                <w:sz w:val="20"/>
                <w:szCs w:val="20"/>
              </w:rPr>
              <w:t>raphical representations</w:t>
            </w:r>
          </w:p>
        </w:tc>
        <w:tc>
          <w:tcPr>
            <w:tcW w:w="4320" w:type="dxa"/>
            <w:tcBorders>
              <w:top w:val="nil"/>
              <w:left w:val="nil"/>
              <w:bottom w:val="nil"/>
              <w:right w:val="nil"/>
            </w:tcBorders>
            <w:shd w:val="clear" w:color="auto" w:fill="auto"/>
            <w:vAlign w:val="center"/>
          </w:tcPr>
          <w:p w14:paraId="110C41B5" w14:textId="77777777" w:rsidR="004C5A34" w:rsidRDefault="004C5A34" w:rsidP="008141F2">
            <w:pPr>
              <w:jc w:val="center"/>
              <w:rPr>
                <w:sz w:val="20"/>
                <w:szCs w:val="20"/>
              </w:rPr>
            </w:pPr>
            <w:r>
              <w:rPr>
                <w:sz w:val="20"/>
                <w:szCs w:val="20"/>
              </w:rPr>
              <w:t>{1, 2}, {3, 4, 5}, 6, {8, 9, 10}, 33</w:t>
            </w:r>
          </w:p>
        </w:tc>
      </w:tr>
      <w:tr w:rsidR="004C5A34" w14:paraId="216008DE" w14:textId="77777777" w:rsidTr="008141F2">
        <w:trPr>
          <w:trHeight w:val="300"/>
          <w:jc w:val="center"/>
        </w:trPr>
        <w:tc>
          <w:tcPr>
            <w:tcW w:w="2520" w:type="dxa"/>
            <w:tcBorders>
              <w:top w:val="nil"/>
              <w:left w:val="nil"/>
              <w:bottom w:val="nil"/>
              <w:right w:val="nil"/>
            </w:tcBorders>
            <w:shd w:val="clear" w:color="auto" w:fill="auto"/>
            <w:vAlign w:val="center"/>
          </w:tcPr>
          <w:p w14:paraId="525E17DE" w14:textId="2DBADA69" w:rsidR="004C5A34" w:rsidRDefault="008C1DE0" w:rsidP="008141F2">
            <w:pPr>
              <w:rPr>
                <w:sz w:val="20"/>
                <w:szCs w:val="20"/>
              </w:rPr>
            </w:pPr>
            <w:r>
              <w:rPr>
                <w:sz w:val="20"/>
                <w:szCs w:val="20"/>
              </w:rPr>
              <w:t>B</w:t>
            </w:r>
            <w:r w:rsidR="004C5A34">
              <w:rPr>
                <w:sz w:val="20"/>
                <w:szCs w:val="20"/>
              </w:rPr>
              <w:t>ivariate data</w:t>
            </w:r>
          </w:p>
        </w:tc>
        <w:tc>
          <w:tcPr>
            <w:tcW w:w="4320" w:type="dxa"/>
            <w:tcBorders>
              <w:top w:val="nil"/>
              <w:left w:val="nil"/>
              <w:bottom w:val="nil"/>
              <w:right w:val="nil"/>
            </w:tcBorders>
            <w:shd w:val="clear" w:color="auto" w:fill="auto"/>
            <w:vAlign w:val="center"/>
          </w:tcPr>
          <w:p w14:paraId="7EC68818" w14:textId="77777777" w:rsidR="004C5A34" w:rsidRDefault="004C5A34" w:rsidP="008141F2">
            <w:pPr>
              <w:jc w:val="center"/>
              <w:rPr>
                <w:sz w:val="20"/>
                <w:szCs w:val="20"/>
              </w:rPr>
            </w:pPr>
            <w:r>
              <w:rPr>
                <w:sz w:val="20"/>
                <w:szCs w:val="20"/>
              </w:rPr>
              <w:t>20, 21, 36, 39</w:t>
            </w:r>
          </w:p>
        </w:tc>
      </w:tr>
      <w:tr w:rsidR="004C5A34" w14:paraId="1C293F99" w14:textId="77777777" w:rsidTr="008141F2">
        <w:trPr>
          <w:trHeight w:val="300"/>
          <w:jc w:val="center"/>
        </w:trPr>
        <w:tc>
          <w:tcPr>
            <w:tcW w:w="2520" w:type="dxa"/>
            <w:tcBorders>
              <w:top w:val="nil"/>
              <w:left w:val="nil"/>
              <w:right w:val="nil"/>
            </w:tcBorders>
            <w:shd w:val="clear" w:color="auto" w:fill="auto"/>
            <w:vAlign w:val="center"/>
          </w:tcPr>
          <w:p w14:paraId="7C40E1C5" w14:textId="302C64D2" w:rsidR="004C5A34" w:rsidRDefault="008C1DE0" w:rsidP="008141F2">
            <w:pPr>
              <w:rPr>
                <w:sz w:val="20"/>
                <w:szCs w:val="20"/>
              </w:rPr>
            </w:pPr>
            <w:r>
              <w:rPr>
                <w:sz w:val="20"/>
                <w:szCs w:val="20"/>
              </w:rPr>
              <w:t>S</w:t>
            </w:r>
            <w:r w:rsidR="004C5A34">
              <w:rPr>
                <w:sz w:val="20"/>
                <w:szCs w:val="20"/>
              </w:rPr>
              <w:t>ampling variability</w:t>
            </w:r>
          </w:p>
        </w:tc>
        <w:tc>
          <w:tcPr>
            <w:tcW w:w="4320" w:type="dxa"/>
            <w:tcBorders>
              <w:top w:val="nil"/>
              <w:left w:val="nil"/>
              <w:right w:val="nil"/>
            </w:tcBorders>
            <w:shd w:val="clear" w:color="auto" w:fill="auto"/>
            <w:vAlign w:val="center"/>
          </w:tcPr>
          <w:p w14:paraId="60223A73" w14:textId="77777777" w:rsidR="004C5A34" w:rsidRDefault="004C5A34" w:rsidP="008141F2">
            <w:pPr>
              <w:jc w:val="center"/>
              <w:rPr>
                <w:sz w:val="20"/>
                <w:szCs w:val="20"/>
              </w:rPr>
            </w:pPr>
            <w:r>
              <w:rPr>
                <w:sz w:val="20"/>
                <w:szCs w:val="20"/>
              </w:rPr>
              <w:t>16, 17, {34, 35}</w:t>
            </w:r>
          </w:p>
        </w:tc>
      </w:tr>
      <w:tr w:rsidR="004C5A34" w14:paraId="388CB2A6" w14:textId="77777777" w:rsidTr="008141F2">
        <w:trPr>
          <w:trHeight w:val="300"/>
          <w:jc w:val="center"/>
        </w:trPr>
        <w:tc>
          <w:tcPr>
            <w:tcW w:w="2520" w:type="dxa"/>
            <w:tcBorders>
              <w:top w:val="nil"/>
              <w:left w:val="nil"/>
              <w:bottom w:val="single" w:sz="4" w:space="0" w:color="000000"/>
              <w:right w:val="nil"/>
            </w:tcBorders>
            <w:shd w:val="clear" w:color="auto" w:fill="auto"/>
            <w:vAlign w:val="center"/>
          </w:tcPr>
          <w:p w14:paraId="757980AF" w14:textId="3F853A03" w:rsidR="004C5A34" w:rsidRDefault="008C1DE0" w:rsidP="008141F2">
            <w:pPr>
              <w:rPr>
                <w:sz w:val="20"/>
                <w:szCs w:val="20"/>
              </w:rPr>
            </w:pPr>
            <w:r>
              <w:rPr>
                <w:sz w:val="20"/>
                <w:szCs w:val="20"/>
              </w:rPr>
              <w:t>T</w:t>
            </w:r>
            <w:r w:rsidR="004C5A34">
              <w:rPr>
                <w:sz w:val="20"/>
                <w:szCs w:val="20"/>
              </w:rPr>
              <w:t>ests of significance</w:t>
            </w:r>
          </w:p>
        </w:tc>
        <w:tc>
          <w:tcPr>
            <w:tcW w:w="4320" w:type="dxa"/>
            <w:tcBorders>
              <w:top w:val="nil"/>
              <w:left w:val="nil"/>
              <w:bottom w:val="single" w:sz="4" w:space="0" w:color="000000"/>
              <w:right w:val="nil"/>
            </w:tcBorders>
            <w:shd w:val="clear" w:color="auto" w:fill="auto"/>
            <w:vAlign w:val="center"/>
          </w:tcPr>
          <w:p w14:paraId="514AAAF1" w14:textId="77777777" w:rsidR="004C5A34" w:rsidRDefault="004C5A34" w:rsidP="008141F2">
            <w:pPr>
              <w:jc w:val="center"/>
              <w:rPr>
                <w:sz w:val="20"/>
                <w:szCs w:val="20"/>
              </w:rPr>
            </w:pPr>
            <w:r>
              <w:rPr>
                <w:sz w:val="20"/>
                <w:szCs w:val="20"/>
              </w:rPr>
              <w:t>{11, 12, 13}, 19, {25, 26, 27}, {28, 29, 30, 31}, 40</w:t>
            </w:r>
          </w:p>
        </w:tc>
      </w:tr>
      <w:tr w:rsidR="004C5A34" w14:paraId="220BB63B" w14:textId="77777777" w:rsidTr="008141F2">
        <w:trPr>
          <w:trHeight w:val="300"/>
          <w:jc w:val="center"/>
        </w:trPr>
        <w:tc>
          <w:tcPr>
            <w:tcW w:w="6840" w:type="dxa"/>
            <w:gridSpan w:val="2"/>
            <w:tcBorders>
              <w:top w:val="single" w:sz="4" w:space="0" w:color="000000"/>
              <w:left w:val="nil"/>
              <w:bottom w:val="nil"/>
              <w:right w:val="nil"/>
            </w:tcBorders>
            <w:shd w:val="clear" w:color="auto" w:fill="auto"/>
            <w:vAlign w:val="center"/>
          </w:tcPr>
          <w:p w14:paraId="08AE4EA5" w14:textId="77777777" w:rsidR="004C5A34" w:rsidRDefault="004C5A34" w:rsidP="008141F2">
            <w:pPr>
              <w:jc w:val="left"/>
              <w:rPr>
                <w:sz w:val="20"/>
                <w:szCs w:val="20"/>
              </w:rPr>
            </w:pPr>
            <w:r>
              <w:rPr>
                <w:sz w:val="20"/>
                <w:szCs w:val="20"/>
              </w:rPr>
              <w:t>*items belonging to a single testlet are grouped by brackets</w:t>
            </w:r>
          </w:p>
        </w:tc>
      </w:tr>
    </w:tbl>
    <w:p w14:paraId="1045847A" w14:textId="77777777" w:rsidR="004C5A34" w:rsidRDefault="004C5A34">
      <w:pPr>
        <w:pBdr>
          <w:top w:val="nil"/>
          <w:left w:val="nil"/>
          <w:bottom w:val="nil"/>
          <w:right w:val="nil"/>
          <w:between w:val="nil"/>
        </w:pBdr>
        <w:spacing w:line="480" w:lineRule="auto"/>
        <w:ind w:firstLine="340"/>
        <w:rPr>
          <w:color w:val="000000"/>
        </w:rPr>
      </w:pPr>
    </w:p>
    <w:p w14:paraId="5587122F" w14:textId="77777777" w:rsidR="00EA40B7" w:rsidRDefault="00EA40B7">
      <w:pPr>
        <w:pBdr>
          <w:top w:val="nil"/>
          <w:left w:val="nil"/>
          <w:bottom w:val="nil"/>
          <w:right w:val="nil"/>
          <w:between w:val="nil"/>
        </w:pBdr>
        <w:ind w:left="340" w:hanging="340"/>
        <w:rPr>
          <w:b/>
          <w:smallCaps/>
          <w:color w:val="000000"/>
        </w:rPr>
      </w:pPr>
    </w:p>
    <w:p w14:paraId="39D17D61" w14:textId="77777777" w:rsidR="00EA40B7" w:rsidRDefault="006B39EF">
      <w:pPr>
        <w:numPr>
          <w:ilvl w:val="1"/>
          <w:numId w:val="1"/>
        </w:numPr>
        <w:pBdr>
          <w:top w:val="nil"/>
          <w:left w:val="nil"/>
          <w:bottom w:val="nil"/>
          <w:right w:val="nil"/>
          <w:between w:val="nil"/>
        </w:pBdr>
      </w:pPr>
      <w:r>
        <w:rPr>
          <w:b/>
          <w:smallCaps/>
          <w:color w:val="000000"/>
        </w:rPr>
        <w:t xml:space="preserve"> subscore validity</w:t>
      </w:r>
    </w:p>
    <w:p w14:paraId="34C3B6B9" w14:textId="77777777" w:rsidR="00EA40B7" w:rsidRDefault="00EA40B7">
      <w:pPr>
        <w:pBdr>
          <w:top w:val="nil"/>
          <w:left w:val="nil"/>
          <w:bottom w:val="nil"/>
          <w:right w:val="nil"/>
          <w:between w:val="nil"/>
        </w:pBdr>
        <w:ind w:firstLine="340"/>
        <w:rPr>
          <w:color w:val="000000"/>
        </w:rPr>
      </w:pPr>
    </w:p>
    <w:p w14:paraId="5345B1CB" w14:textId="77777777" w:rsidR="00EA40B7" w:rsidRDefault="006B39EF">
      <w:pPr>
        <w:pBdr>
          <w:top w:val="nil"/>
          <w:left w:val="nil"/>
          <w:bottom w:val="nil"/>
          <w:right w:val="nil"/>
          <w:between w:val="nil"/>
        </w:pBdr>
        <w:spacing w:line="480" w:lineRule="auto"/>
        <w:ind w:firstLine="340"/>
        <w:rPr>
          <w:color w:val="000000"/>
          <w:highlight w:val="white"/>
        </w:rPr>
      </w:pPr>
      <w:r>
        <w:rPr>
          <w:color w:val="000000"/>
          <w:highlight w:val="white"/>
        </w:rPr>
        <w:t xml:space="preserve">Standard 1.14 of the Standards for Educational and Psychological Testing </w:t>
      </w:r>
      <w:r>
        <w:rPr>
          <w:color w:val="000000"/>
        </w:rPr>
        <w:t>(American Educational Research Association, American Psychological Association, &amp; National Council on Measurement in Education, 2014)</w:t>
      </w:r>
      <w:r>
        <w:rPr>
          <w:color w:val="000000"/>
          <w:highlight w:val="white"/>
        </w:rPr>
        <w:t xml:space="preserve"> states that “When a test provides more than one score, the distinctiveness and reliability of the separate scores should be demonstrated” (p. 27).</w:t>
      </w:r>
    </w:p>
    <w:p w14:paraId="33C2A9BD" w14:textId="77777777" w:rsidR="00EA40B7" w:rsidRDefault="006B39EF">
      <w:pPr>
        <w:pBdr>
          <w:top w:val="nil"/>
          <w:left w:val="nil"/>
          <w:bottom w:val="nil"/>
          <w:right w:val="nil"/>
          <w:between w:val="nil"/>
        </w:pBdr>
        <w:spacing w:line="480" w:lineRule="auto"/>
        <w:ind w:firstLine="340"/>
        <w:rPr>
          <w:color w:val="000000"/>
          <w:highlight w:val="white"/>
        </w:rPr>
      </w:pPr>
      <w:r>
        <w:rPr>
          <w:color w:val="000000"/>
          <w:highlight w:val="white"/>
        </w:rPr>
        <w:t xml:space="preserve">While these standards typically apply to large scale high-stakes testing and evaluation, the use of CAOS subscores in research may influence curricular design while its inclusion on instructor reports may influence classroom instruction. Therefore, although a less </w:t>
      </w:r>
      <w:r>
        <w:rPr>
          <w:color w:val="000000"/>
          <w:highlight w:val="white"/>
        </w:rPr>
        <w:lastRenderedPageBreak/>
        <w:t>rigorous standard may be acceptable in this scenario, the necessity of establishing subscore validity is not wholly obviated.</w:t>
      </w:r>
    </w:p>
    <w:p w14:paraId="4DF68E34" w14:textId="77777777" w:rsidR="00EA40B7" w:rsidRDefault="00EA40B7">
      <w:pPr>
        <w:pBdr>
          <w:top w:val="nil"/>
          <w:left w:val="nil"/>
          <w:bottom w:val="nil"/>
          <w:right w:val="nil"/>
          <w:between w:val="nil"/>
        </w:pBdr>
        <w:ind w:firstLine="340"/>
        <w:rPr>
          <w:color w:val="000000"/>
        </w:rPr>
      </w:pPr>
    </w:p>
    <w:p w14:paraId="06BA32DE" w14:textId="750F4BE5" w:rsidR="00EA40B7" w:rsidRDefault="006B39EF">
      <w:pPr>
        <w:pBdr>
          <w:top w:val="nil"/>
          <w:left w:val="nil"/>
          <w:bottom w:val="nil"/>
          <w:right w:val="nil"/>
          <w:between w:val="nil"/>
        </w:pBdr>
        <w:spacing w:line="480" w:lineRule="auto"/>
        <w:ind w:firstLine="340"/>
        <w:rPr>
          <w:color w:val="000000"/>
          <w:highlight w:val="white"/>
        </w:rPr>
      </w:pPr>
      <w:r>
        <w:rPr>
          <w:b/>
          <w:i/>
          <w:color w:val="000000"/>
        </w:rPr>
        <w:t xml:space="preserve">Reliability </w:t>
      </w:r>
      <w:r>
        <w:rPr>
          <w:color w:val="000000"/>
          <w:highlight w:val="white"/>
        </w:rPr>
        <w:t xml:space="preserve">Haberman (2008) proposed a criterion for determining when subscores can be useful, based on the reduction of root mean squared error, to assess whether the subscore provides more meaningful and reliable information on the construct it purports to measure when compared to the total scores. The method can be reframed in terms of the relative estimates of subscore reliability and total score reliability. However, </w:t>
      </w:r>
      <w:proofErr w:type="spellStart"/>
      <w:r>
        <w:rPr>
          <w:color w:val="000000"/>
          <w:highlight w:val="white"/>
        </w:rPr>
        <w:t>Sinharay</w:t>
      </w:r>
      <w:proofErr w:type="spellEnd"/>
      <w:r>
        <w:rPr>
          <w:color w:val="000000"/>
          <w:highlight w:val="white"/>
        </w:rPr>
        <w:t xml:space="preserve">, Haberman, and </w:t>
      </w:r>
      <w:proofErr w:type="spellStart"/>
      <w:r>
        <w:rPr>
          <w:color w:val="000000"/>
          <w:highlight w:val="white"/>
        </w:rPr>
        <w:t>Puhan</w:t>
      </w:r>
      <w:proofErr w:type="spellEnd"/>
      <w:r>
        <w:rPr>
          <w:color w:val="000000"/>
          <w:highlight w:val="white"/>
        </w:rPr>
        <w:t xml:space="preserve"> (2007) note that rarely does this criteri</w:t>
      </w:r>
      <w:r w:rsidR="007C271B">
        <w:rPr>
          <w:color w:val="000000"/>
          <w:highlight w:val="white"/>
        </w:rPr>
        <w:t>on</w:t>
      </w:r>
      <w:r>
        <w:rPr>
          <w:color w:val="000000"/>
          <w:highlight w:val="white"/>
        </w:rPr>
        <w:t xml:space="preserve"> result in a determination that subscores provide meaningful information worthy of reporting. </w:t>
      </w:r>
    </w:p>
    <w:p w14:paraId="303E1730" w14:textId="77777777" w:rsidR="00EA40B7" w:rsidRDefault="006B39EF">
      <w:pPr>
        <w:pBdr>
          <w:top w:val="nil"/>
          <w:left w:val="nil"/>
          <w:bottom w:val="nil"/>
          <w:right w:val="nil"/>
          <w:between w:val="nil"/>
        </w:pBdr>
        <w:spacing w:line="480" w:lineRule="auto"/>
        <w:ind w:firstLine="340"/>
        <w:rPr>
          <w:color w:val="000000"/>
        </w:rPr>
      </w:pPr>
      <w:r>
        <w:rPr>
          <w:color w:val="000000"/>
          <w:highlight w:val="white"/>
        </w:rPr>
        <w:t xml:space="preserve">Simulation studies conducted by </w:t>
      </w:r>
      <w:proofErr w:type="spellStart"/>
      <w:r>
        <w:rPr>
          <w:color w:val="000000"/>
          <w:highlight w:val="white"/>
        </w:rPr>
        <w:t>Sinharay</w:t>
      </w:r>
      <w:proofErr w:type="spellEnd"/>
      <w:r>
        <w:rPr>
          <w:color w:val="000000"/>
          <w:highlight w:val="white"/>
        </w:rPr>
        <w:t xml:space="preserve"> (2010) found that as the number of items per subscore decreases the number of subscores that add meaningful information by Haberman’s criteria decreases, since the reliability of scores decreases as the number of items decrease. The smallest number of items per </w:t>
      </w:r>
      <w:proofErr w:type="spellStart"/>
      <w:r>
        <w:rPr>
          <w:color w:val="000000"/>
          <w:highlight w:val="white"/>
        </w:rPr>
        <w:t>subscore</w:t>
      </w:r>
      <w:proofErr w:type="spellEnd"/>
      <w:r>
        <w:rPr>
          <w:color w:val="000000"/>
          <w:highlight w:val="white"/>
        </w:rPr>
        <w:t xml:space="preserve"> </w:t>
      </w:r>
      <w:proofErr w:type="spellStart"/>
      <w:r>
        <w:rPr>
          <w:color w:val="000000"/>
          <w:highlight w:val="white"/>
        </w:rPr>
        <w:t>Sinharay</w:t>
      </w:r>
      <w:proofErr w:type="spellEnd"/>
      <w:r>
        <w:rPr>
          <w:color w:val="000000"/>
          <w:highlight w:val="white"/>
        </w:rPr>
        <w:t xml:space="preserve"> simulated was 10, much larger than the number of items belonging to many of the topics on CAOS as utilized by </w:t>
      </w:r>
      <w:proofErr w:type="spellStart"/>
      <w:r>
        <w:rPr>
          <w:color w:val="000000"/>
          <w:highlight w:val="white"/>
        </w:rPr>
        <w:t>delMas</w:t>
      </w:r>
      <w:proofErr w:type="spellEnd"/>
      <w:r>
        <w:rPr>
          <w:color w:val="000000"/>
          <w:highlight w:val="white"/>
        </w:rPr>
        <w:t xml:space="preserve"> (2014) or </w:t>
      </w:r>
      <w:proofErr w:type="spellStart"/>
      <w:r>
        <w:rPr>
          <w:color w:val="000000"/>
          <w:highlight w:val="white"/>
        </w:rPr>
        <w:t>Tintle</w:t>
      </w:r>
      <w:proofErr w:type="spellEnd"/>
      <w:r>
        <w:rPr>
          <w:color w:val="000000"/>
          <w:highlight w:val="white"/>
        </w:rPr>
        <w:t xml:space="preserve"> et al. (2011). As such, it is unlikely that nine or even six subscores of CAOS will provide meaningful information under Haberman’s criteria. </w:t>
      </w:r>
    </w:p>
    <w:p w14:paraId="590C4A2D" w14:textId="66DF82FB" w:rsidR="00EA40B7" w:rsidRDefault="006B39EF">
      <w:pPr>
        <w:pBdr>
          <w:top w:val="nil"/>
          <w:left w:val="nil"/>
          <w:bottom w:val="nil"/>
          <w:right w:val="nil"/>
          <w:between w:val="nil"/>
        </w:pBdr>
        <w:spacing w:line="480" w:lineRule="auto"/>
        <w:ind w:firstLine="340"/>
        <w:rPr>
          <w:color w:val="000000"/>
        </w:rPr>
      </w:pPr>
      <w:r>
        <w:rPr>
          <w:color w:val="000000"/>
        </w:rPr>
        <w:t xml:space="preserve">Feinberg </w:t>
      </w:r>
      <w:r w:rsidR="007C271B">
        <w:rPr>
          <w:color w:val="000000"/>
        </w:rPr>
        <w:t xml:space="preserve">and </w:t>
      </w:r>
      <w:r>
        <w:rPr>
          <w:color w:val="000000"/>
        </w:rPr>
        <w:t xml:space="preserve">Jurich (2017) extended Haberman’s criteria to include consideration of statistical significance, and use this framework to make recommendations when generation of subscores would be harmful and misleading. Yet, they note that even this slightly relaxed criterion is still unlikely to be regularly met in practice, especially when a test has been constructed to achieve unidimensionality. </w:t>
      </w:r>
    </w:p>
    <w:p w14:paraId="478693F6" w14:textId="77777777" w:rsidR="00EA40B7" w:rsidRDefault="006B39EF">
      <w:pPr>
        <w:pBdr>
          <w:top w:val="nil"/>
          <w:left w:val="nil"/>
          <w:bottom w:val="nil"/>
          <w:right w:val="nil"/>
          <w:between w:val="nil"/>
        </w:pBdr>
        <w:spacing w:line="480" w:lineRule="auto"/>
        <w:ind w:firstLine="340"/>
        <w:rPr>
          <w:color w:val="000000"/>
        </w:rPr>
      </w:pPr>
      <w:r>
        <w:rPr>
          <w:color w:val="000000"/>
          <w:highlight w:val="white"/>
        </w:rPr>
        <w:t xml:space="preserve">Similarly, </w:t>
      </w:r>
      <w:r>
        <w:rPr>
          <w:color w:val="000000"/>
        </w:rPr>
        <w:t xml:space="preserve">Meijer et al. (2017) note that unless a test is intentionally designed to provide meaningful subscores, it is rare that subscores will be rated as useful under Haberman’s criteria. While CAOS was designed with a single statistical reasoning construct in mind, reasoning about variability, it was believed that this main construct has several distinct </w:t>
      </w:r>
      <w:r>
        <w:rPr>
          <w:color w:val="000000"/>
        </w:rPr>
        <w:lastRenderedPageBreak/>
        <w:t xml:space="preserve">components in addition to various content emphases (delMas et al., 2007). However, the inclusion of specific subcontent areas alone may not be a sufficient basis for the reporting of </w:t>
      </w:r>
      <w:proofErr w:type="spellStart"/>
      <w:r>
        <w:rPr>
          <w:color w:val="000000"/>
        </w:rPr>
        <w:t>subscores</w:t>
      </w:r>
      <w:proofErr w:type="spellEnd"/>
      <w:r>
        <w:rPr>
          <w:color w:val="000000"/>
        </w:rPr>
        <w:t xml:space="preserve"> (</w:t>
      </w:r>
      <w:proofErr w:type="spellStart"/>
      <w:r>
        <w:rPr>
          <w:color w:val="000000"/>
        </w:rPr>
        <w:t>Biancarosa</w:t>
      </w:r>
      <w:proofErr w:type="spellEnd"/>
      <w:r>
        <w:rPr>
          <w:color w:val="000000"/>
        </w:rPr>
        <w:t xml:space="preserve"> et al., 2019).  </w:t>
      </w:r>
    </w:p>
    <w:p w14:paraId="10E728A0"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Therefore, it may be that these methods of establishing validity evidence based on analyses of the reliability of subscores are inapplicably strict with regards to CAOS and its typical use. As such, I instead focus the identification of validity evidence for subscore use on their distinctiveness. </w:t>
      </w:r>
    </w:p>
    <w:p w14:paraId="0F0E36F4" w14:textId="61FC8B4B" w:rsidR="00EA40B7" w:rsidRDefault="006B39EF">
      <w:pPr>
        <w:pBdr>
          <w:top w:val="nil"/>
          <w:left w:val="nil"/>
          <w:bottom w:val="nil"/>
          <w:right w:val="nil"/>
          <w:between w:val="nil"/>
        </w:pBdr>
        <w:spacing w:line="480" w:lineRule="auto"/>
        <w:ind w:firstLine="340"/>
        <w:rPr>
          <w:color w:val="000000"/>
        </w:rPr>
      </w:pPr>
      <w:r>
        <w:rPr>
          <w:b/>
          <w:i/>
          <w:color w:val="000000"/>
        </w:rPr>
        <w:t xml:space="preserve">Distinctiveness </w:t>
      </w:r>
      <w:r>
        <w:rPr>
          <w:color w:val="000000"/>
        </w:rPr>
        <w:t>A common method for determining the distinctiveness of subscores is an analysis of the correlations between subscores and their correlation to the total score (</w:t>
      </w:r>
      <w:proofErr w:type="spellStart"/>
      <w:r>
        <w:rPr>
          <w:color w:val="000000"/>
        </w:rPr>
        <w:t>Lyren</w:t>
      </w:r>
      <w:proofErr w:type="spellEnd"/>
      <w:r>
        <w:rPr>
          <w:color w:val="000000"/>
        </w:rPr>
        <w:t xml:space="preserve">, 2009). Haberman </w:t>
      </w:r>
      <w:r w:rsidR="007C271B">
        <w:rPr>
          <w:color w:val="000000"/>
        </w:rPr>
        <w:t xml:space="preserve">and </w:t>
      </w:r>
      <w:proofErr w:type="spellStart"/>
      <w:r>
        <w:rPr>
          <w:color w:val="000000"/>
        </w:rPr>
        <w:t>Sinharay</w:t>
      </w:r>
      <w:proofErr w:type="spellEnd"/>
      <w:r>
        <w:rPr>
          <w:color w:val="000000"/>
        </w:rPr>
        <w:t xml:space="preserve"> (2010) found that subscores generated from multidimensional item response theory (MIRT) models were more </w:t>
      </w:r>
      <w:r>
        <w:t>reliable</w:t>
      </w:r>
      <w:r>
        <w:rPr>
          <w:color w:val="000000"/>
        </w:rPr>
        <w:t xml:space="preserve"> than raw subscores but also more </w:t>
      </w:r>
      <w:r>
        <w:t>highly correlated, or less distinct</w:t>
      </w:r>
      <w:r>
        <w:rPr>
          <w:color w:val="000000"/>
        </w:rPr>
        <w:t xml:space="preserve">. </w:t>
      </w:r>
      <w:proofErr w:type="spellStart"/>
      <w:r>
        <w:rPr>
          <w:color w:val="000000"/>
        </w:rPr>
        <w:t>Reise</w:t>
      </w:r>
      <w:proofErr w:type="spellEnd"/>
      <w:r>
        <w:rPr>
          <w:color w:val="000000"/>
        </w:rPr>
        <w:t xml:space="preserve">, Moore, </w:t>
      </w:r>
      <w:r w:rsidR="007C271B">
        <w:rPr>
          <w:color w:val="000000"/>
        </w:rPr>
        <w:t xml:space="preserve">and </w:t>
      </w:r>
      <w:r>
        <w:rPr>
          <w:color w:val="000000"/>
        </w:rPr>
        <w:t xml:space="preserve">Haviland (2010) argue that bifactor models are particularly effective in establishing validity evidence of distinctness for the use of </w:t>
      </w:r>
      <w:proofErr w:type="spellStart"/>
      <w:r>
        <w:rPr>
          <w:color w:val="000000"/>
        </w:rPr>
        <w:t>subscores</w:t>
      </w:r>
      <w:proofErr w:type="spellEnd"/>
      <w:r w:rsidR="00327EE7">
        <w:rPr>
          <w:color w:val="000000"/>
        </w:rPr>
        <w:t xml:space="preserve"> as</w:t>
      </w:r>
      <w:r>
        <w:rPr>
          <w:color w:val="000000"/>
        </w:rPr>
        <w:t xml:space="preserve"> by definition secondary factors are uncorrelated</w:t>
      </w:r>
      <w:r w:rsidR="00327EE7">
        <w:rPr>
          <w:color w:val="000000"/>
        </w:rPr>
        <w:t xml:space="preserve"> – in bifactor models, all items load on a general common factor, with subsets of items clustered into orthogonal secondary factors that account for additional variance not accounted for by the common factor </w:t>
      </w:r>
      <w:r w:rsidR="00327EE7">
        <w:rPr>
          <w:color w:val="000000"/>
        </w:rPr>
        <w:t>(</w:t>
      </w:r>
      <w:proofErr w:type="spellStart"/>
      <w:r w:rsidR="00327EE7">
        <w:rPr>
          <w:color w:val="000000"/>
        </w:rPr>
        <w:t>Holzinger</w:t>
      </w:r>
      <w:proofErr w:type="spellEnd"/>
      <w:r w:rsidR="00327EE7">
        <w:rPr>
          <w:color w:val="000000"/>
        </w:rPr>
        <w:t xml:space="preserve"> &amp; </w:t>
      </w:r>
      <w:proofErr w:type="spellStart"/>
      <w:r w:rsidR="00327EE7">
        <w:rPr>
          <w:color w:val="000000"/>
        </w:rPr>
        <w:t>Swineford</w:t>
      </w:r>
      <w:proofErr w:type="spellEnd"/>
      <w:r w:rsidR="00327EE7">
        <w:rPr>
          <w:color w:val="000000"/>
        </w:rPr>
        <w:t>, 1937</w:t>
      </w:r>
      <w:r w:rsidR="00327EE7">
        <w:rPr>
          <w:color w:val="000000"/>
        </w:rPr>
        <w:t>)</w:t>
      </w:r>
      <w:r>
        <w:rPr>
          <w:color w:val="000000"/>
        </w:rPr>
        <w:t xml:space="preserve">. Similarly, Li, Jiao, </w:t>
      </w:r>
      <w:r w:rsidR="007C271B">
        <w:rPr>
          <w:color w:val="000000"/>
        </w:rPr>
        <w:t xml:space="preserve">and </w:t>
      </w:r>
      <w:proofErr w:type="spellStart"/>
      <w:r>
        <w:rPr>
          <w:color w:val="000000"/>
        </w:rPr>
        <w:t>Lissitz</w:t>
      </w:r>
      <w:proofErr w:type="spellEnd"/>
      <w:r>
        <w:rPr>
          <w:color w:val="000000"/>
        </w:rPr>
        <w:t xml:space="preserve"> (2012) explicitly link analysis of MIRT models in the context of establishing subscore validity to the general task of examining multidimensionality in student response patterns on tests. Therefore, I focus the investigation of distinctiveness on the analysis and establishment of multidimensionality in student responses to CAOS through an evaluation of candidate bifactor models. </w:t>
      </w:r>
    </w:p>
    <w:p w14:paraId="2F5EE44A" w14:textId="77777777" w:rsidR="00EA40B7" w:rsidRDefault="00EA40B7">
      <w:pPr>
        <w:pBdr>
          <w:top w:val="nil"/>
          <w:left w:val="nil"/>
          <w:bottom w:val="nil"/>
          <w:right w:val="nil"/>
          <w:between w:val="nil"/>
        </w:pBdr>
        <w:ind w:firstLine="340"/>
        <w:rPr>
          <w:color w:val="000000"/>
        </w:rPr>
      </w:pPr>
    </w:p>
    <w:p w14:paraId="6668C6D1" w14:textId="77777777" w:rsidR="00EA40B7" w:rsidRDefault="006B39EF">
      <w:pPr>
        <w:pBdr>
          <w:top w:val="nil"/>
          <w:left w:val="nil"/>
          <w:bottom w:val="nil"/>
          <w:right w:val="nil"/>
          <w:between w:val="nil"/>
        </w:pBdr>
        <w:spacing w:line="480" w:lineRule="auto"/>
        <w:ind w:firstLine="340"/>
        <w:rPr>
          <w:color w:val="000000"/>
        </w:rPr>
      </w:pPr>
      <w:r>
        <w:rPr>
          <w:b/>
          <w:i/>
          <w:color w:val="000000"/>
        </w:rPr>
        <w:t xml:space="preserve">CAOS dimensionality </w:t>
      </w:r>
      <w:r>
        <w:rPr>
          <w:color w:val="000000"/>
        </w:rPr>
        <w:t xml:space="preserve">While no study has comprehensively examined and investigated multidimensionality in student responses to CAOS, factor analyses of similar assessments have generally failed to establish evidence of multidimensionality. </w:t>
      </w:r>
      <w:proofErr w:type="spellStart"/>
      <w:r>
        <w:rPr>
          <w:color w:val="000000"/>
        </w:rPr>
        <w:t>Sabbag</w:t>
      </w:r>
      <w:proofErr w:type="spellEnd"/>
      <w:r>
        <w:rPr>
          <w:color w:val="000000"/>
        </w:rPr>
        <w:t xml:space="preserve"> (2016) found </w:t>
      </w:r>
      <w:r>
        <w:rPr>
          <w:color w:val="000000"/>
        </w:rPr>
        <w:lastRenderedPageBreak/>
        <w:t xml:space="preserve">that while the Reasoning and Literacy Instrument (REALI), designed to measure student statistical literacy and reasoning simultaneously, was hypothesized as measuring multiple constructs, after accounting for model parsimony and validity of subscores, a unidimensional model was more appropriate than a bifactor model to explain students’ responses on the assessment. </w:t>
      </w:r>
    </w:p>
    <w:p w14:paraId="5CA03B42"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Similarly, Allen (2006) found that a multifactor model fit data collected from 295 students taking the Statistical Concept Inventory (SCI), developed to assess students’ conceptual understanding, better than a unidimensional model but at great cost to parsimony, and determined that a unidimensional model fit the data sufficiently well. </w:t>
      </w:r>
    </w:p>
    <w:p w14:paraId="0A0E2C12" w14:textId="72840641" w:rsidR="00EA40B7" w:rsidRDefault="006B39EF">
      <w:pPr>
        <w:pBdr>
          <w:top w:val="nil"/>
          <w:left w:val="nil"/>
          <w:bottom w:val="nil"/>
          <w:right w:val="nil"/>
          <w:between w:val="nil"/>
        </w:pBdr>
        <w:spacing w:line="480" w:lineRule="auto"/>
        <w:ind w:firstLine="340"/>
        <w:rPr>
          <w:color w:val="000000"/>
        </w:rPr>
      </w:pPr>
      <w:r>
        <w:rPr>
          <w:color w:val="000000"/>
        </w:rPr>
        <w:t xml:space="preserve">While neither Allen (2006) nor </w:t>
      </w:r>
      <w:proofErr w:type="spellStart"/>
      <w:r>
        <w:rPr>
          <w:color w:val="000000"/>
        </w:rPr>
        <w:t>Sabbag</w:t>
      </w:r>
      <w:proofErr w:type="spellEnd"/>
      <w:r>
        <w:rPr>
          <w:color w:val="000000"/>
        </w:rPr>
        <w:t xml:space="preserve"> (2016) found strong evidence of multidimensionality in their tests, both studies identified possible multidimensionality when analy</w:t>
      </w:r>
      <w:r w:rsidR="008C1DE0">
        <w:rPr>
          <w:color w:val="000000"/>
        </w:rPr>
        <w:t>z</w:t>
      </w:r>
      <w:r>
        <w:rPr>
          <w:color w:val="000000"/>
        </w:rPr>
        <w:t>ing the fit of bifactor models and</w:t>
      </w:r>
      <w:r w:rsidR="007C271B">
        <w:rPr>
          <w:color w:val="000000"/>
        </w:rPr>
        <w:t>,</w:t>
      </w:r>
      <w:r>
        <w:rPr>
          <w:color w:val="000000"/>
        </w:rPr>
        <w:t xml:space="preserve"> perhaps due to paucity of sample size, were unable to detect multidimensionality with any power and statistical significance. The largest study examining dimensionality for CAOS was conducted by delMas (2014) and included a sample size of over 23,000, but did not include examinations of multilevel models. </w:t>
      </w:r>
    </w:p>
    <w:p w14:paraId="5CBD60E4" w14:textId="77777777" w:rsidR="00EA40B7" w:rsidRDefault="00EA40B7">
      <w:pPr>
        <w:pBdr>
          <w:top w:val="nil"/>
          <w:left w:val="nil"/>
          <w:bottom w:val="nil"/>
          <w:right w:val="nil"/>
          <w:between w:val="nil"/>
        </w:pBdr>
        <w:ind w:firstLine="340"/>
        <w:rPr>
          <w:color w:val="000000"/>
        </w:rPr>
      </w:pPr>
    </w:p>
    <w:p w14:paraId="683AE710" w14:textId="77777777" w:rsidR="00EA40B7" w:rsidRDefault="006B39EF">
      <w:pPr>
        <w:numPr>
          <w:ilvl w:val="1"/>
          <w:numId w:val="1"/>
        </w:numPr>
        <w:pBdr>
          <w:top w:val="nil"/>
          <w:left w:val="nil"/>
          <w:bottom w:val="nil"/>
          <w:right w:val="nil"/>
          <w:between w:val="nil"/>
        </w:pBdr>
      </w:pPr>
      <w:r>
        <w:rPr>
          <w:b/>
          <w:smallCaps/>
          <w:color w:val="000000"/>
        </w:rPr>
        <w:t xml:space="preserve"> research question</w:t>
      </w:r>
    </w:p>
    <w:p w14:paraId="36BF41A8" w14:textId="77777777" w:rsidR="00EA40B7" w:rsidRDefault="00EA40B7">
      <w:pPr>
        <w:pBdr>
          <w:top w:val="nil"/>
          <w:left w:val="nil"/>
          <w:bottom w:val="nil"/>
          <w:right w:val="nil"/>
          <w:between w:val="nil"/>
        </w:pBdr>
        <w:ind w:firstLine="340"/>
        <w:rPr>
          <w:color w:val="000000"/>
        </w:rPr>
      </w:pPr>
    </w:p>
    <w:p w14:paraId="624692A3"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In order to inform the use of subscores on CAOS, and to examine validity evidence for their use, I aim to answer the following research question: Is there evidence of multidimensionality in students’ responses to CAOS items that can be modelled by a bifactor model? </w:t>
      </w:r>
    </w:p>
    <w:p w14:paraId="4874516E"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Although the process of establishing validity evidence for the use of subscores includes further analyses than simply establishing multidimensionality, this is a prerequisite first step in any such analysis. Therefore, in the present study I simply focus methods on </w:t>
      </w:r>
      <w:r>
        <w:rPr>
          <w:color w:val="000000"/>
        </w:rPr>
        <w:lastRenderedPageBreak/>
        <w:t>examining the dimensionality of student responses to CAOS in order to provide justification for further inquiry.</w:t>
      </w:r>
    </w:p>
    <w:p w14:paraId="3164B71D" w14:textId="2B60479B" w:rsidR="00EA40B7" w:rsidRDefault="006B39EF">
      <w:pPr>
        <w:pBdr>
          <w:top w:val="nil"/>
          <w:left w:val="nil"/>
          <w:bottom w:val="nil"/>
          <w:right w:val="nil"/>
          <w:between w:val="nil"/>
        </w:pBdr>
        <w:spacing w:line="480" w:lineRule="auto"/>
        <w:ind w:firstLine="340"/>
        <w:rPr>
          <w:color w:val="000000"/>
        </w:rPr>
      </w:pPr>
      <w:r>
        <w:rPr>
          <w:color w:val="000000"/>
        </w:rPr>
        <w:t xml:space="preserve">The bifactor model performed well in </w:t>
      </w:r>
      <w:r w:rsidR="008C1DE0">
        <w:rPr>
          <w:color w:val="000000"/>
        </w:rPr>
        <w:t>modeling</w:t>
      </w:r>
      <w:r>
        <w:rPr>
          <w:color w:val="000000"/>
        </w:rPr>
        <w:t xml:space="preserve"> similar assessments as determined by Allen (2006) and </w:t>
      </w:r>
      <w:proofErr w:type="spellStart"/>
      <w:r>
        <w:rPr>
          <w:color w:val="000000"/>
        </w:rPr>
        <w:t>Sabbag</w:t>
      </w:r>
      <w:proofErr w:type="spellEnd"/>
      <w:r>
        <w:rPr>
          <w:color w:val="000000"/>
        </w:rPr>
        <w:t xml:space="preserve"> (2016), and due to its structure, requires secondary factors to have a zero correlation, thus increasing the chances that subscores generated by the model meet criteria for distinctiveness (Haberman &amp; </w:t>
      </w:r>
      <w:proofErr w:type="spellStart"/>
      <w:r>
        <w:rPr>
          <w:color w:val="000000"/>
        </w:rPr>
        <w:t>Sinharay</w:t>
      </w:r>
      <w:proofErr w:type="spellEnd"/>
      <w:r>
        <w:rPr>
          <w:color w:val="000000"/>
        </w:rPr>
        <w:t xml:space="preserve">, 2010). Bonifay, Lane, </w:t>
      </w:r>
      <w:r w:rsidR="007638A0">
        <w:rPr>
          <w:color w:val="000000"/>
        </w:rPr>
        <w:t xml:space="preserve">and </w:t>
      </w:r>
      <w:proofErr w:type="spellStart"/>
      <w:r>
        <w:rPr>
          <w:color w:val="000000"/>
        </w:rPr>
        <w:t>Reise</w:t>
      </w:r>
      <w:proofErr w:type="spellEnd"/>
      <w:r>
        <w:rPr>
          <w:color w:val="000000"/>
        </w:rPr>
        <w:t xml:space="preserve"> (2017) note that bifactor models often overfit data. However, this may be controlled by the use of multiple model comparison sta</w:t>
      </w:r>
      <w:r>
        <w:t xml:space="preserve">tistics that penalize overfit, such as the Akaike Information Criterion (AIC; Akaike, 1974) and the Bayesian Information Criterion (BIC; Schwarz, 1978). Henson, </w:t>
      </w:r>
      <w:proofErr w:type="spellStart"/>
      <w:r>
        <w:t>Reise</w:t>
      </w:r>
      <w:proofErr w:type="spellEnd"/>
      <w:r>
        <w:t xml:space="preserve">, </w:t>
      </w:r>
      <w:r w:rsidR="00BB367A">
        <w:t xml:space="preserve">and </w:t>
      </w:r>
      <w:r>
        <w:t>Kim (2007) found that while the AIC still preferred models that overfit data, the BIC preferred models that underfit data. Therefore, it may be that a bifactor model preferred by both the AIC and BIC is one without inappropriate overfit. Thus</w:t>
      </w:r>
      <w:r>
        <w:rPr>
          <w:color w:val="000000"/>
        </w:rPr>
        <w:t xml:space="preserve">, as a first step in validating subscores, the bifactor model may still be an appropriate model to fit to data before further analyses are conducted to ensure the usefulness of </w:t>
      </w:r>
      <w:proofErr w:type="spellStart"/>
      <w:r>
        <w:rPr>
          <w:color w:val="000000"/>
        </w:rPr>
        <w:t>subscores</w:t>
      </w:r>
      <w:proofErr w:type="spellEnd"/>
      <w:r>
        <w:rPr>
          <w:color w:val="000000"/>
        </w:rPr>
        <w:t xml:space="preserve"> (</w:t>
      </w:r>
      <w:proofErr w:type="spellStart"/>
      <w:r>
        <w:rPr>
          <w:color w:val="000000"/>
        </w:rPr>
        <w:t>Reise</w:t>
      </w:r>
      <w:proofErr w:type="spellEnd"/>
      <w:r>
        <w:rPr>
          <w:color w:val="000000"/>
        </w:rPr>
        <w:t xml:space="preserve">, Moore, &amp; Haviland, 2010). </w:t>
      </w:r>
    </w:p>
    <w:p w14:paraId="7FD19851" w14:textId="77777777" w:rsidR="00EA40B7" w:rsidRDefault="00EA40B7">
      <w:pPr>
        <w:pBdr>
          <w:top w:val="nil"/>
          <w:left w:val="nil"/>
          <w:bottom w:val="nil"/>
          <w:right w:val="nil"/>
          <w:between w:val="nil"/>
        </w:pBdr>
        <w:ind w:firstLine="340"/>
        <w:rPr>
          <w:color w:val="000000"/>
        </w:rPr>
      </w:pPr>
    </w:p>
    <w:p w14:paraId="26CD51E4" w14:textId="77777777" w:rsidR="00EA40B7" w:rsidRDefault="006B39EF">
      <w:pPr>
        <w:numPr>
          <w:ilvl w:val="0"/>
          <w:numId w:val="1"/>
        </w:numPr>
        <w:pBdr>
          <w:top w:val="nil"/>
          <w:left w:val="nil"/>
          <w:bottom w:val="nil"/>
          <w:right w:val="nil"/>
          <w:between w:val="nil"/>
        </w:pBdr>
        <w:jc w:val="center"/>
      </w:pPr>
      <w:r>
        <w:rPr>
          <w:b/>
          <w:smallCaps/>
          <w:color w:val="000000"/>
        </w:rPr>
        <w:t>Methods</w:t>
      </w:r>
    </w:p>
    <w:p w14:paraId="2DCB520D" w14:textId="77777777" w:rsidR="00EA40B7" w:rsidRDefault="00EA40B7">
      <w:pPr>
        <w:pBdr>
          <w:top w:val="nil"/>
          <w:left w:val="nil"/>
          <w:bottom w:val="nil"/>
          <w:right w:val="nil"/>
          <w:between w:val="nil"/>
        </w:pBdr>
        <w:rPr>
          <w:color w:val="000000"/>
        </w:rPr>
      </w:pPr>
    </w:p>
    <w:p w14:paraId="6C17755E" w14:textId="77777777" w:rsidR="00EA40B7" w:rsidRDefault="006B39EF">
      <w:pPr>
        <w:numPr>
          <w:ilvl w:val="1"/>
          <w:numId w:val="1"/>
        </w:numPr>
        <w:pBdr>
          <w:top w:val="nil"/>
          <w:left w:val="nil"/>
          <w:bottom w:val="nil"/>
          <w:right w:val="nil"/>
          <w:between w:val="nil"/>
        </w:pBdr>
      </w:pPr>
      <w:r>
        <w:rPr>
          <w:b/>
          <w:smallCaps/>
          <w:color w:val="000000"/>
        </w:rPr>
        <w:t xml:space="preserve"> CAOS Data</w:t>
      </w:r>
    </w:p>
    <w:p w14:paraId="5AFE7D46" w14:textId="77777777" w:rsidR="00EA40B7" w:rsidRDefault="00EA40B7">
      <w:pPr>
        <w:pBdr>
          <w:top w:val="nil"/>
          <w:left w:val="nil"/>
          <w:bottom w:val="nil"/>
          <w:right w:val="nil"/>
          <w:between w:val="nil"/>
        </w:pBdr>
        <w:ind w:firstLine="340"/>
        <w:rPr>
          <w:color w:val="000000"/>
        </w:rPr>
      </w:pPr>
    </w:p>
    <w:p w14:paraId="7018D672" w14:textId="223B7973" w:rsidR="00EA40B7" w:rsidRDefault="006B39EF">
      <w:pPr>
        <w:pBdr>
          <w:top w:val="nil"/>
          <w:left w:val="nil"/>
          <w:bottom w:val="nil"/>
          <w:right w:val="nil"/>
          <w:between w:val="nil"/>
        </w:pBdr>
        <w:spacing w:line="480" w:lineRule="auto"/>
        <w:ind w:firstLine="340"/>
        <w:rPr>
          <w:color w:val="000000"/>
        </w:rPr>
      </w:pPr>
      <w:r>
        <w:rPr>
          <w:color w:val="000000"/>
        </w:rPr>
        <w:t xml:space="preserve">The CAOS test is comprised of 40 multiple choice items and is administered online in a forced choice format (delMas et al., 2004). There are nine </w:t>
      </w:r>
      <w:proofErr w:type="spellStart"/>
      <w:r>
        <w:rPr>
          <w:color w:val="000000"/>
        </w:rPr>
        <w:t>testlests</w:t>
      </w:r>
      <w:proofErr w:type="spellEnd"/>
      <w:r>
        <w:rPr>
          <w:color w:val="000000"/>
        </w:rPr>
        <w:t xml:space="preserve"> in the test which </w:t>
      </w:r>
      <w:r>
        <w:t>includes</w:t>
      </w:r>
      <w:r>
        <w:rPr>
          <w:color w:val="000000"/>
        </w:rPr>
        <w:t xml:space="preserve"> a total of 24 of the 40 items. The median completion time is approximately 27 minutes, with the middle half of all students completing the test in between 20 and 35 minutes. Median</w:t>
      </w:r>
      <w:r w:rsidR="00BB367A">
        <w:rPr>
          <w:color w:val="000000"/>
        </w:rPr>
        <w:t xml:space="preserve"> end-of-course</w:t>
      </w:r>
      <w:r>
        <w:rPr>
          <w:color w:val="000000"/>
        </w:rPr>
        <w:t xml:space="preserve"> performance on the test has risen modestly from a score of 50% on tests taken between 2006</w:t>
      </w:r>
      <w:r w:rsidR="008C1DE0">
        <w:rPr>
          <w:color w:val="000000"/>
        </w:rPr>
        <w:t>–</w:t>
      </w:r>
      <w:r>
        <w:rPr>
          <w:color w:val="000000"/>
        </w:rPr>
        <w:t xml:space="preserve">2008 to a score of 52.5% on tests taken between 2015-2017. </w:t>
      </w:r>
    </w:p>
    <w:p w14:paraId="03E7C276" w14:textId="3A2C2E2A" w:rsidR="00EA40B7" w:rsidRDefault="006B39EF">
      <w:pPr>
        <w:pBdr>
          <w:top w:val="nil"/>
          <w:left w:val="nil"/>
          <w:bottom w:val="nil"/>
          <w:right w:val="nil"/>
          <w:between w:val="nil"/>
        </w:pBdr>
        <w:spacing w:line="480" w:lineRule="auto"/>
        <w:ind w:firstLine="340"/>
        <w:rPr>
          <w:color w:val="000000"/>
        </w:rPr>
      </w:pPr>
      <w:r>
        <w:rPr>
          <w:color w:val="000000"/>
        </w:rPr>
        <w:lastRenderedPageBreak/>
        <w:t>Since its first offering in the 2005</w:t>
      </w:r>
      <w:r w:rsidR="008141F2">
        <w:rPr>
          <w:color w:val="000000"/>
        </w:rPr>
        <w:t>–</w:t>
      </w:r>
      <w:r>
        <w:rPr>
          <w:color w:val="000000"/>
        </w:rPr>
        <w:t>2006 academic year, CAOS has become one of the most widely used assessments of statistical reasoning. As of the 2017</w:t>
      </w:r>
      <w:r w:rsidR="008141F2">
        <w:rPr>
          <w:color w:val="000000"/>
        </w:rPr>
        <w:t>–</w:t>
      </w:r>
      <w:r>
        <w:rPr>
          <w:color w:val="000000"/>
        </w:rPr>
        <w:t>2018 academic year, it has been taken by over 48,000 students and has been used by 239 different instructors from 167 different institutions</w:t>
      </w:r>
      <w:r w:rsidR="00327EE7">
        <w:rPr>
          <w:color w:val="000000"/>
        </w:rPr>
        <w:t xml:space="preserve"> across the United States</w:t>
      </w:r>
      <w:r>
        <w:rPr>
          <w:color w:val="000000"/>
        </w:rPr>
        <w:t xml:space="preserve">. </w:t>
      </w:r>
    </w:p>
    <w:p w14:paraId="6D1BE3D5"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All students completing CAOS between 2005 and 2018 were initially considered for inclusion in the present analysis. </w:t>
      </w:r>
      <w:proofErr w:type="gramStart"/>
      <w:r>
        <w:rPr>
          <w:color w:val="000000"/>
        </w:rPr>
        <w:t>In order to</w:t>
      </w:r>
      <w:proofErr w:type="gramEnd"/>
      <w:r>
        <w:rPr>
          <w:color w:val="000000"/>
        </w:rPr>
        <w:t xml:space="preserve"> ensure a homogenous population, only students at tertiary-level educational institutions were included. Furthermore, in order to ensure effortful responses from all students, only students with completion times between 10 minutes and 60 minutes were included. These inclusion criteria match those utilized by delMas (2014). A total of 41,209 student responses met these criteria. </w:t>
      </w:r>
    </w:p>
    <w:p w14:paraId="620060B5" w14:textId="77777777" w:rsidR="00EA40B7" w:rsidRDefault="00EA40B7">
      <w:pPr>
        <w:pBdr>
          <w:top w:val="nil"/>
          <w:left w:val="nil"/>
          <w:bottom w:val="nil"/>
          <w:right w:val="nil"/>
          <w:between w:val="nil"/>
        </w:pBdr>
        <w:ind w:firstLine="340"/>
        <w:rPr>
          <w:color w:val="000000"/>
        </w:rPr>
      </w:pPr>
    </w:p>
    <w:p w14:paraId="438AE32F" w14:textId="77777777" w:rsidR="00EA40B7" w:rsidRDefault="006B39EF">
      <w:pPr>
        <w:numPr>
          <w:ilvl w:val="1"/>
          <w:numId w:val="1"/>
        </w:numPr>
        <w:pBdr>
          <w:top w:val="nil"/>
          <w:left w:val="nil"/>
          <w:bottom w:val="nil"/>
          <w:right w:val="nil"/>
          <w:between w:val="nil"/>
        </w:pBdr>
      </w:pPr>
      <w:r>
        <w:rPr>
          <w:b/>
          <w:smallCaps/>
          <w:color w:val="000000"/>
        </w:rPr>
        <w:t xml:space="preserve"> Candidate Models</w:t>
      </w:r>
    </w:p>
    <w:p w14:paraId="423A5D56" w14:textId="77777777" w:rsidR="00EA40B7" w:rsidRDefault="00EA40B7">
      <w:pPr>
        <w:pBdr>
          <w:top w:val="nil"/>
          <w:left w:val="nil"/>
          <w:bottom w:val="nil"/>
          <w:right w:val="nil"/>
          <w:between w:val="nil"/>
        </w:pBdr>
        <w:ind w:firstLine="340"/>
        <w:rPr>
          <w:color w:val="000000"/>
        </w:rPr>
      </w:pPr>
    </w:p>
    <w:p w14:paraId="541B8F39" w14:textId="3F212605" w:rsidR="00EA40B7" w:rsidRDefault="006B39EF">
      <w:pPr>
        <w:pBdr>
          <w:top w:val="nil"/>
          <w:left w:val="nil"/>
          <w:bottom w:val="nil"/>
          <w:right w:val="nil"/>
          <w:between w:val="nil"/>
        </w:pBdr>
        <w:spacing w:line="480" w:lineRule="auto"/>
        <w:ind w:firstLine="340"/>
        <w:rPr>
          <w:color w:val="000000"/>
        </w:rPr>
      </w:pPr>
      <w:r>
        <w:rPr>
          <w:color w:val="000000"/>
        </w:rPr>
        <w:t xml:space="preserve">delMas (2014) determined that a testlet model fit CAOS data </w:t>
      </w:r>
      <w:r w:rsidR="004306B2">
        <w:rPr>
          <w:color w:val="000000"/>
        </w:rPr>
        <w:t xml:space="preserve">better </w:t>
      </w:r>
      <w:r>
        <w:rPr>
          <w:color w:val="000000"/>
        </w:rPr>
        <w:t>due to the presence of local dependence of items when compared to standard unidimensional item response theory (IRT) models. Thus, a unidimensional testlet model will similarly be utilized as a base model in this study. A GRM will be fit to testlets (Cook, Dodd, &amp; Fitzpatrick, 1999) while a two</w:t>
      </w:r>
      <w:r w:rsidR="004306B2">
        <w:rPr>
          <w:color w:val="000000"/>
        </w:rPr>
        <w:t>-</w:t>
      </w:r>
      <w:r>
        <w:rPr>
          <w:color w:val="000000"/>
        </w:rPr>
        <w:t xml:space="preserve">parameter logistic model (2PL; Birnbaum, 1968) will be fit to all other items. In order to establish validity evidence for the use of CAOS subscores, each topic must be distinct, and I consider three candidate bifactor models utilizing a confirmatory </w:t>
      </w:r>
      <w:r w:rsidR="008C1DE0">
        <w:rPr>
          <w:color w:val="000000"/>
        </w:rPr>
        <w:t>modeling</w:t>
      </w:r>
      <w:r>
        <w:rPr>
          <w:color w:val="000000"/>
        </w:rPr>
        <w:t xml:space="preserve"> approach (Gibbons &amp; </w:t>
      </w:r>
      <w:proofErr w:type="spellStart"/>
      <w:r>
        <w:rPr>
          <w:color w:val="000000"/>
        </w:rPr>
        <w:t>Hedeker</w:t>
      </w:r>
      <w:proofErr w:type="spellEnd"/>
      <w:r>
        <w:rPr>
          <w:color w:val="000000"/>
        </w:rPr>
        <w:t xml:space="preserve">, 1992; </w:t>
      </w:r>
      <w:proofErr w:type="spellStart"/>
      <w:r>
        <w:rPr>
          <w:color w:val="000000"/>
        </w:rPr>
        <w:t>Joreskog</w:t>
      </w:r>
      <w:proofErr w:type="spellEnd"/>
      <w:r>
        <w:rPr>
          <w:color w:val="000000"/>
        </w:rPr>
        <w:t xml:space="preserve">, 1969). </w:t>
      </w:r>
    </w:p>
    <w:p w14:paraId="40525586" w14:textId="77777777" w:rsidR="00EA40B7" w:rsidRDefault="006B39EF">
      <w:pPr>
        <w:pBdr>
          <w:top w:val="nil"/>
          <w:left w:val="nil"/>
          <w:bottom w:val="nil"/>
          <w:right w:val="nil"/>
          <w:between w:val="nil"/>
        </w:pBdr>
        <w:spacing w:line="480" w:lineRule="auto"/>
        <w:ind w:firstLine="340"/>
        <w:rPr>
          <w:color w:val="000000"/>
        </w:rPr>
      </w:pPr>
      <w:r>
        <w:rPr>
          <w:color w:val="000000"/>
        </w:rPr>
        <w:t>Although in this analysis I take an IRT-based approach, this method is mathematically equivalent to non-linear factor-analytic approaches and thus is a valid extension of previous research examining the dimensionality of CAOS data and similar assessments of statistical reasoning (</w:t>
      </w:r>
      <w:proofErr w:type="spellStart"/>
      <w:r>
        <w:rPr>
          <w:color w:val="000000"/>
        </w:rPr>
        <w:t>Kamata</w:t>
      </w:r>
      <w:proofErr w:type="spellEnd"/>
      <w:r>
        <w:rPr>
          <w:color w:val="000000"/>
        </w:rPr>
        <w:t xml:space="preserve"> &amp; Bauer, 2008; </w:t>
      </w:r>
      <w:proofErr w:type="spellStart"/>
      <w:r>
        <w:rPr>
          <w:color w:val="000000"/>
        </w:rPr>
        <w:t>Reise</w:t>
      </w:r>
      <w:proofErr w:type="spellEnd"/>
      <w:r>
        <w:rPr>
          <w:color w:val="000000"/>
        </w:rPr>
        <w:t xml:space="preserve">, 2012). All models will be fitted by utilizing the </w:t>
      </w:r>
      <w:proofErr w:type="spellStart"/>
      <w:r>
        <w:rPr>
          <w:color w:val="000000"/>
        </w:rPr>
        <w:t>mirt</w:t>
      </w:r>
      <w:proofErr w:type="spellEnd"/>
      <w:r>
        <w:rPr>
          <w:color w:val="000000"/>
        </w:rPr>
        <w:t xml:space="preserve"> package in R (Chalmers, 2012) with a convergence tolerance of 0.01. </w:t>
      </w:r>
    </w:p>
    <w:p w14:paraId="31A7CB06" w14:textId="2CF9F0D0" w:rsidR="00EA40B7" w:rsidRDefault="006B39EF">
      <w:pPr>
        <w:pBdr>
          <w:top w:val="nil"/>
          <w:left w:val="nil"/>
          <w:bottom w:val="nil"/>
          <w:right w:val="nil"/>
          <w:between w:val="nil"/>
        </w:pBdr>
        <w:spacing w:line="480" w:lineRule="auto"/>
        <w:ind w:firstLine="340"/>
        <w:rPr>
          <w:color w:val="000000"/>
        </w:rPr>
      </w:pPr>
      <w:r>
        <w:rPr>
          <w:color w:val="000000"/>
        </w:rPr>
        <w:lastRenderedPageBreak/>
        <w:t>The first candi</w:t>
      </w:r>
      <w:r>
        <w:t>d</w:t>
      </w:r>
      <w:r>
        <w:rPr>
          <w:color w:val="000000"/>
        </w:rPr>
        <w:t xml:space="preserve">ate model to be evaluated, the six-topic bifactor model, is based on topics as </w:t>
      </w:r>
      <w:r w:rsidR="004306B2">
        <w:rPr>
          <w:color w:val="000000"/>
        </w:rPr>
        <w:t xml:space="preserve">analyzed </w:t>
      </w:r>
      <w:r>
        <w:rPr>
          <w:color w:val="000000"/>
        </w:rPr>
        <w:t xml:space="preserve">by delMas (2014). Since some of the topics in this categorization have as few as two items, I also consider a more parsimonious </w:t>
      </w:r>
      <w:r w:rsidR="004306B2">
        <w:rPr>
          <w:color w:val="000000"/>
        </w:rPr>
        <w:t xml:space="preserve">three-topic bifactor model that categorizes the </w:t>
      </w:r>
      <w:r>
        <w:rPr>
          <w:color w:val="000000"/>
        </w:rPr>
        <w:t xml:space="preserve">CAOS items into three separate topics representing data collection, descriptive statistics, and inferential statistics, as enumerated in Table 3. </w:t>
      </w:r>
    </w:p>
    <w:p w14:paraId="3A48B11E" w14:textId="77777777" w:rsidR="00327EE7" w:rsidRDefault="00327EE7" w:rsidP="002D17D4">
      <w:pPr>
        <w:jc w:val="center"/>
        <w:rPr>
          <w:i/>
        </w:rPr>
      </w:pPr>
    </w:p>
    <w:p w14:paraId="168F1F4C" w14:textId="4E4B4FFE" w:rsidR="002D17D4" w:rsidRDefault="002D17D4" w:rsidP="002D17D4">
      <w:pPr>
        <w:jc w:val="center"/>
        <w:rPr>
          <w:i/>
        </w:rPr>
      </w:pPr>
      <w:r>
        <w:rPr>
          <w:i/>
        </w:rPr>
        <w:t>Table 3. Items by topic in the three-topic bifactor candidate model</w:t>
      </w:r>
    </w:p>
    <w:p w14:paraId="0BB05BE3" w14:textId="77777777" w:rsidR="002D17D4" w:rsidRDefault="002D17D4" w:rsidP="002D17D4">
      <w:pPr>
        <w:jc w:val="center"/>
      </w:pPr>
    </w:p>
    <w:tbl>
      <w:tblPr>
        <w:tblStyle w:val="a1"/>
        <w:tblW w:w="8280" w:type="dxa"/>
        <w:jc w:val="center"/>
        <w:tblLayout w:type="fixed"/>
        <w:tblLook w:val="0400" w:firstRow="0" w:lastRow="0" w:firstColumn="0" w:lastColumn="0" w:noHBand="0" w:noVBand="1"/>
      </w:tblPr>
      <w:tblGrid>
        <w:gridCol w:w="2520"/>
        <w:gridCol w:w="5760"/>
      </w:tblGrid>
      <w:tr w:rsidR="002D17D4" w14:paraId="6E49B2E5" w14:textId="77777777" w:rsidTr="008141F2">
        <w:trPr>
          <w:trHeight w:val="300"/>
          <w:jc w:val="center"/>
        </w:trPr>
        <w:tc>
          <w:tcPr>
            <w:tcW w:w="2520" w:type="dxa"/>
            <w:tcBorders>
              <w:top w:val="nil"/>
              <w:left w:val="nil"/>
              <w:bottom w:val="single" w:sz="8" w:space="0" w:color="000000"/>
              <w:right w:val="nil"/>
            </w:tcBorders>
            <w:shd w:val="clear" w:color="auto" w:fill="auto"/>
            <w:vAlign w:val="center"/>
          </w:tcPr>
          <w:p w14:paraId="07C1CC90" w14:textId="77777777" w:rsidR="002D17D4" w:rsidRDefault="002D17D4" w:rsidP="008141F2">
            <w:pPr>
              <w:rPr>
                <w:sz w:val="20"/>
                <w:szCs w:val="20"/>
              </w:rPr>
            </w:pPr>
            <w:r>
              <w:rPr>
                <w:sz w:val="20"/>
                <w:szCs w:val="20"/>
              </w:rPr>
              <w:t> </w:t>
            </w:r>
          </w:p>
        </w:tc>
        <w:tc>
          <w:tcPr>
            <w:tcW w:w="5760" w:type="dxa"/>
            <w:tcBorders>
              <w:top w:val="single" w:sz="8" w:space="0" w:color="000000"/>
              <w:left w:val="nil"/>
              <w:bottom w:val="single" w:sz="8" w:space="0" w:color="000000"/>
              <w:right w:val="nil"/>
            </w:tcBorders>
            <w:shd w:val="clear" w:color="auto" w:fill="auto"/>
            <w:vAlign w:val="center"/>
          </w:tcPr>
          <w:p w14:paraId="30D17386" w14:textId="77777777" w:rsidR="002D17D4" w:rsidRDefault="002D17D4" w:rsidP="008141F2">
            <w:pPr>
              <w:jc w:val="center"/>
              <w:rPr>
                <w:sz w:val="20"/>
                <w:szCs w:val="20"/>
              </w:rPr>
            </w:pPr>
            <w:r>
              <w:rPr>
                <w:sz w:val="20"/>
                <w:szCs w:val="20"/>
              </w:rPr>
              <w:t>Item Numbers</w:t>
            </w:r>
          </w:p>
        </w:tc>
      </w:tr>
      <w:tr w:rsidR="002D17D4" w14:paraId="78A097F8" w14:textId="77777777" w:rsidTr="008141F2">
        <w:trPr>
          <w:trHeight w:val="300"/>
          <w:jc w:val="center"/>
        </w:trPr>
        <w:tc>
          <w:tcPr>
            <w:tcW w:w="2520" w:type="dxa"/>
            <w:tcBorders>
              <w:top w:val="nil"/>
              <w:left w:val="nil"/>
              <w:bottom w:val="nil"/>
              <w:right w:val="nil"/>
            </w:tcBorders>
            <w:shd w:val="clear" w:color="auto" w:fill="auto"/>
            <w:vAlign w:val="center"/>
          </w:tcPr>
          <w:p w14:paraId="1C60E584" w14:textId="64F2D3E1" w:rsidR="002D17D4" w:rsidRDefault="008C1DE0" w:rsidP="008141F2">
            <w:pPr>
              <w:rPr>
                <w:sz w:val="20"/>
                <w:szCs w:val="20"/>
              </w:rPr>
            </w:pPr>
            <w:r>
              <w:rPr>
                <w:sz w:val="20"/>
                <w:szCs w:val="20"/>
              </w:rPr>
              <w:t>D</w:t>
            </w:r>
            <w:r w:rsidR="002D17D4">
              <w:rPr>
                <w:sz w:val="20"/>
                <w:szCs w:val="20"/>
              </w:rPr>
              <w:t xml:space="preserve">ata collection </w:t>
            </w:r>
          </w:p>
        </w:tc>
        <w:tc>
          <w:tcPr>
            <w:tcW w:w="5760" w:type="dxa"/>
            <w:tcBorders>
              <w:top w:val="nil"/>
              <w:left w:val="nil"/>
              <w:bottom w:val="nil"/>
              <w:right w:val="nil"/>
            </w:tcBorders>
            <w:shd w:val="clear" w:color="auto" w:fill="auto"/>
            <w:vAlign w:val="center"/>
          </w:tcPr>
          <w:p w14:paraId="4C51C933" w14:textId="77777777" w:rsidR="002D17D4" w:rsidRDefault="002D17D4" w:rsidP="008141F2">
            <w:pPr>
              <w:jc w:val="center"/>
              <w:rPr>
                <w:sz w:val="20"/>
                <w:szCs w:val="20"/>
              </w:rPr>
            </w:pPr>
            <w:r>
              <w:rPr>
                <w:sz w:val="20"/>
                <w:szCs w:val="20"/>
              </w:rPr>
              <w:t>7, 22, {23, 24}, 37, 38</w:t>
            </w:r>
          </w:p>
        </w:tc>
      </w:tr>
      <w:tr w:rsidR="002D17D4" w14:paraId="51684411" w14:textId="77777777" w:rsidTr="008141F2">
        <w:trPr>
          <w:trHeight w:val="300"/>
          <w:jc w:val="center"/>
        </w:trPr>
        <w:tc>
          <w:tcPr>
            <w:tcW w:w="2520" w:type="dxa"/>
            <w:tcBorders>
              <w:top w:val="nil"/>
              <w:left w:val="nil"/>
              <w:bottom w:val="nil"/>
              <w:right w:val="nil"/>
            </w:tcBorders>
            <w:shd w:val="clear" w:color="auto" w:fill="auto"/>
            <w:vAlign w:val="center"/>
          </w:tcPr>
          <w:p w14:paraId="43F2FB41" w14:textId="5BFF208C" w:rsidR="002D17D4" w:rsidRDefault="008C1DE0" w:rsidP="008141F2">
            <w:pPr>
              <w:rPr>
                <w:sz w:val="20"/>
                <w:szCs w:val="20"/>
              </w:rPr>
            </w:pPr>
            <w:r>
              <w:rPr>
                <w:sz w:val="20"/>
                <w:szCs w:val="20"/>
              </w:rPr>
              <w:t>D</w:t>
            </w:r>
            <w:r w:rsidR="002D17D4">
              <w:rPr>
                <w:sz w:val="20"/>
                <w:szCs w:val="20"/>
              </w:rPr>
              <w:t>escriptive statistics</w:t>
            </w:r>
          </w:p>
        </w:tc>
        <w:tc>
          <w:tcPr>
            <w:tcW w:w="5760" w:type="dxa"/>
            <w:tcBorders>
              <w:top w:val="nil"/>
              <w:left w:val="nil"/>
              <w:bottom w:val="nil"/>
              <w:right w:val="nil"/>
            </w:tcBorders>
            <w:shd w:val="clear" w:color="auto" w:fill="auto"/>
            <w:vAlign w:val="center"/>
          </w:tcPr>
          <w:p w14:paraId="5B9DD7AF" w14:textId="77777777" w:rsidR="002D17D4" w:rsidRDefault="002D17D4" w:rsidP="008141F2">
            <w:pPr>
              <w:jc w:val="center"/>
              <w:rPr>
                <w:sz w:val="20"/>
                <w:szCs w:val="20"/>
              </w:rPr>
            </w:pPr>
            <w:r>
              <w:rPr>
                <w:sz w:val="20"/>
                <w:szCs w:val="20"/>
              </w:rPr>
              <w:t>{1, 2}, {3, 4, 5}, 6, {8, 9, 10}, {14, 15}, 18, 20, 21, 33, 36, 39</w:t>
            </w:r>
          </w:p>
        </w:tc>
      </w:tr>
      <w:tr w:rsidR="002D17D4" w14:paraId="43FD7E45" w14:textId="77777777" w:rsidTr="008141F2">
        <w:trPr>
          <w:trHeight w:val="300"/>
          <w:jc w:val="center"/>
        </w:trPr>
        <w:tc>
          <w:tcPr>
            <w:tcW w:w="2520" w:type="dxa"/>
            <w:tcBorders>
              <w:top w:val="nil"/>
              <w:left w:val="nil"/>
              <w:bottom w:val="nil"/>
              <w:right w:val="nil"/>
            </w:tcBorders>
            <w:shd w:val="clear" w:color="auto" w:fill="auto"/>
            <w:vAlign w:val="center"/>
          </w:tcPr>
          <w:p w14:paraId="280824CE" w14:textId="71B46A61" w:rsidR="002D17D4" w:rsidRDefault="008C1DE0" w:rsidP="008141F2">
            <w:pPr>
              <w:rPr>
                <w:sz w:val="20"/>
                <w:szCs w:val="20"/>
              </w:rPr>
            </w:pPr>
            <w:r>
              <w:rPr>
                <w:sz w:val="20"/>
                <w:szCs w:val="20"/>
              </w:rPr>
              <w:t>I</w:t>
            </w:r>
            <w:r w:rsidR="002D17D4">
              <w:rPr>
                <w:sz w:val="20"/>
                <w:szCs w:val="20"/>
              </w:rPr>
              <w:t>nferential statistics</w:t>
            </w:r>
          </w:p>
        </w:tc>
        <w:tc>
          <w:tcPr>
            <w:tcW w:w="5760" w:type="dxa"/>
            <w:tcBorders>
              <w:top w:val="nil"/>
              <w:left w:val="nil"/>
              <w:bottom w:val="nil"/>
              <w:right w:val="nil"/>
            </w:tcBorders>
            <w:shd w:val="clear" w:color="auto" w:fill="auto"/>
            <w:vAlign w:val="center"/>
          </w:tcPr>
          <w:p w14:paraId="5B78CA80" w14:textId="77777777" w:rsidR="002D17D4" w:rsidRDefault="002D17D4" w:rsidP="008141F2">
            <w:pPr>
              <w:jc w:val="center"/>
              <w:rPr>
                <w:sz w:val="20"/>
                <w:szCs w:val="20"/>
              </w:rPr>
            </w:pPr>
            <w:r>
              <w:rPr>
                <w:sz w:val="20"/>
                <w:szCs w:val="20"/>
              </w:rPr>
              <w:t>{11, 12, 13}, 16, 17, 19, {25, 26, 27}, {28, 29, 30, 31}, {34, 35}, 40</w:t>
            </w:r>
          </w:p>
        </w:tc>
      </w:tr>
      <w:tr w:rsidR="002D17D4" w14:paraId="6E624D19" w14:textId="77777777" w:rsidTr="008141F2">
        <w:trPr>
          <w:trHeight w:val="300"/>
          <w:jc w:val="center"/>
        </w:trPr>
        <w:tc>
          <w:tcPr>
            <w:tcW w:w="8280" w:type="dxa"/>
            <w:gridSpan w:val="2"/>
            <w:tcBorders>
              <w:top w:val="single" w:sz="4" w:space="0" w:color="000000"/>
              <w:left w:val="nil"/>
              <w:bottom w:val="nil"/>
              <w:right w:val="nil"/>
            </w:tcBorders>
            <w:shd w:val="clear" w:color="auto" w:fill="auto"/>
            <w:vAlign w:val="center"/>
          </w:tcPr>
          <w:p w14:paraId="6EE1FAE0" w14:textId="77777777" w:rsidR="002D17D4" w:rsidRDefault="002D17D4" w:rsidP="008141F2">
            <w:pPr>
              <w:jc w:val="left"/>
              <w:rPr>
                <w:sz w:val="20"/>
                <w:szCs w:val="20"/>
              </w:rPr>
            </w:pPr>
            <w:r>
              <w:rPr>
                <w:sz w:val="20"/>
                <w:szCs w:val="20"/>
              </w:rPr>
              <w:t>*items belonging to a single testlet are grouped by brackets in this and subsequent tables</w:t>
            </w:r>
          </w:p>
        </w:tc>
      </w:tr>
    </w:tbl>
    <w:p w14:paraId="155FC82D" w14:textId="77777777" w:rsidR="002D17D4" w:rsidRDefault="002D17D4">
      <w:pPr>
        <w:pBdr>
          <w:top w:val="nil"/>
          <w:left w:val="nil"/>
          <w:bottom w:val="nil"/>
          <w:right w:val="nil"/>
          <w:between w:val="nil"/>
        </w:pBdr>
        <w:spacing w:line="480" w:lineRule="auto"/>
        <w:ind w:firstLine="340"/>
        <w:rPr>
          <w:color w:val="000000"/>
        </w:rPr>
      </w:pPr>
    </w:p>
    <w:p w14:paraId="0D247AC0" w14:textId="77777777" w:rsidR="00EA40B7" w:rsidRDefault="006B39EF">
      <w:pPr>
        <w:pBdr>
          <w:top w:val="nil"/>
          <w:left w:val="nil"/>
          <w:bottom w:val="nil"/>
          <w:right w:val="nil"/>
          <w:between w:val="nil"/>
        </w:pBdr>
        <w:spacing w:line="480" w:lineRule="auto"/>
        <w:ind w:firstLine="340"/>
        <w:rPr>
          <w:color w:val="000000"/>
        </w:rPr>
      </w:pPr>
      <w:r>
        <w:rPr>
          <w:color w:val="000000"/>
        </w:rPr>
        <w:t>Furthermore, the field of statistics is often dichotomized into descriptive statistics and inferential statistics. Therefore, the final and most parsimonious candidate model that will be considered will be the two-topic bifactor model. The two topics are intended to represent inferential statistics and descriptive statistics. Items will be partitioned in this model in a manner similar to the partition of items in the three-topic model but with the data collection and descriptive statistics topics combined.</w:t>
      </w:r>
    </w:p>
    <w:p w14:paraId="4B85DBDC" w14:textId="77777777" w:rsidR="00EA40B7" w:rsidRDefault="00EA40B7">
      <w:pPr>
        <w:pBdr>
          <w:top w:val="nil"/>
          <w:left w:val="nil"/>
          <w:bottom w:val="nil"/>
          <w:right w:val="nil"/>
          <w:between w:val="nil"/>
        </w:pBdr>
        <w:ind w:firstLine="340"/>
        <w:rPr>
          <w:color w:val="000000"/>
        </w:rPr>
      </w:pPr>
    </w:p>
    <w:p w14:paraId="69506508" w14:textId="77777777" w:rsidR="00EA40B7" w:rsidRDefault="006B39EF">
      <w:pPr>
        <w:numPr>
          <w:ilvl w:val="1"/>
          <w:numId w:val="1"/>
        </w:numPr>
        <w:pBdr>
          <w:top w:val="nil"/>
          <w:left w:val="nil"/>
          <w:bottom w:val="nil"/>
          <w:right w:val="nil"/>
          <w:between w:val="nil"/>
        </w:pBdr>
      </w:pPr>
      <w:r>
        <w:rPr>
          <w:b/>
          <w:smallCaps/>
          <w:color w:val="000000"/>
        </w:rPr>
        <w:t xml:space="preserve"> Model evaluation</w:t>
      </w:r>
    </w:p>
    <w:p w14:paraId="4C40C324" w14:textId="77777777" w:rsidR="00EA40B7" w:rsidRDefault="00EA40B7">
      <w:pPr>
        <w:pBdr>
          <w:top w:val="nil"/>
          <w:left w:val="nil"/>
          <w:bottom w:val="nil"/>
          <w:right w:val="nil"/>
          <w:between w:val="nil"/>
        </w:pBdr>
        <w:ind w:firstLine="340"/>
        <w:rPr>
          <w:color w:val="000000"/>
        </w:rPr>
      </w:pPr>
    </w:p>
    <w:p w14:paraId="6B8B10BF"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A popular method for assessing item-level fit for IRT models is the </w:t>
      </w:r>
      <w:r w:rsidRPr="008C1DE0">
        <w:rPr>
          <w:i/>
          <w:color w:val="000000"/>
        </w:rPr>
        <w:t>S-X</w:t>
      </w:r>
      <w:r w:rsidRPr="008C1DE0">
        <w:rPr>
          <w:i/>
          <w:color w:val="000000"/>
          <w:vertAlign w:val="superscript"/>
        </w:rPr>
        <w:t>2</w:t>
      </w:r>
      <w:r w:rsidRPr="008C1DE0">
        <w:rPr>
          <w:i/>
          <w:color w:val="000000"/>
        </w:rPr>
        <w:t xml:space="preserve"> </w:t>
      </w:r>
      <w:r>
        <w:rPr>
          <w:color w:val="000000"/>
        </w:rPr>
        <w:t xml:space="preserve">test statistic (de Ayala, 2009; Kang &amp; Chen, 2008; Orlando &amp; </w:t>
      </w:r>
      <w:proofErr w:type="spellStart"/>
      <w:r>
        <w:rPr>
          <w:color w:val="000000"/>
        </w:rPr>
        <w:t>Thissen</w:t>
      </w:r>
      <w:proofErr w:type="spellEnd"/>
      <w:r>
        <w:rPr>
          <w:color w:val="000000"/>
        </w:rPr>
        <w:t xml:space="preserve">, 2000). However, this fit index is highly sensitive to sample size, resulting in inflated Type 1 error rates in large samples (Chon, Lee, &amp; Dunbar, 2010). With a sample size of over 41,000 in the present analysis, this measure is unlikely to provide any meaningful information when applied to fitted models. As such, the root mean squared error of approximation (RMSEA) for each item </w:t>
      </w:r>
      <w:r>
        <w:rPr>
          <w:color w:val="000000"/>
        </w:rPr>
        <w:lastRenderedPageBreak/>
        <w:t xml:space="preserve">will be used to assess the magnitude of misfit (von </w:t>
      </w:r>
      <w:proofErr w:type="spellStart"/>
      <w:r>
        <w:rPr>
          <w:color w:val="000000"/>
        </w:rPr>
        <w:t>Davier</w:t>
      </w:r>
      <w:proofErr w:type="spellEnd"/>
      <w:r>
        <w:rPr>
          <w:color w:val="000000"/>
        </w:rPr>
        <w:t>, 2008). Items with good fit should return an RMSEA below 0.05 (</w:t>
      </w:r>
      <w:proofErr w:type="spellStart"/>
      <w:r>
        <w:rPr>
          <w:color w:val="000000"/>
        </w:rPr>
        <w:t>Kunina-Habenicht</w:t>
      </w:r>
      <w:proofErr w:type="spellEnd"/>
      <w:r>
        <w:rPr>
          <w:color w:val="000000"/>
        </w:rPr>
        <w:t>, Rupp, &amp; Wilhelm, 2012).</w:t>
      </w:r>
    </w:p>
    <w:p w14:paraId="510E52F7" w14:textId="3161F3D7" w:rsidR="00EA40B7" w:rsidRDefault="006B39EF">
      <w:pPr>
        <w:pBdr>
          <w:top w:val="nil"/>
          <w:left w:val="nil"/>
          <w:bottom w:val="nil"/>
          <w:right w:val="nil"/>
          <w:between w:val="nil"/>
        </w:pBdr>
        <w:spacing w:line="480" w:lineRule="auto"/>
        <w:ind w:firstLine="340"/>
        <w:rPr>
          <w:color w:val="000000"/>
        </w:rPr>
      </w:pPr>
      <w:r>
        <w:rPr>
          <w:color w:val="000000"/>
        </w:rPr>
        <w:t xml:space="preserve">The </w:t>
      </w:r>
      <w:r w:rsidRPr="008C1DE0">
        <w:rPr>
          <w:i/>
          <w:iCs/>
          <w:color w:val="000000"/>
        </w:rPr>
        <w:t>G</w:t>
      </w:r>
      <w:r w:rsidRPr="008C1DE0">
        <w:rPr>
          <w:i/>
          <w:iCs/>
          <w:color w:val="000000"/>
          <w:vertAlign w:val="superscript"/>
        </w:rPr>
        <w:t>2</w:t>
      </w:r>
      <w:r>
        <w:rPr>
          <w:color w:val="000000"/>
        </w:rPr>
        <w:t xml:space="preserve"> statistic (McKinley &amp; Mills, 1985) and its associated </w:t>
      </w:r>
      <w:r w:rsidRPr="008C1DE0">
        <w:rPr>
          <w:i/>
          <w:color w:val="000000"/>
        </w:rPr>
        <w:t>p</w:t>
      </w:r>
      <w:r>
        <w:rPr>
          <w:color w:val="000000"/>
        </w:rPr>
        <w:t>-value in addition to the RMSEA (</w:t>
      </w:r>
      <w:proofErr w:type="spellStart"/>
      <w:r>
        <w:rPr>
          <w:color w:val="000000"/>
        </w:rPr>
        <w:t>Maydeu</w:t>
      </w:r>
      <w:proofErr w:type="spellEnd"/>
      <w:r>
        <w:rPr>
          <w:color w:val="000000"/>
        </w:rPr>
        <w:t xml:space="preserve">-Olivares, Cai, &amp; Hernandez, 2011) are two common methods to assess model fit of IRT models (de Ayala, 2009). Models with good fit should return a non-significant </w:t>
      </w:r>
      <w:r w:rsidRPr="008C1DE0">
        <w:rPr>
          <w:i/>
          <w:iCs/>
          <w:color w:val="000000"/>
        </w:rPr>
        <w:t>G</w:t>
      </w:r>
      <w:r w:rsidRPr="008C1DE0">
        <w:rPr>
          <w:i/>
          <w:iCs/>
          <w:color w:val="000000"/>
          <w:vertAlign w:val="superscript"/>
        </w:rPr>
        <w:t>2</w:t>
      </w:r>
      <w:r w:rsidRPr="008C1DE0">
        <w:rPr>
          <w:i/>
          <w:iCs/>
          <w:color w:val="000000"/>
        </w:rPr>
        <w:t xml:space="preserve"> p</w:t>
      </w:r>
      <w:r>
        <w:rPr>
          <w:color w:val="000000"/>
        </w:rPr>
        <w:t xml:space="preserve">-value and an RMSEA below 0.05 (Browne </w:t>
      </w:r>
      <w:r w:rsidR="000D017E">
        <w:rPr>
          <w:color w:val="000000"/>
        </w:rPr>
        <w:t xml:space="preserve">&amp; </w:t>
      </w:r>
      <w:proofErr w:type="spellStart"/>
      <w:r>
        <w:rPr>
          <w:color w:val="000000"/>
        </w:rPr>
        <w:t>Cudeck</w:t>
      </w:r>
      <w:proofErr w:type="spellEnd"/>
      <w:r>
        <w:rPr>
          <w:color w:val="000000"/>
        </w:rPr>
        <w:t xml:space="preserve">, 1993). </w:t>
      </w:r>
    </w:p>
    <w:p w14:paraId="2D91B702" w14:textId="62781E6C" w:rsidR="00EA40B7" w:rsidRDefault="006B39EF">
      <w:pPr>
        <w:pBdr>
          <w:top w:val="nil"/>
          <w:left w:val="nil"/>
          <w:bottom w:val="nil"/>
          <w:right w:val="nil"/>
          <w:between w:val="nil"/>
        </w:pBdr>
        <w:spacing w:line="480" w:lineRule="auto"/>
        <w:ind w:firstLine="340"/>
        <w:rPr>
          <w:color w:val="000000"/>
        </w:rPr>
      </w:pPr>
      <w:r>
        <w:rPr>
          <w:color w:val="000000"/>
        </w:rPr>
        <w:t xml:space="preserve">The </w:t>
      </w:r>
      <w:r>
        <w:t>AIC, BIC</w:t>
      </w:r>
      <w:r>
        <w:rPr>
          <w:color w:val="000000"/>
        </w:rPr>
        <w:t xml:space="preserve">, and the likelihood ratio test (LRT; </w:t>
      </w:r>
      <w:proofErr w:type="spellStart"/>
      <w:r>
        <w:rPr>
          <w:color w:val="000000"/>
        </w:rPr>
        <w:t>Neyman</w:t>
      </w:r>
      <w:proofErr w:type="spellEnd"/>
      <w:r>
        <w:rPr>
          <w:color w:val="000000"/>
        </w:rPr>
        <w:t xml:space="preserve"> &amp; Pearson, 1933) are three common methods to compare IRT models (de Ayala, 2009). Each of the candidate models will be compared against the unidimensional model by these criteri</w:t>
      </w:r>
      <w:r>
        <w:t>a</w:t>
      </w:r>
      <w:r>
        <w:rPr>
          <w:color w:val="000000"/>
        </w:rPr>
        <w:t xml:space="preserve"> to determine if the candidate model provides a better fit for the data and thus evidence of multidimensionality. The preferred model will be one with lower AIC and BIC values and that returns a statistically significant LRT. In order to </w:t>
      </w:r>
      <w:r>
        <w:t>unambiguously</w:t>
      </w:r>
      <w:r>
        <w:rPr>
          <w:color w:val="000000"/>
        </w:rPr>
        <w:t xml:space="preserve"> determine which model is a better fit, I will require that a candidate model outperform the unidimensional model on all three model comparison</w:t>
      </w:r>
      <w:r w:rsidR="007E107D">
        <w:rPr>
          <w:color w:val="000000"/>
        </w:rPr>
        <w:t xml:space="preserve"> method</w:t>
      </w:r>
      <w:r>
        <w:rPr>
          <w:color w:val="000000"/>
        </w:rPr>
        <w:t>s.</w:t>
      </w:r>
    </w:p>
    <w:p w14:paraId="4A268312" w14:textId="15D44877" w:rsidR="00EA40B7" w:rsidRDefault="006B39EF">
      <w:pPr>
        <w:pBdr>
          <w:top w:val="nil"/>
          <w:left w:val="nil"/>
          <w:bottom w:val="nil"/>
          <w:right w:val="nil"/>
          <w:between w:val="nil"/>
        </w:pBdr>
        <w:spacing w:line="480" w:lineRule="auto"/>
        <w:ind w:firstLine="340"/>
        <w:rPr>
          <w:color w:val="000000"/>
        </w:rPr>
      </w:pPr>
      <w:r>
        <w:rPr>
          <w:color w:val="000000"/>
        </w:rPr>
        <w:t xml:space="preserve">The explained common variance (ECV) </w:t>
      </w:r>
      <w:r w:rsidR="007E107D">
        <w:rPr>
          <w:color w:val="000000"/>
        </w:rPr>
        <w:t xml:space="preserve">statistic </w:t>
      </w:r>
      <w:r>
        <w:rPr>
          <w:color w:val="000000"/>
        </w:rPr>
        <w:t>is a measure for assessing the degree of unidimensionality in bifactor models (</w:t>
      </w:r>
      <w:proofErr w:type="spellStart"/>
      <w:r>
        <w:rPr>
          <w:color w:val="000000"/>
        </w:rPr>
        <w:t>Bentler</w:t>
      </w:r>
      <w:proofErr w:type="spellEnd"/>
      <w:r>
        <w:rPr>
          <w:color w:val="000000"/>
        </w:rPr>
        <w:t xml:space="preserve">, 2009; ten Berge &amp; </w:t>
      </w:r>
      <w:proofErr w:type="spellStart"/>
      <w:r>
        <w:rPr>
          <w:color w:val="000000"/>
        </w:rPr>
        <w:t>Socan</w:t>
      </w:r>
      <w:proofErr w:type="spellEnd"/>
      <w:r>
        <w:rPr>
          <w:color w:val="000000"/>
        </w:rPr>
        <w:t xml:space="preserve">, 2004). Unfortunately, no clear practical standard exists for determining meaningful </w:t>
      </w:r>
      <w:r>
        <w:t>thresholds</w:t>
      </w:r>
      <w:r>
        <w:rPr>
          <w:color w:val="000000"/>
        </w:rPr>
        <w:t xml:space="preserve"> for interpretation of the statistic (</w:t>
      </w:r>
      <w:proofErr w:type="spellStart"/>
      <w:r>
        <w:rPr>
          <w:color w:val="000000"/>
        </w:rPr>
        <w:t>Reise</w:t>
      </w:r>
      <w:proofErr w:type="spellEnd"/>
      <w:r>
        <w:rPr>
          <w:color w:val="000000"/>
        </w:rPr>
        <w:t xml:space="preserve">, 2012). However, high values of ECV, approaching 1.0, can generally be interpreted as signifying that the general factor in the model explains a larger proportion of the variance in the data than the secondary factors and that a unidimensional model may be appropriate. </w:t>
      </w:r>
    </w:p>
    <w:p w14:paraId="427F1DFC" w14:textId="400A9ECF" w:rsidR="00EA40B7" w:rsidRDefault="006B39EF">
      <w:pPr>
        <w:pBdr>
          <w:top w:val="nil"/>
          <w:left w:val="nil"/>
          <w:bottom w:val="nil"/>
          <w:right w:val="nil"/>
          <w:between w:val="nil"/>
        </w:pBdr>
        <w:spacing w:line="480" w:lineRule="auto"/>
        <w:ind w:firstLine="340"/>
        <w:rPr>
          <w:color w:val="000000"/>
        </w:rPr>
      </w:pPr>
      <w:proofErr w:type="spellStart"/>
      <w:r>
        <w:rPr>
          <w:color w:val="000000"/>
        </w:rPr>
        <w:t>Reise</w:t>
      </w:r>
      <w:proofErr w:type="spellEnd"/>
      <w:r>
        <w:rPr>
          <w:color w:val="000000"/>
        </w:rPr>
        <w:t xml:space="preserve"> (2012) notes that it is generally advisable to perform exploratory bifactor analyses in addition to confirmatory bifactor analyses. Despite taking a confirmatory </w:t>
      </w:r>
      <w:r w:rsidR="008C1DE0">
        <w:rPr>
          <w:color w:val="000000"/>
        </w:rPr>
        <w:t>modeling</w:t>
      </w:r>
      <w:r>
        <w:rPr>
          <w:color w:val="000000"/>
        </w:rPr>
        <w:t xml:space="preserve"> approach, I will also conduct exploratory bifactor </w:t>
      </w:r>
      <w:r w:rsidR="008C1DE0">
        <w:rPr>
          <w:color w:val="000000"/>
        </w:rPr>
        <w:t>modeling</w:t>
      </w:r>
      <w:r>
        <w:rPr>
          <w:color w:val="000000"/>
        </w:rPr>
        <w:t xml:space="preserve"> analyses to determine the optimal partitions of items for either two, three, or six factors using the </w:t>
      </w:r>
      <w:r>
        <w:rPr>
          <w:color w:val="000000"/>
        </w:rPr>
        <w:lastRenderedPageBreak/>
        <w:t>Schmid-</w:t>
      </w:r>
      <w:proofErr w:type="spellStart"/>
      <w:r>
        <w:rPr>
          <w:color w:val="000000"/>
        </w:rPr>
        <w:t>Leiman</w:t>
      </w:r>
      <w:proofErr w:type="spellEnd"/>
      <w:r>
        <w:rPr>
          <w:color w:val="000000"/>
        </w:rPr>
        <w:t xml:space="preserve"> orthogonalization method (SL; Schmid &amp; </w:t>
      </w:r>
      <w:proofErr w:type="spellStart"/>
      <w:r>
        <w:rPr>
          <w:color w:val="000000"/>
        </w:rPr>
        <w:t>Leiman</w:t>
      </w:r>
      <w:proofErr w:type="spellEnd"/>
      <w:r>
        <w:rPr>
          <w:color w:val="000000"/>
        </w:rPr>
        <w:t>, 1957; Waller, 2018). I will compare bifactor models utilizing the SL partitions of items to their heuristically defined equivalent models, as well as the unidimensional model, in order to explore the degree to which the content-based heuristic partition is valid.</w:t>
      </w:r>
    </w:p>
    <w:p w14:paraId="21AE1B39" w14:textId="77919586" w:rsidR="00EA40B7" w:rsidRDefault="006B39EF">
      <w:pPr>
        <w:pBdr>
          <w:top w:val="nil"/>
          <w:left w:val="nil"/>
          <w:bottom w:val="nil"/>
          <w:right w:val="nil"/>
          <w:between w:val="nil"/>
        </w:pBdr>
        <w:spacing w:line="480" w:lineRule="auto"/>
        <w:ind w:firstLine="340"/>
      </w:pPr>
      <w:proofErr w:type="spellStart"/>
      <w:r>
        <w:t>Reise</w:t>
      </w:r>
      <w:proofErr w:type="spellEnd"/>
      <w:r>
        <w:t xml:space="preserve"> (2012) also argues for an analysis of the invariance of the general factor in any bifactor model to confirm the validity of the model and the general factor as a reflection of the true common variance shared by all items. A general factor that is invariant will result in similar factor loadings regardless of which subset of item content domains are included. However, </w:t>
      </w:r>
      <w:proofErr w:type="spellStart"/>
      <w:r>
        <w:t>Reise</w:t>
      </w:r>
      <w:proofErr w:type="spellEnd"/>
      <w:r>
        <w:t xml:space="preserve"> does not suggest a formal statistical test for invariance. Rather he proposes an examination of results from models fitted to multiple </w:t>
      </w:r>
      <w:r w:rsidR="00327EE7">
        <w:t xml:space="preserve">random </w:t>
      </w:r>
      <w:r>
        <w:t xml:space="preserve">subsamples of items. Factor loadings of items onto the general factor in item subsamples that are consistent with item factor loadings in the full model are considered to be an indicator of validity evidence for the model. Therefore, an examination of general factor item loadings from subsamples of items will be compared for the best fitting bifactor model to ascertain the level of invariance.   </w:t>
      </w:r>
    </w:p>
    <w:p w14:paraId="2F5728E8" w14:textId="77777777" w:rsidR="00EA40B7" w:rsidRDefault="00EA40B7">
      <w:pPr>
        <w:jc w:val="left"/>
      </w:pPr>
    </w:p>
    <w:p w14:paraId="3DC925E5" w14:textId="77777777" w:rsidR="00EA40B7" w:rsidRDefault="006B39EF">
      <w:pPr>
        <w:numPr>
          <w:ilvl w:val="0"/>
          <w:numId w:val="1"/>
        </w:numPr>
        <w:jc w:val="center"/>
      </w:pPr>
      <w:r>
        <w:rPr>
          <w:b/>
          <w:smallCaps/>
        </w:rPr>
        <w:t>Results</w:t>
      </w:r>
    </w:p>
    <w:p w14:paraId="68BFA552" w14:textId="77777777" w:rsidR="00EA40B7" w:rsidRDefault="00EA40B7">
      <w:pPr>
        <w:pBdr>
          <w:top w:val="nil"/>
          <w:left w:val="nil"/>
          <w:bottom w:val="nil"/>
          <w:right w:val="nil"/>
          <w:between w:val="nil"/>
        </w:pBdr>
        <w:rPr>
          <w:color w:val="000000"/>
        </w:rPr>
      </w:pPr>
    </w:p>
    <w:p w14:paraId="1B36208B"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In general, none of the fitted models exhibited significant misfit for any item, as is summarized in Table 4, with all RMSEA item fit statistics well under the 0.05 threshold for good fit. Using the RMSEA as a relative fit index, both the unidimensional model and the two-topic bifactor model appeared to generally provide for better item level fit than the three-topic bifactor model or the six-topic bifactor model. However, this may also be a consequence of the choice of the 2PL and GRM models for item responses, and may not necessarily reflect the structure of the data itself. </w:t>
      </w:r>
    </w:p>
    <w:p w14:paraId="5D0F3635" w14:textId="77777777" w:rsidR="00327EE7" w:rsidRDefault="00327EE7" w:rsidP="002D17D4">
      <w:pPr>
        <w:jc w:val="center"/>
        <w:rPr>
          <w:i/>
        </w:rPr>
      </w:pPr>
    </w:p>
    <w:p w14:paraId="21A30073" w14:textId="77777777" w:rsidR="00327EE7" w:rsidRDefault="00327EE7" w:rsidP="002D17D4">
      <w:pPr>
        <w:jc w:val="center"/>
        <w:rPr>
          <w:i/>
        </w:rPr>
      </w:pPr>
    </w:p>
    <w:p w14:paraId="2662C2AD" w14:textId="77777777" w:rsidR="00327EE7" w:rsidRDefault="00327EE7" w:rsidP="002D17D4">
      <w:pPr>
        <w:jc w:val="center"/>
        <w:rPr>
          <w:i/>
        </w:rPr>
      </w:pPr>
    </w:p>
    <w:p w14:paraId="789CE5D3" w14:textId="0554EF08" w:rsidR="002D17D4" w:rsidRPr="00B773E4" w:rsidRDefault="002D17D4" w:rsidP="002D17D4">
      <w:pPr>
        <w:jc w:val="center"/>
        <w:rPr>
          <w:i/>
        </w:rPr>
      </w:pPr>
      <w:r w:rsidRPr="00B773E4">
        <w:rPr>
          <w:i/>
        </w:rPr>
        <w:lastRenderedPageBreak/>
        <w:t>Table 4. RMSEA item-fit statistics by item and model</w:t>
      </w:r>
    </w:p>
    <w:p w14:paraId="3629B7F4" w14:textId="77777777" w:rsidR="002D17D4" w:rsidRPr="00B773E4" w:rsidRDefault="002D17D4" w:rsidP="002D17D4">
      <w:pPr>
        <w:ind w:firstLine="340"/>
      </w:pPr>
    </w:p>
    <w:tbl>
      <w:tblPr>
        <w:tblStyle w:val="a2"/>
        <w:tblW w:w="8280" w:type="dxa"/>
        <w:jc w:val="center"/>
        <w:tblLayout w:type="fixed"/>
        <w:tblLook w:val="0400" w:firstRow="0" w:lastRow="0" w:firstColumn="0" w:lastColumn="0" w:noHBand="0" w:noVBand="1"/>
      </w:tblPr>
      <w:tblGrid>
        <w:gridCol w:w="1613"/>
        <w:gridCol w:w="1717"/>
        <w:gridCol w:w="1620"/>
        <w:gridCol w:w="1620"/>
        <w:gridCol w:w="1710"/>
      </w:tblGrid>
      <w:tr w:rsidR="002D17D4" w:rsidRPr="00B773E4" w14:paraId="174E73C5" w14:textId="77777777" w:rsidTr="008141F2">
        <w:trPr>
          <w:trHeight w:val="600"/>
          <w:jc w:val="center"/>
        </w:trPr>
        <w:tc>
          <w:tcPr>
            <w:tcW w:w="1613" w:type="dxa"/>
            <w:tcBorders>
              <w:top w:val="nil"/>
              <w:left w:val="nil"/>
              <w:bottom w:val="single" w:sz="4" w:space="0" w:color="000000"/>
              <w:right w:val="nil"/>
            </w:tcBorders>
            <w:shd w:val="clear" w:color="auto" w:fill="auto"/>
            <w:vAlign w:val="center"/>
          </w:tcPr>
          <w:p w14:paraId="7982DF7B" w14:textId="77777777" w:rsidR="002D17D4" w:rsidRPr="008C1DE0" w:rsidRDefault="002D17D4" w:rsidP="008141F2">
            <w:pPr>
              <w:jc w:val="center"/>
              <w:rPr>
                <w:rFonts w:eastAsia="Calibri"/>
              </w:rPr>
            </w:pPr>
            <w:r w:rsidRPr="008C1DE0">
              <w:rPr>
                <w:rFonts w:eastAsia="Calibri"/>
              </w:rPr>
              <w:t> </w:t>
            </w:r>
          </w:p>
        </w:tc>
        <w:tc>
          <w:tcPr>
            <w:tcW w:w="1717" w:type="dxa"/>
            <w:tcBorders>
              <w:top w:val="single" w:sz="4" w:space="0" w:color="000000"/>
              <w:left w:val="nil"/>
              <w:bottom w:val="single" w:sz="4" w:space="0" w:color="000000"/>
              <w:right w:val="nil"/>
            </w:tcBorders>
            <w:shd w:val="clear" w:color="auto" w:fill="auto"/>
            <w:vAlign w:val="bottom"/>
          </w:tcPr>
          <w:p w14:paraId="2CC47BB4" w14:textId="77777777" w:rsidR="002D17D4" w:rsidRPr="008C1DE0" w:rsidRDefault="002D17D4" w:rsidP="008141F2">
            <w:pPr>
              <w:jc w:val="center"/>
              <w:rPr>
                <w:rFonts w:eastAsia="Calibri"/>
              </w:rPr>
            </w:pPr>
            <w:r w:rsidRPr="008C1DE0">
              <w:rPr>
                <w:rFonts w:eastAsia="Calibri"/>
              </w:rPr>
              <w:t>Unidimensional model</w:t>
            </w:r>
          </w:p>
        </w:tc>
        <w:tc>
          <w:tcPr>
            <w:tcW w:w="1620" w:type="dxa"/>
            <w:tcBorders>
              <w:top w:val="single" w:sz="4" w:space="0" w:color="000000"/>
              <w:left w:val="nil"/>
              <w:bottom w:val="single" w:sz="4" w:space="0" w:color="000000"/>
              <w:right w:val="nil"/>
            </w:tcBorders>
            <w:shd w:val="clear" w:color="auto" w:fill="auto"/>
            <w:vAlign w:val="bottom"/>
          </w:tcPr>
          <w:p w14:paraId="08CA7259" w14:textId="77777777" w:rsidR="002D17D4" w:rsidRPr="008C1DE0" w:rsidRDefault="002D17D4" w:rsidP="008141F2">
            <w:pPr>
              <w:jc w:val="center"/>
              <w:rPr>
                <w:rFonts w:eastAsia="Calibri"/>
              </w:rPr>
            </w:pPr>
            <w:r w:rsidRPr="008C1DE0">
              <w:rPr>
                <w:rFonts w:eastAsia="Calibri"/>
              </w:rPr>
              <w:t>Two-topic bifactor model</w:t>
            </w:r>
          </w:p>
        </w:tc>
        <w:tc>
          <w:tcPr>
            <w:tcW w:w="1620" w:type="dxa"/>
            <w:tcBorders>
              <w:top w:val="single" w:sz="4" w:space="0" w:color="000000"/>
              <w:left w:val="nil"/>
              <w:bottom w:val="single" w:sz="4" w:space="0" w:color="000000"/>
              <w:right w:val="nil"/>
            </w:tcBorders>
            <w:shd w:val="clear" w:color="auto" w:fill="auto"/>
            <w:vAlign w:val="bottom"/>
          </w:tcPr>
          <w:p w14:paraId="59917E85" w14:textId="77777777" w:rsidR="002D17D4" w:rsidRPr="008C1DE0" w:rsidRDefault="002D17D4" w:rsidP="008141F2">
            <w:pPr>
              <w:jc w:val="center"/>
              <w:rPr>
                <w:rFonts w:eastAsia="Calibri"/>
              </w:rPr>
            </w:pPr>
            <w:r w:rsidRPr="008C1DE0">
              <w:rPr>
                <w:rFonts w:eastAsia="Calibri"/>
              </w:rPr>
              <w:t>Three-topic bifactor model</w:t>
            </w:r>
          </w:p>
        </w:tc>
        <w:tc>
          <w:tcPr>
            <w:tcW w:w="1710" w:type="dxa"/>
            <w:tcBorders>
              <w:top w:val="single" w:sz="4" w:space="0" w:color="000000"/>
              <w:left w:val="nil"/>
              <w:bottom w:val="single" w:sz="4" w:space="0" w:color="000000"/>
              <w:right w:val="nil"/>
            </w:tcBorders>
            <w:shd w:val="clear" w:color="auto" w:fill="auto"/>
            <w:vAlign w:val="bottom"/>
          </w:tcPr>
          <w:p w14:paraId="3DAFAB61" w14:textId="77777777" w:rsidR="002D17D4" w:rsidRPr="008C1DE0" w:rsidRDefault="002D17D4" w:rsidP="008141F2">
            <w:pPr>
              <w:jc w:val="center"/>
              <w:rPr>
                <w:rFonts w:eastAsia="Calibri"/>
              </w:rPr>
            </w:pPr>
            <w:r w:rsidRPr="008C1DE0">
              <w:rPr>
                <w:rFonts w:eastAsia="Calibri"/>
              </w:rPr>
              <w:t>Six-topic bifactor model</w:t>
            </w:r>
          </w:p>
        </w:tc>
      </w:tr>
      <w:tr w:rsidR="002D17D4" w:rsidRPr="00B773E4" w14:paraId="6C169EC5" w14:textId="77777777" w:rsidTr="008141F2">
        <w:trPr>
          <w:trHeight w:val="300"/>
          <w:jc w:val="center"/>
        </w:trPr>
        <w:tc>
          <w:tcPr>
            <w:tcW w:w="1613" w:type="dxa"/>
            <w:tcBorders>
              <w:top w:val="nil"/>
              <w:left w:val="nil"/>
              <w:bottom w:val="nil"/>
              <w:right w:val="nil"/>
            </w:tcBorders>
            <w:shd w:val="clear" w:color="auto" w:fill="auto"/>
            <w:vAlign w:val="bottom"/>
          </w:tcPr>
          <w:p w14:paraId="37BC03A4" w14:textId="77777777" w:rsidR="002D17D4" w:rsidRPr="008C1DE0" w:rsidRDefault="002D17D4" w:rsidP="008141F2">
            <w:pPr>
              <w:jc w:val="center"/>
              <w:rPr>
                <w:rFonts w:eastAsia="Calibri"/>
              </w:rPr>
            </w:pPr>
            <w:r w:rsidRPr="008C1DE0">
              <w:rPr>
                <w:rFonts w:eastAsia="Calibri"/>
              </w:rPr>
              <w:t>{1, 2}</w:t>
            </w:r>
          </w:p>
        </w:tc>
        <w:tc>
          <w:tcPr>
            <w:tcW w:w="1717" w:type="dxa"/>
            <w:tcBorders>
              <w:top w:val="nil"/>
              <w:left w:val="nil"/>
              <w:bottom w:val="nil"/>
              <w:right w:val="nil"/>
            </w:tcBorders>
            <w:shd w:val="clear" w:color="auto" w:fill="auto"/>
            <w:vAlign w:val="bottom"/>
          </w:tcPr>
          <w:p w14:paraId="42E47176" w14:textId="77777777" w:rsidR="002D17D4" w:rsidRPr="008C1DE0" w:rsidRDefault="002D17D4" w:rsidP="008141F2">
            <w:pPr>
              <w:jc w:val="center"/>
              <w:rPr>
                <w:rFonts w:eastAsia="Calibri"/>
              </w:rPr>
            </w:pPr>
            <w:r w:rsidRPr="008C1DE0">
              <w:rPr>
                <w:rFonts w:eastAsia="Calibri"/>
              </w:rPr>
              <w:t>0.012</w:t>
            </w:r>
          </w:p>
        </w:tc>
        <w:tc>
          <w:tcPr>
            <w:tcW w:w="1620" w:type="dxa"/>
            <w:tcBorders>
              <w:top w:val="nil"/>
              <w:left w:val="nil"/>
              <w:bottom w:val="nil"/>
              <w:right w:val="nil"/>
            </w:tcBorders>
            <w:shd w:val="clear" w:color="auto" w:fill="auto"/>
            <w:vAlign w:val="bottom"/>
          </w:tcPr>
          <w:p w14:paraId="50E18F43" w14:textId="77777777" w:rsidR="002D17D4" w:rsidRPr="008C1DE0" w:rsidRDefault="002D17D4" w:rsidP="008141F2">
            <w:pPr>
              <w:jc w:val="center"/>
              <w:rPr>
                <w:rFonts w:eastAsia="Calibri"/>
              </w:rPr>
            </w:pPr>
            <w:r w:rsidRPr="008C1DE0">
              <w:rPr>
                <w:rFonts w:eastAsia="Calibri"/>
              </w:rPr>
              <w:t>0.011</w:t>
            </w:r>
          </w:p>
        </w:tc>
        <w:tc>
          <w:tcPr>
            <w:tcW w:w="1620" w:type="dxa"/>
            <w:tcBorders>
              <w:top w:val="nil"/>
              <w:left w:val="nil"/>
              <w:bottom w:val="nil"/>
              <w:right w:val="nil"/>
            </w:tcBorders>
            <w:shd w:val="clear" w:color="auto" w:fill="auto"/>
            <w:vAlign w:val="bottom"/>
          </w:tcPr>
          <w:p w14:paraId="7841DD8B" w14:textId="77777777" w:rsidR="002D17D4" w:rsidRPr="008C1DE0" w:rsidRDefault="002D17D4" w:rsidP="008141F2">
            <w:pPr>
              <w:jc w:val="center"/>
              <w:rPr>
                <w:rFonts w:eastAsia="Calibri"/>
              </w:rPr>
            </w:pPr>
            <w:r w:rsidRPr="008C1DE0">
              <w:rPr>
                <w:rFonts w:eastAsia="Calibri"/>
              </w:rPr>
              <w:t>0.015</w:t>
            </w:r>
          </w:p>
        </w:tc>
        <w:tc>
          <w:tcPr>
            <w:tcW w:w="1710" w:type="dxa"/>
            <w:tcBorders>
              <w:top w:val="nil"/>
              <w:left w:val="nil"/>
              <w:bottom w:val="nil"/>
              <w:right w:val="nil"/>
            </w:tcBorders>
            <w:shd w:val="clear" w:color="auto" w:fill="auto"/>
            <w:vAlign w:val="bottom"/>
          </w:tcPr>
          <w:p w14:paraId="11DD2665" w14:textId="77777777" w:rsidR="002D17D4" w:rsidRPr="008C1DE0" w:rsidRDefault="002D17D4" w:rsidP="008141F2">
            <w:pPr>
              <w:jc w:val="center"/>
              <w:rPr>
                <w:rFonts w:eastAsia="Calibri"/>
              </w:rPr>
            </w:pPr>
            <w:r w:rsidRPr="008C1DE0">
              <w:rPr>
                <w:rFonts w:eastAsia="Calibri"/>
              </w:rPr>
              <w:t>0.039</w:t>
            </w:r>
          </w:p>
        </w:tc>
      </w:tr>
      <w:tr w:rsidR="002D17D4" w:rsidRPr="00B773E4" w14:paraId="1D2EA410" w14:textId="77777777" w:rsidTr="008141F2">
        <w:trPr>
          <w:trHeight w:val="300"/>
          <w:jc w:val="center"/>
        </w:trPr>
        <w:tc>
          <w:tcPr>
            <w:tcW w:w="1613" w:type="dxa"/>
            <w:tcBorders>
              <w:top w:val="nil"/>
              <w:left w:val="nil"/>
              <w:bottom w:val="nil"/>
              <w:right w:val="nil"/>
            </w:tcBorders>
            <w:shd w:val="clear" w:color="auto" w:fill="auto"/>
            <w:vAlign w:val="bottom"/>
          </w:tcPr>
          <w:p w14:paraId="3AD5E09B" w14:textId="77777777" w:rsidR="002D17D4" w:rsidRPr="008C1DE0" w:rsidRDefault="002D17D4" w:rsidP="008141F2">
            <w:pPr>
              <w:jc w:val="center"/>
              <w:rPr>
                <w:rFonts w:eastAsia="Calibri"/>
              </w:rPr>
            </w:pPr>
            <w:r w:rsidRPr="008C1DE0">
              <w:rPr>
                <w:rFonts w:eastAsia="Calibri"/>
              </w:rPr>
              <w:t>{3, 4, 5}</w:t>
            </w:r>
          </w:p>
        </w:tc>
        <w:tc>
          <w:tcPr>
            <w:tcW w:w="1717" w:type="dxa"/>
            <w:tcBorders>
              <w:top w:val="nil"/>
              <w:left w:val="nil"/>
              <w:bottom w:val="nil"/>
              <w:right w:val="nil"/>
            </w:tcBorders>
            <w:shd w:val="clear" w:color="auto" w:fill="auto"/>
            <w:vAlign w:val="bottom"/>
          </w:tcPr>
          <w:p w14:paraId="3A1669A9" w14:textId="77777777" w:rsidR="002D17D4" w:rsidRPr="008C1DE0" w:rsidRDefault="002D17D4" w:rsidP="008141F2">
            <w:pPr>
              <w:jc w:val="center"/>
              <w:rPr>
                <w:rFonts w:eastAsia="Calibri"/>
              </w:rPr>
            </w:pPr>
            <w:r w:rsidRPr="008C1DE0">
              <w:rPr>
                <w:rFonts w:eastAsia="Calibri"/>
              </w:rPr>
              <w:t>0.013</w:t>
            </w:r>
          </w:p>
        </w:tc>
        <w:tc>
          <w:tcPr>
            <w:tcW w:w="1620" w:type="dxa"/>
            <w:tcBorders>
              <w:top w:val="nil"/>
              <w:left w:val="nil"/>
              <w:bottom w:val="nil"/>
              <w:right w:val="nil"/>
            </w:tcBorders>
            <w:shd w:val="clear" w:color="auto" w:fill="auto"/>
            <w:vAlign w:val="bottom"/>
          </w:tcPr>
          <w:p w14:paraId="08E03996" w14:textId="77777777" w:rsidR="002D17D4" w:rsidRPr="008C1DE0" w:rsidRDefault="002D17D4" w:rsidP="008141F2">
            <w:pPr>
              <w:jc w:val="center"/>
              <w:rPr>
                <w:rFonts w:eastAsia="Calibri"/>
              </w:rPr>
            </w:pPr>
            <w:r w:rsidRPr="008C1DE0">
              <w:rPr>
                <w:rFonts w:eastAsia="Calibri"/>
              </w:rPr>
              <w:t>0.013</w:t>
            </w:r>
          </w:p>
        </w:tc>
        <w:tc>
          <w:tcPr>
            <w:tcW w:w="1620" w:type="dxa"/>
            <w:tcBorders>
              <w:top w:val="nil"/>
              <w:left w:val="nil"/>
              <w:bottom w:val="nil"/>
              <w:right w:val="nil"/>
            </w:tcBorders>
            <w:shd w:val="clear" w:color="auto" w:fill="auto"/>
            <w:vAlign w:val="bottom"/>
          </w:tcPr>
          <w:p w14:paraId="1D0DE405" w14:textId="77777777" w:rsidR="002D17D4" w:rsidRPr="008C1DE0" w:rsidRDefault="002D17D4" w:rsidP="008141F2">
            <w:pPr>
              <w:jc w:val="center"/>
              <w:rPr>
                <w:rFonts w:eastAsia="Calibri"/>
              </w:rPr>
            </w:pPr>
            <w:r w:rsidRPr="008C1DE0">
              <w:rPr>
                <w:rFonts w:eastAsia="Calibri"/>
              </w:rPr>
              <w:t>0.013</w:t>
            </w:r>
          </w:p>
        </w:tc>
        <w:tc>
          <w:tcPr>
            <w:tcW w:w="1710" w:type="dxa"/>
            <w:tcBorders>
              <w:top w:val="nil"/>
              <w:left w:val="nil"/>
              <w:bottom w:val="nil"/>
              <w:right w:val="nil"/>
            </w:tcBorders>
            <w:shd w:val="clear" w:color="auto" w:fill="auto"/>
            <w:vAlign w:val="bottom"/>
          </w:tcPr>
          <w:p w14:paraId="38F153F5" w14:textId="77777777" w:rsidR="002D17D4" w:rsidRPr="008C1DE0" w:rsidRDefault="002D17D4" w:rsidP="008141F2">
            <w:pPr>
              <w:jc w:val="center"/>
              <w:rPr>
                <w:rFonts w:eastAsia="Calibri"/>
              </w:rPr>
            </w:pPr>
            <w:r w:rsidRPr="008C1DE0">
              <w:rPr>
                <w:rFonts w:eastAsia="Calibri"/>
              </w:rPr>
              <w:t>0.016</w:t>
            </w:r>
          </w:p>
        </w:tc>
      </w:tr>
      <w:tr w:rsidR="002D17D4" w:rsidRPr="00B773E4" w14:paraId="30945390" w14:textId="77777777" w:rsidTr="008141F2">
        <w:trPr>
          <w:trHeight w:val="300"/>
          <w:jc w:val="center"/>
        </w:trPr>
        <w:tc>
          <w:tcPr>
            <w:tcW w:w="1613" w:type="dxa"/>
            <w:tcBorders>
              <w:top w:val="nil"/>
              <w:left w:val="nil"/>
              <w:bottom w:val="nil"/>
              <w:right w:val="nil"/>
            </w:tcBorders>
            <w:shd w:val="clear" w:color="auto" w:fill="auto"/>
            <w:vAlign w:val="bottom"/>
          </w:tcPr>
          <w:p w14:paraId="2158CD49" w14:textId="77777777" w:rsidR="002D17D4" w:rsidRPr="008C1DE0" w:rsidRDefault="002D17D4" w:rsidP="008141F2">
            <w:pPr>
              <w:jc w:val="center"/>
              <w:rPr>
                <w:rFonts w:eastAsia="Calibri"/>
              </w:rPr>
            </w:pPr>
            <w:r w:rsidRPr="008C1DE0">
              <w:rPr>
                <w:rFonts w:eastAsia="Calibri"/>
              </w:rPr>
              <w:t>6</w:t>
            </w:r>
          </w:p>
        </w:tc>
        <w:tc>
          <w:tcPr>
            <w:tcW w:w="1717" w:type="dxa"/>
            <w:tcBorders>
              <w:top w:val="nil"/>
              <w:left w:val="nil"/>
              <w:bottom w:val="nil"/>
              <w:right w:val="nil"/>
            </w:tcBorders>
            <w:shd w:val="clear" w:color="auto" w:fill="auto"/>
            <w:vAlign w:val="bottom"/>
          </w:tcPr>
          <w:p w14:paraId="66C82A55" w14:textId="77777777" w:rsidR="002D17D4" w:rsidRPr="008C1DE0" w:rsidRDefault="002D17D4" w:rsidP="008141F2">
            <w:pPr>
              <w:jc w:val="center"/>
              <w:rPr>
                <w:rFonts w:eastAsia="Calibri"/>
              </w:rPr>
            </w:pPr>
            <w:r w:rsidRPr="008C1DE0">
              <w:rPr>
                <w:rFonts w:eastAsia="Calibri"/>
              </w:rPr>
              <w:t>0.010</w:t>
            </w:r>
          </w:p>
        </w:tc>
        <w:tc>
          <w:tcPr>
            <w:tcW w:w="1620" w:type="dxa"/>
            <w:tcBorders>
              <w:top w:val="nil"/>
              <w:left w:val="nil"/>
              <w:bottom w:val="nil"/>
              <w:right w:val="nil"/>
            </w:tcBorders>
            <w:shd w:val="clear" w:color="auto" w:fill="auto"/>
            <w:vAlign w:val="bottom"/>
          </w:tcPr>
          <w:p w14:paraId="280CDD4A" w14:textId="77777777" w:rsidR="002D17D4" w:rsidRPr="008C1DE0" w:rsidRDefault="002D17D4" w:rsidP="008141F2">
            <w:pPr>
              <w:jc w:val="center"/>
              <w:rPr>
                <w:rFonts w:eastAsia="Calibri"/>
              </w:rPr>
            </w:pPr>
            <w:r w:rsidRPr="008C1DE0">
              <w:rPr>
                <w:rFonts w:eastAsia="Calibri"/>
              </w:rPr>
              <w:t>0.009</w:t>
            </w:r>
          </w:p>
        </w:tc>
        <w:tc>
          <w:tcPr>
            <w:tcW w:w="1620" w:type="dxa"/>
            <w:tcBorders>
              <w:top w:val="nil"/>
              <w:left w:val="nil"/>
              <w:bottom w:val="nil"/>
              <w:right w:val="nil"/>
            </w:tcBorders>
            <w:shd w:val="clear" w:color="auto" w:fill="auto"/>
            <w:vAlign w:val="bottom"/>
          </w:tcPr>
          <w:p w14:paraId="109234A1" w14:textId="77777777" w:rsidR="002D17D4" w:rsidRPr="008C1DE0" w:rsidRDefault="002D17D4" w:rsidP="008141F2">
            <w:pPr>
              <w:jc w:val="center"/>
              <w:rPr>
                <w:rFonts w:eastAsia="Calibri"/>
              </w:rPr>
            </w:pPr>
            <w:r w:rsidRPr="008C1DE0">
              <w:rPr>
                <w:rFonts w:eastAsia="Calibri"/>
              </w:rPr>
              <w:t>0.013</w:t>
            </w:r>
          </w:p>
        </w:tc>
        <w:tc>
          <w:tcPr>
            <w:tcW w:w="1710" w:type="dxa"/>
            <w:tcBorders>
              <w:top w:val="nil"/>
              <w:left w:val="nil"/>
              <w:bottom w:val="nil"/>
              <w:right w:val="nil"/>
            </w:tcBorders>
            <w:shd w:val="clear" w:color="auto" w:fill="auto"/>
            <w:vAlign w:val="bottom"/>
          </w:tcPr>
          <w:p w14:paraId="53F9C8AC" w14:textId="77777777" w:rsidR="002D17D4" w:rsidRPr="008C1DE0" w:rsidRDefault="002D17D4" w:rsidP="008141F2">
            <w:pPr>
              <w:jc w:val="center"/>
              <w:rPr>
                <w:rFonts w:eastAsia="Calibri"/>
              </w:rPr>
            </w:pPr>
            <w:r w:rsidRPr="008C1DE0">
              <w:rPr>
                <w:rFonts w:eastAsia="Calibri"/>
              </w:rPr>
              <w:t>0.027</w:t>
            </w:r>
          </w:p>
        </w:tc>
      </w:tr>
      <w:tr w:rsidR="002D17D4" w:rsidRPr="00B773E4" w14:paraId="3A591F85" w14:textId="77777777" w:rsidTr="008141F2">
        <w:trPr>
          <w:trHeight w:val="300"/>
          <w:jc w:val="center"/>
        </w:trPr>
        <w:tc>
          <w:tcPr>
            <w:tcW w:w="1613" w:type="dxa"/>
            <w:tcBorders>
              <w:top w:val="nil"/>
              <w:left w:val="nil"/>
              <w:bottom w:val="nil"/>
              <w:right w:val="nil"/>
            </w:tcBorders>
            <w:shd w:val="clear" w:color="auto" w:fill="auto"/>
            <w:vAlign w:val="bottom"/>
          </w:tcPr>
          <w:p w14:paraId="4556966D" w14:textId="77777777" w:rsidR="002D17D4" w:rsidRPr="008C1DE0" w:rsidRDefault="002D17D4" w:rsidP="008141F2">
            <w:pPr>
              <w:jc w:val="center"/>
              <w:rPr>
                <w:rFonts w:eastAsia="Calibri"/>
              </w:rPr>
            </w:pPr>
            <w:r w:rsidRPr="008C1DE0">
              <w:rPr>
                <w:rFonts w:eastAsia="Calibri"/>
              </w:rPr>
              <w:t>7</w:t>
            </w:r>
          </w:p>
        </w:tc>
        <w:tc>
          <w:tcPr>
            <w:tcW w:w="1717" w:type="dxa"/>
            <w:tcBorders>
              <w:top w:val="nil"/>
              <w:left w:val="nil"/>
              <w:bottom w:val="nil"/>
              <w:right w:val="nil"/>
            </w:tcBorders>
            <w:shd w:val="clear" w:color="auto" w:fill="auto"/>
            <w:vAlign w:val="bottom"/>
          </w:tcPr>
          <w:p w14:paraId="25D5A8A5" w14:textId="77777777" w:rsidR="002D17D4" w:rsidRPr="008C1DE0" w:rsidRDefault="002D17D4" w:rsidP="008141F2">
            <w:pPr>
              <w:jc w:val="center"/>
              <w:rPr>
                <w:rFonts w:eastAsia="Calibri"/>
              </w:rPr>
            </w:pPr>
            <w:r w:rsidRPr="008C1DE0">
              <w:rPr>
                <w:rFonts w:eastAsia="Calibri"/>
              </w:rPr>
              <w:t>0.018</w:t>
            </w:r>
          </w:p>
        </w:tc>
        <w:tc>
          <w:tcPr>
            <w:tcW w:w="1620" w:type="dxa"/>
            <w:tcBorders>
              <w:top w:val="nil"/>
              <w:left w:val="nil"/>
              <w:bottom w:val="nil"/>
              <w:right w:val="nil"/>
            </w:tcBorders>
            <w:shd w:val="clear" w:color="auto" w:fill="auto"/>
            <w:vAlign w:val="bottom"/>
          </w:tcPr>
          <w:p w14:paraId="10B37BA4" w14:textId="77777777" w:rsidR="002D17D4" w:rsidRPr="008C1DE0" w:rsidRDefault="002D17D4" w:rsidP="008141F2">
            <w:pPr>
              <w:jc w:val="center"/>
              <w:rPr>
                <w:rFonts w:eastAsia="Calibri"/>
              </w:rPr>
            </w:pPr>
            <w:r w:rsidRPr="008C1DE0">
              <w:rPr>
                <w:rFonts w:eastAsia="Calibri"/>
              </w:rPr>
              <w:t>0.016</w:t>
            </w:r>
          </w:p>
        </w:tc>
        <w:tc>
          <w:tcPr>
            <w:tcW w:w="1620" w:type="dxa"/>
            <w:tcBorders>
              <w:top w:val="nil"/>
              <w:left w:val="nil"/>
              <w:bottom w:val="nil"/>
              <w:right w:val="nil"/>
            </w:tcBorders>
            <w:shd w:val="clear" w:color="auto" w:fill="auto"/>
            <w:vAlign w:val="bottom"/>
          </w:tcPr>
          <w:p w14:paraId="509AF0CF" w14:textId="77777777" w:rsidR="002D17D4" w:rsidRPr="008C1DE0" w:rsidRDefault="002D17D4" w:rsidP="008141F2">
            <w:pPr>
              <w:jc w:val="center"/>
              <w:rPr>
                <w:rFonts w:eastAsia="Calibri"/>
              </w:rPr>
            </w:pPr>
            <w:r w:rsidRPr="008C1DE0">
              <w:rPr>
                <w:rFonts w:eastAsia="Calibri"/>
              </w:rPr>
              <w:t>0.019</w:t>
            </w:r>
          </w:p>
        </w:tc>
        <w:tc>
          <w:tcPr>
            <w:tcW w:w="1710" w:type="dxa"/>
            <w:tcBorders>
              <w:top w:val="nil"/>
              <w:left w:val="nil"/>
              <w:bottom w:val="nil"/>
              <w:right w:val="nil"/>
            </w:tcBorders>
            <w:shd w:val="clear" w:color="auto" w:fill="auto"/>
            <w:vAlign w:val="bottom"/>
          </w:tcPr>
          <w:p w14:paraId="631511CF" w14:textId="77777777" w:rsidR="002D17D4" w:rsidRPr="008C1DE0" w:rsidRDefault="002D17D4" w:rsidP="008141F2">
            <w:pPr>
              <w:jc w:val="center"/>
              <w:rPr>
                <w:rFonts w:eastAsia="Calibri"/>
              </w:rPr>
            </w:pPr>
            <w:r w:rsidRPr="008C1DE0">
              <w:rPr>
                <w:rFonts w:eastAsia="Calibri"/>
              </w:rPr>
              <w:t>0.019</w:t>
            </w:r>
          </w:p>
        </w:tc>
      </w:tr>
      <w:tr w:rsidR="002D17D4" w:rsidRPr="00B773E4" w14:paraId="72927D61" w14:textId="77777777" w:rsidTr="008141F2">
        <w:trPr>
          <w:trHeight w:val="300"/>
          <w:jc w:val="center"/>
        </w:trPr>
        <w:tc>
          <w:tcPr>
            <w:tcW w:w="1613" w:type="dxa"/>
            <w:tcBorders>
              <w:top w:val="nil"/>
              <w:left w:val="nil"/>
              <w:bottom w:val="nil"/>
              <w:right w:val="nil"/>
            </w:tcBorders>
            <w:shd w:val="clear" w:color="auto" w:fill="auto"/>
            <w:vAlign w:val="bottom"/>
          </w:tcPr>
          <w:p w14:paraId="081B0BAF" w14:textId="77777777" w:rsidR="002D17D4" w:rsidRPr="008C1DE0" w:rsidRDefault="002D17D4" w:rsidP="008141F2">
            <w:pPr>
              <w:jc w:val="center"/>
              <w:rPr>
                <w:rFonts w:eastAsia="Calibri"/>
              </w:rPr>
            </w:pPr>
            <w:r w:rsidRPr="008C1DE0">
              <w:rPr>
                <w:rFonts w:eastAsia="Calibri"/>
              </w:rPr>
              <w:t>{8, 9, 10}</w:t>
            </w:r>
          </w:p>
        </w:tc>
        <w:tc>
          <w:tcPr>
            <w:tcW w:w="1717" w:type="dxa"/>
            <w:tcBorders>
              <w:top w:val="nil"/>
              <w:left w:val="nil"/>
              <w:bottom w:val="nil"/>
              <w:right w:val="nil"/>
            </w:tcBorders>
            <w:shd w:val="clear" w:color="auto" w:fill="auto"/>
            <w:vAlign w:val="bottom"/>
          </w:tcPr>
          <w:p w14:paraId="109BEE4D" w14:textId="77777777" w:rsidR="002D17D4" w:rsidRPr="008C1DE0" w:rsidRDefault="002D17D4" w:rsidP="008141F2">
            <w:pPr>
              <w:jc w:val="center"/>
              <w:rPr>
                <w:rFonts w:eastAsia="Calibri"/>
              </w:rPr>
            </w:pPr>
            <w:r w:rsidRPr="008C1DE0">
              <w:rPr>
                <w:rFonts w:eastAsia="Calibri"/>
              </w:rPr>
              <w:t>0.015</w:t>
            </w:r>
          </w:p>
        </w:tc>
        <w:tc>
          <w:tcPr>
            <w:tcW w:w="1620" w:type="dxa"/>
            <w:tcBorders>
              <w:top w:val="nil"/>
              <w:left w:val="nil"/>
              <w:bottom w:val="nil"/>
              <w:right w:val="nil"/>
            </w:tcBorders>
            <w:shd w:val="clear" w:color="auto" w:fill="auto"/>
            <w:vAlign w:val="bottom"/>
          </w:tcPr>
          <w:p w14:paraId="4911BC84" w14:textId="77777777" w:rsidR="002D17D4" w:rsidRPr="008C1DE0" w:rsidRDefault="002D17D4" w:rsidP="008141F2">
            <w:pPr>
              <w:jc w:val="center"/>
              <w:rPr>
                <w:rFonts w:eastAsia="Calibri"/>
              </w:rPr>
            </w:pPr>
            <w:r w:rsidRPr="008C1DE0">
              <w:rPr>
                <w:rFonts w:eastAsia="Calibri"/>
              </w:rPr>
              <w:t>0.014</w:t>
            </w:r>
          </w:p>
        </w:tc>
        <w:tc>
          <w:tcPr>
            <w:tcW w:w="1620" w:type="dxa"/>
            <w:tcBorders>
              <w:top w:val="nil"/>
              <w:left w:val="nil"/>
              <w:bottom w:val="nil"/>
              <w:right w:val="nil"/>
            </w:tcBorders>
            <w:shd w:val="clear" w:color="auto" w:fill="auto"/>
            <w:vAlign w:val="bottom"/>
          </w:tcPr>
          <w:p w14:paraId="4879E4CD" w14:textId="77777777" w:rsidR="002D17D4" w:rsidRPr="008C1DE0" w:rsidRDefault="002D17D4" w:rsidP="008141F2">
            <w:pPr>
              <w:jc w:val="center"/>
              <w:rPr>
                <w:rFonts w:eastAsia="Calibri"/>
              </w:rPr>
            </w:pPr>
            <w:r w:rsidRPr="008C1DE0">
              <w:rPr>
                <w:rFonts w:eastAsia="Calibri"/>
              </w:rPr>
              <w:t>0.016</w:t>
            </w:r>
          </w:p>
        </w:tc>
        <w:tc>
          <w:tcPr>
            <w:tcW w:w="1710" w:type="dxa"/>
            <w:tcBorders>
              <w:top w:val="nil"/>
              <w:left w:val="nil"/>
              <w:bottom w:val="nil"/>
              <w:right w:val="nil"/>
            </w:tcBorders>
            <w:shd w:val="clear" w:color="auto" w:fill="auto"/>
            <w:vAlign w:val="bottom"/>
          </w:tcPr>
          <w:p w14:paraId="074B65F1" w14:textId="77777777" w:rsidR="002D17D4" w:rsidRPr="008C1DE0" w:rsidRDefault="002D17D4" w:rsidP="008141F2">
            <w:pPr>
              <w:jc w:val="center"/>
              <w:rPr>
                <w:rFonts w:eastAsia="Calibri"/>
              </w:rPr>
            </w:pPr>
            <w:r w:rsidRPr="008C1DE0">
              <w:rPr>
                <w:rFonts w:eastAsia="Calibri"/>
              </w:rPr>
              <w:t>0.014</w:t>
            </w:r>
          </w:p>
        </w:tc>
      </w:tr>
      <w:tr w:rsidR="002D17D4" w:rsidRPr="00B773E4" w14:paraId="3BB031A2" w14:textId="77777777" w:rsidTr="008141F2">
        <w:trPr>
          <w:trHeight w:val="300"/>
          <w:jc w:val="center"/>
        </w:trPr>
        <w:tc>
          <w:tcPr>
            <w:tcW w:w="1613" w:type="dxa"/>
            <w:tcBorders>
              <w:top w:val="nil"/>
              <w:left w:val="nil"/>
              <w:bottom w:val="nil"/>
              <w:right w:val="nil"/>
            </w:tcBorders>
            <w:shd w:val="clear" w:color="auto" w:fill="auto"/>
            <w:vAlign w:val="bottom"/>
          </w:tcPr>
          <w:p w14:paraId="78E0E03B" w14:textId="77777777" w:rsidR="002D17D4" w:rsidRPr="008C1DE0" w:rsidRDefault="002D17D4" w:rsidP="008141F2">
            <w:pPr>
              <w:jc w:val="center"/>
              <w:rPr>
                <w:rFonts w:eastAsia="Calibri"/>
              </w:rPr>
            </w:pPr>
            <w:r w:rsidRPr="008C1DE0">
              <w:rPr>
                <w:rFonts w:eastAsia="Calibri"/>
              </w:rPr>
              <w:t>{11, 12, 13}</w:t>
            </w:r>
          </w:p>
        </w:tc>
        <w:tc>
          <w:tcPr>
            <w:tcW w:w="1717" w:type="dxa"/>
            <w:tcBorders>
              <w:top w:val="nil"/>
              <w:left w:val="nil"/>
              <w:bottom w:val="nil"/>
              <w:right w:val="nil"/>
            </w:tcBorders>
            <w:shd w:val="clear" w:color="auto" w:fill="auto"/>
            <w:vAlign w:val="bottom"/>
          </w:tcPr>
          <w:p w14:paraId="66072A26" w14:textId="77777777" w:rsidR="002D17D4" w:rsidRPr="008C1DE0" w:rsidRDefault="002D17D4" w:rsidP="008141F2">
            <w:pPr>
              <w:jc w:val="center"/>
              <w:rPr>
                <w:rFonts w:eastAsia="Calibri"/>
              </w:rPr>
            </w:pPr>
            <w:r w:rsidRPr="008C1DE0">
              <w:rPr>
                <w:rFonts w:eastAsia="Calibri"/>
              </w:rPr>
              <w:t>0.013</w:t>
            </w:r>
          </w:p>
        </w:tc>
        <w:tc>
          <w:tcPr>
            <w:tcW w:w="1620" w:type="dxa"/>
            <w:tcBorders>
              <w:top w:val="nil"/>
              <w:left w:val="nil"/>
              <w:bottom w:val="nil"/>
              <w:right w:val="nil"/>
            </w:tcBorders>
            <w:shd w:val="clear" w:color="auto" w:fill="auto"/>
            <w:vAlign w:val="bottom"/>
          </w:tcPr>
          <w:p w14:paraId="3BE8D13E" w14:textId="77777777" w:rsidR="002D17D4" w:rsidRPr="008C1DE0" w:rsidRDefault="002D17D4" w:rsidP="008141F2">
            <w:pPr>
              <w:jc w:val="center"/>
              <w:rPr>
                <w:rFonts w:eastAsia="Calibri"/>
              </w:rPr>
            </w:pPr>
            <w:r w:rsidRPr="008C1DE0">
              <w:rPr>
                <w:rFonts w:eastAsia="Calibri"/>
              </w:rPr>
              <w:t>0.013</w:t>
            </w:r>
          </w:p>
        </w:tc>
        <w:tc>
          <w:tcPr>
            <w:tcW w:w="1620" w:type="dxa"/>
            <w:tcBorders>
              <w:top w:val="nil"/>
              <w:left w:val="nil"/>
              <w:bottom w:val="nil"/>
              <w:right w:val="nil"/>
            </w:tcBorders>
            <w:shd w:val="clear" w:color="auto" w:fill="auto"/>
            <w:vAlign w:val="bottom"/>
          </w:tcPr>
          <w:p w14:paraId="6DAFFE67" w14:textId="77777777" w:rsidR="002D17D4" w:rsidRPr="008C1DE0" w:rsidRDefault="002D17D4" w:rsidP="008141F2">
            <w:pPr>
              <w:jc w:val="center"/>
              <w:rPr>
                <w:rFonts w:eastAsia="Calibri"/>
              </w:rPr>
            </w:pPr>
            <w:r w:rsidRPr="008C1DE0">
              <w:rPr>
                <w:rFonts w:eastAsia="Calibri"/>
              </w:rPr>
              <w:t>0.014</w:t>
            </w:r>
          </w:p>
        </w:tc>
        <w:tc>
          <w:tcPr>
            <w:tcW w:w="1710" w:type="dxa"/>
            <w:tcBorders>
              <w:top w:val="nil"/>
              <w:left w:val="nil"/>
              <w:bottom w:val="nil"/>
              <w:right w:val="nil"/>
            </w:tcBorders>
            <w:shd w:val="clear" w:color="auto" w:fill="auto"/>
            <w:vAlign w:val="bottom"/>
          </w:tcPr>
          <w:p w14:paraId="13BFAF2E" w14:textId="77777777" w:rsidR="002D17D4" w:rsidRPr="008C1DE0" w:rsidRDefault="002D17D4" w:rsidP="008141F2">
            <w:pPr>
              <w:jc w:val="center"/>
              <w:rPr>
                <w:rFonts w:eastAsia="Calibri"/>
              </w:rPr>
            </w:pPr>
            <w:r w:rsidRPr="008C1DE0">
              <w:rPr>
                <w:rFonts w:eastAsia="Calibri"/>
              </w:rPr>
              <w:t>0.015</w:t>
            </w:r>
          </w:p>
        </w:tc>
      </w:tr>
      <w:tr w:rsidR="002D17D4" w:rsidRPr="00B773E4" w14:paraId="1D998776" w14:textId="77777777" w:rsidTr="008141F2">
        <w:trPr>
          <w:trHeight w:val="300"/>
          <w:jc w:val="center"/>
        </w:trPr>
        <w:tc>
          <w:tcPr>
            <w:tcW w:w="1613" w:type="dxa"/>
            <w:tcBorders>
              <w:top w:val="nil"/>
              <w:left w:val="nil"/>
              <w:bottom w:val="nil"/>
              <w:right w:val="nil"/>
            </w:tcBorders>
            <w:shd w:val="clear" w:color="auto" w:fill="auto"/>
            <w:vAlign w:val="bottom"/>
          </w:tcPr>
          <w:p w14:paraId="716CD6FC" w14:textId="77777777" w:rsidR="002D17D4" w:rsidRPr="008C1DE0" w:rsidRDefault="002D17D4" w:rsidP="008141F2">
            <w:pPr>
              <w:jc w:val="center"/>
              <w:rPr>
                <w:rFonts w:eastAsia="Calibri"/>
              </w:rPr>
            </w:pPr>
            <w:r w:rsidRPr="008C1DE0">
              <w:rPr>
                <w:rFonts w:eastAsia="Calibri"/>
              </w:rPr>
              <w:t>{14, 15}</w:t>
            </w:r>
          </w:p>
        </w:tc>
        <w:tc>
          <w:tcPr>
            <w:tcW w:w="1717" w:type="dxa"/>
            <w:tcBorders>
              <w:top w:val="nil"/>
              <w:left w:val="nil"/>
              <w:bottom w:val="nil"/>
              <w:right w:val="nil"/>
            </w:tcBorders>
            <w:shd w:val="clear" w:color="auto" w:fill="auto"/>
            <w:vAlign w:val="bottom"/>
          </w:tcPr>
          <w:p w14:paraId="77807828" w14:textId="77777777" w:rsidR="002D17D4" w:rsidRPr="008C1DE0" w:rsidRDefault="002D17D4" w:rsidP="008141F2">
            <w:pPr>
              <w:jc w:val="center"/>
              <w:rPr>
                <w:rFonts w:eastAsia="Calibri"/>
              </w:rPr>
            </w:pPr>
            <w:r w:rsidRPr="008C1DE0">
              <w:rPr>
                <w:rFonts w:eastAsia="Calibri"/>
              </w:rPr>
              <w:t>0.005</w:t>
            </w:r>
          </w:p>
        </w:tc>
        <w:tc>
          <w:tcPr>
            <w:tcW w:w="1620" w:type="dxa"/>
            <w:tcBorders>
              <w:top w:val="nil"/>
              <w:left w:val="nil"/>
              <w:bottom w:val="nil"/>
              <w:right w:val="nil"/>
            </w:tcBorders>
            <w:shd w:val="clear" w:color="auto" w:fill="auto"/>
            <w:vAlign w:val="bottom"/>
          </w:tcPr>
          <w:p w14:paraId="168E850E" w14:textId="77777777" w:rsidR="002D17D4" w:rsidRPr="008C1DE0" w:rsidRDefault="002D17D4" w:rsidP="008141F2">
            <w:pPr>
              <w:jc w:val="center"/>
              <w:rPr>
                <w:rFonts w:eastAsia="Calibri"/>
              </w:rPr>
            </w:pPr>
            <w:r w:rsidRPr="008C1DE0">
              <w:rPr>
                <w:rFonts w:eastAsia="Calibri"/>
              </w:rPr>
              <w:t>0.005</w:t>
            </w:r>
          </w:p>
        </w:tc>
        <w:tc>
          <w:tcPr>
            <w:tcW w:w="1620" w:type="dxa"/>
            <w:tcBorders>
              <w:top w:val="nil"/>
              <w:left w:val="nil"/>
              <w:bottom w:val="nil"/>
              <w:right w:val="nil"/>
            </w:tcBorders>
            <w:shd w:val="clear" w:color="auto" w:fill="auto"/>
            <w:vAlign w:val="bottom"/>
          </w:tcPr>
          <w:p w14:paraId="74931A90" w14:textId="77777777" w:rsidR="002D17D4" w:rsidRPr="008C1DE0" w:rsidRDefault="002D17D4" w:rsidP="008141F2">
            <w:pPr>
              <w:jc w:val="center"/>
              <w:rPr>
                <w:rFonts w:eastAsia="Calibri"/>
              </w:rPr>
            </w:pPr>
            <w:r w:rsidRPr="008C1DE0">
              <w:rPr>
                <w:rFonts w:eastAsia="Calibri"/>
              </w:rPr>
              <w:t>0.006</w:t>
            </w:r>
          </w:p>
        </w:tc>
        <w:tc>
          <w:tcPr>
            <w:tcW w:w="1710" w:type="dxa"/>
            <w:tcBorders>
              <w:top w:val="nil"/>
              <w:left w:val="nil"/>
              <w:bottom w:val="nil"/>
              <w:right w:val="nil"/>
            </w:tcBorders>
            <w:shd w:val="clear" w:color="auto" w:fill="auto"/>
            <w:vAlign w:val="bottom"/>
          </w:tcPr>
          <w:p w14:paraId="4A6EF428" w14:textId="77777777" w:rsidR="002D17D4" w:rsidRPr="008C1DE0" w:rsidRDefault="002D17D4" w:rsidP="008141F2">
            <w:pPr>
              <w:jc w:val="center"/>
              <w:rPr>
                <w:rFonts w:eastAsia="Calibri"/>
              </w:rPr>
            </w:pPr>
            <w:r w:rsidRPr="008C1DE0">
              <w:rPr>
                <w:rFonts w:eastAsia="Calibri"/>
              </w:rPr>
              <w:t>0.014</w:t>
            </w:r>
          </w:p>
        </w:tc>
      </w:tr>
      <w:tr w:rsidR="002D17D4" w:rsidRPr="00B773E4" w14:paraId="3E377462" w14:textId="77777777" w:rsidTr="008141F2">
        <w:trPr>
          <w:trHeight w:val="300"/>
          <w:jc w:val="center"/>
        </w:trPr>
        <w:tc>
          <w:tcPr>
            <w:tcW w:w="1613" w:type="dxa"/>
            <w:tcBorders>
              <w:top w:val="nil"/>
              <w:left w:val="nil"/>
              <w:bottom w:val="nil"/>
              <w:right w:val="nil"/>
            </w:tcBorders>
            <w:shd w:val="clear" w:color="auto" w:fill="auto"/>
            <w:vAlign w:val="bottom"/>
          </w:tcPr>
          <w:p w14:paraId="25EE870C" w14:textId="77777777" w:rsidR="002D17D4" w:rsidRPr="008C1DE0" w:rsidRDefault="002D17D4" w:rsidP="008141F2">
            <w:pPr>
              <w:jc w:val="center"/>
              <w:rPr>
                <w:rFonts w:eastAsia="Calibri"/>
              </w:rPr>
            </w:pPr>
            <w:r w:rsidRPr="008C1DE0">
              <w:rPr>
                <w:rFonts w:eastAsia="Calibri"/>
              </w:rPr>
              <w:t>16</w:t>
            </w:r>
          </w:p>
        </w:tc>
        <w:tc>
          <w:tcPr>
            <w:tcW w:w="1717" w:type="dxa"/>
            <w:tcBorders>
              <w:top w:val="nil"/>
              <w:left w:val="nil"/>
              <w:bottom w:val="nil"/>
              <w:right w:val="nil"/>
            </w:tcBorders>
            <w:shd w:val="clear" w:color="auto" w:fill="auto"/>
            <w:vAlign w:val="bottom"/>
          </w:tcPr>
          <w:p w14:paraId="4ABF8E48" w14:textId="77777777" w:rsidR="002D17D4" w:rsidRPr="008C1DE0" w:rsidRDefault="002D17D4" w:rsidP="008141F2">
            <w:pPr>
              <w:jc w:val="center"/>
              <w:rPr>
                <w:rFonts w:eastAsia="Calibri"/>
              </w:rPr>
            </w:pPr>
            <w:r w:rsidRPr="008C1DE0">
              <w:rPr>
                <w:rFonts w:eastAsia="Calibri"/>
              </w:rPr>
              <w:t>0.010</w:t>
            </w:r>
          </w:p>
        </w:tc>
        <w:tc>
          <w:tcPr>
            <w:tcW w:w="1620" w:type="dxa"/>
            <w:tcBorders>
              <w:top w:val="nil"/>
              <w:left w:val="nil"/>
              <w:bottom w:val="nil"/>
              <w:right w:val="nil"/>
            </w:tcBorders>
            <w:shd w:val="clear" w:color="auto" w:fill="auto"/>
            <w:vAlign w:val="bottom"/>
          </w:tcPr>
          <w:p w14:paraId="31C23F77" w14:textId="77777777" w:rsidR="002D17D4" w:rsidRPr="008C1DE0" w:rsidRDefault="002D17D4" w:rsidP="008141F2">
            <w:pPr>
              <w:jc w:val="center"/>
              <w:rPr>
                <w:rFonts w:eastAsia="Calibri"/>
              </w:rPr>
            </w:pPr>
            <w:r w:rsidRPr="008C1DE0">
              <w:rPr>
                <w:rFonts w:eastAsia="Calibri"/>
              </w:rPr>
              <w:t>0.011</w:t>
            </w:r>
          </w:p>
        </w:tc>
        <w:tc>
          <w:tcPr>
            <w:tcW w:w="1620" w:type="dxa"/>
            <w:tcBorders>
              <w:top w:val="nil"/>
              <w:left w:val="nil"/>
              <w:bottom w:val="nil"/>
              <w:right w:val="nil"/>
            </w:tcBorders>
            <w:shd w:val="clear" w:color="auto" w:fill="auto"/>
            <w:vAlign w:val="bottom"/>
          </w:tcPr>
          <w:p w14:paraId="040993DF" w14:textId="77777777" w:rsidR="002D17D4" w:rsidRPr="008C1DE0" w:rsidRDefault="002D17D4" w:rsidP="008141F2">
            <w:pPr>
              <w:jc w:val="center"/>
              <w:rPr>
                <w:rFonts w:eastAsia="Calibri"/>
              </w:rPr>
            </w:pPr>
            <w:r w:rsidRPr="008C1DE0">
              <w:rPr>
                <w:rFonts w:eastAsia="Calibri"/>
              </w:rPr>
              <w:t>0.017</w:t>
            </w:r>
          </w:p>
        </w:tc>
        <w:tc>
          <w:tcPr>
            <w:tcW w:w="1710" w:type="dxa"/>
            <w:tcBorders>
              <w:top w:val="nil"/>
              <w:left w:val="nil"/>
              <w:bottom w:val="nil"/>
              <w:right w:val="nil"/>
            </w:tcBorders>
            <w:shd w:val="clear" w:color="auto" w:fill="auto"/>
            <w:vAlign w:val="bottom"/>
          </w:tcPr>
          <w:p w14:paraId="7E7A8B1B" w14:textId="77777777" w:rsidR="002D17D4" w:rsidRPr="008C1DE0" w:rsidRDefault="002D17D4" w:rsidP="008141F2">
            <w:pPr>
              <w:jc w:val="center"/>
              <w:rPr>
                <w:rFonts w:eastAsia="Calibri"/>
              </w:rPr>
            </w:pPr>
            <w:r w:rsidRPr="008C1DE0">
              <w:rPr>
                <w:rFonts w:eastAsia="Calibri"/>
              </w:rPr>
              <w:t>0.036</w:t>
            </w:r>
          </w:p>
        </w:tc>
      </w:tr>
      <w:tr w:rsidR="002D17D4" w:rsidRPr="00B773E4" w14:paraId="12AC9FCD" w14:textId="77777777" w:rsidTr="008141F2">
        <w:trPr>
          <w:trHeight w:val="300"/>
          <w:jc w:val="center"/>
        </w:trPr>
        <w:tc>
          <w:tcPr>
            <w:tcW w:w="1613" w:type="dxa"/>
            <w:tcBorders>
              <w:top w:val="nil"/>
              <w:left w:val="nil"/>
              <w:bottom w:val="nil"/>
              <w:right w:val="nil"/>
            </w:tcBorders>
            <w:shd w:val="clear" w:color="auto" w:fill="auto"/>
            <w:vAlign w:val="bottom"/>
          </w:tcPr>
          <w:p w14:paraId="7078AAE4" w14:textId="77777777" w:rsidR="002D17D4" w:rsidRPr="008C1DE0" w:rsidRDefault="002D17D4" w:rsidP="008141F2">
            <w:pPr>
              <w:jc w:val="center"/>
              <w:rPr>
                <w:rFonts w:eastAsia="Calibri"/>
              </w:rPr>
            </w:pPr>
            <w:r w:rsidRPr="008C1DE0">
              <w:rPr>
                <w:rFonts w:eastAsia="Calibri"/>
              </w:rPr>
              <w:t>17</w:t>
            </w:r>
          </w:p>
        </w:tc>
        <w:tc>
          <w:tcPr>
            <w:tcW w:w="1717" w:type="dxa"/>
            <w:tcBorders>
              <w:top w:val="nil"/>
              <w:left w:val="nil"/>
              <w:bottom w:val="nil"/>
              <w:right w:val="nil"/>
            </w:tcBorders>
            <w:shd w:val="clear" w:color="auto" w:fill="auto"/>
            <w:vAlign w:val="bottom"/>
          </w:tcPr>
          <w:p w14:paraId="6040DE1E" w14:textId="77777777" w:rsidR="002D17D4" w:rsidRPr="008C1DE0" w:rsidRDefault="002D17D4" w:rsidP="008141F2">
            <w:pPr>
              <w:jc w:val="center"/>
              <w:rPr>
                <w:rFonts w:eastAsia="Calibri"/>
              </w:rPr>
            </w:pPr>
            <w:r w:rsidRPr="008C1DE0">
              <w:rPr>
                <w:rFonts w:eastAsia="Calibri"/>
              </w:rPr>
              <w:t>0.010</w:t>
            </w:r>
          </w:p>
        </w:tc>
        <w:tc>
          <w:tcPr>
            <w:tcW w:w="1620" w:type="dxa"/>
            <w:tcBorders>
              <w:top w:val="nil"/>
              <w:left w:val="nil"/>
              <w:bottom w:val="nil"/>
              <w:right w:val="nil"/>
            </w:tcBorders>
            <w:shd w:val="clear" w:color="auto" w:fill="auto"/>
            <w:vAlign w:val="bottom"/>
          </w:tcPr>
          <w:p w14:paraId="33961751" w14:textId="77777777" w:rsidR="002D17D4" w:rsidRPr="008C1DE0" w:rsidRDefault="002D17D4" w:rsidP="008141F2">
            <w:pPr>
              <w:jc w:val="center"/>
              <w:rPr>
                <w:rFonts w:eastAsia="Calibri"/>
              </w:rPr>
            </w:pPr>
            <w:r w:rsidRPr="008C1DE0">
              <w:rPr>
                <w:rFonts w:eastAsia="Calibri"/>
              </w:rPr>
              <w:t>0.010</w:t>
            </w:r>
          </w:p>
        </w:tc>
        <w:tc>
          <w:tcPr>
            <w:tcW w:w="1620" w:type="dxa"/>
            <w:tcBorders>
              <w:top w:val="nil"/>
              <w:left w:val="nil"/>
              <w:bottom w:val="nil"/>
              <w:right w:val="nil"/>
            </w:tcBorders>
            <w:shd w:val="clear" w:color="auto" w:fill="auto"/>
            <w:vAlign w:val="bottom"/>
          </w:tcPr>
          <w:p w14:paraId="20093FEA" w14:textId="77777777" w:rsidR="002D17D4" w:rsidRPr="008C1DE0" w:rsidRDefault="002D17D4" w:rsidP="008141F2">
            <w:pPr>
              <w:jc w:val="center"/>
              <w:rPr>
                <w:rFonts w:eastAsia="Calibri"/>
              </w:rPr>
            </w:pPr>
            <w:r w:rsidRPr="008C1DE0">
              <w:rPr>
                <w:rFonts w:eastAsia="Calibri"/>
              </w:rPr>
              <w:t>0.011</w:t>
            </w:r>
          </w:p>
        </w:tc>
        <w:tc>
          <w:tcPr>
            <w:tcW w:w="1710" w:type="dxa"/>
            <w:tcBorders>
              <w:top w:val="nil"/>
              <w:left w:val="nil"/>
              <w:bottom w:val="nil"/>
              <w:right w:val="nil"/>
            </w:tcBorders>
            <w:shd w:val="clear" w:color="auto" w:fill="auto"/>
            <w:vAlign w:val="bottom"/>
          </w:tcPr>
          <w:p w14:paraId="1DE5C469" w14:textId="77777777" w:rsidR="002D17D4" w:rsidRPr="008C1DE0" w:rsidRDefault="002D17D4" w:rsidP="008141F2">
            <w:pPr>
              <w:jc w:val="center"/>
              <w:rPr>
                <w:rFonts w:eastAsia="Calibri"/>
              </w:rPr>
            </w:pPr>
            <w:r w:rsidRPr="008C1DE0">
              <w:rPr>
                <w:rFonts w:eastAsia="Calibri"/>
              </w:rPr>
              <w:t>0.012</w:t>
            </w:r>
          </w:p>
        </w:tc>
      </w:tr>
      <w:tr w:rsidR="002D17D4" w:rsidRPr="00B773E4" w14:paraId="7418EAE5" w14:textId="77777777" w:rsidTr="008141F2">
        <w:trPr>
          <w:trHeight w:val="300"/>
          <w:jc w:val="center"/>
        </w:trPr>
        <w:tc>
          <w:tcPr>
            <w:tcW w:w="1613" w:type="dxa"/>
            <w:tcBorders>
              <w:top w:val="nil"/>
              <w:left w:val="nil"/>
              <w:bottom w:val="nil"/>
              <w:right w:val="nil"/>
            </w:tcBorders>
            <w:shd w:val="clear" w:color="auto" w:fill="auto"/>
            <w:vAlign w:val="bottom"/>
          </w:tcPr>
          <w:p w14:paraId="037B4308" w14:textId="77777777" w:rsidR="002D17D4" w:rsidRPr="008C1DE0" w:rsidRDefault="002D17D4" w:rsidP="008141F2">
            <w:pPr>
              <w:jc w:val="center"/>
              <w:rPr>
                <w:rFonts w:eastAsia="Calibri"/>
              </w:rPr>
            </w:pPr>
            <w:r w:rsidRPr="008C1DE0">
              <w:rPr>
                <w:rFonts w:eastAsia="Calibri"/>
              </w:rPr>
              <w:t>18</w:t>
            </w:r>
          </w:p>
        </w:tc>
        <w:tc>
          <w:tcPr>
            <w:tcW w:w="1717" w:type="dxa"/>
            <w:tcBorders>
              <w:top w:val="nil"/>
              <w:left w:val="nil"/>
              <w:bottom w:val="nil"/>
              <w:right w:val="nil"/>
            </w:tcBorders>
            <w:shd w:val="clear" w:color="auto" w:fill="auto"/>
            <w:vAlign w:val="bottom"/>
          </w:tcPr>
          <w:p w14:paraId="2AC74F4B" w14:textId="77777777" w:rsidR="002D17D4" w:rsidRPr="008C1DE0" w:rsidRDefault="002D17D4" w:rsidP="008141F2">
            <w:pPr>
              <w:jc w:val="center"/>
              <w:rPr>
                <w:rFonts w:eastAsia="Calibri"/>
              </w:rPr>
            </w:pPr>
            <w:r w:rsidRPr="008C1DE0">
              <w:rPr>
                <w:rFonts w:eastAsia="Calibri"/>
              </w:rPr>
              <w:t>0.009</w:t>
            </w:r>
          </w:p>
        </w:tc>
        <w:tc>
          <w:tcPr>
            <w:tcW w:w="1620" w:type="dxa"/>
            <w:tcBorders>
              <w:top w:val="nil"/>
              <w:left w:val="nil"/>
              <w:bottom w:val="nil"/>
              <w:right w:val="nil"/>
            </w:tcBorders>
            <w:shd w:val="clear" w:color="auto" w:fill="auto"/>
            <w:vAlign w:val="bottom"/>
          </w:tcPr>
          <w:p w14:paraId="3B39AB5D" w14:textId="77777777" w:rsidR="002D17D4" w:rsidRPr="008C1DE0" w:rsidRDefault="002D17D4" w:rsidP="008141F2">
            <w:pPr>
              <w:jc w:val="center"/>
              <w:rPr>
                <w:rFonts w:eastAsia="Calibri"/>
              </w:rPr>
            </w:pPr>
            <w:r w:rsidRPr="008C1DE0">
              <w:rPr>
                <w:rFonts w:eastAsia="Calibri"/>
              </w:rPr>
              <w:t>0.008</w:t>
            </w:r>
          </w:p>
        </w:tc>
        <w:tc>
          <w:tcPr>
            <w:tcW w:w="1620" w:type="dxa"/>
            <w:tcBorders>
              <w:top w:val="nil"/>
              <w:left w:val="nil"/>
              <w:bottom w:val="nil"/>
              <w:right w:val="nil"/>
            </w:tcBorders>
            <w:shd w:val="clear" w:color="auto" w:fill="auto"/>
            <w:vAlign w:val="bottom"/>
          </w:tcPr>
          <w:p w14:paraId="2E6FF4B0" w14:textId="77777777" w:rsidR="002D17D4" w:rsidRPr="008C1DE0" w:rsidRDefault="002D17D4" w:rsidP="008141F2">
            <w:pPr>
              <w:jc w:val="center"/>
              <w:rPr>
                <w:rFonts w:eastAsia="Calibri"/>
              </w:rPr>
            </w:pPr>
            <w:r w:rsidRPr="008C1DE0">
              <w:rPr>
                <w:rFonts w:eastAsia="Calibri"/>
              </w:rPr>
              <w:t>0.010</w:t>
            </w:r>
          </w:p>
        </w:tc>
        <w:tc>
          <w:tcPr>
            <w:tcW w:w="1710" w:type="dxa"/>
            <w:tcBorders>
              <w:top w:val="nil"/>
              <w:left w:val="nil"/>
              <w:bottom w:val="nil"/>
              <w:right w:val="nil"/>
            </w:tcBorders>
            <w:shd w:val="clear" w:color="auto" w:fill="auto"/>
            <w:vAlign w:val="bottom"/>
          </w:tcPr>
          <w:p w14:paraId="180ADEFA" w14:textId="77777777" w:rsidR="002D17D4" w:rsidRPr="008C1DE0" w:rsidRDefault="002D17D4" w:rsidP="008141F2">
            <w:pPr>
              <w:jc w:val="center"/>
              <w:rPr>
                <w:rFonts w:eastAsia="Calibri"/>
              </w:rPr>
            </w:pPr>
            <w:r w:rsidRPr="008C1DE0">
              <w:rPr>
                <w:rFonts w:eastAsia="Calibri"/>
              </w:rPr>
              <w:t>0.011</w:t>
            </w:r>
          </w:p>
        </w:tc>
      </w:tr>
      <w:tr w:rsidR="002D17D4" w:rsidRPr="00B773E4" w14:paraId="2AACBE13" w14:textId="77777777" w:rsidTr="008141F2">
        <w:trPr>
          <w:trHeight w:val="300"/>
          <w:jc w:val="center"/>
        </w:trPr>
        <w:tc>
          <w:tcPr>
            <w:tcW w:w="1613" w:type="dxa"/>
            <w:tcBorders>
              <w:top w:val="nil"/>
              <w:left w:val="nil"/>
              <w:bottom w:val="nil"/>
              <w:right w:val="nil"/>
            </w:tcBorders>
            <w:shd w:val="clear" w:color="auto" w:fill="auto"/>
            <w:vAlign w:val="bottom"/>
          </w:tcPr>
          <w:p w14:paraId="7AF8375E" w14:textId="77777777" w:rsidR="002D17D4" w:rsidRPr="008C1DE0" w:rsidRDefault="002D17D4" w:rsidP="008141F2">
            <w:pPr>
              <w:jc w:val="center"/>
              <w:rPr>
                <w:rFonts w:eastAsia="Calibri"/>
              </w:rPr>
            </w:pPr>
            <w:r w:rsidRPr="008C1DE0">
              <w:rPr>
                <w:rFonts w:eastAsia="Calibri"/>
              </w:rPr>
              <w:t>19</w:t>
            </w:r>
          </w:p>
        </w:tc>
        <w:tc>
          <w:tcPr>
            <w:tcW w:w="1717" w:type="dxa"/>
            <w:tcBorders>
              <w:top w:val="nil"/>
              <w:left w:val="nil"/>
              <w:bottom w:val="nil"/>
              <w:right w:val="nil"/>
            </w:tcBorders>
            <w:shd w:val="clear" w:color="auto" w:fill="auto"/>
            <w:vAlign w:val="bottom"/>
          </w:tcPr>
          <w:p w14:paraId="1F710BCF" w14:textId="77777777" w:rsidR="002D17D4" w:rsidRPr="008C1DE0" w:rsidRDefault="002D17D4" w:rsidP="008141F2">
            <w:pPr>
              <w:jc w:val="center"/>
              <w:rPr>
                <w:rFonts w:eastAsia="Calibri"/>
              </w:rPr>
            </w:pPr>
            <w:r w:rsidRPr="008C1DE0">
              <w:rPr>
                <w:rFonts w:eastAsia="Calibri"/>
              </w:rPr>
              <w:t>0.006</w:t>
            </w:r>
          </w:p>
        </w:tc>
        <w:tc>
          <w:tcPr>
            <w:tcW w:w="1620" w:type="dxa"/>
            <w:tcBorders>
              <w:top w:val="nil"/>
              <w:left w:val="nil"/>
              <w:bottom w:val="nil"/>
              <w:right w:val="nil"/>
            </w:tcBorders>
            <w:shd w:val="clear" w:color="auto" w:fill="auto"/>
            <w:vAlign w:val="bottom"/>
          </w:tcPr>
          <w:p w14:paraId="4EDEC503" w14:textId="77777777" w:rsidR="002D17D4" w:rsidRPr="008C1DE0" w:rsidRDefault="002D17D4" w:rsidP="008141F2">
            <w:pPr>
              <w:jc w:val="center"/>
              <w:rPr>
                <w:rFonts w:eastAsia="Calibri"/>
              </w:rPr>
            </w:pPr>
            <w:r w:rsidRPr="008C1DE0">
              <w:rPr>
                <w:rFonts w:eastAsia="Calibri"/>
              </w:rPr>
              <w:t>0.005</w:t>
            </w:r>
          </w:p>
        </w:tc>
        <w:tc>
          <w:tcPr>
            <w:tcW w:w="1620" w:type="dxa"/>
            <w:tcBorders>
              <w:top w:val="nil"/>
              <w:left w:val="nil"/>
              <w:bottom w:val="nil"/>
              <w:right w:val="nil"/>
            </w:tcBorders>
            <w:shd w:val="clear" w:color="auto" w:fill="auto"/>
            <w:vAlign w:val="bottom"/>
          </w:tcPr>
          <w:p w14:paraId="5338E280" w14:textId="77777777" w:rsidR="002D17D4" w:rsidRPr="008C1DE0" w:rsidRDefault="002D17D4" w:rsidP="008141F2">
            <w:pPr>
              <w:jc w:val="center"/>
              <w:rPr>
                <w:rFonts w:eastAsia="Calibri"/>
              </w:rPr>
            </w:pPr>
            <w:r w:rsidRPr="008C1DE0">
              <w:rPr>
                <w:rFonts w:eastAsia="Calibri"/>
              </w:rPr>
              <w:t>0.007</w:t>
            </w:r>
          </w:p>
        </w:tc>
        <w:tc>
          <w:tcPr>
            <w:tcW w:w="1710" w:type="dxa"/>
            <w:tcBorders>
              <w:top w:val="nil"/>
              <w:left w:val="nil"/>
              <w:bottom w:val="nil"/>
              <w:right w:val="nil"/>
            </w:tcBorders>
            <w:shd w:val="clear" w:color="auto" w:fill="auto"/>
            <w:vAlign w:val="bottom"/>
          </w:tcPr>
          <w:p w14:paraId="48561D3E" w14:textId="77777777" w:rsidR="002D17D4" w:rsidRPr="008C1DE0" w:rsidRDefault="002D17D4" w:rsidP="008141F2">
            <w:pPr>
              <w:jc w:val="center"/>
              <w:rPr>
                <w:rFonts w:eastAsia="Calibri"/>
              </w:rPr>
            </w:pPr>
            <w:r w:rsidRPr="008C1DE0">
              <w:rPr>
                <w:rFonts w:eastAsia="Calibri"/>
              </w:rPr>
              <w:t>0.018</w:t>
            </w:r>
          </w:p>
        </w:tc>
      </w:tr>
      <w:tr w:rsidR="002D17D4" w:rsidRPr="00B773E4" w14:paraId="07EFE8C6" w14:textId="77777777" w:rsidTr="008141F2">
        <w:trPr>
          <w:trHeight w:val="300"/>
          <w:jc w:val="center"/>
        </w:trPr>
        <w:tc>
          <w:tcPr>
            <w:tcW w:w="1613" w:type="dxa"/>
            <w:tcBorders>
              <w:top w:val="nil"/>
              <w:left w:val="nil"/>
              <w:bottom w:val="nil"/>
              <w:right w:val="nil"/>
            </w:tcBorders>
            <w:shd w:val="clear" w:color="auto" w:fill="auto"/>
            <w:vAlign w:val="bottom"/>
          </w:tcPr>
          <w:p w14:paraId="40049D9E" w14:textId="77777777" w:rsidR="002D17D4" w:rsidRPr="008C1DE0" w:rsidRDefault="002D17D4" w:rsidP="008141F2">
            <w:pPr>
              <w:jc w:val="center"/>
              <w:rPr>
                <w:rFonts w:eastAsia="Calibri"/>
              </w:rPr>
            </w:pPr>
            <w:r w:rsidRPr="008C1DE0">
              <w:rPr>
                <w:rFonts w:eastAsia="Calibri"/>
              </w:rPr>
              <w:t>20</w:t>
            </w:r>
          </w:p>
        </w:tc>
        <w:tc>
          <w:tcPr>
            <w:tcW w:w="1717" w:type="dxa"/>
            <w:tcBorders>
              <w:top w:val="nil"/>
              <w:left w:val="nil"/>
              <w:bottom w:val="nil"/>
              <w:right w:val="nil"/>
            </w:tcBorders>
            <w:shd w:val="clear" w:color="auto" w:fill="auto"/>
            <w:vAlign w:val="bottom"/>
          </w:tcPr>
          <w:p w14:paraId="0C1F9184" w14:textId="77777777" w:rsidR="002D17D4" w:rsidRPr="008C1DE0" w:rsidRDefault="002D17D4" w:rsidP="008141F2">
            <w:pPr>
              <w:jc w:val="center"/>
              <w:rPr>
                <w:rFonts w:eastAsia="Calibri"/>
              </w:rPr>
            </w:pPr>
            <w:r w:rsidRPr="008C1DE0">
              <w:rPr>
                <w:rFonts w:eastAsia="Calibri"/>
              </w:rPr>
              <w:t>0.009</w:t>
            </w:r>
          </w:p>
        </w:tc>
        <w:tc>
          <w:tcPr>
            <w:tcW w:w="1620" w:type="dxa"/>
            <w:tcBorders>
              <w:top w:val="nil"/>
              <w:left w:val="nil"/>
              <w:bottom w:val="nil"/>
              <w:right w:val="nil"/>
            </w:tcBorders>
            <w:shd w:val="clear" w:color="auto" w:fill="auto"/>
            <w:vAlign w:val="bottom"/>
          </w:tcPr>
          <w:p w14:paraId="321E23A2" w14:textId="77777777" w:rsidR="002D17D4" w:rsidRPr="008C1DE0" w:rsidRDefault="002D17D4" w:rsidP="008141F2">
            <w:pPr>
              <w:jc w:val="center"/>
              <w:rPr>
                <w:rFonts w:eastAsia="Calibri"/>
              </w:rPr>
            </w:pPr>
            <w:r w:rsidRPr="008C1DE0">
              <w:rPr>
                <w:rFonts w:eastAsia="Calibri"/>
              </w:rPr>
              <w:t>0.011</w:t>
            </w:r>
          </w:p>
        </w:tc>
        <w:tc>
          <w:tcPr>
            <w:tcW w:w="1620" w:type="dxa"/>
            <w:tcBorders>
              <w:top w:val="nil"/>
              <w:left w:val="nil"/>
              <w:bottom w:val="nil"/>
              <w:right w:val="nil"/>
            </w:tcBorders>
            <w:shd w:val="clear" w:color="auto" w:fill="auto"/>
            <w:vAlign w:val="bottom"/>
          </w:tcPr>
          <w:p w14:paraId="4949DDE9" w14:textId="77777777" w:rsidR="002D17D4" w:rsidRPr="008C1DE0" w:rsidRDefault="002D17D4" w:rsidP="008141F2">
            <w:pPr>
              <w:jc w:val="center"/>
              <w:rPr>
                <w:rFonts w:eastAsia="Calibri"/>
              </w:rPr>
            </w:pPr>
            <w:r w:rsidRPr="008C1DE0">
              <w:rPr>
                <w:rFonts w:eastAsia="Calibri"/>
              </w:rPr>
              <w:t>0.011</w:t>
            </w:r>
          </w:p>
        </w:tc>
        <w:tc>
          <w:tcPr>
            <w:tcW w:w="1710" w:type="dxa"/>
            <w:tcBorders>
              <w:top w:val="nil"/>
              <w:left w:val="nil"/>
              <w:bottom w:val="nil"/>
              <w:right w:val="nil"/>
            </w:tcBorders>
            <w:shd w:val="clear" w:color="auto" w:fill="auto"/>
            <w:vAlign w:val="bottom"/>
          </w:tcPr>
          <w:p w14:paraId="31D3083D" w14:textId="77777777" w:rsidR="002D17D4" w:rsidRPr="008C1DE0" w:rsidRDefault="002D17D4" w:rsidP="008141F2">
            <w:pPr>
              <w:jc w:val="center"/>
              <w:rPr>
                <w:rFonts w:eastAsia="Calibri"/>
              </w:rPr>
            </w:pPr>
            <w:r w:rsidRPr="008C1DE0">
              <w:rPr>
                <w:rFonts w:eastAsia="Calibri"/>
              </w:rPr>
              <w:t>0.042</w:t>
            </w:r>
          </w:p>
        </w:tc>
      </w:tr>
      <w:tr w:rsidR="002D17D4" w:rsidRPr="00B773E4" w14:paraId="252043F6" w14:textId="77777777" w:rsidTr="008141F2">
        <w:trPr>
          <w:trHeight w:val="300"/>
          <w:jc w:val="center"/>
        </w:trPr>
        <w:tc>
          <w:tcPr>
            <w:tcW w:w="1613" w:type="dxa"/>
            <w:tcBorders>
              <w:top w:val="nil"/>
              <w:left w:val="nil"/>
              <w:bottom w:val="nil"/>
              <w:right w:val="nil"/>
            </w:tcBorders>
            <w:shd w:val="clear" w:color="auto" w:fill="auto"/>
            <w:vAlign w:val="bottom"/>
          </w:tcPr>
          <w:p w14:paraId="19C1BAE4" w14:textId="77777777" w:rsidR="002D17D4" w:rsidRPr="008C1DE0" w:rsidRDefault="002D17D4" w:rsidP="008141F2">
            <w:pPr>
              <w:jc w:val="center"/>
              <w:rPr>
                <w:rFonts w:eastAsia="Calibri"/>
              </w:rPr>
            </w:pPr>
            <w:r w:rsidRPr="008C1DE0">
              <w:rPr>
                <w:rFonts w:eastAsia="Calibri"/>
              </w:rPr>
              <w:t>21</w:t>
            </w:r>
          </w:p>
        </w:tc>
        <w:tc>
          <w:tcPr>
            <w:tcW w:w="1717" w:type="dxa"/>
            <w:tcBorders>
              <w:top w:val="nil"/>
              <w:left w:val="nil"/>
              <w:bottom w:val="nil"/>
              <w:right w:val="nil"/>
            </w:tcBorders>
            <w:shd w:val="clear" w:color="auto" w:fill="auto"/>
            <w:vAlign w:val="bottom"/>
          </w:tcPr>
          <w:p w14:paraId="382B70D4" w14:textId="77777777" w:rsidR="002D17D4" w:rsidRPr="008C1DE0" w:rsidRDefault="002D17D4" w:rsidP="008141F2">
            <w:pPr>
              <w:jc w:val="center"/>
              <w:rPr>
                <w:rFonts w:eastAsia="Calibri"/>
              </w:rPr>
            </w:pPr>
            <w:r w:rsidRPr="008C1DE0">
              <w:rPr>
                <w:rFonts w:eastAsia="Calibri"/>
              </w:rPr>
              <w:t>0.009</w:t>
            </w:r>
          </w:p>
        </w:tc>
        <w:tc>
          <w:tcPr>
            <w:tcW w:w="1620" w:type="dxa"/>
            <w:tcBorders>
              <w:top w:val="nil"/>
              <w:left w:val="nil"/>
              <w:bottom w:val="nil"/>
              <w:right w:val="nil"/>
            </w:tcBorders>
            <w:shd w:val="clear" w:color="auto" w:fill="auto"/>
            <w:vAlign w:val="bottom"/>
          </w:tcPr>
          <w:p w14:paraId="75945119" w14:textId="77777777" w:rsidR="002D17D4" w:rsidRPr="008C1DE0" w:rsidRDefault="002D17D4" w:rsidP="008141F2">
            <w:pPr>
              <w:jc w:val="center"/>
              <w:rPr>
                <w:rFonts w:eastAsia="Calibri"/>
              </w:rPr>
            </w:pPr>
            <w:r w:rsidRPr="008C1DE0">
              <w:rPr>
                <w:rFonts w:eastAsia="Calibri"/>
              </w:rPr>
              <w:t>0.009</w:t>
            </w:r>
          </w:p>
        </w:tc>
        <w:tc>
          <w:tcPr>
            <w:tcW w:w="1620" w:type="dxa"/>
            <w:tcBorders>
              <w:top w:val="nil"/>
              <w:left w:val="nil"/>
              <w:bottom w:val="nil"/>
              <w:right w:val="nil"/>
            </w:tcBorders>
            <w:shd w:val="clear" w:color="auto" w:fill="auto"/>
            <w:vAlign w:val="bottom"/>
          </w:tcPr>
          <w:p w14:paraId="55F8355A" w14:textId="77777777" w:rsidR="002D17D4" w:rsidRPr="008C1DE0" w:rsidRDefault="002D17D4" w:rsidP="008141F2">
            <w:pPr>
              <w:jc w:val="center"/>
              <w:rPr>
                <w:rFonts w:eastAsia="Calibri"/>
              </w:rPr>
            </w:pPr>
            <w:r w:rsidRPr="008C1DE0">
              <w:rPr>
                <w:rFonts w:eastAsia="Calibri"/>
              </w:rPr>
              <w:t>0.009</w:t>
            </w:r>
          </w:p>
        </w:tc>
        <w:tc>
          <w:tcPr>
            <w:tcW w:w="1710" w:type="dxa"/>
            <w:tcBorders>
              <w:top w:val="nil"/>
              <w:left w:val="nil"/>
              <w:bottom w:val="nil"/>
              <w:right w:val="nil"/>
            </w:tcBorders>
            <w:shd w:val="clear" w:color="auto" w:fill="auto"/>
            <w:vAlign w:val="bottom"/>
          </w:tcPr>
          <w:p w14:paraId="2E238E8B" w14:textId="77777777" w:rsidR="002D17D4" w:rsidRPr="008C1DE0" w:rsidRDefault="002D17D4" w:rsidP="008141F2">
            <w:pPr>
              <w:jc w:val="center"/>
              <w:rPr>
                <w:rFonts w:eastAsia="Calibri"/>
              </w:rPr>
            </w:pPr>
            <w:r w:rsidRPr="008C1DE0">
              <w:rPr>
                <w:rFonts w:eastAsia="Calibri"/>
              </w:rPr>
              <w:t>0.015</w:t>
            </w:r>
          </w:p>
        </w:tc>
      </w:tr>
      <w:tr w:rsidR="002D17D4" w:rsidRPr="00B773E4" w14:paraId="24C5D3E0" w14:textId="77777777" w:rsidTr="008141F2">
        <w:trPr>
          <w:trHeight w:val="300"/>
          <w:jc w:val="center"/>
        </w:trPr>
        <w:tc>
          <w:tcPr>
            <w:tcW w:w="1613" w:type="dxa"/>
            <w:tcBorders>
              <w:top w:val="nil"/>
              <w:left w:val="nil"/>
              <w:bottom w:val="nil"/>
              <w:right w:val="nil"/>
            </w:tcBorders>
            <w:shd w:val="clear" w:color="auto" w:fill="auto"/>
            <w:vAlign w:val="bottom"/>
          </w:tcPr>
          <w:p w14:paraId="61DC098F" w14:textId="77777777" w:rsidR="002D17D4" w:rsidRPr="008C1DE0" w:rsidRDefault="002D17D4" w:rsidP="008141F2">
            <w:pPr>
              <w:jc w:val="center"/>
              <w:rPr>
                <w:rFonts w:eastAsia="Calibri"/>
              </w:rPr>
            </w:pPr>
            <w:r w:rsidRPr="008C1DE0">
              <w:rPr>
                <w:rFonts w:eastAsia="Calibri"/>
              </w:rPr>
              <w:t>22</w:t>
            </w:r>
          </w:p>
        </w:tc>
        <w:tc>
          <w:tcPr>
            <w:tcW w:w="1717" w:type="dxa"/>
            <w:tcBorders>
              <w:top w:val="nil"/>
              <w:left w:val="nil"/>
              <w:bottom w:val="nil"/>
              <w:right w:val="nil"/>
            </w:tcBorders>
            <w:shd w:val="clear" w:color="auto" w:fill="auto"/>
            <w:vAlign w:val="bottom"/>
          </w:tcPr>
          <w:p w14:paraId="5167A0F1" w14:textId="77777777" w:rsidR="002D17D4" w:rsidRPr="008C1DE0" w:rsidRDefault="002D17D4" w:rsidP="008141F2">
            <w:pPr>
              <w:jc w:val="center"/>
              <w:rPr>
                <w:rFonts w:eastAsia="Calibri"/>
              </w:rPr>
            </w:pPr>
            <w:r w:rsidRPr="008C1DE0">
              <w:rPr>
                <w:rFonts w:eastAsia="Calibri"/>
              </w:rPr>
              <w:t>0.005</w:t>
            </w:r>
          </w:p>
        </w:tc>
        <w:tc>
          <w:tcPr>
            <w:tcW w:w="1620" w:type="dxa"/>
            <w:tcBorders>
              <w:top w:val="nil"/>
              <w:left w:val="nil"/>
              <w:bottom w:val="nil"/>
              <w:right w:val="nil"/>
            </w:tcBorders>
            <w:shd w:val="clear" w:color="auto" w:fill="auto"/>
            <w:vAlign w:val="bottom"/>
          </w:tcPr>
          <w:p w14:paraId="0F963045" w14:textId="77777777" w:rsidR="002D17D4" w:rsidRPr="008C1DE0" w:rsidRDefault="002D17D4" w:rsidP="008141F2">
            <w:pPr>
              <w:jc w:val="center"/>
              <w:rPr>
                <w:rFonts w:eastAsia="Calibri"/>
              </w:rPr>
            </w:pPr>
            <w:r w:rsidRPr="008C1DE0">
              <w:rPr>
                <w:rFonts w:eastAsia="Calibri"/>
              </w:rPr>
              <w:t>0.005</w:t>
            </w:r>
          </w:p>
        </w:tc>
        <w:tc>
          <w:tcPr>
            <w:tcW w:w="1620" w:type="dxa"/>
            <w:tcBorders>
              <w:top w:val="nil"/>
              <w:left w:val="nil"/>
              <w:bottom w:val="nil"/>
              <w:right w:val="nil"/>
            </w:tcBorders>
            <w:shd w:val="clear" w:color="auto" w:fill="auto"/>
            <w:vAlign w:val="bottom"/>
          </w:tcPr>
          <w:p w14:paraId="0FC67E11" w14:textId="77777777" w:rsidR="002D17D4" w:rsidRPr="008C1DE0" w:rsidRDefault="002D17D4" w:rsidP="008141F2">
            <w:pPr>
              <w:jc w:val="center"/>
              <w:rPr>
                <w:rFonts w:eastAsia="Calibri"/>
              </w:rPr>
            </w:pPr>
            <w:r w:rsidRPr="008C1DE0">
              <w:rPr>
                <w:rFonts w:eastAsia="Calibri"/>
              </w:rPr>
              <w:t>0.005</w:t>
            </w:r>
          </w:p>
        </w:tc>
        <w:tc>
          <w:tcPr>
            <w:tcW w:w="1710" w:type="dxa"/>
            <w:tcBorders>
              <w:top w:val="nil"/>
              <w:left w:val="nil"/>
              <w:bottom w:val="nil"/>
              <w:right w:val="nil"/>
            </w:tcBorders>
            <w:shd w:val="clear" w:color="auto" w:fill="auto"/>
            <w:vAlign w:val="bottom"/>
          </w:tcPr>
          <w:p w14:paraId="4CDF1217" w14:textId="77777777" w:rsidR="002D17D4" w:rsidRPr="008C1DE0" w:rsidRDefault="002D17D4" w:rsidP="008141F2">
            <w:pPr>
              <w:jc w:val="center"/>
              <w:rPr>
                <w:rFonts w:eastAsia="Calibri"/>
              </w:rPr>
            </w:pPr>
            <w:r w:rsidRPr="008C1DE0">
              <w:rPr>
                <w:rFonts w:eastAsia="Calibri"/>
              </w:rPr>
              <w:t>0.004</w:t>
            </w:r>
          </w:p>
        </w:tc>
      </w:tr>
      <w:tr w:rsidR="002D17D4" w:rsidRPr="00B773E4" w14:paraId="39A44E58" w14:textId="77777777" w:rsidTr="008141F2">
        <w:trPr>
          <w:trHeight w:val="300"/>
          <w:jc w:val="center"/>
        </w:trPr>
        <w:tc>
          <w:tcPr>
            <w:tcW w:w="1613" w:type="dxa"/>
            <w:tcBorders>
              <w:top w:val="nil"/>
              <w:left w:val="nil"/>
              <w:bottom w:val="nil"/>
              <w:right w:val="nil"/>
            </w:tcBorders>
            <w:shd w:val="clear" w:color="auto" w:fill="auto"/>
            <w:vAlign w:val="bottom"/>
          </w:tcPr>
          <w:p w14:paraId="545DF1D8" w14:textId="77777777" w:rsidR="002D17D4" w:rsidRPr="008C1DE0" w:rsidRDefault="002D17D4" w:rsidP="008141F2">
            <w:pPr>
              <w:jc w:val="center"/>
              <w:rPr>
                <w:rFonts w:eastAsia="Calibri"/>
              </w:rPr>
            </w:pPr>
            <w:r w:rsidRPr="008C1DE0">
              <w:rPr>
                <w:rFonts w:eastAsia="Calibri"/>
              </w:rPr>
              <w:t>{23, 24}</w:t>
            </w:r>
          </w:p>
        </w:tc>
        <w:tc>
          <w:tcPr>
            <w:tcW w:w="1717" w:type="dxa"/>
            <w:tcBorders>
              <w:top w:val="nil"/>
              <w:left w:val="nil"/>
              <w:bottom w:val="nil"/>
              <w:right w:val="nil"/>
            </w:tcBorders>
            <w:shd w:val="clear" w:color="auto" w:fill="auto"/>
            <w:vAlign w:val="bottom"/>
          </w:tcPr>
          <w:p w14:paraId="3313D186" w14:textId="77777777" w:rsidR="002D17D4" w:rsidRPr="008C1DE0" w:rsidRDefault="002D17D4" w:rsidP="008141F2">
            <w:pPr>
              <w:jc w:val="center"/>
              <w:rPr>
                <w:rFonts w:eastAsia="Calibri"/>
              </w:rPr>
            </w:pPr>
            <w:r w:rsidRPr="008C1DE0">
              <w:rPr>
                <w:rFonts w:eastAsia="Calibri"/>
              </w:rPr>
              <w:t>0.009</w:t>
            </w:r>
          </w:p>
        </w:tc>
        <w:tc>
          <w:tcPr>
            <w:tcW w:w="1620" w:type="dxa"/>
            <w:tcBorders>
              <w:top w:val="nil"/>
              <w:left w:val="nil"/>
              <w:bottom w:val="nil"/>
              <w:right w:val="nil"/>
            </w:tcBorders>
            <w:shd w:val="clear" w:color="auto" w:fill="auto"/>
            <w:vAlign w:val="bottom"/>
          </w:tcPr>
          <w:p w14:paraId="1A59C44B" w14:textId="77777777" w:rsidR="002D17D4" w:rsidRPr="008C1DE0" w:rsidRDefault="002D17D4" w:rsidP="008141F2">
            <w:pPr>
              <w:jc w:val="center"/>
              <w:rPr>
                <w:rFonts w:eastAsia="Calibri"/>
              </w:rPr>
            </w:pPr>
            <w:r w:rsidRPr="008C1DE0">
              <w:rPr>
                <w:rFonts w:eastAsia="Calibri"/>
              </w:rPr>
              <w:t>0.008</w:t>
            </w:r>
          </w:p>
        </w:tc>
        <w:tc>
          <w:tcPr>
            <w:tcW w:w="1620" w:type="dxa"/>
            <w:tcBorders>
              <w:top w:val="nil"/>
              <w:left w:val="nil"/>
              <w:bottom w:val="nil"/>
              <w:right w:val="nil"/>
            </w:tcBorders>
            <w:shd w:val="clear" w:color="auto" w:fill="auto"/>
            <w:vAlign w:val="bottom"/>
          </w:tcPr>
          <w:p w14:paraId="00CC3715" w14:textId="77777777" w:rsidR="002D17D4" w:rsidRPr="008C1DE0" w:rsidRDefault="002D17D4" w:rsidP="008141F2">
            <w:pPr>
              <w:jc w:val="center"/>
              <w:rPr>
                <w:rFonts w:eastAsia="Calibri"/>
              </w:rPr>
            </w:pPr>
            <w:r w:rsidRPr="008C1DE0">
              <w:rPr>
                <w:rFonts w:eastAsia="Calibri"/>
              </w:rPr>
              <w:t>0.010</w:t>
            </w:r>
          </w:p>
        </w:tc>
        <w:tc>
          <w:tcPr>
            <w:tcW w:w="1710" w:type="dxa"/>
            <w:tcBorders>
              <w:top w:val="nil"/>
              <w:left w:val="nil"/>
              <w:bottom w:val="nil"/>
              <w:right w:val="nil"/>
            </w:tcBorders>
            <w:shd w:val="clear" w:color="auto" w:fill="auto"/>
            <w:vAlign w:val="bottom"/>
          </w:tcPr>
          <w:p w14:paraId="3569DF32" w14:textId="77777777" w:rsidR="002D17D4" w:rsidRPr="008C1DE0" w:rsidRDefault="002D17D4" w:rsidP="008141F2">
            <w:pPr>
              <w:jc w:val="center"/>
              <w:rPr>
                <w:rFonts w:eastAsia="Calibri"/>
              </w:rPr>
            </w:pPr>
            <w:r w:rsidRPr="008C1DE0">
              <w:rPr>
                <w:rFonts w:eastAsia="Calibri"/>
              </w:rPr>
              <w:t>0.018</w:t>
            </w:r>
          </w:p>
        </w:tc>
      </w:tr>
      <w:tr w:rsidR="002D17D4" w:rsidRPr="00B773E4" w14:paraId="720D2E20" w14:textId="77777777" w:rsidTr="008141F2">
        <w:trPr>
          <w:trHeight w:val="300"/>
          <w:jc w:val="center"/>
        </w:trPr>
        <w:tc>
          <w:tcPr>
            <w:tcW w:w="1613" w:type="dxa"/>
            <w:tcBorders>
              <w:top w:val="nil"/>
              <w:left w:val="nil"/>
              <w:bottom w:val="nil"/>
              <w:right w:val="nil"/>
            </w:tcBorders>
            <w:shd w:val="clear" w:color="auto" w:fill="auto"/>
            <w:vAlign w:val="bottom"/>
          </w:tcPr>
          <w:p w14:paraId="6F5E485A" w14:textId="77777777" w:rsidR="002D17D4" w:rsidRPr="008C1DE0" w:rsidRDefault="002D17D4" w:rsidP="008141F2">
            <w:pPr>
              <w:jc w:val="center"/>
              <w:rPr>
                <w:rFonts w:eastAsia="Calibri"/>
              </w:rPr>
            </w:pPr>
            <w:r w:rsidRPr="008C1DE0">
              <w:rPr>
                <w:rFonts w:eastAsia="Calibri"/>
              </w:rPr>
              <w:t>{25, 26, 27}</w:t>
            </w:r>
          </w:p>
        </w:tc>
        <w:tc>
          <w:tcPr>
            <w:tcW w:w="1717" w:type="dxa"/>
            <w:tcBorders>
              <w:top w:val="nil"/>
              <w:left w:val="nil"/>
              <w:bottom w:val="nil"/>
              <w:right w:val="nil"/>
            </w:tcBorders>
            <w:shd w:val="clear" w:color="auto" w:fill="auto"/>
            <w:vAlign w:val="bottom"/>
          </w:tcPr>
          <w:p w14:paraId="0F0AA25A" w14:textId="77777777" w:rsidR="002D17D4" w:rsidRPr="008C1DE0" w:rsidRDefault="002D17D4" w:rsidP="008141F2">
            <w:pPr>
              <w:jc w:val="center"/>
              <w:rPr>
                <w:rFonts w:eastAsia="Calibri"/>
              </w:rPr>
            </w:pPr>
            <w:r w:rsidRPr="008C1DE0">
              <w:rPr>
                <w:rFonts w:eastAsia="Calibri"/>
              </w:rPr>
              <w:t>0.025</w:t>
            </w:r>
          </w:p>
        </w:tc>
        <w:tc>
          <w:tcPr>
            <w:tcW w:w="1620" w:type="dxa"/>
            <w:tcBorders>
              <w:top w:val="nil"/>
              <w:left w:val="nil"/>
              <w:bottom w:val="nil"/>
              <w:right w:val="nil"/>
            </w:tcBorders>
            <w:shd w:val="clear" w:color="auto" w:fill="auto"/>
            <w:vAlign w:val="bottom"/>
          </w:tcPr>
          <w:p w14:paraId="260321B3" w14:textId="77777777" w:rsidR="002D17D4" w:rsidRPr="008C1DE0" w:rsidRDefault="002D17D4" w:rsidP="008141F2">
            <w:pPr>
              <w:jc w:val="center"/>
              <w:rPr>
                <w:rFonts w:eastAsia="Calibri"/>
              </w:rPr>
            </w:pPr>
            <w:r w:rsidRPr="008C1DE0">
              <w:rPr>
                <w:rFonts w:eastAsia="Calibri"/>
              </w:rPr>
              <w:t>0.025</w:t>
            </w:r>
          </w:p>
        </w:tc>
        <w:tc>
          <w:tcPr>
            <w:tcW w:w="1620" w:type="dxa"/>
            <w:tcBorders>
              <w:top w:val="nil"/>
              <w:left w:val="nil"/>
              <w:bottom w:val="nil"/>
              <w:right w:val="nil"/>
            </w:tcBorders>
            <w:shd w:val="clear" w:color="auto" w:fill="auto"/>
            <w:vAlign w:val="bottom"/>
          </w:tcPr>
          <w:p w14:paraId="6130A30C" w14:textId="77777777" w:rsidR="002D17D4" w:rsidRPr="008C1DE0" w:rsidRDefault="002D17D4" w:rsidP="008141F2">
            <w:pPr>
              <w:jc w:val="center"/>
              <w:rPr>
                <w:rFonts w:eastAsia="Calibri"/>
              </w:rPr>
            </w:pPr>
            <w:r w:rsidRPr="008C1DE0">
              <w:rPr>
                <w:rFonts w:eastAsia="Calibri"/>
              </w:rPr>
              <w:t>0.025</w:t>
            </w:r>
          </w:p>
        </w:tc>
        <w:tc>
          <w:tcPr>
            <w:tcW w:w="1710" w:type="dxa"/>
            <w:tcBorders>
              <w:top w:val="nil"/>
              <w:left w:val="nil"/>
              <w:bottom w:val="nil"/>
              <w:right w:val="nil"/>
            </w:tcBorders>
            <w:shd w:val="clear" w:color="auto" w:fill="auto"/>
            <w:vAlign w:val="bottom"/>
          </w:tcPr>
          <w:p w14:paraId="21EBE717" w14:textId="77777777" w:rsidR="002D17D4" w:rsidRPr="008C1DE0" w:rsidRDefault="002D17D4" w:rsidP="008141F2">
            <w:pPr>
              <w:jc w:val="center"/>
              <w:rPr>
                <w:rFonts w:eastAsia="Calibri"/>
              </w:rPr>
            </w:pPr>
            <w:r w:rsidRPr="008C1DE0">
              <w:rPr>
                <w:rFonts w:eastAsia="Calibri"/>
              </w:rPr>
              <w:t>0.025</w:t>
            </w:r>
          </w:p>
        </w:tc>
      </w:tr>
      <w:tr w:rsidR="002D17D4" w:rsidRPr="00B773E4" w14:paraId="6E0E6102" w14:textId="77777777" w:rsidTr="008141F2">
        <w:trPr>
          <w:trHeight w:val="300"/>
          <w:jc w:val="center"/>
        </w:trPr>
        <w:tc>
          <w:tcPr>
            <w:tcW w:w="1613" w:type="dxa"/>
            <w:tcBorders>
              <w:top w:val="nil"/>
              <w:left w:val="nil"/>
              <w:bottom w:val="nil"/>
              <w:right w:val="nil"/>
            </w:tcBorders>
            <w:shd w:val="clear" w:color="auto" w:fill="auto"/>
            <w:vAlign w:val="bottom"/>
          </w:tcPr>
          <w:p w14:paraId="7EAF7A7B" w14:textId="77777777" w:rsidR="002D17D4" w:rsidRPr="008C1DE0" w:rsidRDefault="002D17D4" w:rsidP="008141F2">
            <w:pPr>
              <w:jc w:val="center"/>
              <w:rPr>
                <w:rFonts w:eastAsia="Calibri"/>
              </w:rPr>
            </w:pPr>
            <w:r w:rsidRPr="008C1DE0">
              <w:rPr>
                <w:rFonts w:eastAsia="Calibri"/>
              </w:rPr>
              <w:t>{28, 29, 30, 31}</w:t>
            </w:r>
          </w:p>
        </w:tc>
        <w:tc>
          <w:tcPr>
            <w:tcW w:w="1717" w:type="dxa"/>
            <w:tcBorders>
              <w:top w:val="nil"/>
              <w:left w:val="nil"/>
              <w:bottom w:val="nil"/>
              <w:right w:val="nil"/>
            </w:tcBorders>
            <w:shd w:val="clear" w:color="auto" w:fill="auto"/>
            <w:vAlign w:val="bottom"/>
          </w:tcPr>
          <w:p w14:paraId="2CFAC070" w14:textId="77777777" w:rsidR="002D17D4" w:rsidRPr="008C1DE0" w:rsidRDefault="002D17D4" w:rsidP="008141F2">
            <w:pPr>
              <w:jc w:val="center"/>
              <w:rPr>
                <w:rFonts w:eastAsia="Calibri"/>
              </w:rPr>
            </w:pPr>
            <w:r w:rsidRPr="008C1DE0">
              <w:rPr>
                <w:rFonts w:eastAsia="Calibri"/>
              </w:rPr>
              <w:t>0.006</w:t>
            </w:r>
          </w:p>
        </w:tc>
        <w:tc>
          <w:tcPr>
            <w:tcW w:w="1620" w:type="dxa"/>
            <w:tcBorders>
              <w:top w:val="nil"/>
              <w:left w:val="nil"/>
              <w:bottom w:val="nil"/>
              <w:right w:val="nil"/>
            </w:tcBorders>
            <w:shd w:val="clear" w:color="auto" w:fill="auto"/>
            <w:vAlign w:val="bottom"/>
          </w:tcPr>
          <w:p w14:paraId="2AB556FD" w14:textId="77777777" w:rsidR="002D17D4" w:rsidRPr="008C1DE0" w:rsidRDefault="002D17D4" w:rsidP="008141F2">
            <w:pPr>
              <w:jc w:val="center"/>
              <w:rPr>
                <w:rFonts w:eastAsia="Calibri"/>
              </w:rPr>
            </w:pPr>
            <w:r w:rsidRPr="008C1DE0">
              <w:rPr>
                <w:rFonts w:eastAsia="Calibri"/>
              </w:rPr>
              <w:t>0.006</w:t>
            </w:r>
          </w:p>
        </w:tc>
        <w:tc>
          <w:tcPr>
            <w:tcW w:w="1620" w:type="dxa"/>
            <w:tcBorders>
              <w:top w:val="nil"/>
              <w:left w:val="nil"/>
              <w:bottom w:val="nil"/>
              <w:right w:val="nil"/>
            </w:tcBorders>
            <w:shd w:val="clear" w:color="auto" w:fill="auto"/>
            <w:vAlign w:val="bottom"/>
          </w:tcPr>
          <w:p w14:paraId="09D6FAA2" w14:textId="77777777" w:rsidR="002D17D4" w:rsidRPr="008C1DE0" w:rsidRDefault="002D17D4" w:rsidP="008141F2">
            <w:pPr>
              <w:jc w:val="center"/>
              <w:rPr>
                <w:rFonts w:eastAsia="Calibri"/>
              </w:rPr>
            </w:pPr>
            <w:r w:rsidRPr="008C1DE0">
              <w:rPr>
                <w:rFonts w:eastAsia="Calibri"/>
              </w:rPr>
              <w:t>0.008</w:t>
            </w:r>
          </w:p>
        </w:tc>
        <w:tc>
          <w:tcPr>
            <w:tcW w:w="1710" w:type="dxa"/>
            <w:tcBorders>
              <w:top w:val="nil"/>
              <w:left w:val="nil"/>
              <w:bottom w:val="nil"/>
              <w:right w:val="nil"/>
            </w:tcBorders>
            <w:shd w:val="clear" w:color="auto" w:fill="auto"/>
            <w:vAlign w:val="bottom"/>
          </w:tcPr>
          <w:p w14:paraId="1759E0B6" w14:textId="77777777" w:rsidR="002D17D4" w:rsidRPr="008C1DE0" w:rsidRDefault="002D17D4" w:rsidP="008141F2">
            <w:pPr>
              <w:jc w:val="center"/>
              <w:rPr>
                <w:rFonts w:eastAsia="Calibri"/>
              </w:rPr>
            </w:pPr>
            <w:r w:rsidRPr="008C1DE0">
              <w:rPr>
                <w:rFonts w:eastAsia="Calibri"/>
              </w:rPr>
              <w:t>0.020</w:t>
            </w:r>
          </w:p>
        </w:tc>
      </w:tr>
      <w:tr w:rsidR="002D17D4" w:rsidRPr="00B773E4" w14:paraId="5FA74EB2" w14:textId="77777777" w:rsidTr="008141F2">
        <w:trPr>
          <w:trHeight w:val="300"/>
          <w:jc w:val="center"/>
        </w:trPr>
        <w:tc>
          <w:tcPr>
            <w:tcW w:w="1613" w:type="dxa"/>
            <w:tcBorders>
              <w:top w:val="nil"/>
              <w:left w:val="nil"/>
              <w:bottom w:val="nil"/>
              <w:right w:val="nil"/>
            </w:tcBorders>
            <w:shd w:val="clear" w:color="auto" w:fill="auto"/>
            <w:vAlign w:val="bottom"/>
          </w:tcPr>
          <w:p w14:paraId="38AC8117" w14:textId="77777777" w:rsidR="002D17D4" w:rsidRPr="008C1DE0" w:rsidRDefault="002D17D4" w:rsidP="008141F2">
            <w:pPr>
              <w:jc w:val="center"/>
              <w:rPr>
                <w:rFonts w:eastAsia="Calibri"/>
              </w:rPr>
            </w:pPr>
            <w:r w:rsidRPr="008C1DE0">
              <w:rPr>
                <w:rFonts w:eastAsia="Calibri"/>
              </w:rPr>
              <w:t>33</w:t>
            </w:r>
          </w:p>
        </w:tc>
        <w:tc>
          <w:tcPr>
            <w:tcW w:w="1717" w:type="dxa"/>
            <w:tcBorders>
              <w:top w:val="nil"/>
              <w:left w:val="nil"/>
              <w:bottom w:val="nil"/>
              <w:right w:val="nil"/>
            </w:tcBorders>
            <w:shd w:val="clear" w:color="auto" w:fill="auto"/>
            <w:vAlign w:val="bottom"/>
          </w:tcPr>
          <w:p w14:paraId="4CE11078" w14:textId="77777777" w:rsidR="002D17D4" w:rsidRPr="008C1DE0" w:rsidRDefault="002D17D4" w:rsidP="008141F2">
            <w:pPr>
              <w:jc w:val="center"/>
              <w:rPr>
                <w:rFonts w:eastAsia="Calibri"/>
              </w:rPr>
            </w:pPr>
            <w:r w:rsidRPr="008C1DE0">
              <w:rPr>
                <w:rFonts w:eastAsia="Calibri"/>
              </w:rPr>
              <w:t>0.012</w:t>
            </w:r>
          </w:p>
        </w:tc>
        <w:tc>
          <w:tcPr>
            <w:tcW w:w="1620" w:type="dxa"/>
            <w:tcBorders>
              <w:top w:val="nil"/>
              <w:left w:val="nil"/>
              <w:bottom w:val="nil"/>
              <w:right w:val="nil"/>
            </w:tcBorders>
            <w:shd w:val="clear" w:color="auto" w:fill="auto"/>
            <w:vAlign w:val="bottom"/>
          </w:tcPr>
          <w:p w14:paraId="71419F83" w14:textId="77777777" w:rsidR="002D17D4" w:rsidRPr="008C1DE0" w:rsidRDefault="002D17D4" w:rsidP="008141F2">
            <w:pPr>
              <w:jc w:val="center"/>
              <w:rPr>
                <w:rFonts w:eastAsia="Calibri"/>
              </w:rPr>
            </w:pPr>
            <w:r w:rsidRPr="008C1DE0">
              <w:rPr>
                <w:rFonts w:eastAsia="Calibri"/>
              </w:rPr>
              <w:t>0.011</w:t>
            </w:r>
          </w:p>
        </w:tc>
        <w:tc>
          <w:tcPr>
            <w:tcW w:w="1620" w:type="dxa"/>
            <w:tcBorders>
              <w:top w:val="nil"/>
              <w:left w:val="nil"/>
              <w:bottom w:val="nil"/>
              <w:right w:val="nil"/>
            </w:tcBorders>
            <w:shd w:val="clear" w:color="auto" w:fill="auto"/>
            <w:vAlign w:val="bottom"/>
          </w:tcPr>
          <w:p w14:paraId="7D914F36" w14:textId="77777777" w:rsidR="002D17D4" w:rsidRPr="008C1DE0" w:rsidRDefault="002D17D4" w:rsidP="008141F2">
            <w:pPr>
              <w:jc w:val="center"/>
              <w:rPr>
                <w:rFonts w:eastAsia="Calibri"/>
              </w:rPr>
            </w:pPr>
            <w:r w:rsidRPr="008C1DE0">
              <w:rPr>
                <w:rFonts w:eastAsia="Calibri"/>
              </w:rPr>
              <w:t>0.011</w:t>
            </w:r>
          </w:p>
        </w:tc>
        <w:tc>
          <w:tcPr>
            <w:tcW w:w="1710" w:type="dxa"/>
            <w:tcBorders>
              <w:top w:val="nil"/>
              <w:left w:val="nil"/>
              <w:bottom w:val="nil"/>
              <w:right w:val="nil"/>
            </w:tcBorders>
            <w:shd w:val="clear" w:color="auto" w:fill="auto"/>
            <w:vAlign w:val="bottom"/>
          </w:tcPr>
          <w:p w14:paraId="4A98B6BD" w14:textId="77777777" w:rsidR="002D17D4" w:rsidRPr="008C1DE0" w:rsidRDefault="002D17D4" w:rsidP="008141F2">
            <w:pPr>
              <w:jc w:val="center"/>
              <w:rPr>
                <w:rFonts w:eastAsia="Calibri"/>
              </w:rPr>
            </w:pPr>
            <w:r w:rsidRPr="008C1DE0">
              <w:rPr>
                <w:rFonts w:eastAsia="Calibri"/>
              </w:rPr>
              <w:t>0.019</w:t>
            </w:r>
          </w:p>
        </w:tc>
      </w:tr>
      <w:tr w:rsidR="002D17D4" w:rsidRPr="00B773E4" w14:paraId="10BB5766" w14:textId="77777777" w:rsidTr="008141F2">
        <w:trPr>
          <w:trHeight w:val="300"/>
          <w:jc w:val="center"/>
        </w:trPr>
        <w:tc>
          <w:tcPr>
            <w:tcW w:w="1613" w:type="dxa"/>
            <w:tcBorders>
              <w:top w:val="nil"/>
              <w:left w:val="nil"/>
              <w:bottom w:val="nil"/>
              <w:right w:val="nil"/>
            </w:tcBorders>
            <w:shd w:val="clear" w:color="auto" w:fill="auto"/>
            <w:vAlign w:val="bottom"/>
          </w:tcPr>
          <w:p w14:paraId="3082DAEE" w14:textId="77777777" w:rsidR="002D17D4" w:rsidRPr="008C1DE0" w:rsidRDefault="002D17D4" w:rsidP="008141F2">
            <w:pPr>
              <w:jc w:val="center"/>
              <w:rPr>
                <w:rFonts w:eastAsia="Calibri"/>
              </w:rPr>
            </w:pPr>
            <w:r w:rsidRPr="008C1DE0">
              <w:rPr>
                <w:rFonts w:eastAsia="Calibri"/>
              </w:rPr>
              <w:t>{34, 35}</w:t>
            </w:r>
          </w:p>
        </w:tc>
        <w:tc>
          <w:tcPr>
            <w:tcW w:w="1717" w:type="dxa"/>
            <w:tcBorders>
              <w:top w:val="nil"/>
              <w:left w:val="nil"/>
              <w:bottom w:val="nil"/>
              <w:right w:val="nil"/>
            </w:tcBorders>
            <w:shd w:val="clear" w:color="auto" w:fill="auto"/>
            <w:vAlign w:val="bottom"/>
          </w:tcPr>
          <w:p w14:paraId="2715B541" w14:textId="77777777" w:rsidR="002D17D4" w:rsidRPr="008C1DE0" w:rsidRDefault="002D17D4" w:rsidP="008141F2">
            <w:pPr>
              <w:jc w:val="center"/>
              <w:rPr>
                <w:rFonts w:eastAsia="Calibri"/>
              </w:rPr>
            </w:pPr>
            <w:r w:rsidRPr="008C1DE0">
              <w:rPr>
                <w:rFonts w:eastAsia="Calibri"/>
              </w:rPr>
              <w:t>0.010</w:t>
            </w:r>
          </w:p>
        </w:tc>
        <w:tc>
          <w:tcPr>
            <w:tcW w:w="1620" w:type="dxa"/>
            <w:tcBorders>
              <w:top w:val="nil"/>
              <w:left w:val="nil"/>
              <w:bottom w:val="nil"/>
              <w:right w:val="nil"/>
            </w:tcBorders>
            <w:shd w:val="clear" w:color="auto" w:fill="auto"/>
            <w:vAlign w:val="bottom"/>
          </w:tcPr>
          <w:p w14:paraId="06D73B75" w14:textId="77777777" w:rsidR="002D17D4" w:rsidRPr="008C1DE0" w:rsidRDefault="002D17D4" w:rsidP="008141F2">
            <w:pPr>
              <w:jc w:val="center"/>
              <w:rPr>
                <w:rFonts w:eastAsia="Calibri"/>
              </w:rPr>
            </w:pPr>
            <w:r w:rsidRPr="008C1DE0">
              <w:rPr>
                <w:rFonts w:eastAsia="Calibri"/>
              </w:rPr>
              <w:t>0.010</w:t>
            </w:r>
          </w:p>
        </w:tc>
        <w:tc>
          <w:tcPr>
            <w:tcW w:w="1620" w:type="dxa"/>
            <w:tcBorders>
              <w:top w:val="nil"/>
              <w:left w:val="nil"/>
              <w:bottom w:val="nil"/>
              <w:right w:val="nil"/>
            </w:tcBorders>
            <w:shd w:val="clear" w:color="auto" w:fill="auto"/>
            <w:vAlign w:val="bottom"/>
          </w:tcPr>
          <w:p w14:paraId="0A10BDDD" w14:textId="77777777" w:rsidR="002D17D4" w:rsidRPr="008C1DE0" w:rsidRDefault="002D17D4" w:rsidP="008141F2">
            <w:pPr>
              <w:jc w:val="center"/>
              <w:rPr>
                <w:rFonts w:eastAsia="Calibri"/>
              </w:rPr>
            </w:pPr>
            <w:r w:rsidRPr="008C1DE0">
              <w:rPr>
                <w:rFonts w:eastAsia="Calibri"/>
              </w:rPr>
              <w:t>0.011</w:t>
            </w:r>
          </w:p>
        </w:tc>
        <w:tc>
          <w:tcPr>
            <w:tcW w:w="1710" w:type="dxa"/>
            <w:tcBorders>
              <w:top w:val="nil"/>
              <w:left w:val="nil"/>
              <w:bottom w:val="nil"/>
              <w:right w:val="nil"/>
            </w:tcBorders>
            <w:shd w:val="clear" w:color="auto" w:fill="auto"/>
            <w:vAlign w:val="bottom"/>
          </w:tcPr>
          <w:p w14:paraId="3F509044" w14:textId="77777777" w:rsidR="002D17D4" w:rsidRPr="008C1DE0" w:rsidRDefault="002D17D4" w:rsidP="008141F2">
            <w:pPr>
              <w:jc w:val="center"/>
              <w:rPr>
                <w:rFonts w:eastAsia="Calibri"/>
              </w:rPr>
            </w:pPr>
            <w:r w:rsidRPr="008C1DE0">
              <w:rPr>
                <w:rFonts w:eastAsia="Calibri"/>
              </w:rPr>
              <w:t>0.025</w:t>
            </w:r>
          </w:p>
        </w:tc>
      </w:tr>
      <w:tr w:rsidR="002D17D4" w:rsidRPr="00B773E4" w14:paraId="1612036E" w14:textId="77777777" w:rsidTr="008141F2">
        <w:trPr>
          <w:trHeight w:val="300"/>
          <w:jc w:val="center"/>
        </w:trPr>
        <w:tc>
          <w:tcPr>
            <w:tcW w:w="1613" w:type="dxa"/>
            <w:tcBorders>
              <w:top w:val="nil"/>
              <w:left w:val="nil"/>
              <w:bottom w:val="nil"/>
              <w:right w:val="nil"/>
            </w:tcBorders>
            <w:shd w:val="clear" w:color="auto" w:fill="auto"/>
            <w:vAlign w:val="bottom"/>
          </w:tcPr>
          <w:p w14:paraId="7E149D99" w14:textId="77777777" w:rsidR="002D17D4" w:rsidRPr="008C1DE0" w:rsidRDefault="002D17D4" w:rsidP="008141F2">
            <w:pPr>
              <w:jc w:val="center"/>
              <w:rPr>
                <w:rFonts w:eastAsia="Calibri"/>
              </w:rPr>
            </w:pPr>
            <w:r w:rsidRPr="008C1DE0">
              <w:rPr>
                <w:rFonts w:eastAsia="Calibri"/>
              </w:rPr>
              <w:t>36</w:t>
            </w:r>
          </w:p>
        </w:tc>
        <w:tc>
          <w:tcPr>
            <w:tcW w:w="1717" w:type="dxa"/>
            <w:tcBorders>
              <w:top w:val="nil"/>
              <w:left w:val="nil"/>
              <w:bottom w:val="nil"/>
              <w:right w:val="nil"/>
            </w:tcBorders>
            <w:shd w:val="clear" w:color="auto" w:fill="auto"/>
            <w:vAlign w:val="bottom"/>
          </w:tcPr>
          <w:p w14:paraId="77EEE39A" w14:textId="77777777" w:rsidR="002D17D4" w:rsidRPr="008C1DE0" w:rsidRDefault="002D17D4" w:rsidP="008141F2">
            <w:pPr>
              <w:jc w:val="center"/>
              <w:rPr>
                <w:rFonts w:eastAsia="Calibri"/>
              </w:rPr>
            </w:pPr>
            <w:r w:rsidRPr="008C1DE0">
              <w:rPr>
                <w:rFonts w:eastAsia="Calibri"/>
              </w:rPr>
              <w:t>0.006</w:t>
            </w:r>
          </w:p>
        </w:tc>
        <w:tc>
          <w:tcPr>
            <w:tcW w:w="1620" w:type="dxa"/>
            <w:tcBorders>
              <w:top w:val="nil"/>
              <w:left w:val="nil"/>
              <w:bottom w:val="nil"/>
              <w:right w:val="nil"/>
            </w:tcBorders>
            <w:shd w:val="clear" w:color="auto" w:fill="auto"/>
            <w:vAlign w:val="bottom"/>
          </w:tcPr>
          <w:p w14:paraId="229E6FE0" w14:textId="77777777" w:rsidR="002D17D4" w:rsidRPr="008C1DE0" w:rsidRDefault="002D17D4" w:rsidP="008141F2">
            <w:pPr>
              <w:jc w:val="center"/>
              <w:rPr>
                <w:rFonts w:eastAsia="Calibri"/>
              </w:rPr>
            </w:pPr>
            <w:r w:rsidRPr="008C1DE0">
              <w:rPr>
                <w:rFonts w:eastAsia="Calibri"/>
              </w:rPr>
              <w:t>0.006</w:t>
            </w:r>
          </w:p>
        </w:tc>
        <w:tc>
          <w:tcPr>
            <w:tcW w:w="1620" w:type="dxa"/>
            <w:tcBorders>
              <w:top w:val="nil"/>
              <w:left w:val="nil"/>
              <w:bottom w:val="nil"/>
              <w:right w:val="nil"/>
            </w:tcBorders>
            <w:shd w:val="clear" w:color="auto" w:fill="auto"/>
            <w:vAlign w:val="bottom"/>
          </w:tcPr>
          <w:p w14:paraId="3336B1A1" w14:textId="77777777" w:rsidR="002D17D4" w:rsidRPr="008C1DE0" w:rsidRDefault="002D17D4" w:rsidP="008141F2">
            <w:pPr>
              <w:jc w:val="center"/>
              <w:rPr>
                <w:rFonts w:eastAsia="Calibri"/>
              </w:rPr>
            </w:pPr>
            <w:r w:rsidRPr="008C1DE0">
              <w:rPr>
                <w:rFonts w:eastAsia="Calibri"/>
              </w:rPr>
              <w:t>0.008</w:t>
            </w:r>
          </w:p>
        </w:tc>
        <w:tc>
          <w:tcPr>
            <w:tcW w:w="1710" w:type="dxa"/>
            <w:tcBorders>
              <w:top w:val="nil"/>
              <w:left w:val="nil"/>
              <w:bottom w:val="nil"/>
              <w:right w:val="nil"/>
            </w:tcBorders>
            <w:shd w:val="clear" w:color="auto" w:fill="auto"/>
            <w:vAlign w:val="bottom"/>
          </w:tcPr>
          <w:p w14:paraId="54492B61" w14:textId="77777777" w:rsidR="002D17D4" w:rsidRPr="008C1DE0" w:rsidRDefault="002D17D4" w:rsidP="008141F2">
            <w:pPr>
              <w:jc w:val="center"/>
              <w:rPr>
                <w:rFonts w:eastAsia="Calibri"/>
              </w:rPr>
            </w:pPr>
            <w:r w:rsidRPr="008C1DE0">
              <w:rPr>
                <w:rFonts w:eastAsia="Calibri"/>
              </w:rPr>
              <w:t>0.013</w:t>
            </w:r>
          </w:p>
        </w:tc>
      </w:tr>
      <w:tr w:rsidR="002D17D4" w:rsidRPr="00B773E4" w14:paraId="211EFEFB" w14:textId="77777777" w:rsidTr="008141F2">
        <w:trPr>
          <w:trHeight w:val="300"/>
          <w:jc w:val="center"/>
        </w:trPr>
        <w:tc>
          <w:tcPr>
            <w:tcW w:w="1613" w:type="dxa"/>
            <w:tcBorders>
              <w:top w:val="nil"/>
              <w:left w:val="nil"/>
              <w:bottom w:val="nil"/>
              <w:right w:val="nil"/>
            </w:tcBorders>
            <w:shd w:val="clear" w:color="auto" w:fill="auto"/>
            <w:vAlign w:val="bottom"/>
          </w:tcPr>
          <w:p w14:paraId="4C1A489C" w14:textId="77777777" w:rsidR="002D17D4" w:rsidRPr="008C1DE0" w:rsidRDefault="002D17D4" w:rsidP="008141F2">
            <w:pPr>
              <w:jc w:val="center"/>
              <w:rPr>
                <w:rFonts w:eastAsia="Calibri"/>
              </w:rPr>
            </w:pPr>
            <w:r w:rsidRPr="008C1DE0">
              <w:rPr>
                <w:rFonts w:eastAsia="Calibri"/>
              </w:rPr>
              <w:t>37</w:t>
            </w:r>
          </w:p>
        </w:tc>
        <w:tc>
          <w:tcPr>
            <w:tcW w:w="1717" w:type="dxa"/>
            <w:tcBorders>
              <w:top w:val="nil"/>
              <w:left w:val="nil"/>
              <w:bottom w:val="nil"/>
              <w:right w:val="nil"/>
            </w:tcBorders>
            <w:shd w:val="clear" w:color="auto" w:fill="auto"/>
            <w:vAlign w:val="bottom"/>
          </w:tcPr>
          <w:p w14:paraId="2760649C" w14:textId="77777777" w:rsidR="002D17D4" w:rsidRPr="008C1DE0" w:rsidRDefault="002D17D4" w:rsidP="008141F2">
            <w:pPr>
              <w:jc w:val="center"/>
              <w:rPr>
                <w:rFonts w:eastAsia="Calibri"/>
              </w:rPr>
            </w:pPr>
            <w:r w:rsidRPr="008C1DE0">
              <w:rPr>
                <w:rFonts w:eastAsia="Calibri"/>
              </w:rPr>
              <w:t>0.021</w:t>
            </w:r>
          </w:p>
        </w:tc>
        <w:tc>
          <w:tcPr>
            <w:tcW w:w="1620" w:type="dxa"/>
            <w:tcBorders>
              <w:top w:val="nil"/>
              <w:left w:val="nil"/>
              <w:bottom w:val="nil"/>
              <w:right w:val="nil"/>
            </w:tcBorders>
            <w:shd w:val="clear" w:color="auto" w:fill="auto"/>
            <w:vAlign w:val="bottom"/>
          </w:tcPr>
          <w:p w14:paraId="380089A4" w14:textId="77777777" w:rsidR="002D17D4" w:rsidRPr="008C1DE0" w:rsidRDefault="002D17D4" w:rsidP="008141F2">
            <w:pPr>
              <w:jc w:val="center"/>
              <w:rPr>
                <w:rFonts w:eastAsia="Calibri"/>
              </w:rPr>
            </w:pPr>
            <w:r w:rsidRPr="008C1DE0">
              <w:rPr>
                <w:rFonts w:eastAsia="Calibri"/>
              </w:rPr>
              <w:t>0.019</w:t>
            </w:r>
          </w:p>
        </w:tc>
        <w:tc>
          <w:tcPr>
            <w:tcW w:w="1620" w:type="dxa"/>
            <w:tcBorders>
              <w:top w:val="nil"/>
              <w:left w:val="nil"/>
              <w:bottom w:val="nil"/>
              <w:right w:val="nil"/>
            </w:tcBorders>
            <w:shd w:val="clear" w:color="auto" w:fill="auto"/>
            <w:vAlign w:val="bottom"/>
          </w:tcPr>
          <w:p w14:paraId="07AD31AC" w14:textId="77777777" w:rsidR="002D17D4" w:rsidRPr="008C1DE0" w:rsidRDefault="002D17D4" w:rsidP="008141F2">
            <w:pPr>
              <w:jc w:val="center"/>
              <w:rPr>
                <w:rFonts w:eastAsia="Calibri"/>
              </w:rPr>
            </w:pPr>
            <w:r w:rsidRPr="008C1DE0">
              <w:rPr>
                <w:rFonts w:eastAsia="Calibri"/>
              </w:rPr>
              <w:t>0.022</w:t>
            </w:r>
          </w:p>
        </w:tc>
        <w:tc>
          <w:tcPr>
            <w:tcW w:w="1710" w:type="dxa"/>
            <w:tcBorders>
              <w:top w:val="nil"/>
              <w:left w:val="nil"/>
              <w:bottom w:val="nil"/>
              <w:right w:val="nil"/>
            </w:tcBorders>
            <w:shd w:val="clear" w:color="auto" w:fill="auto"/>
            <w:vAlign w:val="bottom"/>
          </w:tcPr>
          <w:p w14:paraId="1A5745D7" w14:textId="77777777" w:rsidR="002D17D4" w:rsidRPr="008C1DE0" w:rsidRDefault="002D17D4" w:rsidP="008141F2">
            <w:pPr>
              <w:jc w:val="center"/>
              <w:rPr>
                <w:rFonts w:eastAsia="Calibri"/>
              </w:rPr>
            </w:pPr>
            <w:r w:rsidRPr="008C1DE0">
              <w:rPr>
                <w:rFonts w:eastAsia="Calibri"/>
              </w:rPr>
              <w:t>0.020</w:t>
            </w:r>
          </w:p>
        </w:tc>
      </w:tr>
      <w:tr w:rsidR="002D17D4" w:rsidRPr="00B773E4" w14:paraId="6D13C7BD" w14:textId="77777777" w:rsidTr="008141F2">
        <w:trPr>
          <w:trHeight w:val="300"/>
          <w:jc w:val="center"/>
        </w:trPr>
        <w:tc>
          <w:tcPr>
            <w:tcW w:w="1613" w:type="dxa"/>
            <w:tcBorders>
              <w:top w:val="nil"/>
              <w:left w:val="nil"/>
              <w:bottom w:val="nil"/>
              <w:right w:val="nil"/>
            </w:tcBorders>
            <w:shd w:val="clear" w:color="auto" w:fill="auto"/>
            <w:vAlign w:val="bottom"/>
          </w:tcPr>
          <w:p w14:paraId="3D28ADAA" w14:textId="77777777" w:rsidR="002D17D4" w:rsidRPr="008C1DE0" w:rsidRDefault="002D17D4" w:rsidP="008141F2">
            <w:pPr>
              <w:jc w:val="center"/>
              <w:rPr>
                <w:rFonts w:eastAsia="Calibri"/>
              </w:rPr>
            </w:pPr>
            <w:r w:rsidRPr="008C1DE0">
              <w:rPr>
                <w:rFonts w:eastAsia="Calibri"/>
              </w:rPr>
              <w:t>38</w:t>
            </w:r>
          </w:p>
        </w:tc>
        <w:tc>
          <w:tcPr>
            <w:tcW w:w="1717" w:type="dxa"/>
            <w:tcBorders>
              <w:top w:val="nil"/>
              <w:left w:val="nil"/>
              <w:bottom w:val="nil"/>
              <w:right w:val="nil"/>
            </w:tcBorders>
            <w:shd w:val="clear" w:color="auto" w:fill="auto"/>
            <w:vAlign w:val="bottom"/>
          </w:tcPr>
          <w:p w14:paraId="5C9B1B5D" w14:textId="77777777" w:rsidR="002D17D4" w:rsidRPr="008C1DE0" w:rsidRDefault="002D17D4" w:rsidP="008141F2">
            <w:pPr>
              <w:jc w:val="center"/>
              <w:rPr>
                <w:rFonts w:eastAsia="Calibri"/>
              </w:rPr>
            </w:pPr>
            <w:r w:rsidRPr="008C1DE0">
              <w:rPr>
                <w:rFonts w:eastAsia="Calibri"/>
              </w:rPr>
              <w:t>0.003</w:t>
            </w:r>
          </w:p>
        </w:tc>
        <w:tc>
          <w:tcPr>
            <w:tcW w:w="1620" w:type="dxa"/>
            <w:tcBorders>
              <w:top w:val="nil"/>
              <w:left w:val="nil"/>
              <w:bottom w:val="nil"/>
              <w:right w:val="nil"/>
            </w:tcBorders>
            <w:shd w:val="clear" w:color="auto" w:fill="auto"/>
            <w:vAlign w:val="bottom"/>
          </w:tcPr>
          <w:p w14:paraId="45759900" w14:textId="77777777" w:rsidR="002D17D4" w:rsidRPr="008C1DE0" w:rsidRDefault="002D17D4" w:rsidP="008141F2">
            <w:pPr>
              <w:jc w:val="center"/>
              <w:rPr>
                <w:rFonts w:eastAsia="Calibri"/>
              </w:rPr>
            </w:pPr>
            <w:r w:rsidRPr="008C1DE0">
              <w:rPr>
                <w:rFonts w:eastAsia="Calibri"/>
              </w:rPr>
              <w:t>0.003</w:t>
            </w:r>
          </w:p>
        </w:tc>
        <w:tc>
          <w:tcPr>
            <w:tcW w:w="1620" w:type="dxa"/>
            <w:tcBorders>
              <w:top w:val="nil"/>
              <w:left w:val="nil"/>
              <w:bottom w:val="nil"/>
              <w:right w:val="nil"/>
            </w:tcBorders>
            <w:shd w:val="clear" w:color="auto" w:fill="auto"/>
            <w:vAlign w:val="bottom"/>
          </w:tcPr>
          <w:p w14:paraId="4B7B6326" w14:textId="77777777" w:rsidR="002D17D4" w:rsidRPr="008C1DE0" w:rsidRDefault="002D17D4" w:rsidP="008141F2">
            <w:pPr>
              <w:jc w:val="center"/>
              <w:rPr>
                <w:rFonts w:eastAsia="Calibri"/>
              </w:rPr>
            </w:pPr>
            <w:r w:rsidRPr="008C1DE0">
              <w:rPr>
                <w:rFonts w:eastAsia="Calibri"/>
              </w:rPr>
              <w:t>0.004</w:t>
            </w:r>
          </w:p>
        </w:tc>
        <w:tc>
          <w:tcPr>
            <w:tcW w:w="1710" w:type="dxa"/>
            <w:tcBorders>
              <w:top w:val="nil"/>
              <w:left w:val="nil"/>
              <w:bottom w:val="nil"/>
              <w:right w:val="nil"/>
            </w:tcBorders>
            <w:shd w:val="clear" w:color="auto" w:fill="auto"/>
            <w:vAlign w:val="bottom"/>
          </w:tcPr>
          <w:p w14:paraId="579793F3" w14:textId="77777777" w:rsidR="002D17D4" w:rsidRPr="008C1DE0" w:rsidRDefault="002D17D4" w:rsidP="008141F2">
            <w:pPr>
              <w:jc w:val="center"/>
              <w:rPr>
                <w:rFonts w:eastAsia="Calibri"/>
              </w:rPr>
            </w:pPr>
            <w:r w:rsidRPr="008C1DE0">
              <w:rPr>
                <w:rFonts w:eastAsia="Calibri"/>
              </w:rPr>
              <w:t>0.004</w:t>
            </w:r>
          </w:p>
        </w:tc>
      </w:tr>
      <w:tr w:rsidR="002D17D4" w:rsidRPr="00B773E4" w14:paraId="4553D92E" w14:textId="77777777" w:rsidTr="008141F2">
        <w:trPr>
          <w:trHeight w:val="300"/>
          <w:jc w:val="center"/>
        </w:trPr>
        <w:tc>
          <w:tcPr>
            <w:tcW w:w="1613" w:type="dxa"/>
            <w:tcBorders>
              <w:top w:val="nil"/>
              <w:left w:val="nil"/>
              <w:right w:val="nil"/>
            </w:tcBorders>
            <w:shd w:val="clear" w:color="auto" w:fill="auto"/>
            <w:vAlign w:val="bottom"/>
          </w:tcPr>
          <w:p w14:paraId="2AE27E2B" w14:textId="77777777" w:rsidR="002D17D4" w:rsidRPr="008C1DE0" w:rsidRDefault="002D17D4" w:rsidP="008141F2">
            <w:pPr>
              <w:jc w:val="center"/>
              <w:rPr>
                <w:rFonts w:eastAsia="Calibri"/>
              </w:rPr>
            </w:pPr>
            <w:r w:rsidRPr="008C1DE0">
              <w:rPr>
                <w:rFonts w:eastAsia="Calibri"/>
              </w:rPr>
              <w:t>39</w:t>
            </w:r>
          </w:p>
        </w:tc>
        <w:tc>
          <w:tcPr>
            <w:tcW w:w="1717" w:type="dxa"/>
            <w:tcBorders>
              <w:top w:val="nil"/>
              <w:left w:val="nil"/>
              <w:right w:val="nil"/>
            </w:tcBorders>
            <w:shd w:val="clear" w:color="auto" w:fill="auto"/>
            <w:vAlign w:val="bottom"/>
          </w:tcPr>
          <w:p w14:paraId="4E0F0FA9" w14:textId="77777777" w:rsidR="002D17D4" w:rsidRPr="008C1DE0" w:rsidRDefault="002D17D4" w:rsidP="008141F2">
            <w:pPr>
              <w:jc w:val="center"/>
              <w:rPr>
                <w:rFonts w:eastAsia="Calibri"/>
              </w:rPr>
            </w:pPr>
            <w:r w:rsidRPr="008C1DE0">
              <w:rPr>
                <w:rFonts w:eastAsia="Calibri"/>
              </w:rPr>
              <w:t>0.016</w:t>
            </w:r>
          </w:p>
        </w:tc>
        <w:tc>
          <w:tcPr>
            <w:tcW w:w="1620" w:type="dxa"/>
            <w:tcBorders>
              <w:top w:val="nil"/>
              <w:left w:val="nil"/>
              <w:right w:val="nil"/>
            </w:tcBorders>
            <w:shd w:val="clear" w:color="auto" w:fill="auto"/>
            <w:vAlign w:val="bottom"/>
          </w:tcPr>
          <w:p w14:paraId="32D8B0A5" w14:textId="77777777" w:rsidR="002D17D4" w:rsidRPr="008C1DE0" w:rsidRDefault="002D17D4" w:rsidP="008141F2">
            <w:pPr>
              <w:jc w:val="center"/>
              <w:rPr>
                <w:rFonts w:eastAsia="Calibri"/>
              </w:rPr>
            </w:pPr>
            <w:r w:rsidRPr="008C1DE0">
              <w:rPr>
                <w:rFonts w:eastAsia="Calibri"/>
              </w:rPr>
              <w:t>0.014</w:t>
            </w:r>
          </w:p>
        </w:tc>
        <w:tc>
          <w:tcPr>
            <w:tcW w:w="1620" w:type="dxa"/>
            <w:tcBorders>
              <w:top w:val="nil"/>
              <w:left w:val="nil"/>
              <w:right w:val="nil"/>
            </w:tcBorders>
            <w:shd w:val="clear" w:color="auto" w:fill="auto"/>
            <w:vAlign w:val="bottom"/>
          </w:tcPr>
          <w:p w14:paraId="3DFD7326" w14:textId="77777777" w:rsidR="002D17D4" w:rsidRPr="008C1DE0" w:rsidRDefault="002D17D4" w:rsidP="008141F2">
            <w:pPr>
              <w:jc w:val="center"/>
              <w:rPr>
                <w:rFonts w:eastAsia="Calibri"/>
              </w:rPr>
            </w:pPr>
            <w:r w:rsidRPr="008C1DE0">
              <w:rPr>
                <w:rFonts w:eastAsia="Calibri"/>
              </w:rPr>
              <w:t>0.015</w:t>
            </w:r>
          </w:p>
        </w:tc>
        <w:tc>
          <w:tcPr>
            <w:tcW w:w="1710" w:type="dxa"/>
            <w:tcBorders>
              <w:top w:val="nil"/>
              <w:left w:val="nil"/>
              <w:right w:val="nil"/>
            </w:tcBorders>
            <w:shd w:val="clear" w:color="auto" w:fill="auto"/>
            <w:vAlign w:val="bottom"/>
          </w:tcPr>
          <w:p w14:paraId="3F373E0A" w14:textId="77777777" w:rsidR="002D17D4" w:rsidRPr="008C1DE0" w:rsidRDefault="002D17D4" w:rsidP="008141F2">
            <w:pPr>
              <w:jc w:val="center"/>
              <w:rPr>
                <w:rFonts w:eastAsia="Calibri"/>
              </w:rPr>
            </w:pPr>
            <w:r w:rsidRPr="008C1DE0">
              <w:rPr>
                <w:rFonts w:eastAsia="Calibri"/>
              </w:rPr>
              <w:t>0.018</w:t>
            </w:r>
          </w:p>
        </w:tc>
      </w:tr>
      <w:tr w:rsidR="002D17D4" w:rsidRPr="00B773E4" w14:paraId="39A6FDF5" w14:textId="77777777" w:rsidTr="008141F2">
        <w:trPr>
          <w:trHeight w:val="300"/>
          <w:jc w:val="center"/>
        </w:trPr>
        <w:tc>
          <w:tcPr>
            <w:tcW w:w="1613" w:type="dxa"/>
            <w:tcBorders>
              <w:top w:val="nil"/>
              <w:left w:val="nil"/>
              <w:bottom w:val="single" w:sz="4" w:space="0" w:color="000000"/>
              <w:right w:val="nil"/>
            </w:tcBorders>
            <w:shd w:val="clear" w:color="auto" w:fill="auto"/>
            <w:vAlign w:val="bottom"/>
          </w:tcPr>
          <w:p w14:paraId="3CBF817E" w14:textId="77777777" w:rsidR="002D17D4" w:rsidRPr="008C1DE0" w:rsidRDefault="002D17D4" w:rsidP="008141F2">
            <w:pPr>
              <w:jc w:val="center"/>
              <w:rPr>
                <w:rFonts w:eastAsia="Calibri"/>
              </w:rPr>
            </w:pPr>
            <w:r w:rsidRPr="008C1DE0">
              <w:rPr>
                <w:rFonts w:eastAsia="Calibri"/>
              </w:rPr>
              <w:t>40</w:t>
            </w:r>
          </w:p>
        </w:tc>
        <w:tc>
          <w:tcPr>
            <w:tcW w:w="1717" w:type="dxa"/>
            <w:tcBorders>
              <w:top w:val="nil"/>
              <w:left w:val="nil"/>
              <w:bottom w:val="single" w:sz="4" w:space="0" w:color="000000"/>
              <w:right w:val="nil"/>
            </w:tcBorders>
            <w:shd w:val="clear" w:color="auto" w:fill="auto"/>
            <w:vAlign w:val="bottom"/>
          </w:tcPr>
          <w:p w14:paraId="19D79911" w14:textId="77777777" w:rsidR="002D17D4" w:rsidRPr="008C1DE0" w:rsidRDefault="002D17D4" w:rsidP="008141F2">
            <w:pPr>
              <w:jc w:val="center"/>
              <w:rPr>
                <w:rFonts w:eastAsia="Calibri"/>
              </w:rPr>
            </w:pPr>
            <w:r w:rsidRPr="008C1DE0">
              <w:rPr>
                <w:rFonts w:eastAsia="Calibri"/>
              </w:rPr>
              <w:t>0.007</w:t>
            </w:r>
          </w:p>
        </w:tc>
        <w:tc>
          <w:tcPr>
            <w:tcW w:w="1620" w:type="dxa"/>
            <w:tcBorders>
              <w:top w:val="nil"/>
              <w:left w:val="nil"/>
              <w:bottom w:val="single" w:sz="4" w:space="0" w:color="000000"/>
              <w:right w:val="nil"/>
            </w:tcBorders>
            <w:shd w:val="clear" w:color="auto" w:fill="auto"/>
            <w:vAlign w:val="bottom"/>
          </w:tcPr>
          <w:p w14:paraId="7F17CFED" w14:textId="77777777" w:rsidR="002D17D4" w:rsidRPr="008C1DE0" w:rsidRDefault="002D17D4" w:rsidP="008141F2">
            <w:pPr>
              <w:jc w:val="center"/>
              <w:rPr>
                <w:rFonts w:eastAsia="Calibri"/>
              </w:rPr>
            </w:pPr>
            <w:r w:rsidRPr="008C1DE0">
              <w:rPr>
                <w:rFonts w:eastAsia="Calibri"/>
              </w:rPr>
              <w:t>0.007</w:t>
            </w:r>
          </w:p>
        </w:tc>
        <w:tc>
          <w:tcPr>
            <w:tcW w:w="1620" w:type="dxa"/>
            <w:tcBorders>
              <w:top w:val="nil"/>
              <w:left w:val="nil"/>
              <w:bottom w:val="single" w:sz="4" w:space="0" w:color="000000"/>
              <w:right w:val="nil"/>
            </w:tcBorders>
            <w:shd w:val="clear" w:color="auto" w:fill="auto"/>
            <w:vAlign w:val="bottom"/>
          </w:tcPr>
          <w:p w14:paraId="4F90C47D" w14:textId="77777777" w:rsidR="002D17D4" w:rsidRPr="008C1DE0" w:rsidRDefault="002D17D4" w:rsidP="008141F2">
            <w:pPr>
              <w:jc w:val="center"/>
              <w:rPr>
                <w:rFonts w:eastAsia="Calibri"/>
              </w:rPr>
            </w:pPr>
            <w:r w:rsidRPr="008C1DE0">
              <w:rPr>
                <w:rFonts w:eastAsia="Calibri"/>
              </w:rPr>
              <w:t>0.010</w:t>
            </w:r>
          </w:p>
        </w:tc>
        <w:tc>
          <w:tcPr>
            <w:tcW w:w="1710" w:type="dxa"/>
            <w:tcBorders>
              <w:top w:val="nil"/>
              <w:left w:val="nil"/>
              <w:bottom w:val="single" w:sz="4" w:space="0" w:color="000000"/>
              <w:right w:val="nil"/>
            </w:tcBorders>
            <w:shd w:val="clear" w:color="auto" w:fill="auto"/>
            <w:vAlign w:val="bottom"/>
          </w:tcPr>
          <w:p w14:paraId="7FCEBFF4" w14:textId="77777777" w:rsidR="002D17D4" w:rsidRPr="008C1DE0" w:rsidRDefault="002D17D4" w:rsidP="008141F2">
            <w:pPr>
              <w:jc w:val="center"/>
              <w:rPr>
                <w:rFonts w:eastAsia="Calibri"/>
              </w:rPr>
            </w:pPr>
            <w:r w:rsidRPr="008C1DE0">
              <w:rPr>
                <w:rFonts w:eastAsia="Calibri"/>
              </w:rPr>
              <w:t>0.018</w:t>
            </w:r>
          </w:p>
        </w:tc>
      </w:tr>
    </w:tbl>
    <w:p w14:paraId="1D2A3E18" w14:textId="77777777" w:rsidR="002D17D4" w:rsidRPr="00B773E4" w:rsidRDefault="002D17D4">
      <w:pPr>
        <w:pBdr>
          <w:top w:val="nil"/>
          <w:left w:val="nil"/>
          <w:bottom w:val="nil"/>
          <w:right w:val="nil"/>
          <w:between w:val="nil"/>
        </w:pBdr>
        <w:spacing w:line="480" w:lineRule="auto"/>
        <w:ind w:firstLine="340"/>
        <w:rPr>
          <w:color w:val="000000"/>
        </w:rPr>
      </w:pPr>
    </w:p>
    <w:p w14:paraId="01AA93DD" w14:textId="72AC6776" w:rsidR="00327EE7" w:rsidRPr="00327EE7" w:rsidRDefault="00327EE7" w:rsidP="00327EE7">
      <w:pPr>
        <w:pBdr>
          <w:top w:val="nil"/>
          <w:left w:val="nil"/>
          <w:bottom w:val="nil"/>
          <w:right w:val="nil"/>
          <w:between w:val="nil"/>
        </w:pBdr>
        <w:spacing w:line="480" w:lineRule="auto"/>
        <w:ind w:firstLine="340"/>
        <w:rPr>
          <w:i/>
        </w:rPr>
      </w:pPr>
      <w:r>
        <w:rPr>
          <w:color w:val="000000"/>
        </w:rPr>
        <w:t>Similarly, all four models exhibited strong overall fit as summarized by Table 5</w:t>
      </w:r>
      <w:r>
        <w:t>.</w:t>
      </w:r>
      <w:r>
        <w:rPr>
          <w:color w:val="000000"/>
        </w:rPr>
        <w:t xml:space="preserve"> All RMSEA model fit statistics were, once more, well under the 0.05 threshold for good fit,</w:t>
      </w:r>
      <w:r>
        <w:rPr>
          <w:i/>
        </w:rPr>
        <w:t xml:space="preserve"> </w:t>
      </w:r>
      <w:r>
        <w:rPr>
          <w:color w:val="000000"/>
        </w:rPr>
        <w:t>and p-values of the G</w:t>
      </w:r>
      <w:r>
        <w:rPr>
          <w:color w:val="000000"/>
          <w:vertAlign w:val="superscript"/>
        </w:rPr>
        <w:t>2</w:t>
      </w:r>
      <w:r>
        <w:rPr>
          <w:color w:val="000000"/>
        </w:rPr>
        <w:t xml:space="preserve"> test statistic well above thresholds for identifying a statistically significant model misfit. </w:t>
      </w:r>
    </w:p>
    <w:p w14:paraId="276060E7" w14:textId="24B2FD42" w:rsidR="00EA40B7" w:rsidRDefault="006B39EF">
      <w:pPr>
        <w:pBdr>
          <w:top w:val="nil"/>
          <w:left w:val="nil"/>
          <w:bottom w:val="nil"/>
          <w:right w:val="nil"/>
          <w:between w:val="nil"/>
        </w:pBdr>
        <w:spacing w:line="480" w:lineRule="auto"/>
        <w:ind w:firstLine="340"/>
      </w:pPr>
      <w:r>
        <w:rPr>
          <w:color w:val="000000"/>
        </w:rPr>
        <w:t xml:space="preserve">A comparison of all models using the AIC and BIC criteria suggests that the two-topic bifactor model is the best model to fit the data, as can be seen in Table 5. The LRT, used in order to assess the degree to which the two-topic bifactor model may fit the data better than the unidimensional model, results in a </w:t>
      </w:r>
      <w:r w:rsidRPr="00647132">
        <w:rPr>
          <w:i/>
          <w:iCs/>
          <w:color w:val="000000"/>
        </w:rPr>
        <w:t>p</w:t>
      </w:r>
      <w:r>
        <w:rPr>
          <w:color w:val="000000"/>
        </w:rPr>
        <w:t xml:space="preserve">-value less than 0.0001, indicating that indeed </w:t>
      </w:r>
      <w:r>
        <w:rPr>
          <w:color w:val="000000"/>
        </w:rPr>
        <w:lastRenderedPageBreak/>
        <w:t>the two-topic bifactor model fits the data better than the unidimensional model, and contributes a statistically significant improvement in model fit over the simpler unidimensional model. This result is consistent with model comparisons utilizing the AIC and BIC criteria. Similar LRTs comparing the two-topic bifactor model to the three-topic bif</w:t>
      </w:r>
      <w:r>
        <w:t xml:space="preserve">actor model and the six-topic bifactor model imply that model fit is not improved in extending the number of topics to three or six, with </w:t>
      </w:r>
      <w:r w:rsidRPr="00647132">
        <w:rPr>
          <w:i/>
          <w:iCs/>
        </w:rPr>
        <w:t>p</w:t>
      </w:r>
      <w:r>
        <w:t>-values well above 0.20 in both cases.</w:t>
      </w:r>
    </w:p>
    <w:p w14:paraId="37723AFC" w14:textId="31B619EF" w:rsidR="00EA40B7" w:rsidRDefault="006B39EF">
      <w:pPr>
        <w:pBdr>
          <w:top w:val="nil"/>
          <w:left w:val="nil"/>
          <w:bottom w:val="nil"/>
          <w:right w:val="nil"/>
          <w:between w:val="nil"/>
        </w:pBdr>
        <w:spacing w:line="480" w:lineRule="auto"/>
        <w:ind w:firstLine="340"/>
        <w:rPr>
          <w:color w:val="000000"/>
        </w:rPr>
      </w:pPr>
      <w:r>
        <w:rPr>
          <w:color w:val="000000"/>
        </w:rPr>
        <w:t xml:space="preserve">The ECV of the two-topic model is approximately 0.82. Factor loadings of items in a unidimensional model are consistent with item factor loadings onto the general factor in the two-topic bifactor model, as seen in Table 6. </w:t>
      </w:r>
      <w:proofErr w:type="spellStart"/>
      <w:r>
        <w:rPr>
          <w:color w:val="000000"/>
        </w:rPr>
        <w:t>Reise</w:t>
      </w:r>
      <w:proofErr w:type="spellEnd"/>
      <w:r>
        <w:rPr>
          <w:color w:val="000000"/>
        </w:rPr>
        <w:t xml:space="preserve">, Moore, </w:t>
      </w:r>
      <w:r w:rsidR="00C54DD2">
        <w:rPr>
          <w:color w:val="000000"/>
        </w:rPr>
        <w:t>and</w:t>
      </w:r>
      <w:r>
        <w:rPr>
          <w:color w:val="000000"/>
        </w:rPr>
        <w:t xml:space="preserve"> Haviland (2010) argue that when this is the case, it may be that a unidimensional model sufficiently explains the variation in the data. This is consistent with the interpretation of the ECV. Therefore, while there is statistically significant evidence suggesting that a bifactor model is a better fit for the data than a unidimensional model, further evaluation must be conducted to determine the practical significance of this improvement.</w:t>
      </w:r>
    </w:p>
    <w:p w14:paraId="344DB0D0" w14:textId="320DA31E" w:rsidR="00EA40B7" w:rsidRDefault="006B39EF">
      <w:pPr>
        <w:pBdr>
          <w:top w:val="nil"/>
          <w:left w:val="nil"/>
          <w:bottom w:val="nil"/>
          <w:right w:val="nil"/>
          <w:between w:val="nil"/>
        </w:pBdr>
        <w:spacing w:line="480" w:lineRule="auto"/>
        <w:ind w:firstLine="340"/>
        <w:rPr>
          <w:color w:val="000000"/>
        </w:rPr>
      </w:pPr>
      <w:r>
        <w:rPr>
          <w:color w:val="000000"/>
        </w:rPr>
        <w:t>In comparing the SL and heuristic</w:t>
      </w:r>
      <w:r w:rsidR="00662F2A">
        <w:rPr>
          <w:color w:val="000000"/>
        </w:rPr>
        <w:t xml:space="preserve"> two-factor</w:t>
      </w:r>
      <w:r>
        <w:rPr>
          <w:color w:val="000000"/>
        </w:rPr>
        <w:t xml:space="preserve"> partition</w:t>
      </w:r>
      <w:r w:rsidR="00662F2A">
        <w:rPr>
          <w:color w:val="000000"/>
        </w:rPr>
        <w:t>s</w:t>
      </w:r>
      <w:r>
        <w:rPr>
          <w:color w:val="000000"/>
        </w:rPr>
        <w:t xml:space="preserve"> of the 24 composite items of CAOS, 14 items are aligned similarly in both approaches, as displayed in Table 7. Bifactor models based on SL partitions of items in three factor models and six factor models do not result in improvements over the heuristically determined two-topic bifactor model. However, a comparison of the SL two-topic bifactor model outperforms the heuristically determined two-topic bifactor model when compared under AIC, BIC, and LRT criteria. Therefore, further analysis is warranted to examine the common traits of items aligned according to the SL procedure, which may lead to the creation of more meaningful subscores than the heuristic partition of items.</w:t>
      </w:r>
    </w:p>
    <w:p w14:paraId="0505255E" w14:textId="75E2EB65" w:rsidR="00985FAC" w:rsidRDefault="00985FAC">
      <w:pPr>
        <w:pBdr>
          <w:top w:val="nil"/>
          <w:left w:val="nil"/>
          <w:bottom w:val="nil"/>
          <w:right w:val="nil"/>
          <w:between w:val="nil"/>
        </w:pBdr>
        <w:spacing w:line="480" w:lineRule="auto"/>
        <w:ind w:firstLine="340"/>
        <w:rPr>
          <w:color w:val="000000"/>
        </w:rPr>
      </w:pPr>
    </w:p>
    <w:p w14:paraId="1D6D827F" w14:textId="77777777" w:rsidR="00327EE7" w:rsidRDefault="00327EE7">
      <w:pPr>
        <w:pBdr>
          <w:top w:val="nil"/>
          <w:left w:val="nil"/>
          <w:bottom w:val="nil"/>
          <w:right w:val="nil"/>
          <w:between w:val="nil"/>
        </w:pBdr>
        <w:spacing w:line="480" w:lineRule="auto"/>
        <w:ind w:firstLine="340"/>
        <w:rPr>
          <w:color w:val="000000"/>
        </w:rPr>
      </w:pPr>
    </w:p>
    <w:p w14:paraId="0A9E61E3" w14:textId="77777777" w:rsidR="00327EE7" w:rsidRDefault="00327EE7" w:rsidP="00327EE7">
      <w:pPr>
        <w:jc w:val="center"/>
        <w:rPr>
          <w:i/>
        </w:rPr>
      </w:pPr>
    </w:p>
    <w:p w14:paraId="791DFCA8" w14:textId="77777777" w:rsidR="00327EE7" w:rsidRDefault="00327EE7" w:rsidP="00327EE7">
      <w:pPr>
        <w:jc w:val="center"/>
        <w:rPr>
          <w:i/>
        </w:rPr>
      </w:pPr>
      <w:r>
        <w:rPr>
          <w:i/>
        </w:rPr>
        <w:t>Table 5. Absolute and comparative model fit statistics by model</w:t>
      </w:r>
    </w:p>
    <w:p w14:paraId="0E72A5E8" w14:textId="77777777" w:rsidR="00327EE7" w:rsidRDefault="00327EE7" w:rsidP="00327EE7">
      <w:pPr>
        <w:ind w:firstLine="340"/>
      </w:pPr>
    </w:p>
    <w:tbl>
      <w:tblPr>
        <w:tblStyle w:val="a3"/>
        <w:tblW w:w="8100" w:type="dxa"/>
        <w:jc w:val="center"/>
        <w:tblLayout w:type="fixed"/>
        <w:tblLook w:val="0400" w:firstRow="0" w:lastRow="0" w:firstColumn="0" w:lastColumn="0" w:noHBand="0" w:noVBand="1"/>
      </w:tblPr>
      <w:tblGrid>
        <w:gridCol w:w="1526"/>
        <w:gridCol w:w="1714"/>
        <w:gridCol w:w="1620"/>
        <w:gridCol w:w="1620"/>
        <w:gridCol w:w="1620"/>
      </w:tblGrid>
      <w:tr w:rsidR="00327EE7" w14:paraId="15307A2A" w14:textId="77777777" w:rsidTr="00763EBA">
        <w:trPr>
          <w:trHeight w:val="600"/>
          <w:jc w:val="center"/>
        </w:trPr>
        <w:tc>
          <w:tcPr>
            <w:tcW w:w="1526" w:type="dxa"/>
            <w:tcBorders>
              <w:top w:val="nil"/>
              <w:left w:val="nil"/>
              <w:bottom w:val="single" w:sz="4" w:space="0" w:color="000000"/>
              <w:right w:val="nil"/>
            </w:tcBorders>
            <w:shd w:val="clear" w:color="auto" w:fill="auto"/>
            <w:vAlign w:val="center"/>
          </w:tcPr>
          <w:p w14:paraId="5F5365E8" w14:textId="77777777" w:rsidR="00327EE7" w:rsidRDefault="00327EE7" w:rsidP="00763EBA">
            <w:pPr>
              <w:jc w:val="center"/>
              <w:rPr>
                <w:rFonts w:ascii="Calibri" w:eastAsia="Calibri" w:hAnsi="Calibri" w:cs="Calibri"/>
              </w:rPr>
            </w:pPr>
            <w:r>
              <w:rPr>
                <w:rFonts w:ascii="Calibri" w:eastAsia="Calibri" w:hAnsi="Calibri" w:cs="Calibri"/>
              </w:rPr>
              <w:t> </w:t>
            </w:r>
          </w:p>
        </w:tc>
        <w:tc>
          <w:tcPr>
            <w:tcW w:w="1714" w:type="dxa"/>
            <w:tcBorders>
              <w:top w:val="nil"/>
              <w:left w:val="nil"/>
              <w:bottom w:val="single" w:sz="4" w:space="0" w:color="000000"/>
              <w:right w:val="nil"/>
            </w:tcBorders>
            <w:shd w:val="clear" w:color="auto" w:fill="auto"/>
            <w:vAlign w:val="bottom"/>
          </w:tcPr>
          <w:p w14:paraId="1D797111" w14:textId="77777777" w:rsidR="00327EE7" w:rsidRDefault="00327EE7" w:rsidP="00763EBA">
            <w:pPr>
              <w:jc w:val="center"/>
              <w:rPr>
                <w:rFonts w:ascii="Calibri" w:eastAsia="Calibri" w:hAnsi="Calibri" w:cs="Calibri"/>
              </w:rPr>
            </w:pPr>
            <w:r>
              <w:rPr>
                <w:rFonts w:ascii="Calibri" w:eastAsia="Calibri" w:hAnsi="Calibri" w:cs="Calibri"/>
              </w:rPr>
              <w:t>Unidimensional model</w:t>
            </w:r>
          </w:p>
        </w:tc>
        <w:tc>
          <w:tcPr>
            <w:tcW w:w="1620" w:type="dxa"/>
            <w:tcBorders>
              <w:top w:val="nil"/>
              <w:left w:val="nil"/>
              <w:bottom w:val="single" w:sz="4" w:space="0" w:color="000000"/>
              <w:right w:val="nil"/>
            </w:tcBorders>
            <w:shd w:val="clear" w:color="auto" w:fill="auto"/>
            <w:vAlign w:val="bottom"/>
          </w:tcPr>
          <w:p w14:paraId="56F34F59" w14:textId="77777777" w:rsidR="00327EE7" w:rsidRDefault="00327EE7" w:rsidP="00763EBA">
            <w:pPr>
              <w:jc w:val="center"/>
              <w:rPr>
                <w:rFonts w:ascii="Calibri" w:eastAsia="Calibri" w:hAnsi="Calibri" w:cs="Calibri"/>
              </w:rPr>
            </w:pPr>
            <w:r>
              <w:rPr>
                <w:rFonts w:ascii="Calibri" w:eastAsia="Calibri" w:hAnsi="Calibri" w:cs="Calibri"/>
              </w:rPr>
              <w:t>Two-topic bifactor model</w:t>
            </w:r>
          </w:p>
        </w:tc>
        <w:tc>
          <w:tcPr>
            <w:tcW w:w="1620" w:type="dxa"/>
            <w:tcBorders>
              <w:top w:val="nil"/>
              <w:left w:val="nil"/>
              <w:bottom w:val="single" w:sz="4" w:space="0" w:color="000000"/>
              <w:right w:val="nil"/>
            </w:tcBorders>
            <w:shd w:val="clear" w:color="auto" w:fill="auto"/>
            <w:vAlign w:val="bottom"/>
          </w:tcPr>
          <w:p w14:paraId="4F37EFAF" w14:textId="77777777" w:rsidR="00327EE7" w:rsidRDefault="00327EE7" w:rsidP="00763EBA">
            <w:pPr>
              <w:jc w:val="center"/>
              <w:rPr>
                <w:rFonts w:ascii="Calibri" w:eastAsia="Calibri" w:hAnsi="Calibri" w:cs="Calibri"/>
              </w:rPr>
            </w:pPr>
            <w:r>
              <w:rPr>
                <w:rFonts w:ascii="Calibri" w:eastAsia="Calibri" w:hAnsi="Calibri" w:cs="Calibri"/>
              </w:rPr>
              <w:t>Three-topic bifactor model</w:t>
            </w:r>
          </w:p>
        </w:tc>
        <w:tc>
          <w:tcPr>
            <w:tcW w:w="1620" w:type="dxa"/>
            <w:tcBorders>
              <w:top w:val="nil"/>
              <w:left w:val="nil"/>
              <w:bottom w:val="single" w:sz="4" w:space="0" w:color="000000"/>
              <w:right w:val="nil"/>
            </w:tcBorders>
            <w:shd w:val="clear" w:color="auto" w:fill="auto"/>
            <w:vAlign w:val="bottom"/>
          </w:tcPr>
          <w:p w14:paraId="2FF2EB0F" w14:textId="77777777" w:rsidR="00327EE7" w:rsidRDefault="00327EE7" w:rsidP="00763EBA">
            <w:pPr>
              <w:jc w:val="center"/>
              <w:rPr>
                <w:rFonts w:ascii="Calibri" w:eastAsia="Calibri" w:hAnsi="Calibri" w:cs="Calibri"/>
              </w:rPr>
            </w:pPr>
            <w:r>
              <w:rPr>
                <w:rFonts w:ascii="Calibri" w:eastAsia="Calibri" w:hAnsi="Calibri" w:cs="Calibri"/>
              </w:rPr>
              <w:t>Six-topic bifactor model</w:t>
            </w:r>
          </w:p>
        </w:tc>
      </w:tr>
      <w:tr w:rsidR="00327EE7" w14:paraId="215C4BBE" w14:textId="77777777" w:rsidTr="00763EBA">
        <w:trPr>
          <w:trHeight w:val="340"/>
          <w:jc w:val="center"/>
        </w:trPr>
        <w:tc>
          <w:tcPr>
            <w:tcW w:w="1526" w:type="dxa"/>
            <w:tcBorders>
              <w:top w:val="nil"/>
              <w:left w:val="nil"/>
              <w:bottom w:val="nil"/>
              <w:right w:val="nil"/>
            </w:tcBorders>
            <w:shd w:val="clear" w:color="auto" w:fill="auto"/>
            <w:vAlign w:val="bottom"/>
          </w:tcPr>
          <w:p w14:paraId="7FCB5D51" w14:textId="77777777" w:rsidR="00327EE7" w:rsidRPr="00647132" w:rsidRDefault="00327EE7" w:rsidP="00763EBA">
            <w:pPr>
              <w:jc w:val="center"/>
              <w:rPr>
                <w:rFonts w:ascii="Calibri" w:eastAsia="Calibri" w:hAnsi="Calibri" w:cs="Calibri"/>
                <w:i/>
                <w:iCs/>
              </w:rPr>
            </w:pPr>
            <w:r w:rsidRPr="00647132">
              <w:rPr>
                <w:rFonts w:ascii="Calibri" w:eastAsia="Calibri" w:hAnsi="Calibri" w:cs="Calibri"/>
                <w:i/>
                <w:iCs/>
              </w:rPr>
              <w:t>G</w:t>
            </w:r>
            <w:r w:rsidRPr="00647132">
              <w:rPr>
                <w:rFonts w:ascii="Calibri" w:eastAsia="Calibri" w:hAnsi="Calibri" w:cs="Calibri"/>
                <w:i/>
                <w:iCs/>
                <w:vertAlign w:val="superscript"/>
              </w:rPr>
              <w:t>2</w:t>
            </w:r>
          </w:p>
        </w:tc>
        <w:tc>
          <w:tcPr>
            <w:tcW w:w="1714" w:type="dxa"/>
            <w:tcBorders>
              <w:top w:val="nil"/>
              <w:left w:val="nil"/>
              <w:bottom w:val="nil"/>
              <w:right w:val="nil"/>
            </w:tcBorders>
            <w:shd w:val="clear" w:color="auto" w:fill="auto"/>
            <w:vAlign w:val="bottom"/>
          </w:tcPr>
          <w:p w14:paraId="37C7F83E" w14:textId="77777777" w:rsidR="00327EE7" w:rsidRDefault="00327EE7" w:rsidP="00763EBA">
            <w:pPr>
              <w:jc w:val="right"/>
              <w:rPr>
                <w:rFonts w:ascii="Calibri" w:eastAsia="Calibri" w:hAnsi="Calibri" w:cs="Calibri"/>
              </w:rPr>
            </w:pPr>
            <w:r>
              <w:rPr>
                <w:rFonts w:ascii="Calibri" w:eastAsia="Calibri" w:hAnsi="Calibri" w:cs="Calibri"/>
              </w:rPr>
              <w:t xml:space="preserve">                 610,106 </w:t>
            </w:r>
          </w:p>
        </w:tc>
        <w:tc>
          <w:tcPr>
            <w:tcW w:w="1620" w:type="dxa"/>
            <w:tcBorders>
              <w:top w:val="nil"/>
              <w:left w:val="nil"/>
              <w:bottom w:val="nil"/>
              <w:right w:val="nil"/>
            </w:tcBorders>
            <w:shd w:val="clear" w:color="auto" w:fill="auto"/>
            <w:vAlign w:val="bottom"/>
          </w:tcPr>
          <w:p w14:paraId="0D8B3A45" w14:textId="77777777" w:rsidR="00327EE7" w:rsidRDefault="00327EE7" w:rsidP="00763EBA">
            <w:pPr>
              <w:jc w:val="right"/>
              <w:rPr>
                <w:rFonts w:ascii="Calibri" w:eastAsia="Calibri" w:hAnsi="Calibri" w:cs="Calibri"/>
              </w:rPr>
            </w:pPr>
            <w:r>
              <w:rPr>
                <w:rFonts w:ascii="Calibri" w:eastAsia="Calibri" w:hAnsi="Calibri" w:cs="Calibri"/>
              </w:rPr>
              <w:t xml:space="preserve">                 607,606 </w:t>
            </w:r>
          </w:p>
        </w:tc>
        <w:tc>
          <w:tcPr>
            <w:tcW w:w="1620" w:type="dxa"/>
            <w:tcBorders>
              <w:top w:val="nil"/>
              <w:left w:val="nil"/>
              <w:bottom w:val="nil"/>
              <w:right w:val="nil"/>
            </w:tcBorders>
            <w:shd w:val="clear" w:color="auto" w:fill="auto"/>
            <w:vAlign w:val="bottom"/>
          </w:tcPr>
          <w:p w14:paraId="31471114" w14:textId="77777777" w:rsidR="00327EE7" w:rsidRDefault="00327EE7" w:rsidP="00763EBA">
            <w:pPr>
              <w:jc w:val="right"/>
              <w:rPr>
                <w:rFonts w:ascii="Calibri" w:eastAsia="Calibri" w:hAnsi="Calibri" w:cs="Calibri"/>
              </w:rPr>
            </w:pPr>
            <w:r>
              <w:rPr>
                <w:rFonts w:ascii="Calibri" w:eastAsia="Calibri" w:hAnsi="Calibri" w:cs="Calibri"/>
              </w:rPr>
              <w:t xml:space="preserve">                 608,357 </w:t>
            </w:r>
          </w:p>
        </w:tc>
        <w:tc>
          <w:tcPr>
            <w:tcW w:w="1620" w:type="dxa"/>
            <w:tcBorders>
              <w:top w:val="nil"/>
              <w:left w:val="nil"/>
              <w:bottom w:val="nil"/>
              <w:right w:val="nil"/>
            </w:tcBorders>
            <w:shd w:val="clear" w:color="auto" w:fill="auto"/>
            <w:vAlign w:val="bottom"/>
          </w:tcPr>
          <w:p w14:paraId="0E6705F5" w14:textId="77777777" w:rsidR="00327EE7" w:rsidRDefault="00327EE7" w:rsidP="00763EBA">
            <w:pPr>
              <w:jc w:val="right"/>
              <w:rPr>
                <w:rFonts w:ascii="Calibri" w:eastAsia="Calibri" w:hAnsi="Calibri" w:cs="Calibri"/>
              </w:rPr>
            </w:pPr>
            <w:r>
              <w:rPr>
                <w:rFonts w:ascii="Calibri" w:eastAsia="Calibri" w:hAnsi="Calibri" w:cs="Calibri"/>
              </w:rPr>
              <w:t xml:space="preserve">                 608,593 </w:t>
            </w:r>
          </w:p>
        </w:tc>
      </w:tr>
      <w:tr w:rsidR="00327EE7" w14:paraId="243F492F" w14:textId="77777777" w:rsidTr="00763EBA">
        <w:trPr>
          <w:trHeight w:val="340"/>
          <w:jc w:val="center"/>
        </w:trPr>
        <w:tc>
          <w:tcPr>
            <w:tcW w:w="1526" w:type="dxa"/>
            <w:tcBorders>
              <w:top w:val="nil"/>
              <w:left w:val="nil"/>
              <w:bottom w:val="nil"/>
              <w:right w:val="nil"/>
            </w:tcBorders>
            <w:shd w:val="clear" w:color="auto" w:fill="auto"/>
            <w:vAlign w:val="bottom"/>
          </w:tcPr>
          <w:p w14:paraId="6CD2734A" w14:textId="77777777" w:rsidR="00327EE7" w:rsidRDefault="00327EE7" w:rsidP="00763EBA">
            <w:pPr>
              <w:jc w:val="center"/>
              <w:rPr>
                <w:rFonts w:ascii="Calibri" w:eastAsia="Calibri" w:hAnsi="Calibri" w:cs="Calibri"/>
              </w:rPr>
            </w:pPr>
            <w:r w:rsidRPr="00647132">
              <w:rPr>
                <w:rFonts w:ascii="Calibri" w:eastAsia="Calibri" w:hAnsi="Calibri" w:cs="Calibri"/>
                <w:i/>
                <w:iCs/>
              </w:rPr>
              <w:t>p</w:t>
            </w:r>
            <w:r>
              <w:rPr>
                <w:rFonts w:ascii="Calibri" w:eastAsia="Calibri" w:hAnsi="Calibri" w:cs="Calibri"/>
              </w:rPr>
              <w:t xml:space="preserve">-value for </w:t>
            </w:r>
            <w:r w:rsidRPr="00647132">
              <w:rPr>
                <w:rFonts w:ascii="Calibri" w:eastAsia="Calibri" w:hAnsi="Calibri" w:cs="Calibri"/>
                <w:i/>
                <w:iCs/>
              </w:rPr>
              <w:t>G</w:t>
            </w:r>
            <w:r w:rsidRPr="00647132">
              <w:rPr>
                <w:rFonts w:ascii="Calibri" w:eastAsia="Calibri" w:hAnsi="Calibri" w:cs="Calibri"/>
                <w:i/>
                <w:iCs/>
                <w:vertAlign w:val="superscript"/>
              </w:rPr>
              <w:t>2</w:t>
            </w:r>
          </w:p>
        </w:tc>
        <w:tc>
          <w:tcPr>
            <w:tcW w:w="1714" w:type="dxa"/>
            <w:tcBorders>
              <w:top w:val="nil"/>
              <w:left w:val="nil"/>
              <w:bottom w:val="nil"/>
              <w:right w:val="nil"/>
            </w:tcBorders>
            <w:shd w:val="clear" w:color="auto" w:fill="auto"/>
            <w:vAlign w:val="bottom"/>
          </w:tcPr>
          <w:p w14:paraId="609DD1B8" w14:textId="77777777" w:rsidR="00327EE7" w:rsidRDefault="00327EE7" w:rsidP="00763EBA">
            <w:pPr>
              <w:jc w:val="right"/>
              <w:rPr>
                <w:rFonts w:ascii="Calibri" w:eastAsia="Calibri" w:hAnsi="Calibri" w:cs="Calibri"/>
              </w:rPr>
            </w:pPr>
            <w:r>
              <w:rPr>
                <w:rFonts w:ascii="Calibri" w:eastAsia="Calibri" w:hAnsi="Calibri" w:cs="Calibri"/>
              </w:rPr>
              <w:t xml:space="preserve">&gt; 0.999  </w:t>
            </w:r>
          </w:p>
        </w:tc>
        <w:tc>
          <w:tcPr>
            <w:tcW w:w="1620" w:type="dxa"/>
            <w:tcBorders>
              <w:top w:val="nil"/>
              <w:left w:val="nil"/>
              <w:bottom w:val="nil"/>
              <w:right w:val="nil"/>
            </w:tcBorders>
            <w:shd w:val="clear" w:color="auto" w:fill="auto"/>
            <w:vAlign w:val="bottom"/>
          </w:tcPr>
          <w:p w14:paraId="21837928" w14:textId="77777777" w:rsidR="00327EE7" w:rsidRDefault="00327EE7" w:rsidP="00763EBA">
            <w:pPr>
              <w:jc w:val="right"/>
              <w:rPr>
                <w:rFonts w:ascii="Calibri" w:eastAsia="Calibri" w:hAnsi="Calibri" w:cs="Calibri"/>
              </w:rPr>
            </w:pPr>
            <w:r>
              <w:rPr>
                <w:rFonts w:ascii="Calibri" w:eastAsia="Calibri" w:hAnsi="Calibri" w:cs="Calibri"/>
              </w:rPr>
              <w:t xml:space="preserve">&gt; 0.999  </w:t>
            </w:r>
          </w:p>
        </w:tc>
        <w:tc>
          <w:tcPr>
            <w:tcW w:w="1620" w:type="dxa"/>
            <w:tcBorders>
              <w:top w:val="nil"/>
              <w:left w:val="nil"/>
              <w:bottom w:val="nil"/>
              <w:right w:val="nil"/>
            </w:tcBorders>
            <w:shd w:val="clear" w:color="auto" w:fill="auto"/>
            <w:vAlign w:val="bottom"/>
          </w:tcPr>
          <w:p w14:paraId="4BCBA9EE" w14:textId="77777777" w:rsidR="00327EE7" w:rsidRDefault="00327EE7" w:rsidP="00763EBA">
            <w:pPr>
              <w:jc w:val="right"/>
              <w:rPr>
                <w:rFonts w:ascii="Calibri" w:eastAsia="Calibri" w:hAnsi="Calibri" w:cs="Calibri"/>
              </w:rPr>
            </w:pPr>
            <w:r>
              <w:rPr>
                <w:rFonts w:ascii="Calibri" w:eastAsia="Calibri" w:hAnsi="Calibri" w:cs="Calibri"/>
              </w:rPr>
              <w:t xml:space="preserve">&gt; 0.999  </w:t>
            </w:r>
          </w:p>
        </w:tc>
        <w:tc>
          <w:tcPr>
            <w:tcW w:w="1620" w:type="dxa"/>
            <w:tcBorders>
              <w:top w:val="nil"/>
              <w:left w:val="nil"/>
              <w:bottom w:val="nil"/>
              <w:right w:val="nil"/>
            </w:tcBorders>
            <w:shd w:val="clear" w:color="auto" w:fill="auto"/>
            <w:vAlign w:val="bottom"/>
          </w:tcPr>
          <w:p w14:paraId="5F42E45A" w14:textId="77777777" w:rsidR="00327EE7" w:rsidRDefault="00327EE7" w:rsidP="00763EBA">
            <w:pPr>
              <w:jc w:val="right"/>
              <w:rPr>
                <w:rFonts w:ascii="Calibri" w:eastAsia="Calibri" w:hAnsi="Calibri" w:cs="Calibri"/>
              </w:rPr>
            </w:pPr>
            <w:r>
              <w:rPr>
                <w:rFonts w:ascii="Calibri" w:eastAsia="Calibri" w:hAnsi="Calibri" w:cs="Calibri"/>
              </w:rPr>
              <w:t xml:space="preserve">&gt; 0.999  </w:t>
            </w:r>
          </w:p>
        </w:tc>
      </w:tr>
      <w:tr w:rsidR="00327EE7" w14:paraId="71E17ECB" w14:textId="77777777" w:rsidTr="00763EBA">
        <w:trPr>
          <w:trHeight w:val="300"/>
          <w:jc w:val="center"/>
        </w:trPr>
        <w:tc>
          <w:tcPr>
            <w:tcW w:w="1526" w:type="dxa"/>
            <w:tcBorders>
              <w:top w:val="nil"/>
              <w:left w:val="nil"/>
              <w:bottom w:val="nil"/>
              <w:right w:val="nil"/>
            </w:tcBorders>
            <w:shd w:val="clear" w:color="auto" w:fill="auto"/>
            <w:vAlign w:val="bottom"/>
          </w:tcPr>
          <w:p w14:paraId="2AE7468C" w14:textId="77777777" w:rsidR="00327EE7" w:rsidRDefault="00327EE7" w:rsidP="00763EBA">
            <w:pPr>
              <w:jc w:val="center"/>
              <w:rPr>
                <w:rFonts w:ascii="Calibri" w:eastAsia="Calibri" w:hAnsi="Calibri" w:cs="Calibri"/>
              </w:rPr>
            </w:pPr>
            <w:r>
              <w:rPr>
                <w:rFonts w:ascii="Calibri" w:eastAsia="Calibri" w:hAnsi="Calibri" w:cs="Calibri"/>
              </w:rPr>
              <w:t>RMSEA</w:t>
            </w:r>
          </w:p>
        </w:tc>
        <w:tc>
          <w:tcPr>
            <w:tcW w:w="1714" w:type="dxa"/>
            <w:tcBorders>
              <w:top w:val="nil"/>
              <w:left w:val="nil"/>
              <w:bottom w:val="nil"/>
              <w:right w:val="nil"/>
            </w:tcBorders>
            <w:shd w:val="clear" w:color="auto" w:fill="auto"/>
            <w:vAlign w:val="bottom"/>
          </w:tcPr>
          <w:p w14:paraId="058A44BA" w14:textId="77777777" w:rsidR="00327EE7" w:rsidRDefault="00327EE7" w:rsidP="00763EBA">
            <w:pPr>
              <w:jc w:val="right"/>
              <w:rPr>
                <w:rFonts w:ascii="Calibri" w:eastAsia="Calibri" w:hAnsi="Calibri" w:cs="Calibri"/>
              </w:rPr>
            </w:pPr>
            <w:r>
              <w:rPr>
                <w:rFonts w:ascii="Calibri" w:eastAsia="Calibri" w:hAnsi="Calibri" w:cs="Calibri"/>
              </w:rPr>
              <w:t xml:space="preserve">&lt; 0.001  </w:t>
            </w:r>
          </w:p>
        </w:tc>
        <w:tc>
          <w:tcPr>
            <w:tcW w:w="1620" w:type="dxa"/>
            <w:tcBorders>
              <w:top w:val="nil"/>
              <w:left w:val="nil"/>
              <w:bottom w:val="nil"/>
              <w:right w:val="nil"/>
            </w:tcBorders>
            <w:shd w:val="clear" w:color="auto" w:fill="auto"/>
            <w:vAlign w:val="bottom"/>
          </w:tcPr>
          <w:p w14:paraId="247B3B36" w14:textId="77777777" w:rsidR="00327EE7" w:rsidRDefault="00327EE7" w:rsidP="00763EBA">
            <w:pPr>
              <w:jc w:val="right"/>
              <w:rPr>
                <w:rFonts w:ascii="Calibri" w:eastAsia="Calibri" w:hAnsi="Calibri" w:cs="Calibri"/>
              </w:rPr>
            </w:pPr>
            <w:r>
              <w:rPr>
                <w:rFonts w:ascii="Calibri" w:eastAsia="Calibri" w:hAnsi="Calibri" w:cs="Calibri"/>
              </w:rPr>
              <w:t xml:space="preserve">&lt; 0.001  </w:t>
            </w:r>
          </w:p>
        </w:tc>
        <w:tc>
          <w:tcPr>
            <w:tcW w:w="1620" w:type="dxa"/>
            <w:tcBorders>
              <w:top w:val="nil"/>
              <w:left w:val="nil"/>
              <w:bottom w:val="nil"/>
              <w:right w:val="nil"/>
            </w:tcBorders>
            <w:shd w:val="clear" w:color="auto" w:fill="auto"/>
            <w:vAlign w:val="bottom"/>
          </w:tcPr>
          <w:p w14:paraId="269B3D77" w14:textId="77777777" w:rsidR="00327EE7" w:rsidRDefault="00327EE7" w:rsidP="00763EBA">
            <w:pPr>
              <w:jc w:val="right"/>
              <w:rPr>
                <w:rFonts w:ascii="Calibri" w:eastAsia="Calibri" w:hAnsi="Calibri" w:cs="Calibri"/>
              </w:rPr>
            </w:pPr>
            <w:r>
              <w:rPr>
                <w:rFonts w:ascii="Calibri" w:eastAsia="Calibri" w:hAnsi="Calibri" w:cs="Calibri"/>
              </w:rPr>
              <w:t xml:space="preserve">&lt; 0.001  </w:t>
            </w:r>
          </w:p>
        </w:tc>
        <w:tc>
          <w:tcPr>
            <w:tcW w:w="1620" w:type="dxa"/>
            <w:tcBorders>
              <w:top w:val="nil"/>
              <w:left w:val="nil"/>
              <w:bottom w:val="nil"/>
              <w:right w:val="nil"/>
            </w:tcBorders>
            <w:shd w:val="clear" w:color="auto" w:fill="auto"/>
            <w:vAlign w:val="bottom"/>
          </w:tcPr>
          <w:p w14:paraId="2C91D693" w14:textId="77777777" w:rsidR="00327EE7" w:rsidRDefault="00327EE7" w:rsidP="00763EBA">
            <w:pPr>
              <w:jc w:val="right"/>
              <w:rPr>
                <w:rFonts w:ascii="Calibri" w:eastAsia="Calibri" w:hAnsi="Calibri" w:cs="Calibri"/>
              </w:rPr>
            </w:pPr>
            <w:r>
              <w:rPr>
                <w:rFonts w:ascii="Calibri" w:eastAsia="Calibri" w:hAnsi="Calibri" w:cs="Calibri"/>
              </w:rPr>
              <w:t xml:space="preserve">&lt; 0.001  </w:t>
            </w:r>
          </w:p>
        </w:tc>
      </w:tr>
      <w:tr w:rsidR="00327EE7" w14:paraId="1B481A12" w14:textId="77777777" w:rsidTr="00763EBA">
        <w:trPr>
          <w:trHeight w:val="300"/>
          <w:jc w:val="center"/>
        </w:trPr>
        <w:tc>
          <w:tcPr>
            <w:tcW w:w="1526" w:type="dxa"/>
            <w:tcBorders>
              <w:top w:val="nil"/>
              <w:left w:val="nil"/>
              <w:bottom w:val="nil"/>
              <w:right w:val="nil"/>
            </w:tcBorders>
            <w:shd w:val="clear" w:color="auto" w:fill="auto"/>
            <w:vAlign w:val="bottom"/>
          </w:tcPr>
          <w:p w14:paraId="72CA3731" w14:textId="77777777" w:rsidR="00327EE7" w:rsidRDefault="00327EE7" w:rsidP="00763EBA">
            <w:pPr>
              <w:jc w:val="center"/>
              <w:rPr>
                <w:rFonts w:ascii="Calibri" w:eastAsia="Calibri" w:hAnsi="Calibri" w:cs="Calibri"/>
              </w:rPr>
            </w:pPr>
            <w:r>
              <w:rPr>
                <w:rFonts w:ascii="Calibri" w:eastAsia="Calibri" w:hAnsi="Calibri" w:cs="Calibri"/>
              </w:rPr>
              <w:t>AIC</w:t>
            </w:r>
          </w:p>
        </w:tc>
        <w:tc>
          <w:tcPr>
            <w:tcW w:w="1714" w:type="dxa"/>
            <w:tcBorders>
              <w:top w:val="nil"/>
              <w:left w:val="nil"/>
              <w:bottom w:val="nil"/>
              <w:right w:val="nil"/>
            </w:tcBorders>
            <w:shd w:val="clear" w:color="auto" w:fill="auto"/>
            <w:vAlign w:val="bottom"/>
          </w:tcPr>
          <w:p w14:paraId="52B43FF8" w14:textId="77777777" w:rsidR="00327EE7" w:rsidRDefault="00327EE7" w:rsidP="00763EBA">
            <w:pPr>
              <w:jc w:val="right"/>
              <w:rPr>
                <w:rFonts w:ascii="Calibri" w:eastAsia="Calibri" w:hAnsi="Calibri" w:cs="Calibri"/>
              </w:rPr>
            </w:pPr>
            <w:r>
              <w:rPr>
                <w:rFonts w:ascii="Calibri" w:eastAsia="Calibri" w:hAnsi="Calibri" w:cs="Calibri"/>
              </w:rPr>
              <w:t>1,484,029</w:t>
            </w:r>
          </w:p>
        </w:tc>
        <w:tc>
          <w:tcPr>
            <w:tcW w:w="1620" w:type="dxa"/>
            <w:tcBorders>
              <w:top w:val="nil"/>
              <w:left w:val="nil"/>
              <w:bottom w:val="nil"/>
              <w:right w:val="nil"/>
            </w:tcBorders>
            <w:shd w:val="clear" w:color="auto" w:fill="auto"/>
            <w:vAlign w:val="bottom"/>
          </w:tcPr>
          <w:p w14:paraId="6806FFF5" w14:textId="77777777" w:rsidR="00327EE7" w:rsidRDefault="00327EE7" w:rsidP="00763EBA">
            <w:pPr>
              <w:jc w:val="right"/>
              <w:rPr>
                <w:rFonts w:ascii="Calibri" w:eastAsia="Calibri" w:hAnsi="Calibri" w:cs="Calibri"/>
              </w:rPr>
            </w:pPr>
            <w:r>
              <w:rPr>
                <w:rFonts w:ascii="Calibri" w:eastAsia="Calibri" w:hAnsi="Calibri" w:cs="Calibri"/>
              </w:rPr>
              <w:t>1,481,577</w:t>
            </w:r>
          </w:p>
        </w:tc>
        <w:tc>
          <w:tcPr>
            <w:tcW w:w="1620" w:type="dxa"/>
            <w:tcBorders>
              <w:top w:val="nil"/>
              <w:left w:val="nil"/>
              <w:bottom w:val="nil"/>
              <w:right w:val="nil"/>
            </w:tcBorders>
            <w:shd w:val="clear" w:color="auto" w:fill="auto"/>
            <w:vAlign w:val="bottom"/>
          </w:tcPr>
          <w:p w14:paraId="6F96454C" w14:textId="77777777" w:rsidR="00327EE7" w:rsidRDefault="00327EE7" w:rsidP="00763EBA">
            <w:pPr>
              <w:jc w:val="right"/>
              <w:rPr>
                <w:rFonts w:ascii="Calibri" w:eastAsia="Calibri" w:hAnsi="Calibri" w:cs="Calibri"/>
              </w:rPr>
            </w:pPr>
            <w:r>
              <w:rPr>
                <w:rFonts w:ascii="Calibri" w:eastAsia="Calibri" w:hAnsi="Calibri" w:cs="Calibri"/>
              </w:rPr>
              <w:t>1,482,328</w:t>
            </w:r>
          </w:p>
        </w:tc>
        <w:tc>
          <w:tcPr>
            <w:tcW w:w="1620" w:type="dxa"/>
            <w:tcBorders>
              <w:top w:val="nil"/>
              <w:left w:val="nil"/>
              <w:bottom w:val="nil"/>
              <w:right w:val="nil"/>
            </w:tcBorders>
            <w:shd w:val="clear" w:color="auto" w:fill="auto"/>
            <w:vAlign w:val="bottom"/>
          </w:tcPr>
          <w:p w14:paraId="72ED7901" w14:textId="77777777" w:rsidR="00327EE7" w:rsidRDefault="00327EE7" w:rsidP="00763EBA">
            <w:pPr>
              <w:jc w:val="right"/>
              <w:rPr>
                <w:rFonts w:ascii="Calibri" w:eastAsia="Calibri" w:hAnsi="Calibri" w:cs="Calibri"/>
              </w:rPr>
            </w:pPr>
            <w:r>
              <w:rPr>
                <w:rFonts w:ascii="Calibri" w:eastAsia="Calibri" w:hAnsi="Calibri" w:cs="Calibri"/>
              </w:rPr>
              <w:t>1,482,564</w:t>
            </w:r>
          </w:p>
        </w:tc>
      </w:tr>
      <w:tr w:rsidR="00327EE7" w14:paraId="755FC938" w14:textId="77777777" w:rsidTr="00763EBA">
        <w:trPr>
          <w:trHeight w:val="320"/>
          <w:jc w:val="center"/>
        </w:trPr>
        <w:tc>
          <w:tcPr>
            <w:tcW w:w="1526" w:type="dxa"/>
            <w:tcBorders>
              <w:top w:val="nil"/>
              <w:left w:val="nil"/>
              <w:bottom w:val="single" w:sz="4" w:space="0" w:color="000000"/>
              <w:right w:val="nil"/>
            </w:tcBorders>
            <w:shd w:val="clear" w:color="auto" w:fill="auto"/>
            <w:vAlign w:val="bottom"/>
          </w:tcPr>
          <w:p w14:paraId="381CDE03" w14:textId="77777777" w:rsidR="00327EE7" w:rsidRDefault="00327EE7" w:rsidP="00763EBA">
            <w:pPr>
              <w:jc w:val="center"/>
              <w:rPr>
                <w:rFonts w:ascii="Calibri" w:eastAsia="Calibri" w:hAnsi="Calibri" w:cs="Calibri"/>
              </w:rPr>
            </w:pPr>
            <w:r>
              <w:rPr>
                <w:rFonts w:ascii="Calibri" w:eastAsia="Calibri" w:hAnsi="Calibri" w:cs="Calibri"/>
              </w:rPr>
              <w:t>BIC</w:t>
            </w:r>
          </w:p>
        </w:tc>
        <w:tc>
          <w:tcPr>
            <w:tcW w:w="1714" w:type="dxa"/>
            <w:tcBorders>
              <w:top w:val="nil"/>
              <w:left w:val="nil"/>
              <w:bottom w:val="single" w:sz="4" w:space="0" w:color="000000"/>
              <w:right w:val="nil"/>
            </w:tcBorders>
            <w:shd w:val="clear" w:color="auto" w:fill="auto"/>
            <w:vAlign w:val="bottom"/>
          </w:tcPr>
          <w:p w14:paraId="467DD8C7" w14:textId="77777777" w:rsidR="00327EE7" w:rsidRDefault="00327EE7" w:rsidP="00763EBA">
            <w:pPr>
              <w:jc w:val="right"/>
              <w:rPr>
                <w:rFonts w:ascii="Calibri" w:eastAsia="Calibri" w:hAnsi="Calibri" w:cs="Calibri"/>
              </w:rPr>
            </w:pPr>
            <w:r>
              <w:rPr>
                <w:rFonts w:ascii="Calibri" w:eastAsia="Calibri" w:hAnsi="Calibri" w:cs="Calibri"/>
              </w:rPr>
              <w:t>1,484,573</w:t>
            </w:r>
          </w:p>
        </w:tc>
        <w:tc>
          <w:tcPr>
            <w:tcW w:w="1620" w:type="dxa"/>
            <w:tcBorders>
              <w:top w:val="nil"/>
              <w:left w:val="nil"/>
              <w:bottom w:val="single" w:sz="4" w:space="0" w:color="000000"/>
              <w:right w:val="nil"/>
            </w:tcBorders>
            <w:shd w:val="clear" w:color="auto" w:fill="auto"/>
            <w:vAlign w:val="bottom"/>
          </w:tcPr>
          <w:p w14:paraId="64F23344" w14:textId="77777777" w:rsidR="00327EE7" w:rsidRDefault="00327EE7" w:rsidP="00763EBA">
            <w:pPr>
              <w:jc w:val="right"/>
              <w:rPr>
                <w:rFonts w:ascii="Calibri" w:eastAsia="Calibri" w:hAnsi="Calibri" w:cs="Calibri"/>
              </w:rPr>
            </w:pPr>
            <w:r>
              <w:rPr>
                <w:rFonts w:ascii="Calibri" w:eastAsia="Calibri" w:hAnsi="Calibri" w:cs="Calibri"/>
              </w:rPr>
              <w:t>1,482,327</w:t>
            </w:r>
          </w:p>
        </w:tc>
        <w:tc>
          <w:tcPr>
            <w:tcW w:w="1620" w:type="dxa"/>
            <w:tcBorders>
              <w:top w:val="nil"/>
              <w:left w:val="nil"/>
              <w:bottom w:val="single" w:sz="4" w:space="0" w:color="000000"/>
              <w:right w:val="nil"/>
            </w:tcBorders>
            <w:shd w:val="clear" w:color="auto" w:fill="auto"/>
            <w:vAlign w:val="bottom"/>
          </w:tcPr>
          <w:p w14:paraId="3AA5A3E6" w14:textId="77777777" w:rsidR="00327EE7" w:rsidRDefault="00327EE7" w:rsidP="00763EBA">
            <w:pPr>
              <w:jc w:val="right"/>
              <w:rPr>
                <w:rFonts w:ascii="Calibri" w:eastAsia="Calibri" w:hAnsi="Calibri" w:cs="Calibri"/>
              </w:rPr>
            </w:pPr>
            <w:r>
              <w:rPr>
                <w:rFonts w:ascii="Calibri" w:eastAsia="Calibri" w:hAnsi="Calibri" w:cs="Calibri"/>
              </w:rPr>
              <w:t>1,483,078</w:t>
            </w:r>
          </w:p>
        </w:tc>
        <w:tc>
          <w:tcPr>
            <w:tcW w:w="1620" w:type="dxa"/>
            <w:tcBorders>
              <w:top w:val="nil"/>
              <w:left w:val="nil"/>
              <w:bottom w:val="single" w:sz="4" w:space="0" w:color="000000"/>
              <w:right w:val="nil"/>
            </w:tcBorders>
            <w:shd w:val="clear" w:color="auto" w:fill="auto"/>
            <w:vAlign w:val="bottom"/>
          </w:tcPr>
          <w:p w14:paraId="7F8D937B" w14:textId="77777777" w:rsidR="00327EE7" w:rsidRDefault="00327EE7" w:rsidP="00763EBA">
            <w:pPr>
              <w:jc w:val="right"/>
              <w:rPr>
                <w:rFonts w:ascii="Calibri" w:eastAsia="Calibri" w:hAnsi="Calibri" w:cs="Calibri"/>
              </w:rPr>
            </w:pPr>
            <w:r>
              <w:rPr>
                <w:rFonts w:ascii="Calibri" w:eastAsia="Calibri" w:hAnsi="Calibri" w:cs="Calibri"/>
              </w:rPr>
              <w:t>1,483,315</w:t>
            </w:r>
          </w:p>
        </w:tc>
      </w:tr>
    </w:tbl>
    <w:p w14:paraId="76B76D24" w14:textId="77777777" w:rsidR="00327EE7" w:rsidRDefault="00327EE7" w:rsidP="00327EE7">
      <w:pPr>
        <w:pBdr>
          <w:top w:val="nil"/>
          <w:left w:val="nil"/>
          <w:bottom w:val="nil"/>
          <w:right w:val="nil"/>
          <w:between w:val="nil"/>
        </w:pBdr>
        <w:spacing w:line="480" w:lineRule="auto"/>
        <w:ind w:firstLine="340"/>
        <w:rPr>
          <w:color w:val="000000"/>
        </w:rPr>
      </w:pPr>
    </w:p>
    <w:p w14:paraId="2A1F376F" w14:textId="77777777" w:rsidR="00327EE7" w:rsidRDefault="00327EE7">
      <w:pPr>
        <w:pBdr>
          <w:top w:val="nil"/>
          <w:left w:val="nil"/>
          <w:bottom w:val="nil"/>
          <w:right w:val="nil"/>
          <w:between w:val="nil"/>
        </w:pBdr>
        <w:spacing w:line="480" w:lineRule="auto"/>
        <w:ind w:firstLine="340"/>
        <w:rPr>
          <w:color w:val="000000"/>
        </w:rPr>
      </w:pPr>
    </w:p>
    <w:p w14:paraId="7E410147" w14:textId="77777777" w:rsidR="00985FAC" w:rsidRDefault="00985FAC" w:rsidP="00985FAC">
      <w:pPr>
        <w:jc w:val="center"/>
        <w:rPr>
          <w:i/>
        </w:rPr>
      </w:pPr>
      <w:r>
        <w:rPr>
          <w:i/>
        </w:rPr>
        <w:t>Table 6. Factor loadings onto the general factor by item and model</w:t>
      </w:r>
    </w:p>
    <w:p w14:paraId="1EDB0E1C" w14:textId="77777777" w:rsidR="00985FAC" w:rsidRDefault="00985FAC" w:rsidP="00985FAC">
      <w:pPr>
        <w:jc w:val="center"/>
        <w:rPr>
          <w:i/>
        </w:rPr>
      </w:pPr>
    </w:p>
    <w:tbl>
      <w:tblPr>
        <w:tblStyle w:val="a4"/>
        <w:tblW w:w="7920" w:type="dxa"/>
        <w:jc w:val="center"/>
        <w:tblLayout w:type="fixed"/>
        <w:tblLook w:val="0400" w:firstRow="0" w:lastRow="0" w:firstColumn="0" w:lastColumn="0" w:noHBand="0" w:noVBand="1"/>
      </w:tblPr>
      <w:tblGrid>
        <w:gridCol w:w="1620"/>
        <w:gridCol w:w="1530"/>
        <w:gridCol w:w="2238"/>
        <w:gridCol w:w="2532"/>
      </w:tblGrid>
      <w:tr w:rsidR="00985FAC" w14:paraId="3A529072" w14:textId="77777777" w:rsidTr="008141F2">
        <w:trPr>
          <w:trHeight w:val="300"/>
          <w:jc w:val="center"/>
        </w:trPr>
        <w:tc>
          <w:tcPr>
            <w:tcW w:w="1620" w:type="dxa"/>
            <w:tcBorders>
              <w:top w:val="nil"/>
              <w:left w:val="nil"/>
              <w:bottom w:val="single" w:sz="4" w:space="0" w:color="000000"/>
              <w:right w:val="nil"/>
            </w:tcBorders>
            <w:shd w:val="clear" w:color="auto" w:fill="auto"/>
            <w:vAlign w:val="center"/>
          </w:tcPr>
          <w:p w14:paraId="54B911D3" w14:textId="77777777" w:rsidR="00985FAC" w:rsidRDefault="00985FAC" w:rsidP="008141F2">
            <w:pPr>
              <w:jc w:val="center"/>
              <w:rPr>
                <w:rFonts w:ascii="Calibri" w:eastAsia="Calibri" w:hAnsi="Calibri" w:cs="Calibri"/>
              </w:rPr>
            </w:pPr>
            <w:r>
              <w:rPr>
                <w:rFonts w:ascii="Calibri" w:eastAsia="Calibri" w:hAnsi="Calibri" w:cs="Calibri"/>
              </w:rPr>
              <w:t> </w:t>
            </w:r>
          </w:p>
        </w:tc>
        <w:tc>
          <w:tcPr>
            <w:tcW w:w="1530" w:type="dxa"/>
            <w:tcBorders>
              <w:top w:val="nil"/>
              <w:left w:val="nil"/>
              <w:bottom w:val="single" w:sz="4" w:space="0" w:color="000000"/>
              <w:right w:val="nil"/>
            </w:tcBorders>
            <w:shd w:val="clear" w:color="auto" w:fill="auto"/>
            <w:vAlign w:val="bottom"/>
          </w:tcPr>
          <w:p w14:paraId="5AEDBAB2" w14:textId="77777777" w:rsidR="00985FAC" w:rsidRDefault="00985FAC" w:rsidP="008141F2">
            <w:pPr>
              <w:jc w:val="center"/>
              <w:rPr>
                <w:rFonts w:ascii="Calibri" w:eastAsia="Calibri" w:hAnsi="Calibri" w:cs="Calibri"/>
              </w:rPr>
            </w:pPr>
            <w:r>
              <w:rPr>
                <w:rFonts w:ascii="Calibri" w:eastAsia="Calibri" w:hAnsi="Calibri" w:cs="Calibri"/>
              </w:rPr>
              <w:t>delMas (2014)</w:t>
            </w:r>
          </w:p>
        </w:tc>
        <w:tc>
          <w:tcPr>
            <w:tcW w:w="2238" w:type="dxa"/>
            <w:tcBorders>
              <w:top w:val="nil"/>
              <w:left w:val="nil"/>
              <w:bottom w:val="single" w:sz="4" w:space="0" w:color="000000"/>
              <w:right w:val="nil"/>
            </w:tcBorders>
            <w:shd w:val="clear" w:color="auto" w:fill="auto"/>
            <w:vAlign w:val="bottom"/>
          </w:tcPr>
          <w:p w14:paraId="6D201FD8" w14:textId="77777777" w:rsidR="00985FAC" w:rsidRDefault="00985FAC" w:rsidP="008141F2">
            <w:pPr>
              <w:jc w:val="center"/>
              <w:rPr>
                <w:rFonts w:ascii="Calibri" w:eastAsia="Calibri" w:hAnsi="Calibri" w:cs="Calibri"/>
              </w:rPr>
            </w:pPr>
            <w:r>
              <w:rPr>
                <w:rFonts w:ascii="Calibri" w:eastAsia="Calibri" w:hAnsi="Calibri" w:cs="Calibri"/>
              </w:rPr>
              <w:t>Unidimensional model</w:t>
            </w:r>
          </w:p>
        </w:tc>
        <w:tc>
          <w:tcPr>
            <w:tcW w:w="2532" w:type="dxa"/>
            <w:tcBorders>
              <w:top w:val="nil"/>
              <w:left w:val="nil"/>
              <w:bottom w:val="single" w:sz="4" w:space="0" w:color="000000"/>
              <w:right w:val="nil"/>
            </w:tcBorders>
            <w:shd w:val="clear" w:color="auto" w:fill="auto"/>
            <w:vAlign w:val="bottom"/>
          </w:tcPr>
          <w:p w14:paraId="047291DD" w14:textId="77777777" w:rsidR="00985FAC" w:rsidRDefault="00985FAC" w:rsidP="008141F2">
            <w:pPr>
              <w:jc w:val="center"/>
              <w:rPr>
                <w:rFonts w:ascii="Calibri" w:eastAsia="Calibri" w:hAnsi="Calibri" w:cs="Calibri"/>
              </w:rPr>
            </w:pPr>
            <w:r>
              <w:rPr>
                <w:rFonts w:ascii="Calibri" w:eastAsia="Calibri" w:hAnsi="Calibri" w:cs="Calibri"/>
              </w:rPr>
              <w:t>Two-topic bifactor model</w:t>
            </w:r>
          </w:p>
        </w:tc>
      </w:tr>
      <w:tr w:rsidR="00985FAC" w14:paraId="5AA23173" w14:textId="77777777" w:rsidTr="008141F2">
        <w:trPr>
          <w:trHeight w:val="300"/>
          <w:jc w:val="center"/>
        </w:trPr>
        <w:tc>
          <w:tcPr>
            <w:tcW w:w="1620" w:type="dxa"/>
            <w:tcBorders>
              <w:top w:val="nil"/>
              <w:left w:val="nil"/>
              <w:bottom w:val="nil"/>
              <w:right w:val="nil"/>
            </w:tcBorders>
            <w:shd w:val="clear" w:color="auto" w:fill="auto"/>
            <w:vAlign w:val="bottom"/>
          </w:tcPr>
          <w:p w14:paraId="0C7C31FF" w14:textId="77777777" w:rsidR="00985FAC" w:rsidRDefault="00985FAC" w:rsidP="008141F2">
            <w:pPr>
              <w:jc w:val="center"/>
              <w:rPr>
                <w:rFonts w:ascii="Calibri" w:eastAsia="Calibri" w:hAnsi="Calibri" w:cs="Calibri"/>
              </w:rPr>
            </w:pPr>
            <w:r>
              <w:rPr>
                <w:rFonts w:ascii="Calibri" w:eastAsia="Calibri" w:hAnsi="Calibri" w:cs="Calibri"/>
              </w:rPr>
              <w:t>{1, 2}</w:t>
            </w:r>
          </w:p>
        </w:tc>
        <w:tc>
          <w:tcPr>
            <w:tcW w:w="1530" w:type="dxa"/>
            <w:tcBorders>
              <w:top w:val="nil"/>
              <w:left w:val="nil"/>
              <w:bottom w:val="nil"/>
              <w:right w:val="nil"/>
            </w:tcBorders>
            <w:shd w:val="clear" w:color="auto" w:fill="auto"/>
            <w:vAlign w:val="bottom"/>
          </w:tcPr>
          <w:p w14:paraId="1396A92E" w14:textId="77777777" w:rsidR="00985FAC" w:rsidRDefault="00985FAC" w:rsidP="008141F2">
            <w:pPr>
              <w:jc w:val="center"/>
              <w:rPr>
                <w:rFonts w:ascii="Calibri" w:eastAsia="Calibri" w:hAnsi="Calibri" w:cs="Calibri"/>
              </w:rPr>
            </w:pPr>
            <w:r>
              <w:rPr>
                <w:rFonts w:ascii="Calibri" w:eastAsia="Calibri" w:hAnsi="Calibri" w:cs="Calibri"/>
              </w:rPr>
              <w:t>0.150</w:t>
            </w:r>
          </w:p>
        </w:tc>
        <w:tc>
          <w:tcPr>
            <w:tcW w:w="2238" w:type="dxa"/>
            <w:tcBorders>
              <w:top w:val="nil"/>
              <w:left w:val="nil"/>
              <w:bottom w:val="nil"/>
              <w:right w:val="nil"/>
            </w:tcBorders>
            <w:shd w:val="clear" w:color="auto" w:fill="auto"/>
            <w:vAlign w:val="bottom"/>
          </w:tcPr>
          <w:p w14:paraId="15E4FD44" w14:textId="77777777" w:rsidR="00985FAC" w:rsidRDefault="00985FAC" w:rsidP="008141F2">
            <w:pPr>
              <w:jc w:val="center"/>
              <w:rPr>
                <w:rFonts w:ascii="Calibri" w:eastAsia="Calibri" w:hAnsi="Calibri" w:cs="Calibri"/>
              </w:rPr>
            </w:pPr>
            <w:r>
              <w:rPr>
                <w:rFonts w:ascii="Calibri" w:eastAsia="Calibri" w:hAnsi="Calibri" w:cs="Calibri"/>
              </w:rPr>
              <w:t>0.174</w:t>
            </w:r>
          </w:p>
        </w:tc>
        <w:tc>
          <w:tcPr>
            <w:tcW w:w="2532" w:type="dxa"/>
            <w:tcBorders>
              <w:top w:val="nil"/>
              <w:left w:val="nil"/>
              <w:bottom w:val="nil"/>
              <w:right w:val="nil"/>
            </w:tcBorders>
            <w:shd w:val="clear" w:color="auto" w:fill="auto"/>
            <w:vAlign w:val="bottom"/>
          </w:tcPr>
          <w:p w14:paraId="0CD4CBFC" w14:textId="77777777" w:rsidR="00985FAC" w:rsidRDefault="00985FAC" w:rsidP="008141F2">
            <w:pPr>
              <w:jc w:val="center"/>
              <w:rPr>
                <w:rFonts w:ascii="Calibri" w:eastAsia="Calibri" w:hAnsi="Calibri" w:cs="Calibri"/>
              </w:rPr>
            </w:pPr>
            <w:r>
              <w:rPr>
                <w:rFonts w:ascii="Calibri" w:eastAsia="Calibri" w:hAnsi="Calibri" w:cs="Calibri"/>
              </w:rPr>
              <w:t>0.167</w:t>
            </w:r>
          </w:p>
        </w:tc>
      </w:tr>
      <w:tr w:rsidR="00985FAC" w14:paraId="62EA6F44" w14:textId="77777777" w:rsidTr="008141F2">
        <w:trPr>
          <w:trHeight w:val="300"/>
          <w:jc w:val="center"/>
        </w:trPr>
        <w:tc>
          <w:tcPr>
            <w:tcW w:w="1620" w:type="dxa"/>
            <w:tcBorders>
              <w:top w:val="nil"/>
              <w:left w:val="nil"/>
              <w:bottom w:val="nil"/>
              <w:right w:val="nil"/>
            </w:tcBorders>
            <w:shd w:val="clear" w:color="auto" w:fill="auto"/>
            <w:vAlign w:val="bottom"/>
          </w:tcPr>
          <w:p w14:paraId="1B4FFDBE" w14:textId="77777777" w:rsidR="00985FAC" w:rsidRDefault="00985FAC" w:rsidP="008141F2">
            <w:pPr>
              <w:jc w:val="center"/>
              <w:rPr>
                <w:rFonts w:ascii="Calibri" w:eastAsia="Calibri" w:hAnsi="Calibri" w:cs="Calibri"/>
              </w:rPr>
            </w:pPr>
            <w:r>
              <w:rPr>
                <w:rFonts w:ascii="Calibri" w:eastAsia="Calibri" w:hAnsi="Calibri" w:cs="Calibri"/>
              </w:rPr>
              <w:t>{3, 4, 5}</w:t>
            </w:r>
          </w:p>
        </w:tc>
        <w:tc>
          <w:tcPr>
            <w:tcW w:w="1530" w:type="dxa"/>
            <w:tcBorders>
              <w:top w:val="nil"/>
              <w:left w:val="nil"/>
              <w:bottom w:val="nil"/>
              <w:right w:val="nil"/>
            </w:tcBorders>
            <w:shd w:val="clear" w:color="auto" w:fill="auto"/>
            <w:vAlign w:val="bottom"/>
          </w:tcPr>
          <w:p w14:paraId="66C62A41" w14:textId="77777777" w:rsidR="00985FAC" w:rsidRDefault="00985FAC" w:rsidP="008141F2">
            <w:pPr>
              <w:jc w:val="center"/>
              <w:rPr>
                <w:rFonts w:ascii="Calibri" w:eastAsia="Calibri" w:hAnsi="Calibri" w:cs="Calibri"/>
              </w:rPr>
            </w:pPr>
            <w:r>
              <w:rPr>
                <w:rFonts w:ascii="Calibri" w:eastAsia="Calibri" w:hAnsi="Calibri" w:cs="Calibri"/>
              </w:rPr>
              <w:t>0.547</w:t>
            </w:r>
          </w:p>
        </w:tc>
        <w:tc>
          <w:tcPr>
            <w:tcW w:w="2238" w:type="dxa"/>
            <w:tcBorders>
              <w:top w:val="nil"/>
              <w:left w:val="nil"/>
              <w:bottom w:val="nil"/>
              <w:right w:val="nil"/>
            </w:tcBorders>
            <w:shd w:val="clear" w:color="auto" w:fill="auto"/>
            <w:vAlign w:val="bottom"/>
          </w:tcPr>
          <w:p w14:paraId="5B4FDD59" w14:textId="77777777" w:rsidR="00985FAC" w:rsidRDefault="00985FAC" w:rsidP="008141F2">
            <w:pPr>
              <w:jc w:val="center"/>
              <w:rPr>
                <w:rFonts w:ascii="Calibri" w:eastAsia="Calibri" w:hAnsi="Calibri" w:cs="Calibri"/>
              </w:rPr>
            </w:pPr>
            <w:r>
              <w:rPr>
                <w:rFonts w:ascii="Calibri" w:eastAsia="Calibri" w:hAnsi="Calibri" w:cs="Calibri"/>
              </w:rPr>
              <w:t>0.634</w:t>
            </w:r>
          </w:p>
        </w:tc>
        <w:tc>
          <w:tcPr>
            <w:tcW w:w="2532" w:type="dxa"/>
            <w:tcBorders>
              <w:top w:val="nil"/>
              <w:left w:val="nil"/>
              <w:bottom w:val="nil"/>
              <w:right w:val="nil"/>
            </w:tcBorders>
            <w:shd w:val="clear" w:color="auto" w:fill="auto"/>
            <w:vAlign w:val="bottom"/>
          </w:tcPr>
          <w:p w14:paraId="21EB8217" w14:textId="77777777" w:rsidR="00985FAC" w:rsidRDefault="00985FAC" w:rsidP="008141F2">
            <w:pPr>
              <w:jc w:val="center"/>
              <w:rPr>
                <w:rFonts w:ascii="Calibri" w:eastAsia="Calibri" w:hAnsi="Calibri" w:cs="Calibri"/>
              </w:rPr>
            </w:pPr>
            <w:r>
              <w:rPr>
                <w:rFonts w:ascii="Calibri" w:eastAsia="Calibri" w:hAnsi="Calibri" w:cs="Calibri"/>
              </w:rPr>
              <w:t>0.629</w:t>
            </w:r>
          </w:p>
        </w:tc>
      </w:tr>
      <w:tr w:rsidR="00985FAC" w14:paraId="08CCAFBE" w14:textId="77777777" w:rsidTr="008141F2">
        <w:trPr>
          <w:trHeight w:val="300"/>
          <w:jc w:val="center"/>
        </w:trPr>
        <w:tc>
          <w:tcPr>
            <w:tcW w:w="1620" w:type="dxa"/>
            <w:tcBorders>
              <w:top w:val="nil"/>
              <w:left w:val="nil"/>
              <w:bottom w:val="nil"/>
              <w:right w:val="nil"/>
            </w:tcBorders>
            <w:shd w:val="clear" w:color="auto" w:fill="auto"/>
            <w:vAlign w:val="bottom"/>
          </w:tcPr>
          <w:p w14:paraId="56BB6569" w14:textId="77777777" w:rsidR="00985FAC" w:rsidRDefault="00985FAC" w:rsidP="008141F2">
            <w:pPr>
              <w:jc w:val="center"/>
              <w:rPr>
                <w:rFonts w:ascii="Calibri" w:eastAsia="Calibri" w:hAnsi="Calibri" w:cs="Calibri"/>
              </w:rPr>
            </w:pPr>
            <w:r>
              <w:rPr>
                <w:rFonts w:ascii="Calibri" w:eastAsia="Calibri" w:hAnsi="Calibri" w:cs="Calibri"/>
              </w:rPr>
              <w:t>6</w:t>
            </w:r>
          </w:p>
        </w:tc>
        <w:tc>
          <w:tcPr>
            <w:tcW w:w="1530" w:type="dxa"/>
            <w:tcBorders>
              <w:top w:val="nil"/>
              <w:left w:val="nil"/>
              <w:bottom w:val="nil"/>
              <w:right w:val="nil"/>
            </w:tcBorders>
            <w:shd w:val="clear" w:color="auto" w:fill="auto"/>
            <w:vAlign w:val="bottom"/>
          </w:tcPr>
          <w:p w14:paraId="6E2E4196" w14:textId="77777777" w:rsidR="00985FAC" w:rsidRDefault="00985FAC" w:rsidP="008141F2">
            <w:pPr>
              <w:jc w:val="center"/>
              <w:rPr>
                <w:rFonts w:ascii="Calibri" w:eastAsia="Calibri" w:hAnsi="Calibri" w:cs="Calibri"/>
              </w:rPr>
            </w:pPr>
            <w:r>
              <w:rPr>
                <w:rFonts w:ascii="Calibri" w:eastAsia="Calibri" w:hAnsi="Calibri" w:cs="Calibri"/>
              </w:rPr>
              <w:t>0.429</w:t>
            </w:r>
          </w:p>
        </w:tc>
        <w:tc>
          <w:tcPr>
            <w:tcW w:w="2238" w:type="dxa"/>
            <w:tcBorders>
              <w:top w:val="nil"/>
              <w:left w:val="nil"/>
              <w:bottom w:val="nil"/>
              <w:right w:val="nil"/>
            </w:tcBorders>
            <w:shd w:val="clear" w:color="auto" w:fill="auto"/>
            <w:vAlign w:val="bottom"/>
          </w:tcPr>
          <w:p w14:paraId="7F970C87" w14:textId="77777777" w:rsidR="00985FAC" w:rsidRDefault="00985FAC" w:rsidP="008141F2">
            <w:pPr>
              <w:jc w:val="center"/>
              <w:rPr>
                <w:rFonts w:ascii="Calibri" w:eastAsia="Calibri" w:hAnsi="Calibri" w:cs="Calibri"/>
              </w:rPr>
            </w:pPr>
            <w:r>
              <w:rPr>
                <w:rFonts w:ascii="Calibri" w:eastAsia="Calibri" w:hAnsi="Calibri" w:cs="Calibri"/>
              </w:rPr>
              <w:t>0.544</w:t>
            </w:r>
          </w:p>
        </w:tc>
        <w:tc>
          <w:tcPr>
            <w:tcW w:w="2532" w:type="dxa"/>
            <w:tcBorders>
              <w:top w:val="nil"/>
              <w:left w:val="nil"/>
              <w:bottom w:val="nil"/>
              <w:right w:val="nil"/>
            </w:tcBorders>
            <w:shd w:val="clear" w:color="auto" w:fill="auto"/>
            <w:vAlign w:val="bottom"/>
          </w:tcPr>
          <w:p w14:paraId="60C88CC1" w14:textId="77777777" w:rsidR="00985FAC" w:rsidRDefault="00985FAC" w:rsidP="008141F2">
            <w:pPr>
              <w:jc w:val="center"/>
              <w:rPr>
                <w:rFonts w:ascii="Calibri" w:eastAsia="Calibri" w:hAnsi="Calibri" w:cs="Calibri"/>
              </w:rPr>
            </w:pPr>
            <w:r>
              <w:rPr>
                <w:rFonts w:ascii="Calibri" w:eastAsia="Calibri" w:hAnsi="Calibri" w:cs="Calibri"/>
              </w:rPr>
              <w:t>0.549</w:t>
            </w:r>
          </w:p>
        </w:tc>
      </w:tr>
      <w:tr w:rsidR="00985FAC" w14:paraId="5B152AAE" w14:textId="77777777" w:rsidTr="008141F2">
        <w:trPr>
          <w:trHeight w:val="300"/>
          <w:jc w:val="center"/>
        </w:trPr>
        <w:tc>
          <w:tcPr>
            <w:tcW w:w="1620" w:type="dxa"/>
            <w:tcBorders>
              <w:top w:val="nil"/>
              <w:left w:val="nil"/>
              <w:bottom w:val="nil"/>
              <w:right w:val="nil"/>
            </w:tcBorders>
            <w:shd w:val="clear" w:color="auto" w:fill="auto"/>
            <w:vAlign w:val="bottom"/>
          </w:tcPr>
          <w:p w14:paraId="2F7EC785" w14:textId="77777777" w:rsidR="00985FAC" w:rsidRDefault="00985FAC" w:rsidP="008141F2">
            <w:pPr>
              <w:jc w:val="center"/>
              <w:rPr>
                <w:rFonts w:ascii="Calibri" w:eastAsia="Calibri" w:hAnsi="Calibri" w:cs="Calibri"/>
              </w:rPr>
            </w:pPr>
            <w:r>
              <w:rPr>
                <w:rFonts w:ascii="Calibri" w:eastAsia="Calibri" w:hAnsi="Calibri" w:cs="Calibri"/>
              </w:rPr>
              <w:t>7</w:t>
            </w:r>
          </w:p>
        </w:tc>
        <w:tc>
          <w:tcPr>
            <w:tcW w:w="1530" w:type="dxa"/>
            <w:tcBorders>
              <w:top w:val="nil"/>
              <w:left w:val="nil"/>
              <w:bottom w:val="nil"/>
              <w:right w:val="nil"/>
            </w:tcBorders>
            <w:shd w:val="clear" w:color="auto" w:fill="auto"/>
            <w:vAlign w:val="bottom"/>
          </w:tcPr>
          <w:p w14:paraId="2DB8F556" w14:textId="77777777" w:rsidR="00985FAC" w:rsidRDefault="00985FAC" w:rsidP="008141F2">
            <w:pPr>
              <w:jc w:val="center"/>
              <w:rPr>
                <w:rFonts w:ascii="Calibri" w:eastAsia="Calibri" w:hAnsi="Calibri" w:cs="Calibri"/>
              </w:rPr>
            </w:pPr>
            <w:r>
              <w:rPr>
                <w:rFonts w:ascii="Calibri" w:eastAsia="Calibri" w:hAnsi="Calibri" w:cs="Calibri"/>
              </w:rPr>
              <w:t>0.285</w:t>
            </w:r>
          </w:p>
        </w:tc>
        <w:tc>
          <w:tcPr>
            <w:tcW w:w="2238" w:type="dxa"/>
            <w:tcBorders>
              <w:top w:val="nil"/>
              <w:left w:val="nil"/>
              <w:bottom w:val="nil"/>
              <w:right w:val="nil"/>
            </w:tcBorders>
            <w:shd w:val="clear" w:color="auto" w:fill="auto"/>
            <w:vAlign w:val="bottom"/>
          </w:tcPr>
          <w:p w14:paraId="2BA8AAAD" w14:textId="77777777" w:rsidR="00985FAC" w:rsidRDefault="00985FAC" w:rsidP="008141F2">
            <w:pPr>
              <w:jc w:val="center"/>
              <w:rPr>
                <w:rFonts w:ascii="Calibri" w:eastAsia="Calibri" w:hAnsi="Calibri" w:cs="Calibri"/>
              </w:rPr>
            </w:pPr>
            <w:r>
              <w:rPr>
                <w:rFonts w:ascii="Calibri" w:eastAsia="Calibri" w:hAnsi="Calibri" w:cs="Calibri"/>
              </w:rPr>
              <w:t>0.461</w:t>
            </w:r>
          </w:p>
        </w:tc>
        <w:tc>
          <w:tcPr>
            <w:tcW w:w="2532" w:type="dxa"/>
            <w:tcBorders>
              <w:top w:val="nil"/>
              <w:left w:val="nil"/>
              <w:bottom w:val="nil"/>
              <w:right w:val="nil"/>
            </w:tcBorders>
            <w:shd w:val="clear" w:color="auto" w:fill="auto"/>
            <w:vAlign w:val="bottom"/>
          </w:tcPr>
          <w:p w14:paraId="00A87ECD" w14:textId="77777777" w:rsidR="00985FAC" w:rsidRDefault="00985FAC" w:rsidP="008141F2">
            <w:pPr>
              <w:jc w:val="center"/>
              <w:rPr>
                <w:rFonts w:ascii="Calibri" w:eastAsia="Calibri" w:hAnsi="Calibri" w:cs="Calibri"/>
              </w:rPr>
            </w:pPr>
            <w:r>
              <w:rPr>
                <w:rFonts w:ascii="Calibri" w:eastAsia="Calibri" w:hAnsi="Calibri" w:cs="Calibri"/>
              </w:rPr>
              <w:t>0.464</w:t>
            </w:r>
          </w:p>
        </w:tc>
      </w:tr>
      <w:tr w:rsidR="00985FAC" w14:paraId="70B03C24" w14:textId="77777777" w:rsidTr="008141F2">
        <w:trPr>
          <w:trHeight w:val="300"/>
          <w:jc w:val="center"/>
        </w:trPr>
        <w:tc>
          <w:tcPr>
            <w:tcW w:w="1620" w:type="dxa"/>
            <w:tcBorders>
              <w:top w:val="nil"/>
              <w:left w:val="nil"/>
              <w:bottom w:val="nil"/>
              <w:right w:val="nil"/>
            </w:tcBorders>
            <w:shd w:val="clear" w:color="auto" w:fill="auto"/>
            <w:vAlign w:val="bottom"/>
          </w:tcPr>
          <w:p w14:paraId="5613357E" w14:textId="77777777" w:rsidR="00985FAC" w:rsidRDefault="00985FAC" w:rsidP="008141F2">
            <w:pPr>
              <w:jc w:val="center"/>
              <w:rPr>
                <w:rFonts w:ascii="Calibri" w:eastAsia="Calibri" w:hAnsi="Calibri" w:cs="Calibri"/>
              </w:rPr>
            </w:pPr>
            <w:r>
              <w:rPr>
                <w:rFonts w:ascii="Calibri" w:eastAsia="Calibri" w:hAnsi="Calibri" w:cs="Calibri"/>
              </w:rPr>
              <w:t>{8, 9, 10}</w:t>
            </w:r>
          </w:p>
        </w:tc>
        <w:tc>
          <w:tcPr>
            <w:tcW w:w="1530" w:type="dxa"/>
            <w:tcBorders>
              <w:top w:val="nil"/>
              <w:left w:val="nil"/>
              <w:bottom w:val="nil"/>
              <w:right w:val="nil"/>
            </w:tcBorders>
            <w:shd w:val="clear" w:color="auto" w:fill="auto"/>
            <w:vAlign w:val="bottom"/>
          </w:tcPr>
          <w:p w14:paraId="39F817BD" w14:textId="77777777" w:rsidR="00985FAC" w:rsidRDefault="00985FAC" w:rsidP="008141F2">
            <w:pPr>
              <w:jc w:val="center"/>
              <w:rPr>
                <w:rFonts w:ascii="Calibri" w:eastAsia="Calibri" w:hAnsi="Calibri" w:cs="Calibri"/>
              </w:rPr>
            </w:pPr>
            <w:r>
              <w:rPr>
                <w:rFonts w:ascii="Calibri" w:eastAsia="Calibri" w:hAnsi="Calibri" w:cs="Calibri"/>
              </w:rPr>
              <w:t>0.495</w:t>
            </w:r>
          </w:p>
        </w:tc>
        <w:tc>
          <w:tcPr>
            <w:tcW w:w="2238" w:type="dxa"/>
            <w:tcBorders>
              <w:top w:val="nil"/>
              <w:left w:val="nil"/>
              <w:bottom w:val="nil"/>
              <w:right w:val="nil"/>
            </w:tcBorders>
            <w:shd w:val="clear" w:color="auto" w:fill="auto"/>
            <w:vAlign w:val="bottom"/>
          </w:tcPr>
          <w:p w14:paraId="7DB375E3" w14:textId="77777777" w:rsidR="00985FAC" w:rsidRDefault="00985FAC" w:rsidP="008141F2">
            <w:pPr>
              <w:jc w:val="center"/>
              <w:rPr>
                <w:rFonts w:ascii="Calibri" w:eastAsia="Calibri" w:hAnsi="Calibri" w:cs="Calibri"/>
              </w:rPr>
            </w:pPr>
            <w:r>
              <w:rPr>
                <w:rFonts w:ascii="Calibri" w:eastAsia="Calibri" w:hAnsi="Calibri" w:cs="Calibri"/>
              </w:rPr>
              <w:t>0.533</w:t>
            </w:r>
          </w:p>
        </w:tc>
        <w:tc>
          <w:tcPr>
            <w:tcW w:w="2532" w:type="dxa"/>
            <w:tcBorders>
              <w:top w:val="nil"/>
              <w:left w:val="nil"/>
              <w:bottom w:val="nil"/>
              <w:right w:val="nil"/>
            </w:tcBorders>
            <w:shd w:val="clear" w:color="auto" w:fill="auto"/>
            <w:vAlign w:val="bottom"/>
          </w:tcPr>
          <w:p w14:paraId="68BE8990" w14:textId="77777777" w:rsidR="00985FAC" w:rsidRDefault="00985FAC" w:rsidP="008141F2">
            <w:pPr>
              <w:jc w:val="center"/>
              <w:rPr>
                <w:rFonts w:ascii="Calibri" w:eastAsia="Calibri" w:hAnsi="Calibri" w:cs="Calibri"/>
              </w:rPr>
            </w:pPr>
            <w:r>
              <w:rPr>
                <w:rFonts w:ascii="Calibri" w:eastAsia="Calibri" w:hAnsi="Calibri" w:cs="Calibri"/>
              </w:rPr>
              <w:t>0.537</w:t>
            </w:r>
          </w:p>
        </w:tc>
      </w:tr>
      <w:tr w:rsidR="00985FAC" w14:paraId="3815F14A" w14:textId="77777777" w:rsidTr="008141F2">
        <w:trPr>
          <w:trHeight w:val="300"/>
          <w:jc w:val="center"/>
        </w:trPr>
        <w:tc>
          <w:tcPr>
            <w:tcW w:w="1620" w:type="dxa"/>
            <w:tcBorders>
              <w:top w:val="nil"/>
              <w:left w:val="nil"/>
              <w:bottom w:val="nil"/>
              <w:right w:val="nil"/>
            </w:tcBorders>
            <w:shd w:val="clear" w:color="auto" w:fill="auto"/>
            <w:vAlign w:val="bottom"/>
          </w:tcPr>
          <w:p w14:paraId="34002152" w14:textId="77777777" w:rsidR="00985FAC" w:rsidRDefault="00985FAC" w:rsidP="008141F2">
            <w:pPr>
              <w:jc w:val="center"/>
              <w:rPr>
                <w:rFonts w:ascii="Calibri" w:eastAsia="Calibri" w:hAnsi="Calibri" w:cs="Calibri"/>
              </w:rPr>
            </w:pPr>
            <w:r>
              <w:rPr>
                <w:rFonts w:ascii="Calibri" w:eastAsia="Calibri" w:hAnsi="Calibri" w:cs="Calibri"/>
              </w:rPr>
              <w:t>{11, 12, 13}</w:t>
            </w:r>
          </w:p>
        </w:tc>
        <w:tc>
          <w:tcPr>
            <w:tcW w:w="1530" w:type="dxa"/>
            <w:tcBorders>
              <w:top w:val="nil"/>
              <w:left w:val="nil"/>
              <w:bottom w:val="nil"/>
              <w:right w:val="nil"/>
            </w:tcBorders>
            <w:shd w:val="clear" w:color="auto" w:fill="auto"/>
            <w:vAlign w:val="bottom"/>
          </w:tcPr>
          <w:p w14:paraId="040B2487" w14:textId="77777777" w:rsidR="00985FAC" w:rsidRDefault="00985FAC" w:rsidP="008141F2">
            <w:pPr>
              <w:jc w:val="center"/>
              <w:rPr>
                <w:rFonts w:ascii="Calibri" w:eastAsia="Calibri" w:hAnsi="Calibri" w:cs="Calibri"/>
              </w:rPr>
            </w:pPr>
            <w:r>
              <w:rPr>
                <w:rFonts w:ascii="Calibri" w:eastAsia="Calibri" w:hAnsi="Calibri" w:cs="Calibri"/>
              </w:rPr>
              <w:t>0.391</w:t>
            </w:r>
          </w:p>
        </w:tc>
        <w:tc>
          <w:tcPr>
            <w:tcW w:w="2238" w:type="dxa"/>
            <w:tcBorders>
              <w:top w:val="nil"/>
              <w:left w:val="nil"/>
              <w:bottom w:val="nil"/>
              <w:right w:val="nil"/>
            </w:tcBorders>
            <w:shd w:val="clear" w:color="auto" w:fill="auto"/>
            <w:vAlign w:val="bottom"/>
          </w:tcPr>
          <w:p w14:paraId="3A850B70" w14:textId="77777777" w:rsidR="00985FAC" w:rsidRDefault="00985FAC" w:rsidP="008141F2">
            <w:pPr>
              <w:jc w:val="center"/>
              <w:rPr>
                <w:rFonts w:ascii="Calibri" w:eastAsia="Calibri" w:hAnsi="Calibri" w:cs="Calibri"/>
              </w:rPr>
            </w:pPr>
            <w:r>
              <w:rPr>
                <w:rFonts w:ascii="Calibri" w:eastAsia="Calibri" w:hAnsi="Calibri" w:cs="Calibri"/>
              </w:rPr>
              <w:t>0.525</w:t>
            </w:r>
          </w:p>
        </w:tc>
        <w:tc>
          <w:tcPr>
            <w:tcW w:w="2532" w:type="dxa"/>
            <w:tcBorders>
              <w:top w:val="nil"/>
              <w:left w:val="nil"/>
              <w:bottom w:val="nil"/>
              <w:right w:val="nil"/>
            </w:tcBorders>
            <w:shd w:val="clear" w:color="auto" w:fill="auto"/>
            <w:vAlign w:val="bottom"/>
          </w:tcPr>
          <w:p w14:paraId="1D148A9A" w14:textId="77777777" w:rsidR="00985FAC" w:rsidRDefault="00985FAC" w:rsidP="008141F2">
            <w:pPr>
              <w:jc w:val="center"/>
              <w:rPr>
                <w:rFonts w:ascii="Calibri" w:eastAsia="Calibri" w:hAnsi="Calibri" w:cs="Calibri"/>
              </w:rPr>
            </w:pPr>
            <w:r>
              <w:rPr>
                <w:rFonts w:ascii="Calibri" w:eastAsia="Calibri" w:hAnsi="Calibri" w:cs="Calibri"/>
              </w:rPr>
              <w:t>0.525</w:t>
            </w:r>
          </w:p>
        </w:tc>
      </w:tr>
      <w:tr w:rsidR="00985FAC" w14:paraId="2669CF2B" w14:textId="77777777" w:rsidTr="008141F2">
        <w:trPr>
          <w:trHeight w:val="300"/>
          <w:jc w:val="center"/>
        </w:trPr>
        <w:tc>
          <w:tcPr>
            <w:tcW w:w="1620" w:type="dxa"/>
            <w:tcBorders>
              <w:top w:val="nil"/>
              <w:left w:val="nil"/>
              <w:bottom w:val="nil"/>
              <w:right w:val="nil"/>
            </w:tcBorders>
            <w:shd w:val="clear" w:color="auto" w:fill="auto"/>
            <w:vAlign w:val="bottom"/>
          </w:tcPr>
          <w:p w14:paraId="3CD67854" w14:textId="77777777" w:rsidR="00985FAC" w:rsidRDefault="00985FAC" w:rsidP="008141F2">
            <w:pPr>
              <w:jc w:val="center"/>
              <w:rPr>
                <w:rFonts w:ascii="Calibri" w:eastAsia="Calibri" w:hAnsi="Calibri" w:cs="Calibri"/>
              </w:rPr>
            </w:pPr>
            <w:r>
              <w:rPr>
                <w:rFonts w:ascii="Calibri" w:eastAsia="Calibri" w:hAnsi="Calibri" w:cs="Calibri"/>
              </w:rPr>
              <w:t>{14, 15}</w:t>
            </w:r>
          </w:p>
        </w:tc>
        <w:tc>
          <w:tcPr>
            <w:tcW w:w="1530" w:type="dxa"/>
            <w:tcBorders>
              <w:top w:val="nil"/>
              <w:left w:val="nil"/>
              <w:bottom w:val="nil"/>
              <w:right w:val="nil"/>
            </w:tcBorders>
            <w:shd w:val="clear" w:color="auto" w:fill="auto"/>
            <w:vAlign w:val="bottom"/>
          </w:tcPr>
          <w:p w14:paraId="0AD2FD32" w14:textId="77777777" w:rsidR="00985FAC" w:rsidRDefault="00985FAC" w:rsidP="008141F2">
            <w:pPr>
              <w:jc w:val="center"/>
              <w:rPr>
                <w:rFonts w:ascii="Calibri" w:eastAsia="Calibri" w:hAnsi="Calibri" w:cs="Calibri"/>
              </w:rPr>
            </w:pPr>
            <w:r>
              <w:rPr>
                <w:rFonts w:ascii="Calibri" w:eastAsia="Calibri" w:hAnsi="Calibri" w:cs="Calibri"/>
              </w:rPr>
              <w:t>0.465</w:t>
            </w:r>
          </w:p>
        </w:tc>
        <w:tc>
          <w:tcPr>
            <w:tcW w:w="2238" w:type="dxa"/>
            <w:tcBorders>
              <w:top w:val="nil"/>
              <w:left w:val="nil"/>
              <w:bottom w:val="nil"/>
              <w:right w:val="nil"/>
            </w:tcBorders>
            <w:shd w:val="clear" w:color="auto" w:fill="auto"/>
            <w:vAlign w:val="bottom"/>
          </w:tcPr>
          <w:p w14:paraId="5B481000" w14:textId="77777777" w:rsidR="00985FAC" w:rsidRDefault="00985FAC" w:rsidP="008141F2">
            <w:pPr>
              <w:jc w:val="center"/>
              <w:rPr>
                <w:rFonts w:ascii="Calibri" w:eastAsia="Calibri" w:hAnsi="Calibri" w:cs="Calibri"/>
              </w:rPr>
            </w:pPr>
            <w:r>
              <w:rPr>
                <w:rFonts w:ascii="Calibri" w:eastAsia="Calibri" w:hAnsi="Calibri" w:cs="Calibri"/>
              </w:rPr>
              <w:t>0.515</w:t>
            </w:r>
          </w:p>
        </w:tc>
        <w:tc>
          <w:tcPr>
            <w:tcW w:w="2532" w:type="dxa"/>
            <w:tcBorders>
              <w:top w:val="nil"/>
              <w:left w:val="nil"/>
              <w:bottom w:val="nil"/>
              <w:right w:val="nil"/>
            </w:tcBorders>
            <w:shd w:val="clear" w:color="auto" w:fill="auto"/>
            <w:vAlign w:val="bottom"/>
          </w:tcPr>
          <w:p w14:paraId="769AA99C" w14:textId="77777777" w:rsidR="00985FAC" w:rsidRDefault="00985FAC" w:rsidP="008141F2">
            <w:pPr>
              <w:jc w:val="center"/>
              <w:rPr>
                <w:rFonts w:ascii="Calibri" w:eastAsia="Calibri" w:hAnsi="Calibri" w:cs="Calibri"/>
              </w:rPr>
            </w:pPr>
            <w:r>
              <w:rPr>
                <w:rFonts w:ascii="Calibri" w:eastAsia="Calibri" w:hAnsi="Calibri" w:cs="Calibri"/>
              </w:rPr>
              <w:t>0.511</w:t>
            </w:r>
          </w:p>
        </w:tc>
      </w:tr>
      <w:tr w:rsidR="00985FAC" w14:paraId="1101FC27" w14:textId="77777777" w:rsidTr="008141F2">
        <w:trPr>
          <w:trHeight w:val="300"/>
          <w:jc w:val="center"/>
        </w:trPr>
        <w:tc>
          <w:tcPr>
            <w:tcW w:w="1620" w:type="dxa"/>
            <w:tcBorders>
              <w:top w:val="nil"/>
              <w:left w:val="nil"/>
              <w:bottom w:val="nil"/>
              <w:right w:val="nil"/>
            </w:tcBorders>
            <w:shd w:val="clear" w:color="auto" w:fill="auto"/>
            <w:vAlign w:val="bottom"/>
          </w:tcPr>
          <w:p w14:paraId="443D6416" w14:textId="77777777" w:rsidR="00985FAC" w:rsidRDefault="00985FAC" w:rsidP="008141F2">
            <w:pPr>
              <w:jc w:val="center"/>
              <w:rPr>
                <w:rFonts w:ascii="Calibri" w:eastAsia="Calibri" w:hAnsi="Calibri" w:cs="Calibri"/>
              </w:rPr>
            </w:pPr>
            <w:r>
              <w:rPr>
                <w:rFonts w:ascii="Calibri" w:eastAsia="Calibri" w:hAnsi="Calibri" w:cs="Calibri"/>
              </w:rPr>
              <w:t>16</w:t>
            </w:r>
          </w:p>
        </w:tc>
        <w:tc>
          <w:tcPr>
            <w:tcW w:w="1530" w:type="dxa"/>
            <w:tcBorders>
              <w:top w:val="nil"/>
              <w:left w:val="nil"/>
              <w:bottom w:val="nil"/>
              <w:right w:val="nil"/>
            </w:tcBorders>
            <w:shd w:val="clear" w:color="auto" w:fill="auto"/>
            <w:vAlign w:val="bottom"/>
          </w:tcPr>
          <w:p w14:paraId="02357411" w14:textId="77777777" w:rsidR="00985FAC" w:rsidRDefault="00985FAC" w:rsidP="008141F2">
            <w:pPr>
              <w:jc w:val="center"/>
              <w:rPr>
                <w:rFonts w:ascii="Calibri" w:eastAsia="Calibri" w:hAnsi="Calibri" w:cs="Calibri"/>
              </w:rPr>
            </w:pPr>
            <w:r>
              <w:rPr>
                <w:rFonts w:ascii="Calibri" w:eastAsia="Calibri" w:hAnsi="Calibri" w:cs="Calibri"/>
              </w:rPr>
              <w:t>0.517</w:t>
            </w:r>
          </w:p>
        </w:tc>
        <w:tc>
          <w:tcPr>
            <w:tcW w:w="2238" w:type="dxa"/>
            <w:tcBorders>
              <w:top w:val="nil"/>
              <w:left w:val="nil"/>
              <w:bottom w:val="nil"/>
              <w:right w:val="nil"/>
            </w:tcBorders>
            <w:shd w:val="clear" w:color="auto" w:fill="auto"/>
            <w:vAlign w:val="bottom"/>
          </w:tcPr>
          <w:p w14:paraId="57B25C02" w14:textId="77777777" w:rsidR="00985FAC" w:rsidRDefault="00985FAC" w:rsidP="008141F2">
            <w:pPr>
              <w:jc w:val="center"/>
              <w:rPr>
                <w:rFonts w:ascii="Calibri" w:eastAsia="Calibri" w:hAnsi="Calibri" w:cs="Calibri"/>
              </w:rPr>
            </w:pPr>
            <w:r>
              <w:rPr>
                <w:rFonts w:ascii="Calibri" w:eastAsia="Calibri" w:hAnsi="Calibri" w:cs="Calibri"/>
              </w:rPr>
              <w:t>0.599</w:t>
            </w:r>
          </w:p>
        </w:tc>
        <w:tc>
          <w:tcPr>
            <w:tcW w:w="2532" w:type="dxa"/>
            <w:tcBorders>
              <w:top w:val="nil"/>
              <w:left w:val="nil"/>
              <w:bottom w:val="nil"/>
              <w:right w:val="nil"/>
            </w:tcBorders>
            <w:shd w:val="clear" w:color="auto" w:fill="auto"/>
            <w:vAlign w:val="bottom"/>
          </w:tcPr>
          <w:p w14:paraId="70809C88" w14:textId="77777777" w:rsidR="00985FAC" w:rsidRDefault="00985FAC" w:rsidP="008141F2">
            <w:pPr>
              <w:jc w:val="center"/>
              <w:rPr>
                <w:rFonts w:ascii="Calibri" w:eastAsia="Calibri" w:hAnsi="Calibri" w:cs="Calibri"/>
              </w:rPr>
            </w:pPr>
            <w:r>
              <w:rPr>
                <w:rFonts w:ascii="Calibri" w:eastAsia="Calibri" w:hAnsi="Calibri" w:cs="Calibri"/>
              </w:rPr>
              <w:t>0.608</w:t>
            </w:r>
          </w:p>
        </w:tc>
      </w:tr>
      <w:tr w:rsidR="00985FAC" w14:paraId="2277E7F7" w14:textId="77777777" w:rsidTr="008141F2">
        <w:trPr>
          <w:trHeight w:val="300"/>
          <w:jc w:val="center"/>
        </w:trPr>
        <w:tc>
          <w:tcPr>
            <w:tcW w:w="1620" w:type="dxa"/>
            <w:tcBorders>
              <w:top w:val="nil"/>
              <w:left w:val="nil"/>
              <w:bottom w:val="nil"/>
              <w:right w:val="nil"/>
            </w:tcBorders>
            <w:shd w:val="clear" w:color="auto" w:fill="auto"/>
            <w:vAlign w:val="bottom"/>
          </w:tcPr>
          <w:p w14:paraId="143329A1" w14:textId="77777777" w:rsidR="00985FAC" w:rsidRDefault="00985FAC" w:rsidP="008141F2">
            <w:pPr>
              <w:jc w:val="center"/>
              <w:rPr>
                <w:rFonts w:ascii="Calibri" w:eastAsia="Calibri" w:hAnsi="Calibri" w:cs="Calibri"/>
              </w:rPr>
            </w:pPr>
            <w:r>
              <w:rPr>
                <w:rFonts w:ascii="Calibri" w:eastAsia="Calibri" w:hAnsi="Calibri" w:cs="Calibri"/>
              </w:rPr>
              <w:t>17</w:t>
            </w:r>
          </w:p>
        </w:tc>
        <w:tc>
          <w:tcPr>
            <w:tcW w:w="1530" w:type="dxa"/>
            <w:tcBorders>
              <w:top w:val="nil"/>
              <w:left w:val="nil"/>
              <w:bottom w:val="nil"/>
              <w:right w:val="nil"/>
            </w:tcBorders>
            <w:shd w:val="clear" w:color="auto" w:fill="auto"/>
            <w:vAlign w:val="bottom"/>
          </w:tcPr>
          <w:p w14:paraId="09D0C794" w14:textId="77777777" w:rsidR="00985FAC" w:rsidRDefault="00985FAC" w:rsidP="008141F2">
            <w:pPr>
              <w:jc w:val="center"/>
              <w:rPr>
                <w:rFonts w:ascii="Calibri" w:eastAsia="Calibri" w:hAnsi="Calibri" w:cs="Calibri"/>
              </w:rPr>
            </w:pPr>
            <w:r>
              <w:rPr>
                <w:rFonts w:ascii="Calibri" w:eastAsia="Calibri" w:hAnsi="Calibri" w:cs="Calibri"/>
              </w:rPr>
              <w:t>0.357</w:t>
            </w:r>
          </w:p>
        </w:tc>
        <w:tc>
          <w:tcPr>
            <w:tcW w:w="2238" w:type="dxa"/>
            <w:tcBorders>
              <w:top w:val="nil"/>
              <w:left w:val="nil"/>
              <w:bottom w:val="nil"/>
              <w:right w:val="nil"/>
            </w:tcBorders>
            <w:shd w:val="clear" w:color="auto" w:fill="auto"/>
            <w:vAlign w:val="bottom"/>
          </w:tcPr>
          <w:p w14:paraId="2985342F" w14:textId="77777777" w:rsidR="00985FAC" w:rsidRDefault="00985FAC" w:rsidP="008141F2">
            <w:pPr>
              <w:jc w:val="center"/>
              <w:rPr>
                <w:rFonts w:ascii="Calibri" w:eastAsia="Calibri" w:hAnsi="Calibri" w:cs="Calibri"/>
              </w:rPr>
            </w:pPr>
            <w:r>
              <w:rPr>
                <w:rFonts w:ascii="Calibri" w:eastAsia="Calibri" w:hAnsi="Calibri" w:cs="Calibri"/>
              </w:rPr>
              <w:t>0.398</w:t>
            </w:r>
          </w:p>
        </w:tc>
        <w:tc>
          <w:tcPr>
            <w:tcW w:w="2532" w:type="dxa"/>
            <w:tcBorders>
              <w:top w:val="nil"/>
              <w:left w:val="nil"/>
              <w:bottom w:val="nil"/>
              <w:right w:val="nil"/>
            </w:tcBorders>
            <w:shd w:val="clear" w:color="auto" w:fill="auto"/>
            <w:vAlign w:val="bottom"/>
          </w:tcPr>
          <w:p w14:paraId="762FCA7C" w14:textId="77777777" w:rsidR="00985FAC" w:rsidRDefault="00985FAC" w:rsidP="008141F2">
            <w:pPr>
              <w:jc w:val="center"/>
              <w:rPr>
                <w:rFonts w:ascii="Calibri" w:eastAsia="Calibri" w:hAnsi="Calibri" w:cs="Calibri"/>
              </w:rPr>
            </w:pPr>
            <w:r>
              <w:rPr>
                <w:rFonts w:ascii="Calibri" w:eastAsia="Calibri" w:hAnsi="Calibri" w:cs="Calibri"/>
              </w:rPr>
              <w:t>0.406</w:t>
            </w:r>
          </w:p>
        </w:tc>
      </w:tr>
      <w:tr w:rsidR="00985FAC" w14:paraId="5F2F357D" w14:textId="77777777" w:rsidTr="008141F2">
        <w:trPr>
          <w:trHeight w:val="300"/>
          <w:jc w:val="center"/>
        </w:trPr>
        <w:tc>
          <w:tcPr>
            <w:tcW w:w="1620" w:type="dxa"/>
            <w:tcBorders>
              <w:top w:val="nil"/>
              <w:left w:val="nil"/>
              <w:bottom w:val="nil"/>
              <w:right w:val="nil"/>
            </w:tcBorders>
            <w:shd w:val="clear" w:color="auto" w:fill="auto"/>
            <w:vAlign w:val="bottom"/>
          </w:tcPr>
          <w:p w14:paraId="6D0ABE60" w14:textId="77777777" w:rsidR="00985FAC" w:rsidRDefault="00985FAC" w:rsidP="008141F2">
            <w:pPr>
              <w:jc w:val="center"/>
              <w:rPr>
                <w:rFonts w:ascii="Calibri" w:eastAsia="Calibri" w:hAnsi="Calibri" w:cs="Calibri"/>
              </w:rPr>
            </w:pPr>
            <w:r>
              <w:rPr>
                <w:rFonts w:ascii="Calibri" w:eastAsia="Calibri" w:hAnsi="Calibri" w:cs="Calibri"/>
              </w:rPr>
              <w:t>18</w:t>
            </w:r>
          </w:p>
        </w:tc>
        <w:tc>
          <w:tcPr>
            <w:tcW w:w="1530" w:type="dxa"/>
            <w:tcBorders>
              <w:top w:val="nil"/>
              <w:left w:val="nil"/>
              <w:bottom w:val="nil"/>
              <w:right w:val="nil"/>
            </w:tcBorders>
            <w:shd w:val="clear" w:color="auto" w:fill="auto"/>
            <w:vAlign w:val="bottom"/>
          </w:tcPr>
          <w:p w14:paraId="50366C4C" w14:textId="77777777" w:rsidR="00985FAC" w:rsidRDefault="00985FAC" w:rsidP="008141F2">
            <w:pPr>
              <w:jc w:val="center"/>
              <w:rPr>
                <w:rFonts w:ascii="Calibri" w:eastAsia="Calibri" w:hAnsi="Calibri" w:cs="Calibri"/>
              </w:rPr>
            </w:pPr>
            <w:r>
              <w:rPr>
                <w:rFonts w:ascii="Calibri" w:eastAsia="Calibri" w:hAnsi="Calibri" w:cs="Calibri"/>
              </w:rPr>
              <w:t>0.221</w:t>
            </w:r>
          </w:p>
        </w:tc>
        <w:tc>
          <w:tcPr>
            <w:tcW w:w="2238" w:type="dxa"/>
            <w:tcBorders>
              <w:top w:val="nil"/>
              <w:left w:val="nil"/>
              <w:bottom w:val="nil"/>
              <w:right w:val="nil"/>
            </w:tcBorders>
            <w:shd w:val="clear" w:color="auto" w:fill="auto"/>
            <w:vAlign w:val="bottom"/>
          </w:tcPr>
          <w:p w14:paraId="52E59087" w14:textId="77777777" w:rsidR="00985FAC" w:rsidRDefault="00985FAC" w:rsidP="008141F2">
            <w:pPr>
              <w:jc w:val="center"/>
              <w:rPr>
                <w:rFonts w:ascii="Calibri" w:eastAsia="Calibri" w:hAnsi="Calibri" w:cs="Calibri"/>
              </w:rPr>
            </w:pPr>
            <w:r>
              <w:rPr>
                <w:rFonts w:ascii="Calibri" w:eastAsia="Calibri" w:hAnsi="Calibri" w:cs="Calibri"/>
              </w:rPr>
              <w:t>0.352</w:t>
            </w:r>
          </w:p>
        </w:tc>
        <w:tc>
          <w:tcPr>
            <w:tcW w:w="2532" w:type="dxa"/>
            <w:tcBorders>
              <w:top w:val="nil"/>
              <w:left w:val="nil"/>
              <w:bottom w:val="nil"/>
              <w:right w:val="nil"/>
            </w:tcBorders>
            <w:shd w:val="clear" w:color="auto" w:fill="auto"/>
            <w:vAlign w:val="bottom"/>
          </w:tcPr>
          <w:p w14:paraId="4BE65A9E" w14:textId="77777777" w:rsidR="00985FAC" w:rsidRDefault="00985FAC" w:rsidP="008141F2">
            <w:pPr>
              <w:jc w:val="center"/>
              <w:rPr>
                <w:rFonts w:ascii="Calibri" w:eastAsia="Calibri" w:hAnsi="Calibri" w:cs="Calibri"/>
              </w:rPr>
            </w:pPr>
            <w:r>
              <w:rPr>
                <w:rFonts w:ascii="Calibri" w:eastAsia="Calibri" w:hAnsi="Calibri" w:cs="Calibri"/>
              </w:rPr>
              <w:t>0.328</w:t>
            </w:r>
          </w:p>
        </w:tc>
      </w:tr>
      <w:tr w:rsidR="00985FAC" w14:paraId="6A99AD3A" w14:textId="77777777" w:rsidTr="008141F2">
        <w:trPr>
          <w:trHeight w:val="300"/>
          <w:jc w:val="center"/>
        </w:trPr>
        <w:tc>
          <w:tcPr>
            <w:tcW w:w="1620" w:type="dxa"/>
            <w:tcBorders>
              <w:top w:val="nil"/>
              <w:left w:val="nil"/>
              <w:bottom w:val="nil"/>
              <w:right w:val="nil"/>
            </w:tcBorders>
            <w:shd w:val="clear" w:color="auto" w:fill="auto"/>
            <w:vAlign w:val="bottom"/>
          </w:tcPr>
          <w:p w14:paraId="3123F14D" w14:textId="77777777" w:rsidR="00985FAC" w:rsidRDefault="00985FAC" w:rsidP="008141F2">
            <w:pPr>
              <w:jc w:val="center"/>
              <w:rPr>
                <w:rFonts w:ascii="Calibri" w:eastAsia="Calibri" w:hAnsi="Calibri" w:cs="Calibri"/>
              </w:rPr>
            </w:pPr>
            <w:r>
              <w:rPr>
                <w:rFonts w:ascii="Calibri" w:eastAsia="Calibri" w:hAnsi="Calibri" w:cs="Calibri"/>
              </w:rPr>
              <w:t>19</w:t>
            </w:r>
          </w:p>
        </w:tc>
        <w:tc>
          <w:tcPr>
            <w:tcW w:w="1530" w:type="dxa"/>
            <w:tcBorders>
              <w:top w:val="nil"/>
              <w:left w:val="nil"/>
              <w:bottom w:val="nil"/>
              <w:right w:val="nil"/>
            </w:tcBorders>
            <w:shd w:val="clear" w:color="auto" w:fill="auto"/>
            <w:vAlign w:val="bottom"/>
          </w:tcPr>
          <w:p w14:paraId="4AECD83C" w14:textId="77777777" w:rsidR="00985FAC" w:rsidRDefault="00985FAC" w:rsidP="008141F2">
            <w:pPr>
              <w:jc w:val="center"/>
              <w:rPr>
                <w:rFonts w:ascii="Calibri" w:eastAsia="Calibri" w:hAnsi="Calibri" w:cs="Calibri"/>
              </w:rPr>
            </w:pPr>
            <w:r>
              <w:rPr>
                <w:rFonts w:ascii="Calibri" w:eastAsia="Calibri" w:hAnsi="Calibri" w:cs="Calibri"/>
              </w:rPr>
              <w:t>0.346</w:t>
            </w:r>
          </w:p>
        </w:tc>
        <w:tc>
          <w:tcPr>
            <w:tcW w:w="2238" w:type="dxa"/>
            <w:tcBorders>
              <w:top w:val="nil"/>
              <w:left w:val="nil"/>
              <w:bottom w:val="nil"/>
              <w:right w:val="nil"/>
            </w:tcBorders>
            <w:shd w:val="clear" w:color="auto" w:fill="auto"/>
            <w:vAlign w:val="bottom"/>
          </w:tcPr>
          <w:p w14:paraId="7B3057A6" w14:textId="77777777" w:rsidR="00985FAC" w:rsidRDefault="00985FAC" w:rsidP="008141F2">
            <w:pPr>
              <w:jc w:val="center"/>
              <w:rPr>
                <w:rFonts w:ascii="Calibri" w:eastAsia="Calibri" w:hAnsi="Calibri" w:cs="Calibri"/>
              </w:rPr>
            </w:pPr>
            <w:r>
              <w:rPr>
                <w:rFonts w:ascii="Calibri" w:eastAsia="Calibri" w:hAnsi="Calibri" w:cs="Calibri"/>
              </w:rPr>
              <w:t>0.465</w:t>
            </w:r>
          </w:p>
        </w:tc>
        <w:tc>
          <w:tcPr>
            <w:tcW w:w="2532" w:type="dxa"/>
            <w:tcBorders>
              <w:top w:val="nil"/>
              <w:left w:val="nil"/>
              <w:bottom w:val="nil"/>
              <w:right w:val="nil"/>
            </w:tcBorders>
            <w:shd w:val="clear" w:color="auto" w:fill="auto"/>
            <w:vAlign w:val="bottom"/>
          </w:tcPr>
          <w:p w14:paraId="089F840D" w14:textId="77777777" w:rsidR="00985FAC" w:rsidRDefault="00985FAC" w:rsidP="008141F2">
            <w:pPr>
              <w:jc w:val="center"/>
              <w:rPr>
                <w:rFonts w:ascii="Calibri" w:eastAsia="Calibri" w:hAnsi="Calibri" w:cs="Calibri"/>
              </w:rPr>
            </w:pPr>
            <w:r>
              <w:rPr>
                <w:rFonts w:ascii="Calibri" w:eastAsia="Calibri" w:hAnsi="Calibri" w:cs="Calibri"/>
              </w:rPr>
              <w:t>0.458</w:t>
            </w:r>
          </w:p>
        </w:tc>
      </w:tr>
      <w:tr w:rsidR="00985FAC" w14:paraId="71ED8C74" w14:textId="77777777" w:rsidTr="008141F2">
        <w:trPr>
          <w:trHeight w:val="300"/>
          <w:jc w:val="center"/>
        </w:trPr>
        <w:tc>
          <w:tcPr>
            <w:tcW w:w="1620" w:type="dxa"/>
            <w:tcBorders>
              <w:top w:val="nil"/>
              <w:left w:val="nil"/>
              <w:bottom w:val="nil"/>
              <w:right w:val="nil"/>
            </w:tcBorders>
            <w:shd w:val="clear" w:color="auto" w:fill="auto"/>
            <w:vAlign w:val="bottom"/>
          </w:tcPr>
          <w:p w14:paraId="2497875A" w14:textId="77777777" w:rsidR="00985FAC" w:rsidRDefault="00985FAC" w:rsidP="008141F2">
            <w:pPr>
              <w:jc w:val="center"/>
              <w:rPr>
                <w:rFonts w:ascii="Calibri" w:eastAsia="Calibri" w:hAnsi="Calibri" w:cs="Calibri"/>
              </w:rPr>
            </w:pPr>
            <w:r>
              <w:rPr>
                <w:rFonts w:ascii="Calibri" w:eastAsia="Calibri" w:hAnsi="Calibri" w:cs="Calibri"/>
              </w:rPr>
              <w:t>20</w:t>
            </w:r>
          </w:p>
        </w:tc>
        <w:tc>
          <w:tcPr>
            <w:tcW w:w="1530" w:type="dxa"/>
            <w:tcBorders>
              <w:top w:val="nil"/>
              <w:left w:val="nil"/>
              <w:bottom w:val="nil"/>
              <w:right w:val="nil"/>
            </w:tcBorders>
            <w:shd w:val="clear" w:color="auto" w:fill="auto"/>
            <w:vAlign w:val="bottom"/>
          </w:tcPr>
          <w:p w14:paraId="64305625" w14:textId="77777777" w:rsidR="00985FAC" w:rsidRDefault="00985FAC" w:rsidP="008141F2">
            <w:pPr>
              <w:jc w:val="center"/>
              <w:rPr>
                <w:rFonts w:ascii="Calibri" w:eastAsia="Calibri" w:hAnsi="Calibri" w:cs="Calibri"/>
              </w:rPr>
            </w:pPr>
            <w:r>
              <w:rPr>
                <w:rFonts w:ascii="Calibri" w:eastAsia="Calibri" w:hAnsi="Calibri" w:cs="Calibri"/>
              </w:rPr>
              <w:t>0.178</w:t>
            </w:r>
          </w:p>
        </w:tc>
        <w:tc>
          <w:tcPr>
            <w:tcW w:w="2238" w:type="dxa"/>
            <w:tcBorders>
              <w:top w:val="nil"/>
              <w:left w:val="nil"/>
              <w:bottom w:val="nil"/>
              <w:right w:val="nil"/>
            </w:tcBorders>
            <w:shd w:val="clear" w:color="auto" w:fill="auto"/>
            <w:vAlign w:val="bottom"/>
          </w:tcPr>
          <w:p w14:paraId="2D65AA1A" w14:textId="77777777" w:rsidR="00985FAC" w:rsidRDefault="00985FAC" w:rsidP="008141F2">
            <w:pPr>
              <w:jc w:val="center"/>
              <w:rPr>
                <w:rFonts w:ascii="Calibri" w:eastAsia="Calibri" w:hAnsi="Calibri" w:cs="Calibri"/>
              </w:rPr>
            </w:pPr>
            <w:r>
              <w:rPr>
                <w:rFonts w:ascii="Calibri" w:eastAsia="Calibri" w:hAnsi="Calibri" w:cs="Calibri"/>
              </w:rPr>
              <w:t>0.511</w:t>
            </w:r>
          </w:p>
        </w:tc>
        <w:tc>
          <w:tcPr>
            <w:tcW w:w="2532" w:type="dxa"/>
            <w:tcBorders>
              <w:top w:val="nil"/>
              <w:left w:val="nil"/>
              <w:bottom w:val="nil"/>
              <w:right w:val="nil"/>
            </w:tcBorders>
            <w:shd w:val="clear" w:color="auto" w:fill="auto"/>
            <w:vAlign w:val="bottom"/>
          </w:tcPr>
          <w:p w14:paraId="303B6710" w14:textId="77777777" w:rsidR="00985FAC" w:rsidRDefault="00985FAC" w:rsidP="008141F2">
            <w:pPr>
              <w:jc w:val="center"/>
              <w:rPr>
                <w:rFonts w:ascii="Calibri" w:eastAsia="Calibri" w:hAnsi="Calibri" w:cs="Calibri"/>
              </w:rPr>
            </w:pPr>
            <w:r>
              <w:rPr>
                <w:rFonts w:ascii="Calibri" w:eastAsia="Calibri" w:hAnsi="Calibri" w:cs="Calibri"/>
              </w:rPr>
              <w:t>0.416</w:t>
            </w:r>
          </w:p>
        </w:tc>
      </w:tr>
      <w:tr w:rsidR="00985FAC" w14:paraId="4E889284" w14:textId="77777777" w:rsidTr="008141F2">
        <w:trPr>
          <w:trHeight w:val="300"/>
          <w:jc w:val="center"/>
        </w:trPr>
        <w:tc>
          <w:tcPr>
            <w:tcW w:w="1620" w:type="dxa"/>
            <w:tcBorders>
              <w:top w:val="nil"/>
              <w:left w:val="nil"/>
              <w:bottom w:val="nil"/>
              <w:right w:val="nil"/>
            </w:tcBorders>
            <w:shd w:val="clear" w:color="auto" w:fill="auto"/>
            <w:vAlign w:val="bottom"/>
          </w:tcPr>
          <w:p w14:paraId="41322E75" w14:textId="77777777" w:rsidR="00985FAC" w:rsidRDefault="00985FAC" w:rsidP="008141F2">
            <w:pPr>
              <w:jc w:val="center"/>
              <w:rPr>
                <w:rFonts w:ascii="Calibri" w:eastAsia="Calibri" w:hAnsi="Calibri" w:cs="Calibri"/>
              </w:rPr>
            </w:pPr>
            <w:r>
              <w:rPr>
                <w:rFonts w:ascii="Calibri" w:eastAsia="Calibri" w:hAnsi="Calibri" w:cs="Calibri"/>
              </w:rPr>
              <w:t>21</w:t>
            </w:r>
          </w:p>
        </w:tc>
        <w:tc>
          <w:tcPr>
            <w:tcW w:w="1530" w:type="dxa"/>
            <w:tcBorders>
              <w:top w:val="nil"/>
              <w:left w:val="nil"/>
              <w:bottom w:val="nil"/>
              <w:right w:val="nil"/>
            </w:tcBorders>
            <w:shd w:val="clear" w:color="auto" w:fill="auto"/>
            <w:vAlign w:val="bottom"/>
          </w:tcPr>
          <w:p w14:paraId="3D2D2322" w14:textId="77777777" w:rsidR="00985FAC" w:rsidRDefault="00985FAC" w:rsidP="008141F2">
            <w:pPr>
              <w:jc w:val="center"/>
              <w:rPr>
                <w:rFonts w:ascii="Calibri" w:eastAsia="Calibri" w:hAnsi="Calibri" w:cs="Calibri"/>
              </w:rPr>
            </w:pPr>
            <w:r>
              <w:rPr>
                <w:rFonts w:ascii="Calibri" w:eastAsia="Calibri" w:hAnsi="Calibri" w:cs="Calibri"/>
              </w:rPr>
              <w:t>0.163</w:t>
            </w:r>
          </w:p>
        </w:tc>
        <w:tc>
          <w:tcPr>
            <w:tcW w:w="2238" w:type="dxa"/>
            <w:tcBorders>
              <w:top w:val="nil"/>
              <w:left w:val="nil"/>
              <w:bottom w:val="nil"/>
              <w:right w:val="nil"/>
            </w:tcBorders>
            <w:shd w:val="clear" w:color="auto" w:fill="auto"/>
            <w:vAlign w:val="bottom"/>
          </w:tcPr>
          <w:p w14:paraId="07A9A705" w14:textId="77777777" w:rsidR="00985FAC" w:rsidRDefault="00985FAC" w:rsidP="008141F2">
            <w:pPr>
              <w:jc w:val="center"/>
              <w:rPr>
                <w:rFonts w:ascii="Calibri" w:eastAsia="Calibri" w:hAnsi="Calibri" w:cs="Calibri"/>
              </w:rPr>
            </w:pPr>
            <w:r>
              <w:rPr>
                <w:rFonts w:ascii="Calibri" w:eastAsia="Calibri" w:hAnsi="Calibri" w:cs="Calibri"/>
              </w:rPr>
              <w:t>0.296</w:t>
            </w:r>
          </w:p>
        </w:tc>
        <w:tc>
          <w:tcPr>
            <w:tcW w:w="2532" w:type="dxa"/>
            <w:tcBorders>
              <w:top w:val="nil"/>
              <w:left w:val="nil"/>
              <w:bottom w:val="nil"/>
              <w:right w:val="nil"/>
            </w:tcBorders>
            <w:shd w:val="clear" w:color="auto" w:fill="auto"/>
            <w:vAlign w:val="bottom"/>
          </w:tcPr>
          <w:p w14:paraId="1279323A" w14:textId="77777777" w:rsidR="00985FAC" w:rsidRDefault="00985FAC" w:rsidP="008141F2">
            <w:pPr>
              <w:jc w:val="center"/>
              <w:rPr>
                <w:rFonts w:ascii="Calibri" w:eastAsia="Calibri" w:hAnsi="Calibri" w:cs="Calibri"/>
              </w:rPr>
            </w:pPr>
            <w:r>
              <w:rPr>
                <w:rFonts w:ascii="Calibri" w:eastAsia="Calibri" w:hAnsi="Calibri" w:cs="Calibri"/>
              </w:rPr>
              <w:t>0.268</w:t>
            </w:r>
          </w:p>
        </w:tc>
      </w:tr>
      <w:tr w:rsidR="00985FAC" w14:paraId="46CA96A8" w14:textId="77777777" w:rsidTr="008141F2">
        <w:trPr>
          <w:trHeight w:val="300"/>
          <w:jc w:val="center"/>
        </w:trPr>
        <w:tc>
          <w:tcPr>
            <w:tcW w:w="1620" w:type="dxa"/>
            <w:tcBorders>
              <w:top w:val="nil"/>
              <w:left w:val="nil"/>
              <w:bottom w:val="nil"/>
              <w:right w:val="nil"/>
            </w:tcBorders>
            <w:shd w:val="clear" w:color="auto" w:fill="auto"/>
            <w:vAlign w:val="bottom"/>
          </w:tcPr>
          <w:p w14:paraId="6869BBAD" w14:textId="77777777" w:rsidR="00985FAC" w:rsidRDefault="00985FAC" w:rsidP="008141F2">
            <w:pPr>
              <w:jc w:val="center"/>
              <w:rPr>
                <w:rFonts w:ascii="Calibri" w:eastAsia="Calibri" w:hAnsi="Calibri" w:cs="Calibri"/>
              </w:rPr>
            </w:pPr>
            <w:r>
              <w:rPr>
                <w:rFonts w:ascii="Calibri" w:eastAsia="Calibri" w:hAnsi="Calibri" w:cs="Calibri"/>
              </w:rPr>
              <w:t>22</w:t>
            </w:r>
          </w:p>
        </w:tc>
        <w:tc>
          <w:tcPr>
            <w:tcW w:w="1530" w:type="dxa"/>
            <w:tcBorders>
              <w:top w:val="nil"/>
              <w:left w:val="nil"/>
              <w:bottom w:val="nil"/>
              <w:right w:val="nil"/>
            </w:tcBorders>
            <w:shd w:val="clear" w:color="auto" w:fill="auto"/>
            <w:vAlign w:val="bottom"/>
          </w:tcPr>
          <w:p w14:paraId="3B51C100" w14:textId="77777777" w:rsidR="00985FAC" w:rsidRDefault="00985FAC" w:rsidP="008141F2">
            <w:pPr>
              <w:jc w:val="center"/>
              <w:rPr>
                <w:rFonts w:ascii="Calibri" w:eastAsia="Calibri" w:hAnsi="Calibri" w:cs="Calibri"/>
              </w:rPr>
            </w:pPr>
            <w:r>
              <w:rPr>
                <w:rFonts w:ascii="Calibri" w:eastAsia="Calibri" w:hAnsi="Calibri" w:cs="Calibri"/>
              </w:rPr>
              <w:t>0.289</w:t>
            </w:r>
          </w:p>
        </w:tc>
        <w:tc>
          <w:tcPr>
            <w:tcW w:w="2238" w:type="dxa"/>
            <w:tcBorders>
              <w:top w:val="nil"/>
              <w:left w:val="nil"/>
              <w:bottom w:val="nil"/>
              <w:right w:val="nil"/>
            </w:tcBorders>
            <w:shd w:val="clear" w:color="auto" w:fill="auto"/>
            <w:vAlign w:val="bottom"/>
          </w:tcPr>
          <w:p w14:paraId="4A65FF15" w14:textId="77777777" w:rsidR="00985FAC" w:rsidRDefault="00985FAC" w:rsidP="008141F2">
            <w:pPr>
              <w:jc w:val="center"/>
              <w:rPr>
                <w:rFonts w:ascii="Calibri" w:eastAsia="Calibri" w:hAnsi="Calibri" w:cs="Calibri"/>
              </w:rPr>
            </w:pPr>
            <w:r>
              <w:rPr>
                <w:rFonts w:ascii="Calibri" w:eastAsia="Calibri" w:hAnsi="Calibri" w:cs="Calibri"/>
              </w:rPr>
              <w:t>0.356</w:t>
            </w:r>
          </w:p>
        </w:tc>
        <w:tc>
          <w:tcPr>
            <w:tcW w:w="2532" w:type="dxa"/>
            <w:tcBorders>
              <w:top w:val="nil"/>
              <w:left w:val="nil"/>
              <w:bottom w:val="nil"/>
              <w:right w:val="nil"/>
            </w:tcBorders>
            <w:shd w:val="clear" w:color="auto" w:fill="auto"/>
            <w:vAlign w:val="bottom"/>
          </w:tcPr>
          <w:p w14:paraId="45F7998D" w14:textId="77777777" w:rsidR="00985FAC" w:rsidRDefault="00985FAC" w:rsidP="008141F2">
            <w:pPr>
              <w:jc w:val="center"/>
              <w:rPr>
                <w:rFonts w:ascii="Calibri" w:eastAsia="Calibri" w:hAnsi="Calibri" w:cs="Calibri"/>
              </w:rPr>
            </w:pPr>
            <w:r>
              <w:rPr>
                <w:rFonts w:ascii="Calibri" w:eastAsia="Calibri" w:hAnsi="Calibri" w:cs="Calibri"/>
              </w:rPr>
              <w:t>0.353</w:t>
            </w:r>
          </w:p>
        </w:tc>
      </w:tr>
      <w:tr w:rsidR="00985FAC" w14:paraId="06B61396" w14:textId="77777777" w:rsidTr="008141F2">
        <w:trPr>
          <w:trHeight w:val="300"/>
          <w:jc w:val="center"/>
        </w:trPr>
        <w:tc>
          <w:tcPr>
            <w:tcW w:w="1620" w:type="dxa"/>
            <w:tcBorders>
              <w:top w:val="nil"/>
              <w:left w:val="nil"/>
              <w:bottom w:val="nil"/>
              <w:right w:val="nil"/>
            </w:tcBorders>
            <w:shd w:val="clear" w:color="auto" w:fill="auto"/>
            <w:vAlign w:val="bottom"/>
          </w:tcPr>
          <w:p w14:paraId="65027C1A" w14:textId="77777777" w:rsidR="00985FAC" w:rsidRDefault="00985FAC" w:rsidP="008141F2">
            <w:pPr>
              <w:jc w:val="center"/>
              <w:rPr>
                <w:rFonts w:ascii="Calibri" w:eastAsia="Calibri" w:hAnsi="Calibri" w:cs="Calibri"/>
              </w:rPr>
            </w:pPr>
            <w:r>
              <w:rPr>
                <w:rFonts w:ascii="Calibri" w:eastAsia="Calibri" w:hAnsi="Calibri" w:cs="Calibri"/>
              </w:rPr>
              <w:t>{23, 24}</w:t>
            </w:r>
          </w:p>
        </w:tc>
        <w:tc>
          <w:tcPr>
            <w:tcW w:w="1530" w:type="dxa"/>
            <w:tcBorders>
              <w:top w:val="nil"/>
              <w:left w:val="nil"/>
              <w:bottom w:val="nil"/>
              <w:right w:val="nil"/>
            </w:tcBorders>
            <w:shd w:val="clear" w:color="auto" w:fill="auto"/>
            <w:vAlign w:val="bottom"/>
          </w:tcPr>
          <w:p w14:paraId="2B5FDFD1" w14:textId="77777777" w:rsidR="00985FAC" w:rsidRDefault="00985FAC" w:rsidP="008141F2">
            <w:pPr>
              <w:jc w:val="center"/>
              <w:rPr>
                <w:rFonts w:ascii="Calibri" w:eastAsia="Calibri" w:hAnsi="Calibri" w:cs="Calibri"/>
              </w:rPr>
            </w:pPr>
            <w:r>
              <w:rPr>
                <w:rFonts w:ascii="Calibri" w:eastAsia="Calibri" w:hAnsi="Calibri" w:cs="Calibri"/>
              </w:rPr>
              <w:t>0.247</w:t>
            </w:r>
          </w:p>
        </w:tc>
        <w:tc>
          <w:tcPr>
            <w:tcW w:w="2238" w:type="dxa"/>
            <w:tcBorders>
              <w:top w:val="nil"/>
              <w:left w:val="nil"/>
              <w:bottom w:val="nil"/>
              <w:right w:val="nil"/>
            </w:tcBorders>
            <w:shd w:val="clear" w:color="auto" w:fill="auto"/>
            <w:vAlign w:val="bottom"/>
          </w:tcPr>
          <w:p w14:paraId="181A1DC2" w14:textId="77777777" w:rsidR="00985FAC" w:rsidRDefault="00985FAC" w:rsidP="008141F2">
            <w:pPr>
              <w:jc w:val="center"/>
              <w:rPr>
                <w:rFonts w:ascii="Calibri" w:eastAsia="Calibri" w:hAnsi="Calibri" w:cs="Calibri"/>
              </w:rPr>
            </w:pPr>
            <w:r>
              <w:rPr>
                <w:rFonts w:ascii="Calibri" w:eastAsia="Calibri" w:hAnsi="Calibri" w:cs="Calibri"/>
              </w:rPr>
              <w:t>0.311</w:t>
            </w:r>
          </w:p>
        </w:tc>
        <w:tc>
          <w:tcPr>
            <w:tcW w:w="2532" w:type="dxa"/>
            <w:tcBorders>
              <w:top w:val="nil"/>
              <w:left w:val="nil"/>
              <w:bottom w:val="nil"/>
              <w:right w:val="nil"/>
            </w:tcBorders>
            <w:shd w:val="clear" w:color="auto" w:fill="auto"/>
            <w:vAlign w:val="bottom"/>
          </w:tcPr>
          <w:p w14:paraId="3CF4643C" w14:textId="77777777" w:rsidR="00985FAC" w:rsidRDefault="00985FAC" w:rsidP="008141F2">
            <w:pPr>
              <w:jc w:val="center"/>
              <w:rPr>
                <w:rFonts w:ascii="Calibri" w:eastAsia="Calibri" w:hAnsi="Calibri" w:cs="Calibri"/>
              </w:rPr>
            </w:pPr>
            <w:r>
              <w:rPr>
                <w:rFonts w:ascii="Calibri" w:eastAsia="Calibri" w:hAnsi="Calibri" w:cs="Calibri"/>
              </w:rPr>
              <w:t>0.302</w:t>
            </w:r>
          </w:p>
        </w:tc>
      </w:tr>
      <w:tr w:rsidR="00985FAC" w14:paraId="1F9E29F1" w14:textId="77777777" w:rsidTr="008141F2">
        <w:trPr>
          <w:trHeight w:val="300"/>
          <w:jc w:val="center"/>
        </w:trPr>
        <w:tc>
          <w:tcPr>
            <w:tcW w:w="1620" w:type="dxa"/>
            <w:tcBorders>
              <w:top w:val="nil"/>
              <w:left w:val="nil"/>
              <w:bottom w:val="nil"/>
              <w:right w:val="nil"/>
            </w:tcBorders>
            <w:shd w:val="clear" w:color="auto" w:fill="auto"/>
            <w:vAlign w:val="bottom"/>
          </w:tcPr>
          <w:p w14:paraId="121A2767" w14:textId="77777777" w:rsidR="00985FAC" w:rsidRDefault="00985FAC" w:rsidP="008141F2">
            <w:pPr>
              <w:jc w:val="center"/>
              <w:rPr>
                <w:rFonts w:ascii="Calibri" w:eastAsia="Calibri" w:hAnsi="Calibri" w:cs="Calibri"/>
              </w:rPr>
            </w:pPr>
            <w:r>
              <w:rPr>
                <w:rFonts w:ascii="Calibri" w:eastAsia="Calibri" w:hAnsi="Calibri" w:cs="Calibri"/>
              </w:rPr>
              <w:t>{25, 26, 27}</w:t>
            </w:r>
          </w:p>
        </w:tc>
        <w:tc>
          <w:tcPr>
            <w:tcW w:w="1530" w:type="dxa"/>
            <w:tcBorders>
              <w:top w:val="nil"/>
              <w:left w:val="nil"/>
              <w:bottom w:val="nil"/>
              <w:right w:val="nil"/>
            </w:tcBorders>
            <w:shd w:val="clear" w:color="auto" w:fill="auto"/>
            <w:vAlign w:val="bottom"/>
          </w:tcPr>
          <w:p w14:paraId="10665FF4" w14:textId="77777777" w:rsidR="00985FAC" w:rsidRDefault="00985FAC" w:rsidP="008141F2">
            <w:pPr>
              <w:jc w:val="center"/>
              <w:rPr>
                <w:rFonts w:ascii="Calibri" w:eastAsia="Calibri" w:hAnsi="Calibri" w:cs="Calibri"/>
              </w:rPr>
            </w:pPr>
            <w:r>
              <w:rPr>
                <w:rFonts w:ascii="Calibri" w:eastAsia="Calibri" w:hAnsi="Calibri" w:cs="Calibri"/>
              </w:rPr>
              <w:t>0.439</w:t>
            </w:r>
          </w:p>
        </w:tc>
        <w:tc>
          <w:tcPr>
            <w:tcW w:w="2238" w:type="dxa"/>
            <w:tcBorders>
              <w:top w:val="nil"/>
              <w:left w:val="nil"/>
              <w:bottom w:val="nil"/>
              <w:right w:val="nil"/>
            </w:tcBorders>
            <w:shd w:val="clear" w:color="auto" w:fill="auto"/>
            <w:vAlign w:val="bottom"/>
          </w:tcPr>
          <w:p w14:paraId="427BDCB2" w14:textId="77777777" w:rsidR="00985FAC" w:rsidRDefault="00985FAC" w:rsidP="008141F2">
            <w:pPr>
              <w:jc w:val="center"/>
              <w:rPr>
                <w:rFonts w:ascii="Calibri" w:eastAsia="Calibri" w:hAnsi="Calibri" w:cs="Calibri"/>
              </w:rPr>
            </w:pPr>
            <w:r>
              <w:rPr>
                <w:rFonts w:ascii="Calibri" w:eastAsia="Calibri" w:hAnsi="Calibri" w:cs="Calibri"/>
              </w:rPr>
              <w:t>0.492</w:t>
            </w:r>
          </w:p>
        </w:tc>
        <w:tc>
          <w:tcPr>
            <w:tcW w:w="2532" w:type="dxa"/>
            <w:tcBorders>
              <w:top w:val="nil"/>
              <w:left w:val="nil"/>
              <w:bottom w:val="nil"/>
              <w:right w:val="nil"/>
            </w:tcBorders>
            <w:shd w:val="clear" w:color="auto" w:fill="auto"/>
            <w:vAlign w:val="bottom"/>
          </w:tcPr>
          <w:p w14:paraId="24CE7654" w14:textId="77777777" w:rsidR="00985FAC" w:rsidRDefault="00985FAC" w:rsidP="008141F2">
            <w:pPr>
              <w:jc w:val="center"/>
              <w:rPr>
                <w:rFonts w:ascii="Calibri" w:eastAsia="Calibri" w:hAnsi="Calibri" w:cs="Calibri"/>
              </w:rPr>
            </w:pPr>
            <w:r>
              <w:rPr>
                <w:rFonts w:ascii="Calibri" w:eastAsia="Calibri" w:hAnsi="Calibri" w:cs="Calibri"/>
              </w:rPr>
              <w:t>0.489</w:t>
            </w:r>
          </w:p>
        </w:tc>
      </w:tr>
      <w:tr w:rsidR="00985FAC" w14:paraId="4F320E76" w14:textId="77777777" w:rsidTr="008141F2">
        <w:trPr>
          <w:trHeight w:val="300"/>
          <w:jc w:val="center"/>
        </w:trPr>
        <w:tc>
          <w:tcPr>
            <w:tcW w:w="1620" w:type="dxa"/>
            <w:tcBorders>
              <w:top w:val="nil"/>
              <w:left w:val="nil"/>
              <w:bottom w:val="nil"/>
              <w:right w:val="nil"/>
            </w:tcBorders>
            <w:shd w:val="clear" w:color="auto" w:fill="auto"/>
            <w:vAlign w:val="bottom"/>
          </w:tcPr>
          <w:p w14:paraId="11BBC996" w14:textId="77777777" w:rsidR="00985FAC" w:rsidRDefault="00985FAC" w:rsidP="008141F2">
            <w:pPr>
              <w:jc w:val="center"/>
              <w:rPr>
                <w:rFonts w:ascii="Calibri" w:eastAsia="Calibri" w:hAnsi="Calibri" w:cs="Calibri"/>
              </w:rPr>
            </w:pPr>
            <w:r>
              <w:rPr>
                <w:rFonts w:ascii="Calibri" w:eastAsia="Calibri" w:hAnsi="Calibri" w:cs="Calibri"/>
              </w:rPr>
              <w:t>{28, 29, 30, 31}</w:t>
            </w:r>
          </w:p>
        </w:tc>
        <w:tc>
          <w:tcPr>
            <w:tcW w:w="1530" w:type="dxa"/>
            <w:tcBorders>
              <w:top w:val="nil"/>
              <w:left w:val="nil"/>
              <w:bottom w:val="nil"/>
              <w:right w:val="nil"/>
            </w:tcBorders>
            <w:shd w:val="clear" w:color="auto" w:fill="auto"/>
            <w:vAlign w:val="bottom"/>
          </w:tcPr>
          <w:p w14:paraId="6C313A75" w14:textId="77777777" w:rsidR="00985FAC" w:rsidRDefault="00985FAC" w:rsidP="008141F2">
            <w:pPr>
              <w:jc w:val="center"/>
              <w:rPr>
                <w:rFonts w:ascii="Calibri" w:eastAsia="Calibri" w:hAnsi="Calibri" w:cs="Calibri"/>
              </w:rPr>
            </w:pPr>
            <w:r>
              <w:rPr>
                <w:rFonts w:ascii="Calibri" w:eastAsia="Calibri" w:hAnsi="Calibri" w:cs="Calibri"/>
              </w:rPr>
              <w:t>0.381</w:t>
            </w:r>
          </w:p>
        </w:tc>
        <w:tc>
          <w:tcPr>
            <w:tcW w:w="2238" w:type="dxa"/>
            <w:tcBorders>
              <w:top w:val="nil"/>
              <w:left w:val="nil"/>
              <w:bottom w:val="nil"/>
              <w:right w:val="nil"/>
            </w:tcBorders>
            <w:shd w:val="clear" w:color="auto" w:fill="auto"/>
            <w:vAlign w:val="bottom"/>
          </w:tcPr>
          <w:p w14:paraId="379C98D5" w14:textId="77777777" w:rsidR="00985FAC" w:rsidRDefault="00985FAC" w:rsidP="008141F2">
            <w:pPr>
              <w:jc w:val="center"/>
              <w:rPr>
                <w:rFonts w:ascii="Calibri" w:eastAsia="Calibri" w:hAnsi="Calibri" w:cs="Calibri"/>
              </w:rPr>
            </w:pPr>
            <w:r>
              <w:rPr>
                <w:rFonts w:ascii="Calibri" w:eastAsia="Calibri" w:hAnsi="Calibri" w:cs="Calibri"/>
              </w:rPr>
              <w:t>0.399</w:t>
            </w:r>
          </w:p>
        </w:tc>
        <w:tc>
          <w:tcPr>
            <w:tcW w:w="2532" w:type="dxa"/>
            <w:tcBorders>
              <w:top w:val="nil"/>
              <w:left w:val="nil"/>
              <w:bottom w:val="nil"/>
              <w:right w:val="nil"/>
            </w:tcBorders>
            <w:shd w:val="clear" w:color="auto" w:fill="auto"/>
            <w:vAlign w:val="bottom"/>
          </w:tcPr>
          <w:p w14:paraId="0DA006D0" w14:textId="77777777" w:rsidR="00985FAC" w:rsidRDefault="00985FAC" w:rsidP="008141F2">
            <w:pPr>
              <w:jc w:val="center"/>
              <w:rPr>
                <w:rFonts w:ascii="Calibri" w:eastAsia="Calibri" w:hAnsi="Calibri" w:cs="Calibri"/>
              </w:rPr>
            </w:pPr>
            <w:r>
              <w:rPr>
                <w:rFonts w:ascii="Calibri" w:eastAsia="Calibri" w:hAnsi="Calibri" w:cs="Calibri"/>
              </w:rPr>
              <w:t>0.387</w:t>
            </w:r>
          </w:p>
        </w:tc>
      </w:tr>
      <w:tr w:rsidR="00985FAC" w14:paraId="36A856A3" w14:textId="77777777" w:rsidTr="008141F2">
        <w:trPr>
          <w:trHeight w:val="300"/>
          <w:jc w:val="center"/>
        </w:trPr>
        <w:tc>
          <w:tcPr>
            <w:tcW w:w="1620" w:type="dxa"/>
            <w:tcBorders>
              <w:top w:val="nil"/>
              <w:left w:val="nil"/>
              <w:bottom w:val="nil"/>
              <w:right w:val="nil"/>
            </w:tcBorders>
            <w:shd w:val="clear" w:color="auto" w:fill="auto"/>
            <w:vAlign w:val="bottom"/>
          </w:tcPr>
          <w:p w14:paraId="4E61A7D9" w14:textId="77777777" w:rsidR="00985FAC" w:rsidRDefault="00985FAC" w:rsidP="008141F2">
            <w:pPr>
              <w:jc w:val="center"/>
              <w:rPr>
                <w:rFonts w:ascii="Calibri" w:eastAsia="Calibri" w:hAnsi="Calibri" w:cs="Calibri"/>
              </w:rPr>
            </w:pPr>
            <w:r>
              <w:rPr>
                <w:rFonts w:ascii="Calibri" w:eastAsia="Calibri" w:hAnsi="Calibri" w:cs="Calibri"/>
              </w:rPr>
              <w:t>33</w:t>
            </w:r>
          </w:p>
        </w:tc>
        <w:tc>
          <w:tcPr>
            <w:tcW w:w="1530" w:type="dxa"/>
            <w:tcBorders>
              <w:top w:val="nil"/>
              <w:left w:val="nil"/>
              <w:bottom w:val="nil"/>
              <w:right w:val="nil"/>
            </w:tcBorders>
            <w:shd w:val="clear" w:color="auto" w:fill="auto"/>
            <w:vAlign w:val="bottom"/>
          </w:tcPr>
          <w:p w14:paraId="137107A7" w14:textId="77777777" w:rsidR="00985FAC" w:rsidRDefault="00985FAC" w:rsidP="008141F2">
            <w:pPr>
              <w:jc w:val="center"/>
              <w:rPr>
                <w:rFonts w:ascii="Calibri" w:eastAsia="Calibri" w:hAnsi="Calibri" w:cs="Calibri"/>
              </w:rPr>
            </w:pPr>
            <w:r>
              <w:rPr>
                <w:rFonts w:ascii="Calibri" w:eastAsia="Calibri" w:hAnsi="Calibri" w:cs="Calibri"/>
              </w:rPr>
              <w:t>0.234</w:t>
            </w:r>
          </w:p>
        </w:tc>
        <w:tc>
          <w:tcPr>
            <w:tcW w:w="2238" w:type="dxa"/>
            <w:tcBorders>
              <w:top w:val="nil"/>
              <w:left w:val="nil"/>
              <w:bottom w:val="nil"/>
              <w:right w:val="nil"/>
            </w:tcBorders>
            <w:shd w:val="clear" w:color="auto" w:fill="auto"/>
            <w:vAlign w:val="bottom"/>
          </w:tcPr>
          <w:p w14:paraId="723F40A5" w14:textId="77777777" w:rsidR="00985FAC" w:rsidRDefault="00985FAC" w:rsidP="008141F2">
            <w:pPr>
              <w:jc w:val="center"/>
              <w:rPr>
                <w:rFonts w:ascii="Calibri" w:eastAsia="Calibri" w:hAnsi="Calibri" w:cs="Calibri"/>
              </w:rPr>
            </w:pPr>
            <w:r>
              <w:rPr>
                <w:rFonts w:ascii="Calibri" w:eastAsia="Calibri" w:hAnsi="Calibri" w:cs="Calibri"/>
              </w:rPr>
              <w:t>0.275</w:t>
            </w:r>
          </w:p>
        </w:tc>
        <w:tc>
          <w:tcPr>
            <w:tcW w:w="2532" w:type="dxa"/>
            <w:tcBorders>
              <w:top w:val="nil"/>
              <w:left w:val="nil"/>
              <w:bottom w:val="nil"/>
              <w:right w:val="nil"/>
            </w:tcBorders>
            <w:shd w:val="clear" w:color="auto" w:fill="auto"/>
            <w:vAlign w:val="bottom"/>
          </w:tcPr>
          <w:p w14:paraId="7F9FF5DF" w14:textId="77777777" w:rsidR="00985FAC" w:rsidRDefault="00985FAC" w:rsidP="008141F2">
            <w:pPr>
              <w:jc w:val="center"/>
              <w:rPr>
                <w:rFonts w:ascii="Calibri" w:eastAsia="Calibri" w:hAnsi="Calibri" w:cs="Calibri"/>
              </w:rPr>
            </w:pPr>
            <w:r>
              <w:rPr>
                <w:rFonts w:ascii="Calibri" w:eastAsia="Calibri" w:hAnsi="Calibri" w:cs="Calibri"/>
              </w:rPr>
              <w:t>0.287</w:t>
            </w:r>
          </w:p>
        </w:tc>
      </w:tr>
      <w:tr w:rsidR="00985FAC" w14:paraId="1B44EE2C" w14:textId="77777777" w:rsidTr="008141F2">
        <w:trPr>
          <w:trHeight w:val="300"/>
          <w:jc w:val="center"/>
        </w:trPr>
        <w:tc>
          <w:tcPr>
            <w:tcW w:w="1620" w:type="dxa"/>
            <w:tcBorders>
              <w:top w:val="nil"/>
              <w:left w:val="nil"/>
              <w:bottom w:val="nil"/>
              <w:right w:val="nil"/>
            </w:tcBorders>
            <w:shd w:val="clear" w:color="auto" w:fill="auto"/>
            <w:vAlign w:val="bottom"/>
          </w:tcPr>
          <w:p w14:paraId="731070F8" w14:textId="77777777" w:rsidR="00985FAC" w:rsidRDefault="00985FAC" w:rsidP="008141F2">
            <w:pPr>
              <w:jc w:val="center"/>
              <w:rPr>
                <w:rFonts w:ascii="Calibri" w:eastAsia="Calibri" w:hAnsi="Calibri" w:cs="Calibri"/>
              </w:rPr>
            </w:pPr>
            <w:r>
              <w:rPr>
                <w:rFonts w:ascii="Calibri" w:eastAsia="Calibri" w:hAnsi="Calibri" w:cs="Calibri"/>
              </w:rPr>
              <w:t>{34, 35}</w:t>
            </w:r>
          </w:p>
        </w:tc>
        <w:tc>
          <w:tcPr>
            <w:tcW w:w="1530" w:type="dxa"/>
            <w:tcBorders>
              <w:top w:val="nil"/>
              <w:left w:val="nil"/>
              <w:bottom w:val="nil"/>
              <w:right w:val="nil"/>
            </w:tcBorders>
            <w:shd w:val="clear" w:color="auto" w:fill="auto"/>
            <w:vAlign w:val="bottom"/>
          </w:tcPr>
          <w:p w14:paraId="58CADE6A" w14:textId="77777777" w:rsidR="00985FAC" w:rsidRDefault="00985FAC" w:rsidP="008141F2">
            <w:pPr>
              <w:jc w:val="center"/>
              <w:rPr>
                <w:rFonts w:ascii="Calibri" w:eastAsia="Calibri" w:hAnsi="Calibri" w:cs="Calibri"/>
              </w:rPr>
            </w:pPr>
            <w:r>
              <w:rPr>
                <w:rFonts w:ascii="Calibri" w:eastAsia="Calibri" w:hAnsi="Calibri" w:cs="Calibri"/>
              </w:rPr>
              <w:t>0.297</w:t>
            </w:r>
          </w:p>
        </w:tc>
        <w:tc>
          <w:tcPr>
            <w:tcW w:w="2238" w:type="dxa"/>
            <w:tcBorders>
              <w:top w:val="nil"/>
              <w:left w:val="nil"/>
              <w:bottom w:val="nil"/>
              <w:right w:val="nil"/>
            </w:tcBorders>
            <w:shd w:val="clear" w:color="auto" w:fill="auto"/>
            <w:vAlign w:val="bottom"/>
          </w:tcPr>
          <w:p w14:paraId="79C38051" w14:textId="77777777" w:rsidR="00985FAC" w:rsidRDefault="00985FAC" w:rsidP="008141F2">
            <w:pPr>
              <w:jc w:val="center"/>
              <w:rPr>
                <w:rFonts w:ascii="Calibri" w:eastAsia="Calibri" w:hAnsi="Calibri" w:cs="Calibri"/>
              </w:rPr>
            </w:pPr>
            <w:r>
              <w:rPr>
                <w:rFonts w:ascii="Calibri" w:eastAsia="Calibri" w:hAnsi="Calibri" w:cs="Calibri"/>
              </w:rPr>
              <w:t>0.326</w:t>
            </w:r>
          </w:p>
        </w:tc>
        <w:tc>
          <w:tcPr>
            <w:tcW w:w="2532" w:type="dxa"/>
            <w:tcBorders>
              <w:top w:val="nil"/>
              <w:left w:val="nil"/>
              <w:bottom w:val="nil"/>
              <w:right w:val="nil"/>
            </w:tcBorders>
            <w:shd w:val="clear" w:color="auto" w:fill="auto"/>
            <w:vAlign w:val="bottom"/>
          </w:tcPr>
          <w:p w14:paraId="5C1E8E46" w14:textId="77777777" w:rsidR="00985FAC" w:rsidRDefault="00985FAC" w:rsidP="008141F2">
            <w:pPr>
              <w:jc w:val="center"/>
              <w:rPr>
                <w:rFonts w:ascii="Calibri" w:eastAsia="Calibri" w:hAnsi="Calibri" w:cs="Calibri"/>
              </w:rPr>
            </w:pPr>
            <w:r>
              <w:rPr>
                <w:rFonts w:ascii="Calibri" w:eastAsia="Calibri" w:hAnsi="Calibri" w:cs="Calibri"/>
              </w:rPr>
              <w:t>0.329</w:t>
            </w:r>
          </w:p>
        </w:tc>
      </w:tr>
      <w:tr w:rsidR="00985FAC" w14:paraId="691B6CC2" w14:textId="77777777" w:rsidTr="008141F2">
        <w:trPr>
          <w:trHeight w:val="300"/>
          <w:jc w:val="center"/>
        </w:trPr>
        <w:tc>
          <w:tcPr>
            <w:tcW w:w="1620" w:type="dxa"/>
            <w:tcBorders>
              <w:top w:val="nil"/>
              <w:left w:val="nil"/>
              <w:bottom w:val="nil"/>
              <w:right w:val="nil"/>
            </w:tcBorders>
            <w:shd w:val="clear" w:color="auto" w:fill="auto"/>
            <w:vAlign w:val="bottom"/>
          </w:tcPr>
          <w:p w14:paraId="3E71C030" w14:textId="77777777" w:rsidR="00985FAC" w:rsidRDefault="00985FAC" w:rsidP="008141F2">
            <w:pPr>
              <w:jc w:val="center"/>
              <w:rPr>
                <w:rFonts w:ascii="Calibri" w:eastAsia="Calibri" w:hAnsi="Calibri" w:cs="Calibri"/>
              </w:rPr>
            </w:pPr>
            <w:r>
              <w:rPr>
                <w:rFonts w:ascii="Calibri" w:eastAsia="Calibri" w:hAnsi="Calibri" w:cs="Calibri"/>
              </w:rPr>
              <w:t>36</w:t>
            </w:r>
          </w:p>
        </w:tc>
        <w:tc>
          <w:tcPr>
            <w:tcW w:w="1530" w:type="dxa"/>
            <w:tcBorders>
              <w:top w:val="nil"/>
              <w:left w:val="nil"/>
              <w:bottom w:val="nil"/>
              <w:right w:val="nil"/>
            </w:tcBorders>
            <w:shd w:val="clear" w:color="auto" w:fill="auto"/>
            <w:vAlign w:val="bottom"/>
          </w:tcPr>
          <w:p w14:paraId="2CE6BFBD" w14:textId="77777777" w:rsidR="00985FAC" w:rsidRDefault="00985FAC" w:rsidP="008141F2">
            <w:pPr>
              <w:jc w:val="center"/>
              <w:rPr>
                <w:rFonts w:ascii="Calibri" w:eastAsia="Calibri" w:hAnsi="Calibri" w:cs="Calibri"/>
              </w:rPr>
            </w:pPr>
            <w:r>
              <w:rPr>
                <w:rFonts w:ascii="Calibri" w:eastAsia="Calibri" w:hAnsi="Calibri" w:cs="Calibri"/>
              </w:rPr>
              <w:t>0.364</w:t>
            </w:r>
          </w:p>
        </w:tc>
        <w:tc>
          <w:tcPr>
            <w:tcW w:w="2238" w:type="dxa"/>
            <w:tcBorders>
              <w:top w:val="nil"/>
              <w:left w:val="nil"/>
              <w:bottom w:val="nil"/>
              <w:right w:val="nil"/>
            </w:tcBorders>
            <w:shd w:val="clear" w:color="auto" w:fill="auto"/>
            <w:vAlign w:val="bottom"/>
          </w:tcPr>
          <w:p w14:paraId="2B568862" w14:textId="77777777" w:rsidR="00985FAC" w:rsidRDefault="00985FAC" w:rsidP="008141F2">
            <w:pPr>
              <w:jc w:val="center"/>
              <w:rPr>
                <w:rFonts w:ascii="Calibri" w:eastAsia="Calibri" w:hAnsi="Calibri" w:cs="Calibri"/>
              </w:rPr>
            </w:pPr>
            <w:r>
              <w:rPr>
                <w:rFonts w:ascii="Calibri" w:eastAsia="Calibri" w:hAnsi="Calibri" w:cs="Calibri"/>
              </w:rPr>
              <w:t>0.446</w:t>
            </w:r>
          </w:p>
        </w:tc>
        <w:tc>
          <w:tcPr>
            <w:tcW w:w="2532" w:type="dxa"/>
            <w:tcBorders>
              <w:top w:val="nil"/>
              <w:left w:val="nil"/>
              <w:bottom w:val="nil"/>
              <w:right w:val="nil"/>
            </w:tcBorders>
            <w:shd w:val="clear" w:color="auto" w:fill="auto"/>
            <w:vAlign w:val="bottom"/>
          </w:tcPr>
          <w:p w14:paraId="31BADF76" w14:textId="77777777" w:rsidR="00985FAC" w:rsidRDefault="00985FAC" w:rsidP="008141F2">
            <w:pPr>
              <w:jc w:val="center"/>
              <w:rPr>
                <w:rFonts w:ascii="Calibri" w:eastAsia="Calibri" w:hAnsi="Calibri" w:cs="Calibri"/>
              </w:rPr>
            </w:pPr>
            <w:r>
              <w:rPr>
                <w:rFonts w:ascii="Calibri" w:eastAsia="Calibri" w:hAnsi="Calibri" w:cs="Calibri"/>
              </w:rPr>
              <w:t>0.445</w:t>
            </w:r>
          </w:p>
        </w:tc>
      </w:tr>
      <w:tr w:rsidR="00985FAC" w14:paraId="03814737" w14:textId="77777777" w:rsidTr="008141F2">
        <w:trPr>
          <w:trHeight w:val="300"/>
          <w:jc w:val="center"/>
        </w:trPr>
        <w:tc>
          <w:tcPr>
            <w:tcW w:w="1620" w:type="dxa"/>
            <w:tcBorders>
              <w:top w:val="nil"/>
              <w:left w:val="nil"/>
              <w:bottom w:val="nil"/>
              <w:right w:val="nil"/>
            </w:tcBorders>
            <w:shd w:val="clear" w:color="auto" w:fill="auto"/>
            <w:vAlign w:val="bottom"/>
          </w:tcPr>
          <w:p w14:paraId="5C2845D6" w14:textId="77777777" w:rsidR="00985FAC" w:rsidRDefault="00985FAC" w:rsidP="008141F2">
            <w:pPr>
              <w:jc w:val="center"/>
              <w:rPr>
                <w:rFonts w:ascii="Calibri" w:eastAsia="Calibri" w:hAnsi="Calibri" w:cs="Calibri"/>
              </w:rPr>
            </w:pPr>
            <w:r>
              <w:rPr>
                <w:rFonts w:ascii="Calibri" w:eastAsia="Calibri" w:hAnsi="Calibri" w:cs="Calibri"/>
              </w:rPr>
              <w:t>37</w:t>
            </w:r>
          </w:p>
        </w:tc>
        <w:tc>
          <w:tcPr>
            <w:tcW w:w="1530" w:type="dxa"/>
            <w:tcBorders>
              <w:top w:val="nil"/>
              <w:left w:val="nil"/>
              <w:bottom w:val="nil"/>
              <w:right w:val="nil"/>
            </w:tcBorders>
            <w:shd w:val="clear" w:color="auto" w:fill="auto"/>
            <w:vAlign w:val="bottom"/>
          </w:tcPr>
          <w:p w14:paraId="100C0A25" w14:textId="77777777" w:rsidR="00985FAC" w:rsidRDefault="00985FAC" w:rsidP="008141F2">
            <w:pPr>
              <w:jc w:val="center"/>
              <w:rPr>
                <w:rFonts w:ascii="Calibri" w:eastAsia="Calibri" w:hAnsi="Calibri" w:cs="Calibri"/>
              </w:rPr>
            </w:pPr>
            <w:r>
              <w:rPr>
                <w:rFonts w:ascii="Calibri" w:eastAsia="Calibri" w:hAnsi="Calibri" w:cs="Calibri"/>
              </w:rPr>
              <w:t>0.302</w:t>
            </w:r>
          </w:p>
        </w:tc>
        <w:tc>
          <w:tcPr>
            <w:tcW w:w="2238" w:type="dxa"/>
            <w:tcBorders>
              <w:top w:val="nil"/>
              <w:left w:val="nil"/>
              <w:bottom w:val="nil"/>
              <w:right w:val="nil"/>
            </w:tcBorders>
            <w:shd w:val="clear" w:color="auto" w:fill="auto"/>
            <w:vAlign w:val="bottom"/>
          </w:tcPr>
          <w:p w14:paraId="38EDFA65" w14:textId="77777777" w:rsidR="00985FAC" w:rsidRDefault="00985FAC" w:rsidP="008141F2">
            <w:pPr>
              <w:jc w:val="center"/>
              <w:rPr>
                <w:rFonts w:ascii="Calibri" w:eastAsia="Calibri" w:hAnsi="Calibri" w:cs="Calibri"/>
              </w:rPr>
            </w:pPr>
            <w:r>
              <w:rPr>
                <w:rFonts w:ascii="Calibri" w:eastAsia="Calibri" w:hAnsi="Calibri" w:cs="Calibri"/>
              </w:rPr>
              <w:t>0.388</w:t>
            </w:r>
          </w:p>
        </w:tc>
        <w:tc>
          <w:tcPr>
            <w:tcW w:w="2532" w:type="dxa"/>
            <w:tcBorders>
              <w:top w:val="nil"/>
              <w:left w:val="nil"/>
              <w:bottom w:val="nil"/>
              <w:right w:val="nil"/>
            </w:tcBorders>
            <w:shd w:val="clear" w:color="auto" w:fill="auto"/>
            <w:vAlign w:val="bottom"/>
          </w:tcPr>
          <w:p w14:paraId="1CABBD13" w14:textId="77777777" w:rsidR="00985FAC" w:rsidRDefault="00985FAC" w:rsidP="008141F2">
            <w:pPr>
              <w:jc w:val="center"/>
              <w:rPr>
                <w:rFonts w:ascii="Calibri" w:eastAsia="Calibri" w:hAnsi="Calibri" w:cs="Calibri"/>
              </w:rPr>
            </w:pPr>
            <w:r>
              <w:rPr>
                <w:rFonts w:ascii="Calibri" w:eastAsia="Calibri" w:hAnsi="Calibri" w:cs="Calibri"/>
              </w:rPr>
              <w:t>0.404</w:t>
            </w:r>
          </w:p>
        </w:tc>
      </w:tr>
      <w:tr w:rsidR="00985FAC" w14:paraId="372DCF9D" w14:textId="77777777" w:rsidTr="008141F2">
        <w:trPr>
          <w:trHeight w:val="300"/>
          <w:jc w:val="center"/>
        </w:trPr>
        <w:tc>
          <w:tcPr>
            <w:tcW w:w="1620" w:type="dxa"/>
            <w:tcBorders>
              <w:top w:val="nil"/>
              <w:left w:val="nil"/>
              <w:bottom w:val="nil"/>
              <w:right w:val="nil"/>
            </w:tcBorders>
            <w:shd w:val="clear" w:color="auto" w:fill="auto"/>
            <w:vAlign w:val="bottom"/>
          </w:tcPr>
          <w:p w14:paraId="1195BD22" w14:textId="77777777" w:rsidR="00985FAC" w:rsidRDefault="00985FAC" w:rsidP="008141F2">
            <w:pPr>
              <w:jc w:val="center"/>
              <w:rPr>
                <w:rFonts w:ascii="Calibri" w:eastAsia="Calibri" w:hAnsi="Calibri" w:cs="Calibri"/>
              </w:rPr>
            </w:pPr>
            <w:r>
              <w:rPr>
                <w:rFonts w:ascii="Calibri" w:eastAsia="Calibri" w:hAnsi="Calibri" w:cs="Calibri"/>
              </w:rPr>
              <w:t>38</w:t>
            </w:r>
          </w:p>
        </w:tc>
        <w:tc>
          <w:tcPr>
            <w:tcW w:w="1530" w:type="dxa"/>
            <w:tcBorders>
              <w:top w:val="nil"/>
              <w:left w:val="nil"/>
              <w:bottom w:val="nil"/>
              <w:right w:val="nil"/>
            </w:tcBorders>
            <w:shd w:val="clear" w:color="auto" w:fill="auto"/>
            <w:vAlign w:val="bottom"/>
          </w:tcPr>
          <w:p w14:paraId="38858503" w14:textId="77777777" w:rsidR="00985FAC" w:rsidRDefault="00985FAC" w:rsidP="008141F2">
            <w:pPr>
              <w:jc w:val="center"/>
              <w:rPr>
                <w:rFonts w:ascii="Calibri" w:eastAsia="Calibri" w:hAnsi="Calibri" w:cs="Calibri"/>
              </w:rPr>
            </w:pPr>
            <w:r>
              <w:rPr>
                <w:rFonts w:ascii="Calibri" w:eastAsia="Calibri" w:hAnsi="Calibri" w:cs="Calibri"/>
              </w:rPr>
              <w:t>0.344</w:t>
            </w:r>
          </w:p>
        </w:tc>
        <w:tc>
          <w:tcPr>
            <w:tcW w:w="2238" w:type="dxa"/>
            <w:tcBorders>
              <w:top w:val="nil"/>
              <w:left w:val="nil"/>
              <w:bottom w:val="nil"/>
              <w:right w:val="nil"/>
            </w:tcBorders>
            <w:shd w:val="clear" w:color="auto" w:fill="auto"/>
            <w:vAlign w:val="bottom"/>
          </w:tcPr>
          <w:p w14:paraId="754C9EC0" w14:textId="77777777" w:rsidR="00985FAC" w:rsidRDefault="00985FAC" w:rsidP="008141F2">
            <w:pPr>
              <w:jc w:val="center"/>
              <w:rPr>
                <w:rFonts w:ascii="Calibri" w:eastAsia="Calibri" w:hAnsi="Calibri" w:cs="Calibri"/>
              </w:rPr>
            </w:pPr>
            <w:r>
              <w:rPr>
                <w:rFonts w:ascii="Calibri" w:eastAsia="Calibri" w:hAnsi="Calibri" w:cs="Calibri"/>
              </w:rPr>
              <w:t>0.395</w:t>
            </w:r>
          </w:p>
        </w:tc>
        <w:tc>
          <w:tcPr>
            <w:tcW w:w="2532" w:type="dxa"/>
            <w:tcBorders>
              <w:top w:val="nil"/>
              <w:left w:val="nil"/>
              <w:bottom w:val="nil"/>
              <w:right w:val="nil"/>
            </w:tcBorders>
            <w:shd w:val="clear" w:color="auto" w:fill="auto"/>
            <w:vAlign w:val="bottom"/>
          </w:tcPr>
          <w:p w14:paraId="177323B7" w14:textId="77777777" w:rsidR="00985FAC" w:rsidRDefault="00985FAC" w:rsidP="008141F2">
            <w:pPr>
              <w:jc w:val="center"/>
              <w:rPr>
                <w:rFonts w:ascii="Calibri" w:eastAsia="Calibri" w:hAnsi="Calibri" w:cs="Calibri"/>
              </w:rPr>
            </w:pPr>
            <w:r>
              <w:rPr>
                <w:rFonts w:ascii="Calibri" w:eastAsia="Calibri" w:hAnsi="Calibri" w:cs="Calibri"/>
              </w:rPr>
              <w:t>0.397</w:t>
            </w:r>
          </w:p>
        </w:tc>
      </w:tr>
      <w:tr w:rsidR="00985FAC" w14:paraId="23518EC1" w14:textId="77777777" w:rsidTr="008141F2">
        <w:trPr>
          <w:trHeight w:val="300"/>
          <w:jc w:val="center"/>
        </w:trPr>
        <w:tc>
          <w:tcPr>
            <w:tcW w:w="1620" w:type="dxa"/>
            <w:tcBorders>
              <w:top w:val="nil"/>
              <w:left w:val="nil"/>
              <w:bottom w:val="nil"/>
              <w:right w:val="nil"/>
            </w:tcBorders>
            <w:shd w:val="clear" w:color="auto" w:fill="auto"/>
            <w:vAlign w:val="bottom"/>
          </w:tcPr>
          <w:p w14:paraId="73829359" w14:textId="77777777" w:rsidR="00985FAC" w:rsidRDefault="00985FAC" w:rsidP="008141F2">
            <w:pPr>
              <w:jc w:val="center"/>
              <w:rPr>
                <w:rFonts w:ascii="Calibri" w:eastAsia="Calibri" w:hAnsi="Calibri" w:cs="Calibri"/>
              </w:rPr>
            </w:pPr>
            <w:r>
              <w:rPr>
                <w:rFonts w:ascii="Calibri" w:eastAsia="Calibri" w:hAnsi="Calibri" w:cs="Calibri"/>
              </w:rPr>
              <w:t>39</w:t>
            </w:r>
          </w:p>
        </w:tc>
        <w:tc>
          <w:tcPr>
            <w:tcW w:w="1530" w:type="dxa"/>
            <w:tcBorders>
              <w:top w:val="nil"/>
              <w:left w:val="nil"/>
              <w:bottom w:val="nil"/>
              <w:right w:val="nil"/>
            </w:tcBorders>
            <w:shd w:val="clear" w:color="auto" w:fill="auto"/>
            <w:vAlign w:val="bottom"/>
          </w:tcPr>
          <w:p w14:paraId="735BAAF3" w14:textId="77777777" w:rsidR="00985FAC" w:rsidRDefault="00985FAC" w:rsidP="008141F2">
            <w:pPr>
              <w:jc w:val="center"/>
              <w:rPr>
                <w:rFonts w:ascii="Calibri" w:eastAsia="Calibri" w:hAnsi="Calibri" w:cs="Calibri"/>
              </w:rPr>
            </w:pPr>
            <w:r>
              <w:rPr>
                <w:rFonts w:ascii="Calibri" w:eastAsia="Calibri" w:hAnsi="Calibri" w:cs="Calibri"/>
              </w:rPr>
              <w:t>0.225</w:t>
            </w:r>
          </w:p>
        </w:tc>
        <w:tc>
          <w:tcPr>
            <w:tcW w:w="2238" w:type="dxa"/>
            <w:tcBorders>
              <w:top w:val="nil"/>
              <w:left w:val="nil"/>
              <w:bottom w:val="nil"/>
              <w:right w:val="nil"/>
            </w:tcBorders>
            <w:shd w:val="clear" w:color="auto" w:fill="auto"/>
            <w:vAlign w:val="bottom"/>
          </w:tcPr>
          <w:p w14:paraId="1EBA2297" w14:textId="77777777" w:rsidR="00985FAC" w:rsidRDefault="00985FAC" w:rsidP="008141F2">
            <w:pPr>
              <w:jc w:val="center"/>
              <w:rPr>
                <w:rFonts w:ascii="Calibri" w:eastAsia="Calibri" w:hAnsi="Calibri" w:cs="Calibri"/>
              </w:rPr>
            </w:pPr>
            <w:r>
              <w:rPr>
                <w:rFonts w:ascii="Calibri" w:eastAsia="Calibri" w:hAnsi="Calibri" w:cs="Calibri"/>
              </w:rPr>
              <w:t>0.323</w:t>
            </w:r>
          </w:p>
        </w:tc>
        <w:tc>
          <w:tcPr>
            <w:tcW w:w="2532" w:type="dxa"/>
            <w:tcBorders>
              <w:top w:val="nil"/>
              <w:left w:val="nil"/>
              <w:bottom w:val="nil"/>
              <w:right w:val="nil"/>
            </w:tcBorders>
            <w:shd w:val="clear" w:color="auto" w:fill="auto"/>
            <w:vAlign w:val="bottom"/>
          </w:tcPr>
          <w:p w14:paraId="65CDCD80" w14:textId="77777777" w:rsidR="00985FAC" w:rsidRDefault="00985FAC" w:rsidP="008141F2">
            <w:pPr>
              <w:jc w:val="center"/>
              <w:rPr>
                <w:rFonts w:ascii="Calibri" w:eastAsia="Calibri" w:hAnsi="Calibri" w:cs="Calibri"/>
              </w:rPr>
            </w:pPr>
            <w:r>
              <w:rPr>
                <w:rFonts w:ascii="Calibri" w:eastAsia="Calibri" w:hAnsi="Calibri" w:cs="Calibri"/>
              </w:rPr>
              <w:t>0.332</w:t>
            </w:r>
          </w:p>
        </w:tc>
      </w:tr>
      <w:tr w:rsidR="00985FAC" w14:paraId="0A6F5ECE" w14:textId="77777777" w:rsidTr="008141F2">
        <w:trPr>
          <w:trHeight w:val="300"/>
          <w:jc w:val="center"/>
        </w:trPr>
        <w:tc>
          <w:tcPr>
            <w:tcW w:w="1620" w:type="dxa"/>
            <w:tcBorders>
              <w:top w:val="nil"/>
              <w:left w:val="nil"/>
              <w:bottom w:val="single" w:sz="4" w:space="0" w:color="000000"/>
              <w:right w:val="nil"/>
            </w:tcBorders>
            <w:shd w:val="clear" w:color="auto" w:fill="auto"/>
            <w:vAlign w:val="bottom"/>
          </w:tcPr>
          <w:p w14:paraId="0ADE4122" w14:textId="77777777" w:rsidR="00985FAC" w:rsidRDefault="00985FAC" w:rsidP="008141F2">
            <w:pPr>
              <w:jc w:val="center"/>
              <w:rPr>
                <w:rFonts w:ascii="Calibri" w:eastAsia="Calibri" w:hAnsi="Calibri" w:cs="Calibri"/>
              </w:rPr>
            </w:pPr>
            <w:r>
              <w:rPr>
                <w:rFonts w:ascii="Calibri" w:eastAsia="Calibri" w:hAnsi="Calibri" w:cs="Calibri"/>
              </w:rPr>
              <w:t>40</w:t>
            </w:r>
          </w:p>
        </w:tc>
        <w:tc>
          <w:tcPr>
            <w:tcW w:w="1530" w:type="dxa"/>
            <w:tcBorders>
              <w:top w:val="nil"/>
              <w:left w:val="nil"/>
              <w:bottom w:val="single" w:sz="4" w:space="0" w:color="000000"/>
              <w:right w:val="nil"/>
            </w:tcBorders>
            <w:shd w:val="clear" w:color="auto" w:fill="auto"/>
            <w:vAlign w:val="bottom"/>
          </w:tcPr>
          <w:p w14:paraId="0B755F9D" w14:textId="77777777" w:rsidR="00985FAC" w:rsidRDefault="00985FAC" w:rsidP="008141F2">
            <w:pPr>
              <w:jc w:val="center"/>
              <w:rPr>
                <w:rFonts w:ascii="Calibri" w:eastAsia="Calibri" w:hAnsi="Calibri" w:cs="Calibri"/>
              </w:rPr>
            </w:pPr>
            <w:r>
              <w:rPr>
                <w:rFonts w:ascii="Calibri" w:eastAsia="Calibri" w:hAnsi="Calibri" w:cs="Calibri"/>
              </w:rPr>
              <w:t>0.163</w:t>
            </w:r>
          </w:p>
        </w:tc>
        <w:tc>
          <w:tcPr>
            <w:tcW w:w="2238" w:type="dxa"/>
            <w:tcBorders>
              <w:top w:val="nil"/>
              <w:left w:val="nil"/>
              <w:bottom w:val="single" w:sz="4" w:space="0" w:color="000000"/>
              <w:right w:val="nil"/>
            </w:tcBorders>
            <w:shd w:val="clear" w:color="auto" w:fill="auto"/>
            <w:vAlign w:val="bottom"/>
          </w:tcPr>
          <w:p w14:paraId="30E1CE99" w14:textId="77777777" w:rsidR="00985FAC" w:rsidRDefault="00985FAC" w:rsidP="008141F2">
            <w:pPr>
              <w:jc w:val="center"/>
              <w:rPr>
                <w:rFonts w:ascii="Calibri" w:eastAsia="Calibri" w:hAnsi="Calibri" w:cs="Calibri"/>
              </w:rPr>
            </w:pPr>
            <w:r>
              <w:rPr>
                <w:rFonts w:ascii="Calibri" w:eastAsia="Calibri" w:hAnsi="Calibri" w:cs="Calibri"/>
              </w:rPr>
              <w:t>0.473</w:t>
            </w:r>
          </w:p>
        </w:tc>
        <w:tc>
          <w:tcPr>
            <w:tcW w:w="2532" w:type="dxa"/>
            <w:tcBorders>
              <w:top w:val="nil"/>
              <w:left w:val="nil"/>
              <w:bottom w:val="single" w:sz="4" w:space="0" w:color="000000"/>
              <w:right w:val="nil"/>
            </w:tcBorders>
            <w:shd w:val="clear" w:color="auto" w:fill="auto"/>
            <w:vAlign w:val="bottom"/>
          </w:tcPr>
          <w:p w14:paraId="61BF7EC6" w14:textId="77777777" w:rsidR="00985FAC" w:rsidRDefault="00985FAC" w:rsidP="008141F2">
            <w:pPr>
              <w:jc w:val="center"/>
              <w:rPr>
                <w:rFonts w:ascii="Calibri" w:eastAsia="Calibri" w:hAnsi="Calibri" w:cs="Calibri"/>
              </w:rPr>
            </w:pPr>
            <w:r>
              <w:rPr>
                <w:rFonts w:ascii="Calibri" w:eastAsia="Calibri" w:hAnsi="Calibri" w:cs="Calibri"/>
              </w:rPr>
              <w:t>0.469</w:t>
            </w:r>
          </w:p>
        </w:tc>
      </w:tr>
    </w:tbl>
    <w:p w14:paraId="46CE9543" w14:textId="77777777" w:rsidR="00985FAC" w:rsidRDefault="00985FAC">
      <w:pPr>
        <w:pBdr>
          <w:top w:val="nil"/>
          <w:left w:val="nil"/>
          <w:bottom w:val="nil"/>
          <w:right w:val="nil"/>
          <w:between w:val="nil"/>
        </w:pBdr>
        <w:spacing w:line="480" w:lineRule="auto"/>
        <w:ind w:firstLine="340"/>
        <w:rPr>
          <w:color w:val="000000"/>
        </w:rPr>
      </w:pPr>
    </w:p>
    <w:p w14:paraId="2B02A554" w14:textId="77777777" w:rsidR="00C54DD2" w:rsidRDefault="00C54DD2" w:rsidP="00C54DD2">
      <w:pPr>
        <w:jc w:val="center"/>
        <w:rPr>
          <w:i/>
        </w:rPr>
      </w:pPr>
      <w:r>
        <w:rPr>
          <w:i/>
        </w:rPr>
        <w:lastRenderedPageBreak/>
        <w:t>Table 7. SL and heuristic item partition for a two-factor model</w:t>
      </w:r>
    </w:p>
    <w:p w14:paraId="1F8D5631" w14:textId="77777777" w:rsidR="00C54DD2" w:rsidRDefault="00C54DD2" w:rsidP="00C54DD2">
      <w:pPr>
        <w:jc w:val="center"/>
        <w:rPr>
          <w:i/>
        </w:rPr>
      </w:pPr>
    </w:p>
    <w:tbl>
      <w:tblPr>
        <w:tblStyle w:val="a5"/>
        <w:tblW w:w="8100" w:type="dxa"/>
        <w:tblLayout w:type="fixed"/>
        <w:tblLook w:val="0400" w:firstRow="0" w:lastRow="0" w:firstColumn="0" w:lastColumn="0" w:noHBand="0" w:noVBand="1"/>
      </w:tblPr>
      <w:tblGrid>
        <w:gridCol w:w="1260"/>
        <w:gridCol w:w="2070"/>
        <w:gridCol w:w="1035"/>
        <w:gridCol w:w="1575"/>
        <w:gridCol w:w="2160"/>
      </w:tblGrid>
      <w:tr w:rsidR="00C54DD2" w14:paraId="14F462DD" w14:textId="77777777" w:rsidTr="008141F2">
        <w:trPr>
          <w:trHeight w:val="300"/>
        </w:trPr>
        <w:tc>
          <w:tcPr>
            <w:tcW w:w="1260" w:type="dxa"/>
            <w:tcBorders>
              <w:left w:val="nil"/>
              <w:bottom w:val="single" w:sz="4" w:space="0" w:color="000000"/>
              <w:right w:val="nil"/>
            </w:tcBorders>
            <w:shd w:val="clear" w:color="auto" w:fill="auto"/>
            <w:vAlign w:val="bottom"/>
          </w:tcPr>
          <w:p w14:paraId="0C306501" w14:textId="77777777" w:rsidR="00C54DD2" w:rsidRDefault="00C54DD2" w:rsidP="008141F2">
            <w:pPr>
              <w:jc w:val="center"/>
              <w:rPr>
                <w:rFonts w:ascii="Calibri" w:eastAsia="Calibri" w:hAnsi="Calibri" w:cs="Calibri"/>
              </w:rPr>
            </w:pPr>
            <w:r>
              <w:rPr>
                <w:rFonts w:ascii="Calibri" w:eastAsia="Calibri" w:hAnsi="Calibri" w:cs="Calibri"/>
              </w:rPr>
              <w:t>Factor 1</w:t>
            </w:r>
          </w:p>
        </w:tc>
        <w:tc>
          <w:tcPr>
            <w:tcW w:w="2070" w:type="dxa"/>
            <w:tcBorders>
              <w:left w:val="nil"/>
              <w:bottom w:val="single" w:sz="4" w:space="0" w:color="000000"/>
              <w:right w:val="nil"/>
            </w:tcBorders>
            <w:shd w:val="clear" w:color="auto" w:fill="auto"/>
            <w:vAlign w:val="bottom"/>
          </w:tcPr>
          <w:p w14:paraId="379F8A9D" w14:textId="77777777" w:rsidR="00C54DD2" w:rsidRDefault="00C54DD2" w:rsidP="008141F2">
            <w:pPr>
              <w:jc w:val="center"/>
              <w:rPr>
                <w:rFonts w:ascii="Calibri" w:eastAsia="Calibri" w:hAnsi="Calibri" w:cs="Calibri"/>
              </w:rPr>
            </w:pPr>
            <w:r>
              <w:rPr>
                <w:rFonts w:ascii="Calibri" w:eastAsia="Calibri" w:hAnsi="Calibri" w:cs="Calibri"/>
              </w:rPr>
              <w:t>Descriptive Statistics</w:t>
            </w:r>
          </w:p>
        </w:tc>
        <w:tc>
          <w:tcPr>
            <w:tcW w:w="1035" w:type="dxa"/>
            <w:tcBorders>
              <w:left w:val="nil"/>
              <w:bottom w:val="single" w:sz="4" w:space="0" w:color="000000"/>
              <w:right w:val="nil"/>
            </w:tcBorders>
            <w:shd w:val="clear" w:color="auto" w:fill="auto"/>
            <w:vAlign w:val="bottom"/>
          </w:tcPr>
          <w:p w14:paraId="7E958C29" w14:textId="77777777" w:rsidR="00C54DD2" w:rsidRDefault="00C54DD2" w:rsidP="008141F2">
            <w:pPr>
              <w:jc w:val="center"/>
              <w:rPr>
                <w:rFonts w:ascii="Calibri" w:eastAsia="Calibri" w:hAnsi="Calibri" w:cs="Calibri"/>
              </w:rPr>
            </w:pPr>
          </w:p>
        </w:tc>
        <w:tc>
          <w:tcPr>
            <w:tcW w:w="1575" w:type="dxa"/>
            <w:tcBorders>
              <w:left w:val="nil"/>
              <w:bottom w:val="single" w:sz="4" w:space="0" w:color="000000"/>
              <w:right w:val="nil"/>
            </w:tcBorders>
            <w:shd w:val="clear" w:color="auto" w:fill="auto"/>
            <w:vAlign w:val="bottom"/>
          </w:tcPr>
          <w:p w14:paraId="4A2F0D03" w14:textId="77777777" w:rsidR="00C54DD2" w:rsidRDefault="00C54DD2" w:rsidP="008141F2">
            <w:pPr>
              <w:jc w:val="center"/>
              <w:rPr>
                <w:rFonts w:ascii="Calibri" w:eastAsia="Calibri" w:hAnsi="Calibri" w:cs="Calibri"/>
              </w:rPr>
            </w:pPr>
            <w:r>
              <w:rPr>
                <w:rFonts w:ascii="Calibri" w:eastAsia="Calibri" w:hAnsi="Calibri" w:cs="Calibri"/>
              </w:rPr>
              <w:t>Factor 2</w:t>
            </w:r>
          </w:p>
        </w:tc>
        <w:tc>
          <w:tcPr>
            <w:tcW w:w="2160" w:type="dxa"/>
            <w:tcBorders>
              <w:left w:val="nil"/>
              <w:bottom w:val="single" w:sz="4" w:space="0" w:color="000000"/>
              <w:right w:val="nil"/>
            </w:tcBorders>
            <w:shd w:val="clear" w:color="auto" w:fill="auto"/>
            <w:vAlign w:val="bottom"/>
          </w:tcPr>
          <w:p w14:paraId="0A12F958" w14:textId="77777777" w:rsidR="00C54DD2" w:rsidRDefault="00C54DD2" w:rsidP="008141F2">
            <w:pPr>
              <w:jc w:val="center"/>
              <w:rPr>
                <w:rFonts w:ascii="Calibri" w:eastAsia="Calibri" w:hAnsi="Calibri" w:cs="Calibri"/>
              </w:rPr>
            </w:pPr>
            <w:r>
              <w:rPr>
                <w:rFonts w:ascii="Calibri" w:eastAsia="Calibri" w:hAnsi="Calibri" w:cs="Calibri"/>
              </w:rPr>
              <w:t>Inferential Statistics</w:t>
            </w:r>
          </w:p>
        </w:tc>
      </w:tr>
      <w:tr w:rsidR="00C54DD2" w14:paraId="5F0AA0D9" w14:textId="77777777" w:rsidTr="008141F2">
        <w:trPr>
          <w:trHeight w:val="300"/>
        </w:trPr>
        <w:tc>
          <w:tcPr>
            <w:tcW w:w="1260" w:type="dxa"/>
            <w:tcBorders>
              <w:top w:val="single" w:sz="4" w:space="0" w:color="000000"/>
              <w:left w:val="nil"/>
              <w:bottom w:val="nil"/>
              <w:right w:val="nil"/>
            </w:tcBorders>
            <w:shd w:val="clear" w:color="auto" w:fill="auto"/>
            <w:vAlign w:val="bottom"/>
          </w:tcPr>
          <w:p w14:paraId="7E816D1B" w14:textId="77777777" w:rsidR="00C54DD2" w:rsidRDefault="00C54DD2" w:rsidP="008141F2">
            <w:pPr>
              <w:jc w:val="center"/>
              <w:rPr>
                <w:rFonts w:ascii="Calibri" w:eastAsia="Calibri" w:hAnsi="Calibri" w:cs="Calibri"/>
              </w:rPr>
            </w:pPr>
            <w:r>
              <w:rPr>
                <w:rFonts w:ascii="Calibri" w:eastAsia="Calibri" w:hAnsi="Calibri" w:cs="Calibri"/>
              </w:rPr>
              <w:t>{1, 2}</w:t>
            </w:r>
          </w:p>
        </w:tc>
        <w:tc>
          <w:tcPr>
            <w:tcW w:w="2070" w:type="dxa"/>
            <w:tcBorders>
              <w:top w:val="single" w:sz="4" w:space="0" w:color="000000"/>
              <w:left w:val="nil"/>
              <w:bottom w:val="nil"/>
              <w:right w:val="nil"/>
            </w:tcBorders>
            <w:shd w:val="clear" w:color="auto" w:fill="auto"/>
            <w:vAlign w:val="bottom"/>
          </w:tcPr>
          <w:p w14:paraId="4643A72F" w14:textId="77777777" w:rsidR="00C54DD2" w:rsidRDefault="00C54DD2" w:rsidP="008141F2">
            <w:pPr>
              <w:jc w:val="center"/>
              <w:rPr>
                <w:rFonts w:ascii="Calibri" w:eastAsia="Calibri" w:hAnsi="Calibri" w:cs="Calibri"/>
              </w:rPr>
            </w:pPr>
            <w:r>
              <w:rPr>
                <w:rFonts w:ascii="Calibri" w:eastAsia="Calibri" w:hAnsi="Calibri" w:cs="Calibri"/>
              </w:rPr>
              <w:t>{1, 2}</w:t>
            </w:r>
          </w:p>
        </w:tc>
        <w:tc>
          <w:tcPr>
            <w:tcW w:w="1035" w:type="dxa"/>
            <w:tcBorders>
              <w:top w:val="single" w:sz="4" w:space="0" w:color="000000"/>
              <w:left w:val="nil"/>
              <w:bottom w:val="nil"/>
              <w:right w:val="nil"/>
            </w:tcBorders>
            <w:shd w:val="clear" w:color="auto" w:fill="auto"/>
            <w:vAlign w:val="bottom"/>
          </w:tcPr>
          <w:p w14:paraId="2C719203" w14:textId="77777777" w:rsidR="00C54DD2" w:rsidRDefault="00C54DD2" w:rsidP="008141F2">
            <w:pPr>
              <w:jc w:val="center"/>
              <w:rPr>
                <w:rFonts w:ascii="Calibri" w:eastAsia="Calibri" w:hAnsi="Calibri" w:cs="Calibri"/>
              </w:rPr>
            </w:pPr>
          </w:p>
        </w:tc>
        <w:tc>
          <w:tcPr>
            <w:tcW w:w="1575" w:type="dxa"/>
            <w:tcBorders>
              <w:top w:val="single" w:sz="4" w:space="0" w:color="000000"/>
              <w:left w:val="nil"/>
              <w:bottom w:val="nil"/>
              <w:right w:val="nil"/>
            </w:tcBorders>
            <w:shd w:val="clear" w:color="auto" w:fill="auto"/>
            <w:vAlign w:val="bottom"/>
          </w:tcPr>
          <w:p w14:paraId="1BFB5210" w14:textId="77777777" w:rsidR="00C54DD2" w:rsidRDefault="00C54DD2" w:rsidP="008141F2">
            <w:pPr>
              <w:jc w:val="center"/>
              <w:rPr>
                <w:sz w:val="20"/>
                <w:szCs w:val="20"/>
              </w:rPr>
            </w:pPr>
          </w:p>
        </w:tc>
        <w:tc>
          <w:tcPr>
            <w:tcW w:w="2160" w:type="dxa"/>
            <w:tcBorders>
              <w:top w:val="single" w:sz="4" w:space="0" w:color="000000"/>
              <w:left w:val="nil"/>
              <w:bottom w:val="nil"/>
              <w:right w:val="nil"/>
            </w:tcBorders>
            <w:shd w:val="clear" w:color="auto" w:fill="auto"/>
            <w:vAlign w:val="bottom"/>
          </w:tcPr>
          <w:p w14:paraId="1387E28B" w14:textId="77777777" w:rsidR="00C54DD2" w:rsidRDefault="00C54DD2" w:rsidP="008141F2">
            <w:pPr>
              <w:jc w:val="center"/>
              <w:rPr>
                <w:sz w:val="20"/>
                <w:szCs w:val="20"/>
              </w:rPr>
            </w:pPr>
          </w:p>
        </w:tc>
      </w:tr>
      <w:tr w:rsidR="00C54DD2" w14:paraId="739CE73E" w14:textId="77777777" w:rsidTr="008141F2">
        <w:trPr>
          <w:trHeight w:val="300"/>
        </w:trPr>
        <w:tc>
          <w:tcPr>
            <w:tcW w:w="1260" w:type="dxa"/>
            <w:tcBorders>
              <w:top w:val="nil"/>
              <w:left w:val="nil"/>
              <w:bottom w:val="nil"/>
              <w:right w:val="nil"/>
            </w:tcBorders>
            <w:shd w:val="clear" w:color="auto" w:fill="auto"/>
            <w:vAlign w:val="bottom"/>
          </w:tcPr>
          <w:p w14:paraId="35C98112" w14:textId="77777777" w:rsidR="00C54DD2" w:rsidRDefault="00C54DD2" w:rsidP="008141F2">
            <w:pPr>
              <w:jc w:val="center"/>
              <w:rPr>
                <w:rFonts w:ascii="Calibri" w:eastAsia="Calibri" w:hAnsi="Calibri" w:cs="Calibri"/>
              </w:rPr>
            </w:pPr>
            <w:r>
              <w:rPr>
                <w:rFonts w:ascii="Calibri" w:eastAsia="Calibri" w:hAnsi="Calibri" w:cs="Calibri"/>
              </w:rPr>
              <w:t>{3, 4, 5}</w:t>
            </w:r>
          </w:p>
        </w:tc>
        <w:tc>
          <w:tcPr>
            <w:tcW w:w="2070" w:type="dxa"/>
            <w:tcBorders>
              <w:top w:val="nil"/>
              <w:left w:val="nil"/>
              <w:bottom w:val="nil"/>
              <w:right w:val="nil"/>
            </w:tcBorders>
            <w:shd w:val="clear" w:color="auto" w:fill="auto"/>
            <w:vAlign w:val="bottom"/>
          </w:tcPr>
          <w:p w14:paraId="0E695A05" w14:textId="77777777" w:rsidR="00C54DD2" w:rsidRDefault="00C54DD2" w:rsidP="008141F2">
            <w:pPr>
              <w:jc w:val="center"/>
              <w:rPr>
                <w:rFonts w:ascii="Calibri" w:eastAsia="Calibri" w:hAnsi="Calibri" w:cs="Calibri"/>
              </w:rPr>
            </w:pPr>
            <w:r>
              <w:rPr>
                <w:rFonts w:ascii="Calibri" w:eastAsia="Calibri" w:hAnsi="Calibri" w:cs="Calibri"/>
              </w:rPr>
              <w:t>{3, 4, 5}</w:t>
            </w:r>
          </w:p>
        </w:tc>
        <w:tc>
          <w:tcPr>
            <w:tcW w:w="1035" w:type="dxa"/>
            <w:tcBorders>
              <w:top w:val="nil"/>
              <w:left w:val="nil"/>
              <w:bottom w:val="nil"/>
              <w:right w:val="nil"/>
            </w:tcBorders>
            <w:shd w:val="clear" w:color="auto" w:fill="auto"/>
            <w:vAlign w:val="bottom"/>
          </w:tcPr>
          <w:p w14:paraId="7AAF3A6B"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2F611B73" w14:textId="77777777" w:rsidR="00C54DD2" w:rsidRDefault="00C54DD2" w:rsidP="008141F2">
            <w:pPr>
              <w:jc w:val="center"/>
              <w:rPr>
                <w:sz w:val="20"/>
                <w:szCs w:val="20"/>
              </w:rPr>
            </w:pPr>
          </w:p>
        </w:tc>
        <w:tc>
          <w:tcPr>
            <w:tcW w:w="2160" w:type="dxa"/>
            <w:tcBorders>
              <w:top w:val="nil"/>
              <w:left w:val="nil"/>
              <w:bottom w:val="nil"/>
              <w:right w:val="nil"/>
            </w:tcBorders>
            <w:shd w:val="clear" w:color="auto" w:fill="auto"/>
            <w:vAlign w:val="bottom"/>
          </w:tcPr>
          <w:p w14:paraId="3B66D8EE" w14:textId="77777777" w:rsidR="00C54DD2" w:rsidRDefault="00C54DD2" w:rsidP="008141F2">
            <w:pPr>
              <w:jc w:val="center"/>
              <w:rPr>
                <w:sz w:val="20"/>
                <w:szCs w:val="20"/>
              </w:rPr>
            </w:pPr>
          </w:p>
        </w:tc>
      </w:tr>
      <w:tr w:rsidR="00C54DD2" w14:paraId="600127BB" w14:textId="77777777" w:rsidTr="008141F2">
        <w:trPr>
          <w:trHeight w:val="300"/>
        </w:trPr>
        <w:tc>
          <w:tcPr>
            <w:tcW w:w="1260" w:type="dxa"/>
            <w:tcBorders>
              <w:top w:val="nil"/>
              <w:left w:val="nil"/>
              <w:bottom w:val="nil"/>
              <w:right w:val="nil"/>
            </w:tcBorders>
            <w:shd w:val="clear" w:color="auto" w:fill="auto"/>
            <w:vAlign w:val="bottom"/>
          </w:tcPr>
          <w:p w14:paraId="65602BFC" w14:textId="77777777" w:rsidR="00C54DD2" w:rsidRDefault="00C54DD2" w:rsidP="008141F2">
            <w:pPr>
              <w:jc w:val="center"/>
              <w:rPr>
                <w:sz w:val="20"/>
                <w:szCs w:val="20"/>
              </w:rPr>
            </w:pPr>
          </w:p>
        </w:tc>
        <w:tc>
          <w:tcPr>
            <w:tcW w:w="2070" w:type="dxa"/>
            <w:tcBorders>
              <w:top w:val="nil"/>
              <w:left w:val="nil"/>
              <w:bottom w:val="nil"/>
              <w:right w:val="nil"/>
            </w:tcBorders>
            <w:shd w:val="clear" w:color="auto" w:fill="auto"/>
            <w:vAlign w:val="bottom"/>
          </w:tcPr>
          <w:p w14:paraId="35844321" w14:textId="77777777" w:rsidR="00C54DD2" w:rsidRDefault="00C54DD2" w:rsidP="008141F2">
            <w:pPr>
              <w:jc w:val="center"/>
              <w:rPr>
                <w:rFonts w:ascii="Calibri" w:eastAsia="Calibri" w:hAnsi="Calibri" w:cs="Calibri"/>
              </w:rPr>
            </w:pPr>
            <w:r>
              <w:rPr>
                <w:rFonts w:ascii="Calibri" w:eastAsia="Calibri" w:hAnsi="Calibri" w:cs="Calibri"/>
              </w:rPr>
              <w:t>6</w:t>
            </w:r>
          </w:p>
        </w:tc>
        <w:tc>
          <w:tcPr>
            <w:tcW w:w="1035" w:type="dxa"/>
            <w:tcBorders>
              <w:top w:val="nil"/>
              <w:left w:val="nil"/>
              <w:bottom w:val="nil"/>
              <w:right w:val="nil"/>
            </w:tcBorders>
            <w:shd w:val="clear" w:color="auto" w:fill="auto"/>
            <w:vAlign w:val="bottom"/>
          </w:tcPr>
          <w:p w14:paraId="2E102800"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3CDB47C4" w14:textId="77777777" w:rsidR="00C54DD2" w:rsidRDefault="00C54DD2" w:rsidP="008141F2">
            <w:pPr>
              <w:jc w:val="center"/>
              <w:rPr>
                <w:rFonts w:ascii="Calibri" w:eastAsia="Calibri" w:hAnsi="Calibri" w:cs="Calibri"/>
              </w:rPr>
            </w:pPr>
            <w:r>
              <w:rPr>
                <w:rFonts w:ascii="Calibri" w:eastAsia="Calibri" w:hAnsi="Calibri" w:cs="Calibri"/>
              </w:rPr>
              <w:t>6</w:t>
            </w:r>
          </w:p>
        </w:tc>
        <w:tc>
          <w:tcPr>
            <w:tcW w:w="2160" w:type="dxa"/>
            <w:tcBorders>
              <w:top w:val="nil"/>
              <w:left w:val="nil"/>
              <w:bottom w:val="nil"/>
              <w:right w:val="nil"/>
            </w:tcBorders>
            <w:shd w:val="clear" w:color="auto" w:fill="auto"/>
            <w:vAlign w:val="bottom"/>
          </w:tcPr>
          <w:p w14:paraId="435CF3C8" w14:textId="77777777" w:rsidR="00C54DD2" w:rsidRDefault="00C54DD2" w:rsidP="008141F2">
            <w:pPr>
              <w:jc w:val="center"/>
              <w:rPr>
                <w:rFonts w:ascii="Calibri" w:eastAsia="Calibri" w:hAnsi="Calibri" w:cs="Calibri"/>
              </w:rPr>
            </w:pPr>
          </w:p>
        </w:tc>
      </w:tr>
      <w:tr w:rsidR="00C54DD2" w14:paraId="3D0A32DE" w14:textId="77777777" w:rsidTr="008141F2">
        <w:trPr>
          <w:trHeight w:val="300"/>
        </w:trPr>
        <w:tc>
          <w:tcPr>
            <w:tcW w:w="1260" w:type="dxa"/>
            <w:tcBorders>
              <w:top w:val="nil"/>
              <w:left w:val="nil"/>
              <w:bottom w:val="nil"/>
              <w:right w:val="nil"/>
            </w:tcBorders>
            <w:shd w:val="clear" w:color="auto" w:fill="auto"/>
            <w:vAlign w:val="bottom"/>
          </w:tcPr>
          <w:p w14:paraId="275E163D" w14:textId="77777777" w:rsidR="00C54DD2" w:rsidRDefault="00C54DD2" w:rsidP="008141F2">
            <w:pPr>
              <w:jc w:val="center"/>
              <w:rPr>
                <w:sz w:val="20"/>
                <w:szCs w:val="20"/>
              </w:rPr>
            </w:pPr>
          </w:p>
        </w:tc>
        <w:tc>
          <w:tcPr>
            <w:tcW w:w="2070" w:type="dxa"/>
            <w:tcBorders>
              <w:top w:val="nil"/>
              <w:left w:val="nil"/>
              <w:bottom w:val="nil"/>
              <w:right w:val="nil"/>
            </w:tcBorders>
            <w:shd w:val="clear" w:color="auto" w:fill="auto"/>
            <w:vAlign w:val="bottom"/>
          </w:tcPr>
          <w:p w14:paraId="5F87EBD0" w14:textId="77777777" w:rsidR="00C54DD2" w:rsidRDefault="00C54DD2" w:rsidP="008141F2">
            <w:pPr>
              <w:jc w:val="center"/>
              <w:rPr>
                <w:rFonts w:ascii="Calibri" w:eastAsia="Calibri" w:hAnsi="Calibri" w:cs="Calibri"/>
              </w:rPr>
            </w:pPr>
            <w:r>
              <w:rPr>
                <w:rFonts w:ascii="Calibri" w:eastAsia="Calibri" w:hAnsi="Calibri" w:cs="Calibri"/>
              </w:rPr>
              <w:t>7</w:t>
            </w:r>
          </w:p>
        </w:tc>
        <w:tc>
          <w:tcPr>
            <w:tcW w:w="1035" w:type="dxa"/>
            <w:tcBorders>
              <w:top w:val="nil"/>
              <w:left w:val="nil"/>
              <w:bottom w:val="nil"/>
              <w:right w:val="nil"/>
            </w:tcBorders>
            <w:shd w:val="clear" w:color="auto" w:fill="auto"/>
            <w:vAlign w:val="bottom"/>
          </w:tcPr>
          <w:p w14:paraId="7C6E799A"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353C107E" w14:textId="77777777" w:rsidR="00C54DD2" w:rsidRDefault="00C54DD2" w:rsidP="008141F2">
            <w:pPr>
              <w:jc w:val="center"/>
              <w:rPr>
                <w:rFonts w:ascii="Calibri" w:eastAsia="Calibri" w:hAnsi="Calibri" w:cs="Calibri"/>
              </w:rPr>
            </w:pPr>
            <w:r>
              <w:rPr>
                <w:rFonts w:ascii="Calibri" w:eastAsia="Calibri" w:hAnsi="Calibri" w:cs="Calibri"/>
              </w:rPr>
              <w:t>7</w:t>
            </w:r>
          </w:p>
        </w:tc>
        <w:tc>
          <w:tcPr>
            <w:tcW w:w="2160" w:type="dxa"/>
            <w:tcBorders>
              <w:top w:val="nil"/>
              <w:left w:val="nil"/>
              <w:bottom w:val="nil"/>
              <w:right w:val="nil"/>
            </w:tcBorders>
            <w:shd w:val="clear" w:color="auto" w:fill="auto"/>
            <w:vAlign w:val="bottom"/>
          </w:tcPr>
          <w:p w14:paraId="5C517BE0" w14:textId="77777777" w:rsidR="00C54DD2" w:rsidRDefault="00C54DD2" w:rsidP="008141F2">
            <w:pPr>
              <w:jc w:val="center"/>
              <w:rPr>
                <w:rFonts w:ascii="Calibri" w:eastAsia="Calibri" w:hAnsi="Calibri" w:cs="Calibri"/>
              </w:rPr>
            </w:pPr>
          </w:p>
        </w:tc>
      </w:tr>
      <w:tr w:rsidR="00C54DD2" w14:paraId="775A3A6E" w14:textId="77777777" w:rsidTr="008141F2">
        <w:trPr>
          <w:trHeight w:val="300"/>
        </w:trPr>
        <w:tc>
          <w:tcPr>
            <w:tcW w:w="1260" w:type="dxa"/>
            <w:tcBorders>
              <w:top w:val="nil"/>
              <w:left w:val="nil"/>
              <w:bottom w:val="nil"/>
              <w:right w:val="nil"/>
            </w:tcBorders>
            <w:shd w:val="clear" w:color="auto" w:fill="auto"/>
            <w:vAlign w:val="bottom"/>
          </w:tcPr>
          <w:p w14:paraId="4B4E371B" w14:textId="77777777" w:rsidR="00C54DD2" w:rsidRDefault="00C54DD2" w:rsidP="008141F2">
            <w:pPr>
              <w:jc w:val="center"/>
              <w:rPr>
                <w:sz w:val="20"/>
                <w:szCs w:val="20"/>
              </w:rPr>
            </w:pPr>
          </w:p>
        </w:tc>
        <w:tc>
          <w:tcPr>
            <w:tcW w:w="2070" w:type="dxa"/>
            <w:tcBorders>
              <w:top w:val="nil"/>
              <w:left w:val="nil"/>
              <w:bottom w:val="nil"/>
              <w:right w:val="nil"/>
            </w:tcBorders>
            <w:shd w:val="clear" w:color="auto" w:fill="auto"/>
            <w:vAlign w:val="bottom"/>
          </w:tcPr>
          <w:p w14:paraId="12A4D317" w14:textId="77777777" w:rsidR="00C54DD2" w:rsidRDefault="00C54DD2" w:rsidP="008141F2">
            <w:pPr>
              <w:jc w:val="center"/>
              <w:rPr>
                <w:rFonts w:ascii="Calibri" w:eastAsia="Calibri" w:hAnsi="Calibri" w:cs="Calibri"/>
              </w:rPr>
            </w:pPr>
            <w:r>
              <w:rPr>
                <w:rFonts w:ascii="Calibri" w:eastAsia="Calibri" w:hAnsi="Calibri" w:cs="Calibri"/>
              </w:rPr>
              <w:t>{8, 9, 10}</w:t>
            </w:r>
          </w:p>
        </w:tc>
        <w:tc>
          <w:tcPr>
            <w:tcW w:w="1035" w:type="dxa"/>
            <w:tcBorders>
              <w:top w:val="nil"/>
              <w:left w:val="nil"/>
              <w:bottom w:val="nil"/>
              <w:right w:val="nil"/>
            </w:tcBorders>
            <w:shd w:val="clear" w:color="auto" w:fill="auto"/>
            <w:vAlign w:val="bottom"/>
          </w:tcPr>
          <w:p w14:paraId="5842C962"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15349F01" w14:textId="77777777" w:rsidR="00C54DD2" w:rsidRDefault="00C54DD2" w:rsidP="008141F2">
            <w:pPr>
              <w:jc w:val="center"/>
              <w:rPr>
                <w:rFonts w:ascii="Calibri" w:eastAsia="Calibri" w:hAnsi="Calibri" w:cs="Calibri"/>
              </w:rPr>
            </w:pPr>
            <w:r>
              <w:rPr>
                <w:rFonts w:ascii="Calibri" w:eastAsia="Calibri" w:hAnsi="Calibri" w:cs="Calibri"/>
              </w:rPr>
              <w:t>{8, 9, 10}</w:t>
            </w:r>
          </w:p>
        </w:tc>
        <w:tc>
          <w:tcPr>
            <w:tcW w:w="2160" w:type="dxa"/>
            <w:tcBorders>
              <w:top w:val="nil"/>
              <w:left w:val="nil"/>
              <w:bottom w:val="nil"/>
              <w:right w:val="nil"/>
            </w:tcBorders>
            <w:shd w:val="clear" w:color="auto" w:fill="auto"/>
            <w:vAlign w:val="bottom"/>
          </w:tcPr>
          <w:p w14:paraId="1EC49A25" w14:textId="77777777" w:rsidR="00C54DD2" w:rsidRDefault="00C54DD2" w:rsidP="008141F2">
            <w:pPr>
              <w:jc w:val="center"/>
              <w:rPr>
                <w:rFonts w:ascii="Calibri" w:eastAsia="Calibri" w:hAnsi="Calibri" w:cs="Calibri"/>
              </w:rPr>
            </w:pPr>
          </w:p>
        </w:tc>
      </w:tr>
      <w:tr w:rsidR="00C54DD2" w14:paraId="5F63EA2E" w14:textId="77777777" w:rsidTr="008141F2">
        <w:trPr>
          <w:trHeight w:val="300"/>
        </w:trPr>
        <w:tc>
          <w:tcPr>
            <w:tcW w:w="1260" w:type="dxa"/>
            <w:tcBorders>
              <w:top w:val="nil"/>
              <w:left w:val="nil"/>
              <w:bottom w:val="nil"/>
              <w:right w:val="nil"/>
            </w:tcBorders>
            <w:shd w:val="clear" w:color="auto" w:fill="auto"/>
            <w:vAlign w:val="bottom"/>
          </w:tcPr>
          <w:p w14:paraId="5B80889E" w14:textId="77777777" w:rsidR="00C54DD2" w:rsidRDefault="00C54DD2" w:rsidP="008141F2">
            <w:pPr>
              <w:jc w:val="center"/>
              <w:rPr>
                <w:rFonts w:ascii="Calibri" w:eastAsia="Calibri" w:hAnsi="Calibri" w:cs="Calibri"/>
              </w:rPr>
            </w:pPr>
            <w:r>
              <w:rPr>
                <w:rFonts w:ascii="Calibri" w:eastAsia="Calibri" w:hAnsi="Calibri" w:cs="Calibri"/>
              </w:rPr>
              <w:t>{11, 12, 13}</w:t>
            </w:r>
          </w:p>
        </w:tc>
        <w:tc>
          <w:tcPr>
            <w:tcW w:w="2070" w:type="dxa"/>
            <w:tcBorders>
              <w:top w:val="nil"/>
              <w:left w:val="nil"/>
              <w:bottom w:val="nil"/>
              <w:right w:val="nil"/>
            </w:tcBorders>
            <w:shd w:val="clear" w:color="auto" w:fill="auto"/>
            <w:vAlign w:val="bottom"/>
          </w:tcPr>
          <w:p w14:paraId="6D05FC93" w14:textId="77777777" w:rsidR="00C54DD2" w:rsidRDefault="00C54DD2" w:rsidP="008141F2">
            <w:pPr>
              <w:jc w:val="center"/>
              <w:rPr>
                <w:rFonts w:ascii="Calibri" w:eastAsia="Calibri" w:hAnsi="Calibri" w:cs="Calibri"/>
              </w:rPr>
            </w:pPr>
          </w:p>
        </w:tc>
        <w:tc>
          <w:tcPr>
            <w:tcW w:w="1035" w:type="dxa"/>
            <w:tcBorders>
              <w:top w:val="nil"/>
              <w:left w:val="nil"/>
              <w:bottom w:val="nil"/>
              <w:right w:val="nil"/>
            </w:tcBorders>
            <w:shd w:val="clear" w:color="auto" w:fill="auto"/>
            <w:vAlign w:val="bottom"/>
          </w:tcPr>
          <w:p w14:paraId="19B771D1" w14:textId="77777777" w:rsidR="00C54DD2" w:rsidRDefault="00C54DD2" w:rsidP="008141F2">
            <w:pPr>
              <w:jc w:val="center"/>
              <w:rPr>
                <w:sz w:val="20"/>
                <w:szCs w:val="20"/>
              </w:rPr>
            </w:pPr>
          </w:p>
        </w:tc>
        <w:tc>
          <w:tcPr>
            <w:tcW w:w="1575" w:type="dxa"/>
            <w:tcBorders>
              <w:top w:val="nil"/>
              <w:left w:val="nil"/>
              <w:bottom w:val="nil"/>
              <w:right w:val="nil"/>
            </w:tcBorders>
            <w:shd w:val="clear" w:color="auto" w:fill="auto"/>
            <w:vAlign w:val="bottom"/>
          </w:tcPr>
          <w:p w14:paraId="2D960D4F" w14:textId="77777777" w:rsidR="00C54DD2" w:rsidRDefault="00C54DD2" w:rsidP="008141F2">
            <w:pPr>
              <w:jc w:val="center"/>
              <w:rPr>
                <w:sz w:val="20"/>
                <w:szCs w:val="20"/>
              </w:rPr>
            </w:pPr>
          </w:p>
        </w:tc>
        <w:tc>
          <w:tcPr>
            <w:tcW w:w="2160" w:type="dxa"/>
            <w:tcBorders>
              <w:top w:val="nil"/>
              <w:left w:val="nil"/>
              <w:bottom w:val="nil"/>
              <w:right w:val="nil"/>
            </w:tcBorders>
            <w:shd w:val="clear" w:color="auto" w:fill="auto"/>
            <w:vAlign w:val="bottom"/>
          </w:tcPr>
          <w:p w14:paraId="708953E2" w14:textId="77777777" w:rsidR="00C54DD2" w:rsidRDefault="00C54DD2" w:rsidP="008141F2">
            <w:pPr>
              <w:jc w:val="center"/>
              <w:rPr>
                <w:rFonts w:ascii="Calibri" w:eastAsia="Calibri" w:hAnsi="Calibri" w:cs="Calibri"/>
              </w:rPr>
            </w:pPr>
            <w:r>
              <w:rPr>
                <w:rFonts w:ascii="Calibri" w:eastAsia="Calibri" w:hAnsi="Calibri" w:cs="Calibri"/>
              </w:rPr>
              <w:t>{11, 12, 13}</w:t>
            </w:r>
          </w:p>
        </w:tc>
      </w:tr>
      <w:tr w:rsidR="00C54DD2" w14:paraId="677B77DB" w14:textId="77777777" w:rsidTr="008141F2">
        <w:trPr>
          <w:trHeight w:val="300"/>
        </w:trPr>
        <w:tc>
          <w:tcPr>
            <w:tcW w:w="1260" w:type="dxa"/>
            <w:tcBorders>
              <w:top w:val="nil"/>
              <w:left w:val="nil"/>
              <w:bottom w:val="nil"/>
              <w:right w:val="nil"/>
            </w:tcBorders>
            <w:shd w:val="clear" w:color="auto" w:fill="auto"/>
            <w:vAlign w:val="bottom"/>
          </w:tcPr>
          <w:p w14:paraId="171BC1E7" w14:textId="77777777" w:rsidR="00C54DD2" w:rsidRDefault="00C54DD2" w:rsidP="008141F2">
            <w:pPr>
              <w:jc w:val="center"/>
              <w:rPr>
                <w:rFonts w:ascii="Calibri" w:eastAsia="Calibri" w:hAnsi="Calibri" w:cs="Calibri"/>
              </w:rPr>
            </w:pPr>
            <w:r>
              <w:rPr>
                <w:rFonts w:ascii="Calibri" w:eastAsia="Calibri" w:hAnsi="Calibri" w:cs="Calibri"/>
              </w:rPr>
              <w:t>{14, 15}</w:t>
            </w:r>
          </w:p>
        </w:tc>
        <w:tc>
          <w:tcPr>
            <w:tcW w:w="2070" w:type="dxa"/>
            <w:tcBorders>
              <w:top w:val="nil"/>
              <w:left w:val="nil"/>
              <w:bottom w:val="nil"/>
              <w:right w:val="nil"/>
            </w:tcBorders>
            <w:shd w:val="clear" w:color="auto" w:fill="auto"/>
            <w:vAlign w:val="bottom"/>
          </w:tcPr>
          <w:p w14:paraId="1EEA7092" w14:textId="77777777" w:rsidR="00C54DD2" w:rsidRDefault="00C54DD2" w:rsidP="008141F2">
            <w:pPr>
              <w:jc w:val="center"/>
              <w:rPr>
                <w:rFonts w:ascii="Calibri" w:eastAsia="Calibri" w:hAnsi="Calibri" w:cs="Calibri"/>
              </w:rPr>
            </w:pPr>
            <w:r>
              <w:rPr>
                <w:rFonts w:ascii="Calibri" w:eastAsia="Calibri" w:hAnsi="Calibri" w:cs="Calibri"/>
              </w:rPr>
              <w:t>{14, 15}</w:t>
            </w:r>
          </w:p>
        </w:tc>
        <w:tc>
          <w:tcPr>
            <w:tcW w:w="1035" w:type="dxa"/>
            <w:tcBorders>
              <w:top w:val="nil"/>
              <w:left w:val="nil"/>
              <w:bottom w:val="nil"/>
              <w:right w:val="nil"/>
            </w:tcBorders>
            <w:shd w:val="clear" w:color="auto" w:fill="auto"/>
            <w:vAlign w:val="bottom"/>
          </w:tcPr>
          <w:p w14:paraId="22ED469D"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03BACA02" w14:textId="77777777" w:rsidR="00C54DD2" w:rsidRDefault="00C54DD2" w:rsidP="008141F2">
            <w:pPr>
              <w:jc w:val="center"/>
              <w:rPr>
                <w:sz w:val="20"/>
                <w:szCs w:val="20"/>
              </w:rPr>
            </w:pPr>
          </w:p>
        </w:tc>
        <w:tc>
          <w:tcPr>
            <w:tcW w:w="2160" w:type="dxa"/>
            <w:tcBorders>
              <w:top w:val="nil"/>
              <w:left w:val="nil"/>
              <w:bottom w:val="nil"/>
              <w:right w:val="nil"/>
            </w:tcBorders>
            <w:shd w:val="clear" w:color="auto" w:fill="auto"/>
            <w:vAlign w:val="bottom"/>
          </w:tcPr>
          <w:p w14:paraId="2FE46174" w14:textId="77777777" w:rsidR="00C54DD2" w:rsidRDefault="00C54DD2" w:rsidP="008141F2">
            <w:pPr>
              <w:jc w:val="center"/>
              <w:rPr>
                <w:sz w:val="20"/>
                <w:szCs w:val="20"/>
              </w:rPr>
            </w:pPr>
          </w:p>
        </w:tc>
      </w:tr>
      <w:tr w:rsidR="00C54DD2" w14:paraId="2FA3F055" w14:textId="77777777" w:rsidTr="008141F2">
        <w:trPr>
          <w:trHeight w:val="300"/>
        </w:trPr>
        <w:tc>
          <w:tcPr>
            <w:tcW w:w="1260" w:type="dxa"/>
            <w:tcBorders>
              <w:top w:val="nil"/>
              <w:left w:val="nil"/>
              <w:bottom w:val="nil"/>
              <w:right w:val="nil"/>
            </w:tcBorders>
            <w:shd w:val="clear" w:color="auto" w:fill="auto"/>
            <w:vAlign w:val="bottom"/>
          </w:tcPr>
          <w:p w14:paraId="06B1E8CD" w14:textId="77777777" w:rsidR="00C54DD2" w:rsidRDefault="00C54DD2" w:rsidP="008141F2">
            <w:pPr>
              <w:jc w:val="center"/>
              <w:rPr>
                <w:sz w:val="20"/>
                <w:szCs w:val="20"/>
              </w:rPr>
            </w:pPr>
          </w:p>
        </w:tc>
        <w:tc>
          <w:tcPr>
            <w:tcW w:w="2070" w:type="dxa"/>
            <w:tcBorders>
              <w:top w:val="nil"/>
              <w:left w:val="nil"/>
              <w:bottom w:val="nil"/>
              <w:right w:val="nil"/>
            </w:tcBorders>
            <w:shd w:val="clear" w:color="auto" w:fill="auto"/>
            <w:vAlign w:val="bottom"/>
          </w:tcPr>
          <w:p w14:paraId="723CA496" w14:textId="77777777" w:rsidR="00C54DD2" w:rsidRDefault="00C54DD2" w:rsidP="008141F2">
            <w:pPr>
              <w:jc w:val="center"/>
              <w:rPr>
                <w:sz w:val="20"/>
                <w:szCs w:val="20"/>
              </w:rPr>
            </w:pPr>
          </w:p>
        </w:tc>
        <w:tc>
          <w:tcPr>
            <w:tcW w:w="1035" w:type="dxa"/>
            <w:tcBorders>
              <w:top w:val="nil"/>
              <w:left w:val="nil"/>
              <w:bottom w:val="nil"/>
              <w:right w:val="nil"/>
            </w:tcBorders>
            <w:shd w:val="clear" w:color="auto" w:fill="auto"/>
            <w:vAlign w:val="bottom"/>
          </w:tcPr>
          <w:p w14:paraId="1B82FD77" w14:textId="77777777" w:rsidR="00C54DD2" w:rsidRDefault="00C54DD2" w:rsidP="008141F2">
            <w:pPr>
              <w:jc w:val="center"/>
              <w:rPr>
                <w:sz w:val="20"/>
                <w:szCs w:val="20"/>
              </w:rPr>
            </w:pPr>
          </w:p>
        </w:tc>
        <w:tc>
          <w:tcPr>
            <w:tcW w:w="1575" w:type="dxa"/>
            <w:tcBorders>
              <w:top w:val="nil"/>
              <w:left w:val="nil"/>
              <w:bottom w:val="nil"/>
              <w:right w:val="nil"/>
            </w:tcBorders>
            <w:shd w:val="clear" w:color="auto" w:fill="auto"/>
            <w:vAlign w:val="bottom"/>
          </w:tcPr>
          <w:p w14:paraId="0B427229" w14:textId="77777777" w:rsidR="00C54DD2" w:rsidRDefault="00C54DD2" w:rsidP="008141F2">
            <w:pPr>
              <w:jc w:val="center"/>
              <w:rPr>
                <w:rFonts w:ascii="Calibri" w:eastAsia="Calibri" w:hAnsi="Calibri" w:cs="Calibri"/>
              </w:rPr>
            </w:pPr>
            <w:r>
              <w:rPr>
                <w:rFonts w:ascii="Calibri" w:eastAsia="Calibri" w:hAnsi="Calibri" w:cs="Calibri"/>
              </w:rPr>
              <w:t>16</w:t>
            </w:r>
          </w:p>
        </w:tc>
        <w:tc>
          <w:tcPr>
            <w:tcW w:w="2160" w:type="dxa"/>
            <w:tcBorders>
              <w:top w:val="nil"/>
              <w:left w:val="nil"/>
              <w:bottom w:val="nil"/>
              <w:right w:val="nil"/>
            </w:tcBorders>
            <w:shd w:val="clear" w:color="auto" w:fill="auto"/>
            <w:vAlign w:val="bottom"/>
          </w:tcPr>
          <w:p w14:paraId="0F223DA7" w14:textId="77777777" w:rsidR="00C54DD2" w:rsidRDefault="00C54DD2" w:rsidP="008141F2">
            <w:pPr>
              <w:jc w:val="center"/>
              <w:rPr>
                <w:rFonts w:ascii="Calibri" w:eastAsia="Calibri" w:hAnsi="Calibri" w:cs="Calibri"/>
              </w:rPr>
            </w:pPr>
            <w:r>
              <w:rPr>
                <w:rFonts w:ascii="Calibri" w:eastAsia="Calibri" w:hAnsi="Calibri" w:cs="Calibri"/>
              </w:rPr>
              <w:t>16</w:t>
            </w:r>
          </w:p>
        </w:tc>
      </w:tr>
      <w:tr w:rsidR="00C54DD2" w14:paraId="17DF6232" w14:textId="77777777" w:rsidTr="008141F2">
        <w:trPr>
          <w:trHeight w:val="300"/>
        </w:trPr>
        <w:tc>
          <w:tcPr>
            <w:tcW w:w="1260" w:type="dxa"/>
            <w:tcBorders>
              <w:top w:val="nil"/>
              <w:left w:val="nil"/>
              <w:bottom w:val="nil"/>
              <w:right w:val="nil"/>
            </w:tcBorders>
            <w:shd w:val="clear" w:color="auto" w:fill="auto"/>
            <w:vAlign w:val="bottom"/>
          </w:tcPr>
          <w:p w14:paraId="3F47BD5A" w14:textId="77777777" w:rsidR="00C54DD2" w:rsidRDefault="00C54DD2" w:rsidP="008141F2">
            <w:pPr>
              <w:jc w:val="center"/>
              <w:rPr>
                <w:rFonts w:ascii="Calibri" w:eastAsia="Calibri" w:hAnsi="Calibri" w:cs="Calibri"/>
              </w:rPr>
            </w:pPr>
            <w:r>
              <w:rPr>
                <w:rFonts w:ascii="Calibri" w:eastAsia="Calibri" w:hAnsi="Calibri" w:cs="Calibri"/>
              </w:rPr>
              <w:t>17</w:t>
            </w:r>
          </w:p>
        </w:tc>
        <w:tc>
          <w:tcPr>
            <w:tcW w:w="2070" w:type="dxa"/>
            <w:tcBorders>
              <w:top w:val="nil"/>
              <w:left w:val="nil"/>
              <w:bottom w:val="nil"/>
              <w:right w:val="nil"/>
            </w:tcBorders>
            <w:shd w:val="clear" w:color="auto" w:fill="auto"/>
            <w:vAlign w:val="bottom"/>
          </w:tcPr>
          <w:p w14:paraId="3E3802AF" w14:textId="77777777" w:rsidR="00C54DD2" w:rsidRDefault="00C54DD2" w:rsidP="008141F2">
            <w:pPr>
              <w:jc w:val="center"/>
              <w:rPr>
                <w:rFonts w:ascii="Calibri" w:eastAsia="Calibri" w:hAnsi="Calibri" w:cs="Calibri"/>
              </w:rPr>
            </w:pPr>
          </w:p>
        </w:tc>
        <w:tc>
          <w:tcPr>
            <w:tcW w:w="1035" w:type="dxa"/>
            <w:tcBorders>
              <w:top w:val="nil"/>
              <w:left w:val="nil"/>
              <w:bottom w:val="nil"/>
              <w:right w:val="nil"/>
            </w:tcBorders>
            <w:shd w:val="clear" w:color="auto" w:fill="auto"/>
            <w:vAlign w:val="bottom"/>
          </w:tcPr>
          <w:p w14:paraId="05CBB703" w14:textId="77777777" w:rsidR="00C54DD2" w:rsidRDefault="00C54DD2" w:rsidP="008141F2">
            <w:pPr>
              <w:jc w:val="center"/>
              <w:rPr>
                <w:sz w:val="20"/>
                <w:szCs w:val="20"/>
              </w:rPr>
            </w:pPr>
          </w:p>
        </w:tc>
        <w:tc>
          <w:tcPr>
            <w:tcW w:w="1575" w:type="dxa"/>
            <w:tcBorders>
              <w:top w:val="nil"/>
              <w:left w:val="nil"/>
              <w:bottom w:val="nil"/>
              <w:right w:val="nil"/>
            </w:tcBorders>
            <w:shd w:val="clear" w:color="auto" w:fill="auto"/>
            <w:vAlign w:val="bottom"/>
          </w:tcPr>
          <w:p w14:paraId="7338B3D8" w14:textId="77777777" w:rsidR="00C54DD2" w:rsidRDefault="00C54DD2" w:rsidP="008141F2">
            <w:pPr>
              <w:jc w:val="center"/>
              <w:rPr>
                <w:sz w:val="20"/>
                <w:szCs w:val="20"/>
              </w:rPr>
            </w:pPr>
          </w:p>
        </w:tc>
        <w:tc>
          <w:tcPr>
            <w:tcW w:w="2160" w:type="dxa"/>
            <w:tcBorders>
              <w:top w:val="nil"/>
              <w:left w:val="nil"/>
              <w:bottom w:val="nil"/>
              <w:right w:val="nil"/>
            </w:tcBorders>
            <w:shd w:val="clear" w:color="auto" w:fill="auto"/>
            <w:vAlign w:val="bottom"/>
          </w:tcPr>
          <w:p w14:paraId="615869CA" w14:textId="77777777" w:rsidR="00C54DD2" w:rsidRDefault="00C54DD2" w:rsidP="008141F2">
            <w:pPr>
              <w:jc w:val="center"/>
              <w:rPr>
                <w:rFonts w:ascii="Calibri" w:eastAsia="Calibri" w:hAnsi="Calibri" w:cs="Calibri"/>
              </w:rPr>
            </w:pPr>
            <w:r>
              <w:rPr>
                <w:rFonts w:ascii="Calibri" w:eastAsia="Calibri" w:hAnsi="Calibri" w:cs="Calibri"/>
              </w:rPr>
              <w:t>17</w:t>
            </w:r>
          </w:p>
        </w:tc>
      </w:tr>
      <w:tr w:rsidR="00C54DD2" w14:paraId="19648FCD" w14:textId="77777777" w:rsidTr="008141F2">
        <w:trPr>
          <w:trHeight w:val="300"/>
        </w:trPr>
        <w:tc>
          <w:tcPr>
            <w:tcW w:w="1260" w:type="dxa"/>
            <w:tcBorders>
              <w:top w:val="nil"/>
              <w:left w:val="nil"/>
              <w:bottom w:val="nil"/>
              <w:right w:val="nil"/>
            </w:tcBorders>
            <w:shd w:val="clear" w:color="auto" w:fill="auto"/>
            <w:vAlign w:val="bottom"/>
          </w:tcPr>
          <w:p w14:paraId="6FC6DCA5" w14:textId="77777777" w:rsidR="00C54DD2" w:rsidRDefault="00C54DD2" w:rsidP="008141F2">
            <w:pPr>
              <w:jc w:val="center"/>
              <w:rPr>
                <w:rFonts w:ascii="Calibri" w:eastAsia="Calibri" w:hAnsi="Calibri" w:cs="Calibri"/>
              </w:rPr>
            </w:pPr>
            <w:r>
              <w:rPr>
                <w:rFonts w:ascii="Calibri" w:eastAsia="Calibri" w:hAnsi="Calibri" w:cs="Calibri"/>
              </w:rPr>
              <w:t>18</w:t>
            </w:r>
          </w:p>
        </w:tc>
        <w:tc>
          <w:tcPr>
            <w:tcW w:w="2070" w:type="dxa"/>
            <w:tcBorders>
              <w:top w:val="nil"/>
              <w:left w:val="nil"/>
              <w:bottom w:val="nil"/>
              <w:right w:val="nil"/>
            </w:tcBorders>
            <w:shd w:val="clear" w:color="auto" w:fill="auto"/>
            <w:vAlign w:val="bottom"/>
          </w:tcPr>
          <w:p w14:paraId="3B0BA6E5" w14:textId="77777777" w:rsidR="00C54DD2" w:rsidRDefault="00C54DD2" w:rsidP="008141F2">
            <w:pPr>
              <w:jc w:val="center"/>
              <w:rPr>
                <w:rFonts w:ascii="Calibri" w:eastAsia="Calibri" w:hAnsi="Calibri" w:cs="Calibri"/>
              </w:rPr>
            </w:pPr>
            <w:r>
              <w:rPr>
                <w:rFonts w:ascii="Calibri" w:eastAsia="Calibri" w:hAnsi="Calibri" w:cs="Calibri"/>
              </w:rPr>
              <w:t>18</w:t>
            </w:r>
          </w:p>
        </w:tc>
        <w:tc>
          <w:tcPr>
            <w:tcW w:w="1035" w:type="dxa"/>
            <w:tcBorders>
              <w:top w:val="nil"/>
              <w:left w:val="nil"/>
              <w:bottom w:val="nil"/>
              <w:right w:val="nil"/>
            </w:tcBorders>
            <w:shd w:val="clear" w:color="auto" w:fill="auto"/>
            <w:vAlign w:val="bottom"/>
          </w:tcPr>
          <w:p w14:paraId="490E69E5"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490153B4" w14:textId="77777777" w:rsidR="00C54DD2" w:rsidRDefault="00C54DD2" w:rsidP="008141F2">
            <w:pPr>
              <w:jc w:val="center"/>
              <w:rPr>
                <w:sz w:val="20"/>
                <w:szCs w:val="20"/>
              </w:rPr>
            </w:pPr>
          </w:p>
        </w:tc>
        <w:tc>
          <w:tcPr>
            <w:tcW w:w="2160" w:type="dxa"/>
            <w:tcBorders>
              <w:top w:val="nil"/>
              <w:left w:val="nil"/>
              <w:bottom w:val="nil"/>
              <w:right w:val="nil"/>
            </w:tcBorders>
            <w:shd w:val="clear" w:color="auto" w:fill="auto"/>
            <w:vAlign w:val="bottom"/>
          </w:tcPr>
          <w:p w14:paraId="52F4EE3E" w14:textId="77777777" w:rsidR="00C54DD2" w:rsidRDefault="00C54DD2" w:rsidP="008141F2">
            <w:pPr>
              <w:jc w:val="center"/>
              <w:rPr>
                <w:sz w:val="20"/>
                <w:szCs w:val="20"/>
              </w:rPr>
            </w:pPr>
          </w:p>
        </w:tc>
      </w:tr>
      <w:tr w:rsidR="00C54DD2" w14:paraId="67F4D58C" w14:textId="77777777" w:rsidTr="008141F2">
        <w:trPr>
          <w:trHeight w:val="300"/>
        </w:trPr>
        <w:tc>
          <w:tcPr>
            <w:tcW w:w="1260" w:type="dxa"/>
            <w:tcBorders>
              <w:top w:val="nil"/>
              <w:left w:val="nil"/>
              <w:bottom w:val="nil"/>
              <w:right w:val="nil"/>
            </w:tcBorders>
            <w:shd w:val="clear" w:color="auto" w:fill="auto"/>
            <w:vAlign w:val="bottom"/>
          </w:tcPr>
          <w:p w14:paraId="41ED65B1" w14:textId="77777777" w:rsidR="00C54DD2" w:rsidRDefault="00C54DD2" w:rsidP="008141F2">
            <w:pPr>
              <w:jc w:val="center"/>
              <w:rPr>
                <w:sz w:val="20"/>
                <w:szCs w:val="20"/>
              </w:rPr>
            </w:pPr>
          </w:p>
        </w:tc>
        <w:tc>
          <w:tcPr>
            <w:tcW w:w="2070" w:type="dxa"/>
            <w:tcBorders>
              <w:top w:val="nil"/>
              <w:left w:val="nil"/>
              <w:bottom w:val="nil"/>
              <w:right w:val="nil"/>
            </w:tcBorders>
            <w:shd w:val="clear" w:color="auto" w:fill="auto"/>
            <w:vAlign w:val="bottom"/>
          </w:tcPr>
          <w:p w14:paraId="4B63164F" w14:textId="77777777" w:rsidR="00C54DD2" w:rsidRDefault="00C54DD2" w:rsidP="008141F2">
            <w:pPr>
              <w:jc w:val="center"/>
              <w:rPr>
                <w:sz w:val="20"/>
                <w:szCs w:val="20"/>
              </w:rPr>
            </w:pPr>
          </w:p>
        </w:tc>
        <w:tc>
          <w:tcPr>
            <w:tcW w:w="1035" w:type="dxa"/>
            <w:tcBorders>
              <w:top w:val="nil"/>
              <w:left w:val="nil"/>
              <w:bottom w:val="nil"/>
              <w:right w:val="nil"/>
            </w:tcBorders>
            <w:shd w:val="clear" w:color="auto" w:fill="auto"/>
            <w:vAlign w:val="bottom"/>
          </w:tcPr>
          <w:p w14:paraId="335BBAD4" w14:textId="77777777" w:rsidR="00C54DD2" w:rsidRDefault="00C54DD2" w:rsidP="008141F2">
            <w:pPr>
              <w:jc w:val="center"/>
              <w:rPr>
                <w:sz w:val="20"/>
                <w:szCs w:val="20"/>
              </w:rPr>
            </w:pPr>
          </w:p>
        </w:tc>
        <w:tc>
          <w:tcPr>
            <w:tcW w:w="1575" w:type="dxa"/>
            <w:tcBorders>
              <w:top w:val="nil"/>
              <w:left w:val="nil"/>
              <w:bottom w:val="nil"/>
              <w:right w:val="nil"/>
            </w:tcBorders>
            <w:shd w:val="clear" w:color="auto" w:fill="auto"/>
            <w:vAlign w:val="bottom"/>
          </w:tcPr>
          <w:p w14:paraId="611B2098" w14:textId="77777777" w:rsidR="00C54DD2" w:rsidRDefault="00C54DD2" w:rsidP="008141F2">
            <w:pPr>
              <w:jc w:val="center"/>
              <w:rPr>
                <w:rFonts w:ascii="Calibri" w:eastAsia="Calibri" w:hAnsi="Calibri" w:cs="Calibri"/>
              </w:rPr>
            </w:pPr>
            <w:r>
              <w:rPr>
                <w:rFonts w:ascii="Calibri" w:eastAsia="Calibri" w:hAnsi="Calibri" w:cs="Calibri"/>
              </w:rPr>
              <w:t>19</w:t>
            </w:r>
          </w:p>
        </w:tc>
        <w:tc>
          <w:tcPr>
            <w:tcW w:w="2160" w:type="dxa"/>
            <w:tcBorders>
              <w:top w:val="nil"/>
              <w:left w:val="nil"/>
              <w:bottom w:val="nil"/>
              <w:right w:val="nil"/>
            </w:tcBorders>
            <w:shd w:val="clear" w:color="auto" w:fill="auto"/>
            <w:vAlign w:val="bottom"/>
          </w:tcPr>
          <w:p w14:paraId="68BE4F4B" w14:textId="77777777" w:rsidR="00C54DD2" w:rsidRDefault="00C54DD2" w:rsidP="008141F2">
            <w:pPr>
              <w:jc w:val="center"/>
              <w:rPr>
                <w:rFonts w:ascii="Calibri" w:eastAsia="Calibri" w:hAnsi="Calibri" w:cs="Calibri"/>
              </w:rPr>
            </w:pPr>
            <w:r>
              <w:rPr>
                <w:rFonts w:ascii="Calibri" w:eastAsia="Calibri" w:hAnsi="Calibri" w:cs="Calibri"/>
              </w:rPr>
              <w:t>19</w:t>
            </w:r>
          </w:p>
        </w:tc>
      </w:tr>
      <w:tr w:rsidR="00C54DD2" w14:paraId="4BC17C07" w14:textId="77777777" w:rsidTr="008141F2">
        <w:trPr>
          <w:trHeight w:val="300"/>
        </w:trPr>
        <w:tc>
          <w:tcPr>
            <w:tcW w:w="1260" w:type="dxa"/>
            <w:tcBorders>
              <w:top w:val="nil"/>
              <w:left w:val="nil"/>
              <w:bottom w:val="nil"/>
              <w:right w:val="nil"/>
            </w:tcBorders>
            <w:shd w:val="clear" w:color="auto" w:fill="auto"/>
            <w:vAlign w:val="bottom"/>
          </w:tcPr>
          <w:p w14:paraId="36B14BE1" w14:textId="77777777" w:rsidR="00C54DD2" w:rsidRDefault="00C54DD2" w:rsidP="008141F2">
            <w:pPr>
              <w:jc w:val="center"/>
              <w:rPr>
                <w:rFonts w:ascii="Calibri" w:eastAsia="Calibri" w:hAnsi="Calibri" w:cs="Calibri"/>
              </w:rPr>
            </w:pPr>
            <w:r>
              <w:rPr>
                <w:rFonts w:ascii="Calibri" w:eastAsia="Calibri" w:hAnsi="Calibri" w:cs="Calibri"/>
              </w:rPr>
              <w:t>20</w:t>
            </w:r>
          </w:p>
        </w:tc>
        <w:tc>
          <w:tcPr>
            <w:tcW w:w="2070" w:type="dxa"/>
            <w:tcBorders>
              <w:top w:val="nil"/>
              <w:left w:val="nil"/>
              <w:bottom w:val="nil"/>
              <w:right w:val="nil"/>
            </w:tcBorders>
            <w:shd w:val="clear" w:color="auto" w:fill="auto"/>
            <w:vAlign w:val="bottom"/>
          </w:tcPr>
          <w:p w14:paraId="4AB8BF6B" w14:textId="77777777" w:rsidR="00C54DD2" w:rsidRDefault="00C54DD2" w:rsidP="008141F2">
            <w:pPr>
              <w:jc w:val="center"/>
              <w:rPr>
                <w:rFonts w:ascii="Calibri" w:eastAsia="Calibri" w:hAnsi="Calibri" w:cs="Calibri"/>
              </w:rPr>
            </w:pPr>
            <w:r>
              <w:rPr>
                <w:rFonts w:ascii="Calibri" w:eastAsia="Calibri" w:hAnsi="Calibri" w:cs="Calibri"/>
              </w:rPr>
              <w:t>20</w:t>
            </w:r>
          </w:p>
        </w:tc>
        <w:tc>
          <w:tcPr>
            <w:tcW w:w="1035" w:type="dxa"/>
            <w:tcBorders>
              <w:top w:val="nil"/>
              <w:left w:val="nil"/>
              <w:bottom w:val="nil"/>
              <w:right w:val="nil"/>
            </w:tcBorders>
            <w:shd w:val="clear" w:color="auto" w:fill="auto"/>
            <w:vAlign w:val="bottom"/>
          </w:tcPr>
          <w:p w14:paraId="2C944D0E"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505CDC1D" w14:textId="77777777" w:rsidR="00C54DD2" w:rsidRDefault="00C54DD2" w:rsidP="008141F2">
            <w:pPr>
              <w:jc w:val="center"/>
              <w:rPr>
                <w:sz w:val="20"/>
                <w:szCs w:val="20"/>
              </w:rPr>
            </w:pPr>
          </w:p>
        </w:tc>
        <w:tc>
          <w:tcPr>
            <w:tcW w:w="2160" w:type="dxa"/>
            <w:tcBorders>
              <w:top w:val="nil"/>
              <w:left w:val="nil"/>
              <w:bottom w:val="nil"/>
              <w:right w:val="nil"/>
            </w:tcBorders>
            <w:shd w:val="clear" w:color="auto" w:fill="auto"/>
            <w:vAlign w:val="bottom"/>
          </w:tcPr>
          <w:p w14:paraId="1575300F" w14:textId="77777777" w:rsidR="00C54DD2" w:rsidRDefault="00C54DD2" w:rsidP="008141F2">
            <w:pPr>
              <w:jc w:val="center"/>
              <w:rPr>
                <w:sz w:val="20"/>
                <w:szCs w:val="20"/>
              </w:rPr>
            </w:pPr>
          </w:p>
        </w:tc>
      </w:tr>
      <w:tr w:rsidR="00C54DD2" w14:paraId="035EB523" w14:textId="77777777" w:rsidTr="008141F2">
        <w:trPr>
          <w:trHeight w:val="300"/>
        </w:trPr>
        <w:tc>
          <w:tcPr>
            <w:tcW w:w="1260" w:type="dxa"/>
            <w:tcBorders>
              <w:top w:val="nil"/>
              <w:left w:val="nil"/>
              <w:bottom w:val="nil"/>
              <w:right w:val="nil"/>
            </w:tcBorders>
            <w:shd w:val="clear" w:color="auto" w:fill="auto"/>
            <w:vAlign w:val="bottom"/>
          </w:tcPr>
          <w:p w14:paraId="58BFE472" w14:textId="77777777" w:rsidR="00C54DD2" w:rsidRDefault="00C54DD2" w:rsidP="008141F2">
            <w:pPr>
              <w:jc w:val="center"/>
              <w:rPr>
                <w:rFonts w:ascii="Calibri" w:eastAsia="Calibri" w:hAnsi="Calibri" w:cs="Calibri"/>
              </w:rPr>
            </w:pPr>
            <w:r>
              <w:rPr>
                <w:rFonts w:ascii="Calibri" w:eastAsia="Calibri" w:hAnsi="Calibri" w:cs="Calibri"/>
              </w:rPr>
              <w:t>21</w:t>
            </w:r>
          </w:p>
        </w:tc>
        <w:tc>
          <w:tcPr>
            <w:tcW w:w="2070" w:type="dxa"/>
            <w:tcBorders>
              <w:top w:val="nil"/>
              <w:left w:val="nil"/>
              <w:bottom w:val="nil"/>
              <w:right w:val="nil"/>
            </w:tcBorders>
            <w:shd w:val="clear" w:color="auto" w:fill="auto"/>
            <w:vAlign w:val="bottom"/>
          </w:tcPr>
          <w:p w14:paraId="54ABC354" w14:textId="77777777" w:rsidR="00C54DD2" w:rsidRDefault="00C54DD2" w:rsidP="008141F2">
            <w:pPr>
              <w:jc w:val="center"/>
              <w:rPr>
                <w:rFonts w:ascii="Calibri" w:eastAsia="Calibri" w:hAnsi="Calibri" w:cs="Calibri"/>
              </w:rPr>
            </w:pPr>
            <w:r>
              <w:rPr>
                <w:rFonts w:ascii="Calibri" w:eastAsia="Calibri" w:hAnsi="Calibri" w:cs="Calibri"/>
              </w:rPr>
              <w:t>21</w:t>
            </w:r>
          </w:p>
        </w:tc>
        <w:tc>
          <w:tcPr>
            <w:tcW w:w="1035" w:type="dxa"/>
            <w:tcBorders>
              <w:top w:val="nil"/>
              <w:left w:val="nil"/>
              <w:bottom w:val="nil"/>
              <w:right w:val="nil"/>
            </w:tcBorders>
            <w:shd w:val="clear" w:color="auto" w:fill="auto"/>
            <w:vAlign w:val="bottom"/>
          </w:tcPr>
          <w:p w14:paraId="5C714628"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009D41CE" w14:textId="77777777" w:rsidR="00C54DD2" w:rsidRDefault="00C54DD2" w:rsidP="008141F2">
            <w:pPr>
              <w:jc w:val="center"/>
              <w:rPr>
                <w:sz w:val="20"/>
                <w:szCs w:val="20"/>
              </w:rPr>
            </w:pPr>
          </w:p>
        </w:tc>
        <w:tc>
          <w:tcPr>
            <w:tcW w:w="2160" w:type="dxa"/>
            <w:tcBorders>
              <w:top w:val="nil"/>
              <w:left w:val="nil"/>
              <w:bottom w:val="nil"/>
              <w:right w:val="nil"/>
            </w:tcBorders>
            <w:shd w:val="clear" w:color="auto" w:fill="auto"/>
            <w:vAlign w:val="bottom"/>
          </w:tcPr>
          <w:p w14:paraId="2BF22413" w14:textId="77777777" w:rsidR="00C54DD2" w:rsidRDefault="00C54DD2" w:rsidP="008141F2">
            <w:pPr>
              <w:jc w:val="center"/>
              <w:rPr>
                <w:sz w:val="20"/>
                <w:szCs w:val="20"/>
              </w:rPr>
            </w:pPr>
          </w:p>
        </w:tc>
      </w:tr>
      <w:tr w:rsidR="00C54DD2" w14:paraId="55E3628A" w14:textId="77777777" w:rsidTr="008141F2">
        <w:trPr>
          <w:trHeight w:val="300"/>
        </w:trPr>
        <w:tc>
          <w:tcPr>
            <w:tcW w:w="1260" w:type="dxa"/>
            <w:tcBorders>
              <w:top w:val="nil"/>
              <w:left w:val="nil"/>
              <w:bottom w:val="nil"/>
              <w:right w:val="nil"/>
            </w:tcBorders>
            <w:shd w:val="clear" w:color="auto" w:fill="auto"/>
            <w:vAlign w:val="bottom"/>
          </w:tcPr>
          <w:p w14:paraId="6357C296" w14:textId="77777777" w:rsidR="00C54DD2" w:rsidRDefault="00C54DD2" w:rsidP="008141F2">
            <w:pPr>
              <w:jc w:val="center"/>
              <w:rPr>
                <w:sz w:val="20"/>
                <w:szCs w:val="20"/>
              </w:rPr>
            </w:pPr>
          </w:p>
        </w:tc>
        <w:tc>
          <w:tcPr>
            <w:tcW w:w="2070" w:type="dxa"/>
            <w:tcBorders>
              <w:top w:val="nil"/>
              <w:left w:val="nil"/>
              <w:bottom w:val="nil"/>
              <w:right w:val="nil"/>
            </w:tcBorders>
            <w:shd w:val="clear" w:color="auto" w:fill="auto"/>
            <w:vAlign w:val="bottom"/>
          </w:tcPr>
          <w:p w14:paraId="38D0E5E6" w14:textId="77777777" w:rsidR="00C54DD2" w:rsidRDefault="00C54DD2" w:rsidP="008141F2">
            <w:pPr>
              <w:jc w:val="center"/>
              <w:rPr>
                <w:rFonts w:ascii="Calibri" w:eastAsia="Calibri" w:hAnsi="Calibri" w:cs="Calibri"/>
              </w:rPr>
            </w:pPr>
            <w:r>
              <w:rPr>
                <w:rFonts w:ascii="Calibri" w:eastAsia="Calibri" w:hAnsi="Calibri" w:cs="Calibri"/>
              </w:rPr>
              <w:t>22</w:t>
            </w:r>
          </w:p>
        </w:tc>
        <w:tc>
          <w:tcPr>
            <w:tcW w:w="1035" w:type="dxa"/>
            <w:tcBorders>
              <w:top w:val="nil"/>
              <w:left w:val="nil"/>
              <w:bottom w:val="nil"/>
              <w:right w:val="nil"/>
            </w:tcBorders>
            <w:shd w:val="clear" w:color="auto" w:fill="auto"/>
            <w:vAlign w:val="bottom"/>
          </w:tcPr>
          <w:p w14:paraId="41106BD7"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2E05F54B" w14:textId="77777777" w:rsidR="00C54DD2" w:rsidRDefault="00C54DD2" w:rsidP="008141F2">
            <w:pPr>
              <w:jc w:val="center"/>
              <w:rPr>
                <w:rFonts w:ascii="Calibri" w:eastAsia="Calibri" w:hAnsi="Calibri" w:cs="Calibri"/>
              </w:rPr>
            </w:pPr>
            <w:r>
              <w:rPr>
                <w:rFonts w:ascii="Calibri" w:eastAsia="Calibri" w:hAnsi="Calibri" w:cs="Calibri"/>
              </w:rPr>
              <w:t>22</w:t>
            </w:r>
          </w:p>
        </w:tc>
        <w:tc>
          <w:tcPr>
            <w:tcW w:w="2160" w:type="dxa"/>
            <w:tcBorders>
              <w:top w:val="nil"/>
              <w:left w:val="nil"/>
              <w:bottom w:val="nil"/>
              <w:right w:val="nil"/>
            </w:tcBorders>
            <w:shd w:val="clear" w:color="auto" w:fill="auto"/>
            <w:vAlign w:val="bottom"/>
          </w:tcPr>
          <w:p w14:paraId="359FFE16" w14:textId="77777777" w:rsidR="00C54DD2" w:rsidRDefault="00C54DD2" w:rsidP="008141F2">
            <w:pPr>
              <w:jc w:val="center"/>
              <w:rPr>
                <w:rFonts w:ascii="Calibri" w:eastAsia="Calibri" w:hAnsi="Calibri" w:cs="Calibri"/>
              </w:rPr>
            </w:pPr>
          </w:p>
        </w:tc>
      </w:tr>
      <w:tr w:rsidR="00C54DD2" w14:paraId="7A446CC3" w14:textId="77777777" w:rsidTr="008141F2">
        <w:trPr>
          <w:trHeight w:val="300"/>
        </w:trPr>
        <w:tc>
          <w:tcPr>
            <w:tcW w:w="1260" w:type="dxa"/>
            <w:tcBorders>
              <w:top w:val="nil"/>
              <w:left w:val="nil"/>
              <w:bottom w:val="nil"/>
              <w:right w:val="nil"/>
            </w:tcBorders>
            <w:shd w:val="clear" w:color="auto" w:fill="auto"/>
            <w:vAlign w:val="bottom"/>
          </w:tcPr>
          <w:p w14:paraId="0F482C17" w14:textId="77777777" w:rsidR="00C54DD2" w:rsidRDefault="00C54DD2" w:rsidP="008141F2">
            <w:pPr>
              <w:jc w:val="center"/>
              <w:rPr>
                <w:rFonts w:ascii="Calibri" w:eastAsia="Calibri" w:hAnsi="Calibri" w:cs="Calibri"/>
              </w:rPr>
            </w:pPr>
            <w:r>
              <w:rPr>
                <w:rFonts w:ascii="Calibri" w:eastAsia="Calibri" w:hAnsi="Calibri" w:cs="Calibri"/>
              </w:rPr>
              <w:t>{23, 24}</w:t>
            </w:r>
          </w:p>
        </w:tc>
        <w:tc>
          <w:tcPr>
            <w:tcW w:w="2070" w:type="dxa"/>
            <w:tcBorders>
              <w:top w:val="nil"/>
              <w:left w:val="nil"/>
              <w:bottom w:val="nil"/>
              <w:right w:val="nil"/>
            </w:tcBorders>
            <w:shd w:val="clear" w:color="auto" w:fill="auto"/>
            <w:vAlign w:val="bottom"/>
          </w:tcPr>
          <w:p w14:paraId="5ED02DAB" w14:textId="77777777" w:rsidR="00C54DD2" w:rsidRDefault="00C54DD2" w:rsidP="008141F2">
            <w:pPr>
              <w:jc w:val="center"/>
              <w:rPr>
                <w:rFonts w:ascii="Calibri" w:eastAsia="Calibri" w:hAnsi="Calibri" w:cs="Calibri"/>
              </w:rPr>
            </w:pPr>
            <w:r>
              <w:rPr>
                <w:rFonts w:ascii="Calibri" w:eastAsia="Calibri" w:hAnsi="Calibri" w:cs="Calibri"/>
              </w:rPr>
              <w:t>{23, 24}</w:t>
            </w:r>
          </w:p>
        </w:tc>
        <w:tc>
          <w:tcPr>
            <w:tcW w:w="1035" w:type="dxa"/>
            <w:tcBorders>
              <w:top w:val="nil"/>
              <w:left w:val="nil"/>
              <w:bottom w:val="nil"/>
              <w:right w:val="nil"/>
            </w:tcBorders>
            <w:shd w:val="clear" w:color="auto" w:fill="auto"/>
            <w:vAlign w:val="bottom"/>
          </w:tcPr>
          <w:p w14:paraId="7374E59D"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6699B8D6" w14:textId="77777777" w:rsidR="00C54DD2" w:rsidRDefault="00C54DD2" w:rsidP="008141F2">
            <w:pPr>
              <w:jc w:val="center"/>
              <w:rPr>
                <w:sz w:val="20"/>
                <w:szCs w:val="20"/>
              </w:rPr>
            </w:pPr>
          </w:p>
        </w:tc>
        <w:tc>
          <w:tcPr>
            <w:tcW w:w="2160" w:type="dxa"/>
            <w:tcBorders>
              <w:top w:val="nil"/>
              <w:left w:val="nil"/>
              <w:bottom w:val="nil"/>
              <w:right w:val="nil"/>
            </w:tcBorders>
            <w:shd w:val="clear" w:color="auto" w:fill="auto"/>
            <w:vAlign w:val="bottom"/>
          </w:tcPr>
          <w:p w14:paraId="3254CCE0" w14:textId="77777777" w:rsidR="00C54DD2" w:rsidRDefault="00C54DD2" w:rsidP="008141F2">
            <w:pPr>
              <w:jc w:val="center"/>
              <w:rPr>
                <w:sz w:val="20"/>
                <w:szCs w:val="20"/>
              </w:rPr>
            </w:pPr>
          </w:p>
        </w:tc>
      </w:tr>
      <w:tr w:rsidR="00C54DD2" w14:paraId="2CF7CD9D" w14:textId="77777777" w:rsidTr="008141F2">
        <w:trPr>
          <w:trHeight w:val="300"/>
        </w:trPr>
        <w:tc>
          <w:tcPr>
            <w:tcW w:w="1260" w:type="dxa"/>
            <w:tcBorders>
              <w:top w:val="nil"/>
              <w:left w:val="nil"/>
              <w:bottom w:val="nil"/>
              <w:right w:val="nil"/>
            </w:tcBorders>
            <w:shd w:val="clear" w:color="auto" w:fill="auto"/>
            <w:vAlign w:val="bottom"/>
          </w:tcPr>
          <w:p w14:paraId="2E0D684E" w14:textId="77777777" w:rsidR="00C54DD2" w:rsidRDefault="00C54DD2" w:rsidP="008141F2">
            <w:pPr>
              <w:jc w:val="center"/>
              <w:rPr>
                <w:sz w:val="20"/>
                <w:szCs w:val="20"/>
              </w:rPr>
            </w:pPr>
          </w:p>
        </w:tc>
        <w:tc>
          <w:tcPr>
            <w:tcW w:w="2070" w:type="dxa"/>
            <w:tcBorders>
              <w:top w:val="nil"/>
              <w:left w:val="nil"/>
              <w:bottom w:val="nil"/>
              <w:right w:val="nil"/>
            </w:tcBorders>
            <w:shd w:val="clear" w:color="auto" w:fill="auto"/>
            <w:vAlign w:val="bottom"/>
          </w:tcPr>
          <w:p w14:paraId="53674EBA" w14:textId="77777777" w:rsidR="00C54DD2" w:rsidRDefault="00C54DD2" w:rsidP="008141F2">
            <w:pPr>
              <w:jc w:val="center"/>
              <w:rPr>
                <w:sz w:val="20"/>
                <w:szCs w:val="20"/>
              </w:rPr>
            </w:pPr>
          </w:p>
        </w:tc>
        <w:tc>
          <w:tcPr>
            <w:tcW w:w="1035" w:type="dxa"/>
            <w:tcBorders>
              <w:top w:val="nil"/>
              <w:left w:val="nil"/>
              <w:bottom w:val="nil"/>
              <w:right w:val="nil"/>
            </w:tcBorders>
            <w:shd w:val="clear" w:color="auto" w:fill="auto"/>
            <w:vAlign w:val="bottom"/>
          </w:tcPr>
          <w:p w14:paraId="3D441FF8" w14:textId="77777777" w:rsidR="00C54DD2" w:rsidRDefault="00C54DD2" w:rsidP="008141F2">
            <w:pPr>
              <w:jc w:val="center"/>
              <w:rPr>
                <w:sz w:val="20"/>
                <w:szCs w:val="20"/>
              </w:rPr>
            </w:pPr>
          </w:p>
        </w:tc>
        <w:tc>
          <w:tcPr>
            <w:tcW w:w="1575" w:type="dxa"/>
            <w:tcBorders>
              <w:top w:val="nil"/>
              <w:left w:val="nil"/>
              <w:bottom w:val="nil"/>
              <w:right w:val="nil"/>
            </w:tcBorders>
            <w:shd w:val="clear" w:color="auto" w:fill="auto"/>
            <w:vAlign w:val="bottom"/>
          </w:tcPr>
          <w:p w14:paraId="798B443B" w14:textId="77777777" w:rsidR="00C54DD2" w:rsidRDefault="00C54DD2" w:rsidP="008141F2">
            <w:pPr>
              <w:jc w:val="center"/>
              <w:rPr>
                <w:rFonts w:ascii="Calibri" w:eastAsia="Calibri" w:hAnsi="Calibri" w:cs="Calibri"/>
              </w:rPr>
            </w:pPr>
            <w:r>
              <w:rPr>
                <w:rFonts w:ascii="Calibri" w:eastAsia="Calibri" w:hAnsi="Calibri" w:cs="Calibri"/>
              </w:rPr>
              <w:t>{25, 26, 27}</w:t>
            </w:r>
          </w:p>
        </w:tc>
        <w:tc>
          <w:tcPr>
            <w:tcW w:w="2160" w:type="dxa"/>
            <w:tcBorders>
              <w:top w:val="nil"/>
              <w:left w:val="nil"/>
              <w:bottom w:val="nil"/>
              <w:right w:val="nil"/>
            </w:tcBorders>
            <w:shd w:val="clear" w:color="auto" w:fill="auto"/>
            <w:vAlign w:val="bottom"/>
          </w:tcPr>
          <w:p w14:paraId="6EC59526" w14:textId="77777777" w:rsidR="00C54DD2" w:rsidRDefault="00C54DD2" w:rsidP="008141F2">
            <w:pPr>
              <w:jc w:val="center"/>
              <w:rPr>
                <w:rFonts w:ascii="Calibri" w:eastAsia="Calibri" w:hAnsi="Calibri" w:cs="Calibri"/>
              </w:rPr>
            </w:pPr>
            <w:r>
              <w:rPr>
                <w:rFonts w:ascii="Calibri" w:eastAsia="Calibri" w:hAnsi="Calibri" w:cs="Calibri"/>
              </w:rPr>
              <w:t>{25, 26, 27}</w:t>
            </w:r>
          </w:p>
        </w:tc>
      </w:tr>
      <w:tr w:rsidR="00C54DD2" w14:paraId="4E127B3A" w14:textId="77777777" w:rsidTr="008141F2">
        <w:trPr>
          <w:trHeight w:val="300"/>
        </w:trPr>
        <w:tc>
          <w:tcPr>
            <w:tcW w:w="1260" w:type="dxa"/>
            <w:tcBorders>
              <w:top w:val="nil"/>
              <w:left w:val="nil"/>
              <w:bottom w:val="nil"/>
              <w:right w:val="nil"/>
            </w:tcBorders>
            <w:shd w:val="clear" w:color="auto" w:fill="auto"/>
            <w:vAlign w:val="bottom"/>
          </w:tcPr>
          <w:p w14:paraId="3997CEC9" w14:textId="77777777" w:rsidR="00C54DD2" w:rsidRDefault="00C54DD2" w:rsidP="008141F2">
            <w:pPr>
              <w:jc w:val="center"/>
              <w:rPr>
                <w:rFonts w:ascii="Calibri" w:eastAsia="Calibri" w:hAnsi="Calibri" w:cs="Calibri"/>
              </w:rPr>
            </w:pPr>
          </w:p>
        </w:tc>
        <w:tc>
          <w:tcPr>
            <w:tcW w:w="2070" w:type="dxa"/>
            <w:tcBorders>
              <w:top w:val="nil"/>
              <w:left w:val="nil"/>
              <w:bottom w:val="nil"/>
              <w:right w:val="nil"/>
            </w:tcBorders>
            <w:shd w:val="clear" w:color="auto" w:fill="auto"/>
            <w:vAlign w:val="bottom"/>
          </w:tcPr>
          <w:p w14:paraId="0FE4CB31" w14:textId="77777777" w:rsidR="00C54DD2" w:rsidRDefault="00C54DD2" w:rsidP="008141F2">
            <w:pPr>
              <w:jc w:val="center"/>
              <w:rPr>
                <w:sz w:val="20"/>
                <w:szCs w:val="20"/>
              </w:rPr>
            </w:pPr>
          </w:p>
        </w:tc>
        <w:tc>
          <w:tcPr>
            <w:tcW w:w="1035" w:type="dxa"/>
            <w:tcBorders>
              <w:top w:val="nil"/>
              <w:left w:val="nil"/>
              <w:bottom w:val="nil"/>
              <w:right w:val="nil"/>
            </w:tcBorders>
            <w:shd w:val="clear" w:color="auto" w:fill="auto"/>
            <w:vAlign w:val="bottom"/>
          </w:tcPr>
          <w:p w14:paraId="5753C5EE" w14:textId="77777777" w:rsidR="00C54DD2" w:rsidRDefault="00C54DD2" w:rsidP="008141F2">
            <w:pPr>
              <w:jc w:val="center"/>
              <w:rPr>
                <w:sz w:val="20"/>
                <w:szCs w:val="20"/>
              </w:rPr>
            </w:pPr>
          </w:p>
        </w:tc>
        <w:tc>
          <w:tcPr>
            <w:tcW w:w="1575" w:type="dxa"/>
            <w:tcBorders>
              <w:top w:val="nil"/>
              <w:left w:val="nil"/>
              <w:bottom w:val="nil"/>
              <w:right w:val="nil"/>
            </w:tcBorders>
            <w:shd w:val="clear" w:color="auto" w:fill="auto"/>
            <w:vAlign w:val="bottom"/>
          </w:tcPr>
          <w:p w14:paraId="43DD1EF7" w14:textId="77777777" w:rsidR="00C54DD2" w:rsidRDefault="00C54DD2" w:rsidP="008141F2">
            <w:pPr>
              <w:jc w:val="center"/>
              <w:rPr>
                <w:rFonts w:ascii="Calibri" w:eastAsia="Calibri" w:hAnsi="Calibri" w:cs="Calibri"/>
              </w:rPr>
            </w:pPr>
            <w:r>
              <w:rPr>
                <w:rFonts w:ascii="Calibri" w:eastAsia="Calibri" w:hAnsi="Calibri" w:cs="Calibri"/>
              </w:rPr>
              <w:t>{28, 29, 30, 31}</w:t>
            </w:r>
          </w:p>
        </w:tc>
        <w:tc>
          <w:tcPr>
            <w:tcW w:w="2160" w:type="dxa"/>
            <w:tcBorders>
              <w:top w:val="nil"/>
              <w:left w:val="nil"/>
              <w:bottom w:val="nil"/>
              <w:right w:val="nil"/>
            </w:tcBorders>
            <w:shd w:val="clear" w:color="auto" w:fill="auto"/>
            <w:vAlign w:val="bottom"/>
          </w:tcPr>
          <w:p w14:paraId="14F9CBF7" w14:textId="77777777" w:rsidR="00C54DD2" w:rsidRDefault="00C54DD2" w:rsidP="008141F2">
            <w:pPr>
              <w:jc w:val="center"/>
              <w:rPr>
                <w:rFonts w:ascii="Calibri" w:eastAsia="Calibri" w:hAnsi="Calibri" w:cs="Calibri"/>
              </w:rPr>
            </w:pPr>
            <w:r>
              <w:rPr>
                <w:rFonts w:ascii="Calibri" w:eastAsia="Calibri" w:hAnsi="Calibri" w:cs="Calibri"/>
              </w:rPr>
              <w:t>{28, 29, 30, 31}</w:t>
            </w:r>
          </w:p>
        </w:tc>
      </w:tr>
      <w:tr w:rsidR="00C54DD2" w14:paraId="27A2EDC6" w14:textId="77777777" w:rsidTr="008141F2">
        <w:trPr>
          <w:trHeight w:val="300"/>
        </w:trPr>
        <w:tc>
          <w:tcPr>
            <w:tcW w:w="1260" w:type="dxa"/>
            <w:tcBorders>
              <w:top w:val="nil"/>
              <w:left w:val="nil"/>
              <w:bottom w:val="nil"/>
              <w:right w:val="nil"/>
            </w:tcBorders>
            <w:shd w:val="clear" w:color="auto" w:fill="auto"/>
            <w:vAlign w:val="bottom"/>
          </w:tcPr>
          <w:p w14:paraId="360E3843" w14:textId="77777777" w:rsidR="00C54DD2" w:rsidRDefault="00C54DD2" w:rsidP="008141F2">
            <w:pPr>
              <w:jc w:val="center"/>
              <w:rPr>
                <w:rFonts w:ascii="Calibri" w:eastAsia="Calibri" w:hAnsi="Calibri" w:cs="Calibri"/>
              </w:rPr>
            </w:pPr>
          </w:p>
        </w:tc>
        <w:tc>
          <w:tcPr>
            <w:tcW w:w="2070" w:type="dxa"/>
            <w:tcBorders>
              <w:top w:val="nil"/>
              <w:left w:val="nil"/>
              <w:bottom w:val="nil"/>
              <w:right w:val="nil"/>
            </w:tcBorders>
            <w:shd w:val="clear" w:color="auto" w:fill="auto"/>
            <w:vAlign w:val="bottom"/>
          </w:tcPr>
          <w:p w14:paraId="5A913429" w14:textId="77777777" w:rsidR="00C54DD2" w:rsidRDefault="00C54DD2" w:rsidP="008141F2">
            <w:pPr>
              <w:jc w:val="center"/>
              <w:rPr>
                <w:rFonts w:ascii="Calibri" w:eastAsia="Calibri" w:hAnsi="Calibri" w:cs="Calibri"/>
              </w:rPr>
            </w:pPr>
            <w:r>
              <w:rPr>
                <w:rFonts w:ascii="Calibri" w:eastAsia="Calibri" w:hAnsi="Calibri" w:cs="Calibri"/>
              </w:rPr>
              <w:t>33</w:t>
            </w:r>
          </w:p>
        </w:tc>
        <w:tc>
          <w:tcPr>
            <w:tcW w:w="1035" w:type="dxa"/>
            <w:tcBorders>
              <w:top w:val="nil"/>
              <w:left w:val="nil"/>
              <w:bottom w:val="nil"/>
              <w:right w:val="nil"/>
            </w:tcBorders>
            <w:shd w:val="clear" w:color="auto" w:fill="auto"/>
            <w:vAlign w:val="bottom"/>
          </w:tcPr>
          <w:p w14:paraId="0F8AF039"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602E80B0" w14:textId="77777777" w:rsidR="00C54DD2" w:rsidRDefault="00C54DD2" w:rsidP="008141F2">
            <w:pPr>
              <w:jc w:val="center"/>
              <w:rPr>
                <w:rFonts w:ascii="Calibri" w:eastAsia="Calibri" w:hAnsi="Calibri" w:cs="Calibri"/>
              </w:rPr>
            </w:pPr>
            <w:r>
              <w:rPr>
                <w:rFonts w:ascii="Calibri" w:eastAsia="Calibri" w:hAnsi="Calibri" w:cs="Calibri"/>
              </w:rPr>
              <w:t>33</w:t>
            </w:r>
          </w:p>
        </w:tc>
        <w:tc>
          <w:tcPr>
            <w:tcW w:w="2160" w:type="dxa"/>
            <w:tcBorders>
              <w:top w:val="nil"/>
              <w:left w:val="nil"/>
              <w:bottom w:val="nil"/>
              <w:right w:val="nil"/>
            </w:tcBorders>
            <w:shd w:val="clear" w:color="auto" w:fill="auto"/>
            <w:vAlign w:val="bottom"/>
          </w:tcPr>
          <w:p w14:paraId="730BD2CD" w14:textId="77777777" w:rsidR="00C54DD2" w:rsidRDefault="00C54DD2" w:rsidP="008141F2">
            <w:pPr>
              <w:jc w:val="center"/>
              <w:rPr>
                <w:rFonts w:ascii="Calibri" w:eastAsia="Calibri" w:hAnsi="Calibri" w:cs="Calibri"/>
              </w:rPr>
            </w:pPr>
          </w:p>
        </w:tc>
      </w:tr>
      <w:tr w:rsidR="00C54DD2" w14:paraId="0774D9F1" w14:textId="77777777" w:rsidTr="008141F2">
        <w:trPr>
          <w:trHeight w:val="300"/>
        </w:trPr>
        <w:tc>
          <w:tcPr>
            <w:tcW w:w="1260" w:type="dxa"/>
            <w:tcBorders>
              <w:top w:val="nil"/>
              <w:left w:val="nil"/>
              <w:bottom w:val="nil"/>
              <w:right w:val="nil"/>
            </w:tcBorders>
            <w:shd w:val="clear" w:color="auto" w:fill="auto"/>
            <w:vAlign w:val="bottom"/>
          </w:tcPr>
          <w:p w14:paraId="30887C9A" w14:textId="77777777" w:rsidR="00C54DD2" w:rsidRDefault="00C54DD2" w:rsidP="008141F2">
            <w:pPr>
              <w:jc w:val="center"/>
              <w:rPr>
                <w:sz w:val="20"/>
                <w:szCs w:val="20"/>
              </w:rPr>
            </w:pPr>
          </w:p>
        </w:tc>
        <w:tc>
          <w:tcPr>
            <w:tcW w:w="2070" w:type="dxa"/>
            <w:tcBorders>
              <w:top w:val="nil"/>
              <w:left w:val="nil"/>
              <w:bottom w:val="nil"/>
              <w:right w:val="nil"/>
            </w:tcBorders>
            <w:shd w:val="clear" w:color="auto" w:fill="auto"/>
            <w:vAlign w:val="bottom"/>
          </w:tcPr>
          <w:p w14:paraId="7F20F835" w14:textId="77777777" w:rsidR="00C54DD2" w:rsidRDefault="00C54DD2" w:rsidP="008141F2">
            <w:pPr>
              <w:jc w:val="center"/>
              <w:rPr>
                <w:sz w:val="20"/>
                <w:szCs w:val="20"/>
              </w:rPr>
            </w:pPr>
          </w:p>
        </w:tc>
        <w:tc>
          <w:tcPr>
            <w:tcW w:w="1035" w:type="dxa"/>
            <w:tcBorders>
              <w:top w:val="nil"/>
              <w:left w:val="nil"/>
              <w:bottom w:val="nil"/>
              <w:right w:val="nil"/>
            </w:tcBorders>
            <w:shd w:val="clear" w:color="auto" w:fill="auto"/>
            <w:vAlign w:val="bottom"/>
          </w:tcPr>
          <w:p w14:paraId="2EDF0869" w14:textId="77777777" w:rsidR="00C54DD2" w:rsidRDefault="00C54DD2" w:rsidP="008141F2">
            <w:pPr>
              <w:jc w:val="center"/>
              <w:rPr>
                <w:sz w:val="20"/>
                <w:szCs w:val="20"/>
              </w:rPr>
            </w:pPr>
          </w:p>
        </w:tc>
        <w:tc>
          <w:tcPr>
            <w:tcW w:w="1575" w:type="dxa"/>
            <w:tcBorders>
              <w:top w:val="nil"/>
              <w:left w:val="nil"/>
              <w:bottom w:val="nil"/>
              <w:right w:val="nil"/>
            </w:tcBorders>
            <w:shd w:val="clear" w:color="auto" w:fill="auto"/>
            <w:vAlign w:val="bottom"/>
          </w:tcPr>
          <w:p w14:paraId="3D526110" w14:textId="77777777" w:rsidR="00C54DD2" w:rsidRDefault="00C54DD2" w:rsidP="008141F2">
            <w:pPr>
              <w:jc w:val="center"/>
              <w:rPr>
                <w:rFonts w:ascii="Calibri" w:eastAsia="Calibri" w:hAnsi="Calibri" w:cs="Calibri"/>
              </w:rPr>
            </w:pPr>
            <w:r>
              <w:rPr>
                <w:rFonts w:ascii="Calibri" w:eastAsia="Calibri" w:hAnsi="Calibri" w:cs="Calibri"/>
              </w:rPr>
              <w:t>{34, 35}</w:t>
            </w:r>
          </w:p>
        </w:tc>
        <w:tc>
          <w:tcPr>
            <w:tcW w:w="2160" w:type="dxa"/>
            <w:tcBorders>
              <w:top w:val="nil"/>
              <w:left w:val="nil"/>
              <w:bottom w:val="nil"/>
              <w:right w:val="nil"/>
            </w:tcBorders>
            <w:shd w:val="clear" w:color="auto" w:fill="auto"/>
            <w:vAlign w:val="bottom"/>
          </w:tcPr>
          <w:p w14:paraId="1C627024" w14:textId="77777777" w:rsidR="00C54DD2" w:rsidRDefault="00C54DD2" w:rsidP="008141F2">
            <w:pPr>
              <w:jc w:val="center"/>
              <w:rPr>
                <w:rFonts w:ascii="Calibri" w:eastAsia="Calibri" w:hAnsi="Calibri" w:cs="Calibri"/>
              </w:rPr>
            </w:pPr>
            <w:r>
              <w:rPr>
                <w:rFonts w:ascii="Calibri" w:eastAsia="Calibri" w:hAnsi="Calibri" w:cs="Calibri"/>
              </w:rPr>
              <w:t>{34, 35}</w:t>
            </w:r>
          </w:p>
        </w:tc>
      </w:tr>
      <w:tr w:rsidR="00C54DD2" w14:paraId="2DC221F3" w14:textId="77777777" w:rsidTr="008141F2">
        <w:trPr>
          <w:trHeight w:val="300"/>
        </w:trPr>
        <w:tc>
          <w:tcPr>
            <w:tcW w:w="1260" w:type="dxa"/>
            <w:tcBorders>
              <w:top w:val="nil"/>
              <w:left w:val="nil"/>
              <w:bottom w:val="nil"/>
              <w:right w:val="nil"/>
            </w:tcBorders>
            <w:shd w:val="clear" w:color="auto" w:fill="auto"/>
            <w:vAlign w:val="bottom"/>
          </w:tcPr>
          <w:p w14:paraId="28D9A342" w14:textId="77777777" w:rsidR="00C54DD2" w:rsidRDefault="00C54DD2" w:rsidP="008141F2">
            <w:pPr>
              <w:jc w:val="center"/>
              <w:rPr>
                <w:rFonts w:ascii="Calibri" w:eastAsia="Calibri" w:hAnsi="Calibri" w:cs="Calibri"/>
              </w:rPr>
            </w:pPr>
            <w:r>
              <w:rPr>
                <w:rFonts w:ascii="Calibri" w:eastAsia="Calibri" w:hAnsi="Calibri" w:cs="Calibri"/>
              </w:rPr>
              <w:t>36</w:t>
            </w:r>
          </w:p>
        </w:tc>
        <w:tc>
          <w:tcPr>
            <w:tcW w:w="2070" w:type="dxa"/>
            <w:tcBorders>
              <w:top w:val="nil"/>
              <w:left w:val="nil"/>
              <w:bottom w:val="nil"/>
              <w:right w:val="nil"/>
            </w:tcBorders>
            <w:shd w:val="clear" w:color="auto" w:fill="auto"/>
            <w:vAlign w:val="bottom"/>
          </w:tcPr>
          <w:p w14:paraId="4058D100" w14:textId="77777777" w:rsidR="00C54DD2" w:rsidRDefault="00C54DD2" w:rsidP="008141F2">
            <w:pPr>
              <w:jc w:val="center"/>
              <w:rPr>
                <w:rFonts w:ascii="Calibri" w:eastAsia="Calibri" w:hAnsi="Calibri" w:cs="Calibri"/>
              </w:rPr>
            </w:pPr>
            <w:r>
              <w:rPr>
                <w:rFonts w:ascii="Calibri" w:eastAsia="Calibri" w:hAnsi="Calibri" w:cs="Calibri"/>
              </w:rPr>
              <w:t>36</w:t>
            </w:r>
          </w:p>
        </w:tc>
        <w:tc>
          <w:tcPr>
            <w:tcW w:w="1035" w:type="dxa"/>
            <w:tcBorders>
              <w:top w:val="nil"/>
              <w:left w:val="nil"/>
              <w:bottom w:val="nil"/>
              <w:right w:val="nil"/>
            </w:tcBorders>
            <w:shd w:val="clear" w:color="auto" w:fill="auto"/>
            <w:vAlign w:val="bottom"/>
          </w:tcPr>
          <w:p w14:paraId="2A56C56B"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5DE05A3C" w14:textId="77777777" w:rsidR="00C54DD2" w:rsidRDefault="00C54DD2" w:rsidP="008141F2">
            <w:pPr>
              <w:jc w:val="center"/>
              <w:rPr>
                <w:sz w:val="20"/>
                <w:szCs w:val="20"/>
              </w:rPr>
            </w:pPr>
          </w:p>
        </w:tc>
        <w:tc>
          <w:tcPr>
            <w:tcW w:w="2160" w:type="dxa"/>
            <w:tcBorders>
              <w:top w:val="nil"/>
              <w:left w:val="nil"/>
              <w:bottom w:val="nil"/>
              <w:right w:val="nil"/>
            </w:tcBorders>
            <w:shd w:val="clear" w:color="auto" w:fill="auto"/>
            <w:vAlign w:val="bottom"/>
          </w:tcPr>
          <w:p w14:paraId="02F28AC4" w14:textId="77777777" w:rsidR="00C54DD2" w:rsidRDefault="00C54DD2" w:rsidP="008141F2">
            <w:pPr>
              <w:jc w:val="center"/>
              <w:rPr>
                <w:sz w:val="20"/>
                <w:szCs w:val="20"/>
              </w:rPr>
            </w:pPr>
          </w:p>
        </w:tc>
      </w:tr>
      <w:tr w:rsidR="00C54DD2" w14:paraId="359C2CE8" w14:textId="77777777" w:rsidTr="008141F2">
        <w:trPr>
          <w:trHeight w:val="300"/>
        </w:trPr>
        <w:tc>
          <w:tcPr>
            <w:tcW w:w="1260" w:type="dxa"/>
            <w:tcBorders>
              <w:top w:val="nil"/>
              <w:left w:val="nil"/>
              <w:bottom w:val="nil"/>
              <w:right w:val="nil"/>
            </w:tcBorders>
            <w:shd w:val="clear" w:color="auto" w:fill="auto"/>
            <w:vAlign w:val="bottom"/>
          </w:tcPr>
          <w:p w14:paraId="0B9D2938" w14:textId="77777777" w:rsidR="00C54DD2" w:rsidRDefault="00C54DD2" w:rsidP="008141F2">
            <w:pPr>
              <w:jc w:val="center"/>
              <w:rPr>
                <w:sz w:val="20"/>
                <w:szCs w:val="20"/>
              </w:rPr>
            </w:pPr>
          </w:p>
        </w:tc>
        <w:tc>
          <w:tcPr>
            <w:tcW w:w="2070" w:type="dxa"/>
            <w:tcBorders>
              <w:top w:val="nil"/>
              <w:left w:val="nil"/>
              <w:bottom w:val="nil"/>
              <w:right w:val="nil"/>
            </w:tcBorders>
            <w:shd w:val="clear" w:color="auto" w:fill="auto"/>
            <w:vAlign w:val="bottom"/>
          </w:tcPr>
          <w:p w14:paraId="27430DD4" w14:textId="77777777" w:rsidR="00C54DD2" w:rsidRDefault="00C54DD2" w:rsidP="008141F2">
            <w:pPr>
              <w:jc w:val="center"/>
              <w:rPr>
                <w:rFonts w:ascii="Calibri" w:eastAsia="Calibri" w:hAnsi="Calibri" w:cs="Calibri"/>
              </w:rPr>
            </w:pPr>
            <w:r>
              <w:rPr>
                <w:rFonts w:ascii="Calibri" w:eastAsia="Calibri" w:hAnsi="Calibri" w:cs="Calibri"/>
              </w:rPr>
              <w:t>37</w:t>
            </w:r>
          </w:p>
        </w:tc>
        <w:tc>
          <w:tcPr>
            <w:tcW w:w="1035" w:type="dxa"/>
            <w:tcBorders>
              <w:top w:val="nil"/>
              <w:left w:val="nil"/>
              <w:bottom w:val="nil"/>
              <w:right w:val="nil"/>
            </w:tcBorders>
            <w:shd w:val="clear" w:color="auto" w:fill="auto"/>
            <w:vAlign w:val="bottom"/>
          </w:tcPr>
          <w:p w14:paraId="5276589A"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2131FCF0" w14:textId="77777777" w:rsidR="00C54DD2" w:rsidRDefault="00C54DD2" w:rsidP="008141F2">
            <w:pPr>
              <w:jc w:val="center"/>
              <w:rPr>
                <w:rFonts w:ascii="Calibri" w:eastAsia="Calibri" w:hAnsi="Calibri" w:cs="Calibri"/>
              </w:rPr>
            </w:pPr>
            <w:r>
              <w:rPr>
                <w:rFonts w:ascii="Calibri" w:eastAsia="Calibri" w:hAnsi="Calibri" w:cs="Calibri"/>
              </w:rPr>
              <w:t>37</w:t>
            </w:r>
          </w:p>
        </w:tc>
        <w:tc>
          <w:tcPr>
            <w:tcW w:w="2160" w:type="dxa"/>
            <w:tcBorders>
              <w:top w:val="nil"/>
              <w:left w:val="nil"/>
              <w:bottom w:val="nil"/>
              <w:right w:val="nil"/>
            </w:tcBorders>
            <w:shd w:val="clear" w:color="auto" w:fill="auto"/>
            <w:vAlign w:val="bottom"/>
          </w:tcPr>
          <w:p w14:paraId="15C159BC" w14:textId="77777777" w:rsidR="00C54DD2" w:rsidRDefault="00C54DD2" w:rsidP="008141F2">
            <w:pPr>
              <w:jc w:val="center"/>
              <w:rPr>
                <w:rFonts w:ascii="Calibri" w:eastAsia="Calibri" w:hAnsi="Calibri" w:cs="Calibri"/>
              </w:rPr>
            </w:pPr>
          </w:p>
        </w:tc>
      </w:tr>
      <w:tr w:rsidR="00C54DD2" w14:paraId="0A503F5E" w14:textId="77777777" w:rsidTr="008141F2">
        <w:trPr>
          <w:trHeight w:val="300"/>
        </w:trPr>
        <w:tc>
          <w:tcPr>
            <w:tcW w:w="1260" w:type="dxa"/>
            <w:tcBorders>
              <w:top w:val="nil"/>
              <w:left w:val="nil"/>
              <w:bottom w:val="nil"/>
              <w:right w:val="nil"/>
            </w:tcBorders>
            <w:shd w:val="clear" w:color="auto" w:fill="auto"/>
            <w:vAlign w:val="bottom"/>
          </w:tcPr>
          <w:p w14:paraId="43738F2E" w14:textId="77777777" w:rsidR="00C54DD2" w:rsidRDefault="00C54DD2" w:rsidP="008141F2">
            <w:pPr>
              <w:jc w:val="center"/>
              <w:rPr>
                <w:sz w:val="20"/>
                <w:szCs w:val="20"/>
              </w:rPr>
            </w:pPr>
          </w:p>
        </w:tc>
        <w:tc>
          <w:tcPr>
            <w:tcW w:w="2070" w:type="dxa"/>
            <w:tcBorders>
              <w:top w:val="nil"/>
              <w:left w:val="nil"/>
              <w:bottom w:val="nil"/>
              <w:right w:val="nil"/>
            </w:tcBorders>
            <w:shd w:val="clear" w:color="auto" w:fill="auto"/>
            <w:vAlign w:val="bottom"/>
          </w:tcPr>
          <w:p w14:paraId="4348BBD1" w14:textId="77777777" w:rsidR="00C54DD2" w:rsidRDefault="00C54DD2" w:rsidP="008141F2">
            <w:pPr>
              <w:jc w:val="center"/>
              <w:rPr>
                <w:rFonts w:ascii="Calibri" w:eastAsia="Calibri" w:hAnsi="Calibri" w:cs="Calibri"/>
              </w:rPr>
            </w:pPr>
            <w:r>
              <w:rPr>
                <w:rFonts w:ascii="Calibri" w:eastAsia="Calibri" w:hAnsi="Calibri" w:cs="Calibri"/>
              </w:rPr>
              <w:t>38</w:t>
            </w:r>
          </w:p>
        </w:tc>
        <w:tc>
          <w:tcPr>
            <w:tcW w:w="1035" w:type="dxa"/>
            <w:tcBorders>
              <w:top w:val="nil"/>
              <w:left w:val="nil"/>
              <w:bottom w:val="nil"/>
              <w:right w:val="nil"/>
            </w:tcBorders>
            <w:shd w:val="clear" w:color="auto" w:fill="auto"/>
            <w:vAlign w:val="bottom"/>
          </w:tcPr>
          <w:p w14:paraId="585A0E2D" w14:textId="77777777" w:rsidR="00C54DD2" w:rsidRDefault="00C54DD2" w:rsidP="008141F2">
            <w:pPr>
              <w:jc w:val="center"/>
              <w:rPr>
                <w:rFonts w:ascii="Calibri" w:eastAsia="Calibri" w:hAnsi="Calibri" w:cs="Calibri"/>
              </w:rPr>
            </w:pPr>
          </w:p>
        </w:tc>
        <w:tc>
          <w:tcPr>
            <w:tcW w:w="1575" w:type="dxa"/>
            <w:tcBorders>
              <w:top w:val="nil"/>
              <w:left w:val="nil"/>
              <w:bottom w:val="nil"/>
              <w:right w:val="nil"/>
            </w:tcBorders>
            <w:shd w:val="clear" w:color="auto" w:fill="auto"/>
            <w:vAlign w:val="bottom"/>
          </w:tcPr>
          <w:p w14:paraId="11DEB89B" w14:textId="77777777" w:rsidR="00C54DD2" w:rsidRDefault="00C54DD2" w:rsidP="008141F2">
            <w:pPr>
              <w:jc w:val="center"/>
              <w:rPr>
                <w:rFonts w:ascii="Calibri" w:eastAsia="Calibri" w:hAnsi="Calibri" w:cs="Calibri"/>
              </w:rPr>
            </w:pPr>
            <w:r>
              <w:rPr>
                <w:rFonts w:ascii="Calibri" w:eastAsia="Calibri" w:hAnsi="Calibri" w:cs="Calibri"/>
              </w:rPr>
              <w:t>38</w:t>
            </w:r>
          </w:p>
        </w:tc>
        <w:tc>
          <w:tcPr>
            <w:tcW w:w="2160" w:type="dxa"/>
            <w:tcBorders>
              <w:top w:val="nil"/>
              <w:left w:val="nil"/>
              <w:bottom w:val="nil"/>
              <w:right w:val="nil"/>
            </w:tcBorders>
            <w:shd w:val="clear" w:color="auto" w:fill="auto"/>
            <w:vAlign w:val="bottom"/>
          </w:tcPr>
          <w:p w14:paraId="285CC723" w14:textId="77777777" w:rsidR="00C54DD2" w:rsidRDefault="00C54DD2" w:rsidP="008141F2">
            <w:pPr>
              <w:jc w:val="center"/>
              <w:rPr>
                <w:rFonts w:ascii="Calibri" w:eastAsia="Calibri" w:hAnsi="Calibri" w:cs="Calibri"/>
              </w:rPr>
            </w:pPr>
          </w:p>
        </w:tc>
      </w:tr>
      <w:tr w:rsidR="00C54DD2" w14:paraId="272F9696" w14:textId="77777777" w:rsidTr="008141F2">
        <w:trPr>
          <w:trHeight w:val="300"/>
        </w:trPr>
        <w:tc>
          <w:tcPr>
            <w:tcW w:w="1260" w:type="dxa"/>
            <w:tcBorders>
              <w:top w:val="nil"/>
              <w:left w:val="nil"/>
              <w:right w:val="nil"/>
            </w:tcBorders>
            <w:shd w:val="clear" w:color="auto" w:fill="auto"/>
            <w:vAlign w:val="bottom"/>
          </w:tcPr>
          <w:p w14:paraId="439BAEB9" w14:textId="77777777" w:rsidR="00C54DD2" w:rsidRDefault="00C54DD2" w:rsidP="008141F2">
            <w:pPr>
              <w:jc w:val="center"/>
              <w:rPr>
                <w:sz w:val="20"/>
                <w:szCs w:val="20"/>
              </w:rPr>
            </w:pPr>
          </w:p>
        </w:tc>
        <w:tc>
          <w:tcPr>
            <w:tcW w:w="2070" w:type="dxa"/>
            <w:tcBorders>
              <w:top w:val="nil"/>
              <w:left w:val="nil"/>
              <w:right w:val="nil"/>
            </w:tcBorders>
            <w:shd w:val="clear" w:color="auto" w:fill="auto"/>
            <w:vAlign w:val="bottom"/>
          </w:tcPr>
          <w:p w14:paraId="468AC42D" w14:textId="77777777" w:rsidR="00C54DD2" w:rsidRDefault="00C54DD2" w:rsidP="008141F2">
            <w:pPr>
              <w:jc w:val="center"/>
              <w:rPr>
                <w:rFonts w:ascii="Calibri" w:eastAsia="Calibri" w:hAnsi="Calibri" w:cs="Calibri"/>
              </w:rPr>
            </w:pPr>
            <w:r>
              <w:rPr>
                <w:rFonts w:ascii="Calibri" w:eastAsia="Calibri" w:hAnsi="Calibri" w:cs="Calibri"/>
              </w:rPr>
              <w:t>39</w:t>
            </w:r>
          </w:p>
        </w:tc>
        <w:tc>
          <w:tcPr>
            <w:tcW w:w="1035" w:type="dxa"/>
            <w:tcBorders>
              <w:top w:val="nil"/>
              <w:left w:val="nil"/>
              <w:right w:val="nil"/>
            </w:tcBorders>
            <w:shd w:val="clear" w:color="auto" w:fill="auto"/>
            <w:vAlign w:val="bottom"/>
          </w:tcPr>
          <w:p w14:paraId="5494CB70" w14:textId="77777777" w:rsidR="00C54DD2" w:rsidRDefault="00C54DD2" w:rsidP="008141F2">
            <w:pPr>
              <w:jc w:val="center"/>
              <w:rPr>
                <w:rFonts w:ascii="Calibri" w:eastAsia="Calibri" w:hAnsi="Calibri" w:cs="Calibri"/>
              </w:rPr>
            </w:pPr>
          </w:p>
        </w:tc>
        <w:tc>
          <w:tcPr>
            <w:tcW w:w="1575" w:type="dxa"/>
            <w:tcBorders>
              <w:top w:val="nil"/>
              <w:left w:val="nil"/>
              <w:right w:val="nil"/>
            </w:tcBorders>
            <w:shd w:val="clear" w:color="auto" w:fill="auto"/>
            <w:vAlign w:val="bottom"/>
          </w:tcPr>
          <w:p w14:paraId="6B4D6066" w14:textId="77777777" w:rsidR="00C54DD2" w:rsidRDefault="00C54DD2" w:rsidP="008141F2">
            <w:pPr>
              <w:jc w:val="center"/>
              <w:rPr>
                <w:rFonts w:ascii="Calibri" w:eastAsia="Calibri" w:hAnsi="Calibri" w:cs="Calibri"/>
              </w:rPr>
            </w:pPr>
            <w:r>
              <w:rPr>
                <w:rFonts w:ascii="Calibri" w:eastAsia="Calibri" w:hAnsi="Calibri" w:cs="Calibri"/>
              </w:rPr>
              <w:t>39</w:t>
            </w:r>
          </w:p>
        </w:tc>
        <w:tc>
          <w:tcPr>
            <w:tcW w:w="2160" w:type="dxa"/>
            <w:tcBorders>
              <w:top w:val="nil"/>
              <w:left w:val="nil"/>
              <w:right w:val="nil"/>
            </w:tcBorders>
            <w:shd w:val="clear" w:color="auto" w:fill="auto"/>
            <w:vAlign w:val="bottom"/>
          </w:tcPr>
          <w:p w14:paraId="12782BA8" w14:textId="77777777" w:rsidR="00C54DD2" w:rsidRDefault="00C54DD2" w:rsidP="008141F2">
            <w:pPr>
              <w:jc w:val="center"/>
              <w:rPr>
                <w:rFonts w:ascii="Calibri" w:eastAsia="Calibri" w:hAnsi="Calibri" w:cs="Calibri"/>
              </w:rPr>
            </w:pPr>
          </w:p>
        </w:tc>
      </w:tr>
      <w:tr w:rsidR="00C54DD2" w14:paraId="02914B85" w14:textId="77777777" w:rsidTr="008141F2">
        <w:trPr>
          <w:trHeight w:val="300"/>
        </w:trPr>
        <w:tc>
          <w:tcPr>
            <w:tcW w:w="1260" w:type="dxa"/>
            <w:tcBorders>
              <w:top w:val="nil"/>
              <w:left w:val="nil"/>
              <w:bottom w:val="single" w:sz="4" w:space="0" w:color="000000"/>
              <w:right w:val="nil"/>
            </w:tcBorders>
            <w:shd w:val="clear" w:color="auto" w:fill="auto"/>
            <w:vAlign w:val="bottom"/>
          </w:tcPr>
          <w:p w14:paraId="67B0C810" w14:textId="77777777" w:rsidR="00C54DD2" w:rsidRDefault="00C54DD2" w:rsidP="008141F2">
            <w:pPr>
              <w:jc w:val="center"/>
              <w:rPr>
                <w:sz w:val="20"/>
                <w:szCs w:val="20"/>
              </w:rPr>
            </w:pPr>
          </w:p>
        </w:tc>
        <w:tc>
          <w:tcPr>
            <w:tcW w:w="2070" w:type="dxa"/>
            <w:tcBorders>
              <w:top w:val="nil"/>
              <w:left w:val="nil"/>
              <w:bottom w:val="single" w:sz="4" w:space="0" w:color="000000"/>
              <w:right w:val="nil"/>
            </w:tcBorders>
            <w:shd w:val="clear" w:color="auto" w:fill="auto"/>
            <w:vAlign w:val="bottom"/>
          </w:tcPr>
          <w:p w14:paraId="03F80A46" w14:textId="77777777" w:rsidR="00C54DD2" w:rsidRDefault="00C54DD2" w:rsidP="008141F2">
            <w:pPr>
              <w:jc w:val="center"/>
              <w:rPr>
                <w:sz w:val="20"/>
                <w:szCs w:val="20"/>
              </w:rPr>
            </w:pPr>
          </w:p>
        </w:tc>
        <w:tc>
          <w:tcPr>
            <w:tcW w:w="1035" w:type="dxa"/>
            <w:tcBorders>
              <w:top w:val="nil"/>
              <w:left w:val="nil"/>
              <w:bottom w:val="single" w:sz="4" w:space="0" w:color="000000"/>
              <w:right w:val="nil"/>
            </w:tcBorders>
            <w:shd w:val="clear" w:color="auto" w:fill="auto"/>
            <w:vAlign w:val="bottom"/>
          </w:tcPr>
          <w:p w14:paraId="5DAEC797" w14:textId="77777777" w:rsidR="00C54DD2" w:rsidRDefault="00C54DD2" w:rsidP="008141F2">
            <w:pPr>
              <w:jc w:val="center"/>
              <w:rPr>
                <w:sz w:val="20"/>
                <w:szCs w:val="20"/>
              </w:rPr>
            </w:pPr>
          </w:p>
        </w:tc>
        <w:tc>
          <w:tcPr>
            <w:tcW w:w="1575" w:type="dxa"/>
            <w:tcBorders>
              <w:top w:val="nil"/>
              <w:left w:val="nil"/>
              <w:bottom w:val="single" w:sz="4" w:space="0" w:color="000000"/>
              <w:right w:val="nil"/>
            </w:tcBorders>
            <w:shd w:val="clear" w:color="auto" w:fill="auto"/>
            <w:vAlign w:val="bottom"/>
          </w:tcPr>
          <w:p w14:paraId="152BD37C" w14:textId="77777777" w:rsidR="00C54DD2" w:rsidRDefault="00C54DD2" w:rsidP="008141F2">
            <w:pPr>
              <w:jc w:val="center"/>
              <w:rPr>
                <w:rFonts w:ascii="Calibri" w:eastAsia="Calibri" w:hAnsi="Calibri" w:cs="Calibri"/>
              </w:rPr>
            </w:pPr>
            <w:r>
              <w:rPr>
                <w:rFonts w:ascii="Calibri" w:eastAsia="Calibri" w:hAnsi="Calibri" w:cs="Calibri"/>
              </w:rPr>
              <w:t>40</w:t>
            </w:r>
          </w:p>
        </w:tc>
        <w:tc>
          <w:tcPr>
            <w:tcW w:w="2160" w:type="dxa"/>
            <w:tcBorders>
              <w:top w:val="nil"/>
              <w:left w:val="nil"/>
              <w:bottom w:val="single" w:sz="4" w:space="0" w:color="000000"/>
              <w:right w:val="nil"/>
            </w:tcBorders>
            <w:shd w:val="clear" w:color="auto" w:fill="auto"/>
            <w:vAlign w:val="bottom"/>
          </w:tcPr>
          <w:p w14:paraId="4D5CF78A" w14:textId="77777777" w:rsidR="00C54DD2" w:rsidRDefault="00C54DD2" w:rsidP="008141F2">
            <w:pPr>
              <w:jc w:val="center"/>
              <w:rPr>
                <w:rFonts w:ascii="Calibri" w:eastAsia="Calibri" w:hAnsi="Calibri" w:cs="Calibri"/>
              </w:rPr>
            </w:pPr>
            <w:r>
              <w:rPr>
                <w:rFonts w:ascii="Calibri" w:eastAsia="Calibri" w:hAnsi="Calibri" w:cs="Calibri"/>
              </w:rPr>
              <w:t>40</w:t>
            </w:r>
          </w:p>
        </w:tc>
      </w:tr>
    </w:tbl>
    <w:p w14:paraId="5836024A" w14:textId="157188D0" w:rsidR="00C54DD2" w:rsidRDefault="00C54DD2">
      <w:pPr>
        <w:pBdr>
          <w:top w:val="nil"/>
          <w:left w:val="nil"/>
          <w:bottom w:val="nil"/>
          <w:right w:val="nil"/>
          <w:between w:val="nil"/>
        </w:pBdr>
        <w:spacing w:line="480" w:lineRule="auto"/>
        <w:ind w:firstLine="340"/>
        <w:rPr>
          <w:color w:val="000000"/>
        </w:rPr>
      </w:pPr>
    </w:p>
    <w:p w14:paraId="1E140BC1" w14:textId="77777777" w:rsidR="00327EE7" w:rsidRDefault="00327EE7" w:rsidP="00327EE7">
      <w:pPr>
        <w:pBdr>
          <w:top w:val="nil"/>
          <w:left w:val="nil"/>
          <w:bottom w:val="nil"/>
          <w:right w:val="nil"/>
          <w:between w:val="nil"/>
        </w:pBdr>
        <w:spacing w:line="480" w:lineRule="auto"/>
        <w:ind w:firstLine="340"/>
        <w:rPr>
          <w:color w:val="000000"/>
        </w:rPr>
      </w:pPr>
      <w:r>
        <w:rPr>
          <w:color w:val="000000"/>
        </w:rPr>
        <w:t xml:space="preserve">Examination of general factor item loadings </w:t>
      </w:r>
      <w:r>
        <w:t>from</w:t>
      </w:r>
      <w:r>
        <w:rPr>
          <w:color w:val="000000"/>
        </w:rPr>
        <w:t xml:space="preserve"> models </w:t>
      </w:r>
      <w:r>
        <w:t xml:space="preserve">fitted to student responses to three different randomly selected </w:t>
      </w:r>
      <w:r>
        <w:rPr>
          <w:color w:val="000000"/>
        </w:rPr>
        <w:t>subsamples of 15 items, as displayed in Table 8, shows consistency across the subsamples</w:t>
      </w:r>
      <w:r>
        <w:t xml:space="preserve">. Furthermore, unidimensional models only including items for each of the two hypothesized content domains of the two-topic bifactor model, descriptive </w:t>
      </w:r>
      <w:proofErr w:type="gramStart"/>
      <w:r>
        <w:t>statistics</w:t>
      </w:r>
      <w:proofErr w:type="gramEnd"/>
      <w:r>
        <w:t xml:space="preserve"> and inferential statistics, also generate similar item factor loadings.</w:t>
      </w:r>
      <w:r>
        <w:rPr>
          <w:color w:val="000000"/>
        </w:rPr>
        <w:t xml:space="preserve"> </w:t>
      </w:r>
      <w:r>
        <w:t xml:space="preserve">Thus, </w:t>
      </w:r>
      <w:r>
        <w:rPr>
          <w:color w:val="000000"/>
        </w:rPr>
        <w:t xml:space="preserve">the </w:t>
      </w:r>
      <w:r>
        <w:t>criteria</w:t>
      </w:r>
      <w:r>
        <w:rPr>
          <w:color w:val="000000"/>
        </w:rPr>
        <w:t xml:space="preserve"> set forth by </w:t>
      </w:r>
      <w:proofErr w:type="spellStart"/>
      <w:r>
        <w:rPr>
          <w:color w:val="000000"/>
        </w:rPr>
        <w:t>Reise</w:t>
      </w:r>
      <w:proofErr w:type="spellEnd"/>
      <w:r>
        <w:rPr>
          <w:color w:val="000000"/>
        </w:rPr>
        <w:t xml:space="preserve"> (2012) for general factor invariance in a bifactor model appears to be satisfied.  </w:t>
      </w:r>
    </w:p>
    <w:p w14:paraId="3F9A50A1" w14:textId="77777777" w:rsidR="00327EE7" w:rsidRDefault="00327EE7">
      <w:pPr>
        <w:pBdr>
          <w:top w:val="nil"/>
          <w:left w:val="nil"/>
          <w:bottom w:val="nil"/>
          <w:right w:val="nil"/>
          <w:between w:val="nil"/>
        </w:pBdr>
        <w:spacing w:line="480" w:lineRule="auto"/>
        <w:ind w:firstLine="340"/>
        <w:rPr>
          <w:color w:val="000000"/>
        </w:rPr>
      </w:pPr>
    </w:p>
    <w:p w14:paraId="52F0E70D" w14:textId="77777777" w:rsidR="00662F2A" w:rsidRDefault="00662F2A" w:rsidP="00662F2A">
      <w:pPr>
        <w:jc w:val="center"/>
        <w:rPr>
          <w:i/>
        </w:rPr>
      </w:pPr>
      <w:r>
        <w:rPr>
          <w:i/>
        </w:rPr>
        <w:lastRenderedPageBreak/>
        <w:t>Table 8. General factor loadings in the full model and models fitted to subsets of items</w:t>
      </w:r>
    </w:p>
    <w:p w14:paraId="7EDCC858" w14:textId="77777777" w:rsidR="00662F2A" w:rsidRDefault="00662F2A" w:rsidP="00662F2A">
      <w:pPr>
        <w:jc w:val="center"/>
        <w:rPr>
          <w:i/>
        </w:rPr>
      </w:pPr>
    </w:p>
    <w:tbl>
      <w:tblPr>
        <w:tblStyle w:val="a6"/>
        <w:tblW w:w="9450" w:type="dxa"/>
        <w:jc w:val="center"/>
        <w:tblLayout w:type="fixed"/>
        <w:tblLook w:val="0400" w:firstRow="0" w:lastRow="0" w:firstColumn="0" w:lastColumn="0" w:noHBand="0" w:noVBand="1"/>
      </w:tblPr>
      <w:tblGrid>
        <w:gridCol w:w="1635"/>
        <w:gridCol w:w="930"/>
        <w:gridCol w:w="1245"/>
        <w:gridCol w:w="1170"/>
        <w:gridCol w:w="1455"/>
        <w:gridCol w:w="1470"/>
        <w:gridCol w:w="1545"/>
      </w:tblGrid>
      <w:tr w:rsidR="00662F2A" w14:paraId="1DA55E8A" w14:textId="77777777" w:rsidTr="008141F2">
        <w:trPr>
          <w:trHeight w:val="300"/>
          <w:jc w:val="center"/>
        </w:trPr>
        <w:tc>
          <w:tcPr>
            <w:tcW w:w="1635" w:type="dxa"/>
            <w:tcBorders>
              <w:top w:val="nil"/>
              <w:left w:val="nil"/>
              <w:bottom w:val="single" w:sz="4" w:space="0" w:color="000000"/>
              <w:right w:val="nil"/>
            </w:tcBorders>
            <w:shd w:val="clear" w:color="auto" w:fill="auto"/>
            <w:vAlign w:val="bottom"/>
          </w:tcPr>
          <w:p w14:paraId="76FEC403" w14:textId="77777777" w:rsidR="00662F2A" w:rsidRDefault="00662F2A" w:rsidP="008141F2">
            <w:pPr>
              <w:jc w:val="center"/>
              <w:rPr>
                <w:rFonts w:ascii="Calibri" w:eastAsia="Calibri" w:hAnsi="Calibri" w:cs="Calibri"/>
              </w:rPr>
            </w:pPr>
          </w:p>
          <w:p w14:paraId="26B2A499" w14:textId="77777777" w:rsidR="00662F2A" w:rsidRDefault="00662F2A" w:rsidP="008141F2">
            <w:pPr>
              <w:jc w:val="center"/>
              <w:rPr>
                <w:rFonts w:ascii="Calibri" w:eastAsia="Calibri" w:hAnsi="Calibri" w:cs="Calibri"/>
              </w:rPr>
            </w:pPr>
            <w:r>
              <w:rPr>
                <w:rFonts w:ascii="Calibri" w:eastAsia="Calibri" w:hAnsi="Calibri" w:cs="Calibri"/>
              </w:rPr>
              <w:t>Item</w:t>
            </w:r>
          </w:p>
        </w:tc>
        <w:tc>
          <w:tcPr>
            <w:tcW w:w="930" w:type="dxa"/>
            <w:tcBorders>
              <w:top w:val="nil"/>
              <w:left w:val="nil"/>
              <w:bottom w:val="single" w:sz="4" w:space="0" w:color="000000"/>
              <w:right w:val="nil"/>
            </w:tcBorders>
            <w:shd w:val="clear" w:color="auto" w:fill="auto"/>
            <w:vAlign w:val="bottom"/>
          </w:tcPr>
          <w:p w14:paraId="2E613EA6" w14:textId="77777777" w:rsidR="00662F2A" w:rsidRDefault="00662F2A" w:rsidP="008141F2">
            <w:pPr>
              <w:jc w:val="center"/>
              <w:rPr>
                <w:rFonts w:ascii="Calibri" w:eastAsia="Calibri" w:hAnsi="Calibri" w:cs="Calibri"/>
              </w:rPr>
            </w:pPr>
            <w:r>
              <w:rPr>
                <w:rFonts w:ascii="Calibri" w:eastAsia="Calibri" w:hAnsi="Calibri" w:cs="Calibri"/>
              </w:rPr>
              <w:t>Full Model</w:t>
            </w:r>
          </w:p>
        </w:tc>
        <w:tc>
          <w:tcPr>
            <w:tcW w:w="1245" w:type="dxa"/>
            <w:tcBorders>
              <w:top w:val="nil"/>
              <w:left w:val="nil"/>
              <w:bottom w:val="single" w:sz="4" w:space="0" w:color="000000"/>
              <w:right w:val="nil"/>
            </w:tcBorders>
            <w:shd w:val="clear" w:color="auto" w:fill="auto"/>
            <w:vAlign w:val="bottom"/>
          </w:tcPr>
          <w:p w14:paraId="63AD4191" w14:textId="77777777" w:rsidR="00662F2A" w:rsidRDefault="00662F2A" w:rsidP="008141F2">
            <w:pPr>
              <w:jc w:val="center"/>
              <w:rPr>
                <w:rFonts w:ascii="Calibri" w:eastAsia="Calibri" w:hAnsi="Calibri" w:cs="Calibri"/>
              </w:rPr>
            </w:pPr>
            <w:r>
              <w:rPr>
                <w:rFonts w:ascii="Calibri" w:eastAsia="Calibri" w:hAnsi="Calibri" w:cs="Calibri"/>
              </w:rPr>
              <w:t>Descriptive Items</w:t>
            </w:r>
          </w:p>
        </w:tc>
        <w:tc>
          <w:tcPr>
            <w:tcW w:w="1170" w:type="dxa"/>
            <w:tcBorders>
              <w:top w:val="nil"/>
              <w:left w:val="nil"/>
              <w:bottom w:val="single" w:sz="4" w:space="0" w:color="000000"/>
              <w:right w:val="nil"/>
            </w:tcBorders>
            <w:shd w:val="clear" w:color="auto" w:fill="auto"/>
            <w:vAlign w:val="bottom"/>
          </w:tcPr>
          <w:p w14:paraId="08B93AA9" w14:textId="77777777" w:rsidR="00662F2A" w:rsidRDefault="00662F2A" w:rsidP="008141F2">
            <w:pPr>
              <w:jc w:val="center"/>
              <w:rPr>
                <w:rFonts w:ascii="Calibri" w:eastAsia="Calibri" w:hAnsi="Calibri" w:cs="Calibri"/>
              </w:rPr>
            </w:pPr>
            <w:r>
              <w:rPr>
                <w:rFonts w:ascii="Calibri" w:eastAsia="Calibri" w:hAnsi="Calibri" w:cs="Calibri"/>
              </w:rPr>
              <w:t>Inferential Items</w:t>
            </w:r>
          </w:p>
        </w:tc>
        <w:tc>
          <w:tcPr>
            <w:tcW w:w="1455" w:type="dxa"/>
            <w:tcBorders>
              <w:top w:val="nil"/>
              <w:left w:val="nil"/>
              <w:bottom w:val="single" w:sz="4" w:space="0" w:color="000000"/>
              <w:right w:val="nil"/>
            </w:tcBorders>
            <w:shd w:val="clear" w:color="auto" w:fill="auto"/>
            <w:vAlign w:val="bottom"/>
          </w:tcPr>
          <w:p w14:paraId="450C16D9" w14:textId="77777777" w:rsidR="00662F2A" w:rsidRDefault="00662F2A" w:rsidP="008141F2">
            <w:pPr>
              <w:jc w:val="center"/>
              <w:rPr>
                <w:rFonts w:ascii="Calibri" w:eastAsia="Calibri" w:hAnsi="Calibri" w:cs="Calibri"/>
              </w:rPr>
            </w:pPr>
            <w:r>
              <w:rPr>
                <w:rFonts w:ascii="Calibri" w:eastAsia="Calibri" w:hAnsi="Calibri" w:cs="Calibri"/>
              </w:rPr>
              <w:t>Random Item Subsample 1</w:t>
            </w:r>
          </w:p>
        </w:tc>
        <w:tc>
          <w:tcPr>
            <w:tcW w:w="1470" w:type="dxa"/>
            <w:tcBorders>
              <w:top w:val="nil"/>
              <w:left w:val="nil"/>
              <w:bottom w:val="single" w:sz="4" w:space="0" w:color="000000"/>
              <w:right w:val="nil"/>
            </w:tcBorders>
            <w:shd w:val="clear" w:color="auto" w:fill="auto"/>
            <w:vAlign w:val="bottom"/>
          </w:tcPr>
          <w:p w14:paraId="7BD5582C" w14:textId="77777777" w:rsidR="00662F2A" w:rsidRDefault="00662F2A" w:rsidP="008141F2">
            <w:pPr>
              <w:jc w:val="center"/>
              <w:rPr>
                <w:rFonts w:ascii="Calibri" w:eastAsia="Calibri" w:hAnsi="Calibri" w:cs="Calibri"/>
              </w:rPr>
            </w:pPr>
            <w:r>
              <w:rPr>
                <w:rFonts w:ascii="Calibri" w:eastAsia="Calibri" w:hAnsi="Calibri" w:cs="Calibri"/>
              </w:rPr>
              <w:t>Random Item Subsample 2</w:t>
            </w:r>
          </w:p>
        </w:tc>
        <w:tc>
          <w:tcPr>
            <w:tcW w:w="1545" w:type="dxa"/>
            <w:tcBorders>
              <w:top w:val="nil"/>
              <w:left w:val="nil"/>
              <w:bottom w:val="single" w:sz="4" w:space="0" w:color="000000"/>
              <w:right w:val="nil"/>
            </w:tcBorders>
            <w:shd w:val="clear" w:color="auto" w:fill="auto"/>
            <w:vAlign w:val="bottom"/>
          </w:tcPr>
          <w:p w14:paraId="42A48BEA" w14:textId="77777777" w:rsidR="00662F2A" w:rsidRDefault="00662F2A" w:rsidP="008141F2">
            <w:pPr>
              <w:jc w:val="center"/>
              <w:rPr>
                <w:rFonts w:ascii="Calibri" w:eastAsia="Calibri" w:hAnsi="Calibri" w:cs="Calibri"/>
              </w:rPr>
            </w:pPr>
            <w:r>
              <w:rPr>
                <w:rFonts w:ascii="Calibri" w:eastAsia="Calibri" w:hAnsi="Calibri" w:cs="Calibri"/>
              </w:rPr>
              <w:t>Random Item</w:t>
            </w:r>
          </w:p>
          <w:p w14:paraId="3D987AA2" w14:textId="77777777" w:rsidR="00662F2A" w:rsidRDefault="00662F2A" w:rsidP="008141F2">
            <w:pPr>
              <w:jc w:val="center"/>
              <w:rPr>
                <w:rFonts w:ascii="Calibri" w:eastAsia="Calibri" w:hAnsi="Calibri" w:cs="Calibri"/>
              </w:rPr>
            </w:pPr>
            <w:r>
              <w:rPr>
                <w:rFonts w:ascii="Calibri" w:eastAsia="Calibri" w:hAnsi="Calibri" w:cs="Calibri"/>
              </w:rPr>
              <w:t>Subsample 3</w:t>
            </w:r>
          </w:p>
        </w:tc>
      </w:tr>
      <w:tr w:rsidR="00662F2A" w14:paraId="60C8C620" w14:textId="77777777" w:rsidTr="008141F2">
        <w:trPr>
          <w:trHeight w:val="300"/>
          <w:jc w:val="center"/>
        </w:trPr>
        <w:tc>
          <w:tcPr>
            <w:tcW w:w="1635" w:type="dxa"/>
            <w:tcBorders>
              <w:top w:val="single" w:sz="4" w:space="0" w:color="000000"/>
              <w:left w:val="nil"/>
              <w:bottom w:val="nil"/>
              <w:right w:val="nil"/>
            </w:tcBorders>
            <w:shd w:val="clear" w:color="auto" w:fill="auto"/>
            <w:vAlign w:val="center"/>
          </w:tcPr>
          <w:p w14:paraId="6C2884C2" w14:textId="77777777" w:rsidR="00662F2A" w:rsidRDefault="00662F2A" w:rsidP="008141F2">
            <w:pPr>
              <w:jc w:val="center"/>
              <w:rPr>
                <w:rFonts w:ascii="Calibri" w:eastAsia="Calibri" w:hAnsi="Calibri" w:cs="Calibri"/>
              </w:rPr>
            </w:pPr>
            <w:r>
              <w:rPr>
                <w:rFonts w:ascii="Calibri" w:eastAsia="Calibri" w:hAnsi="Calibri" w:cs="Calibri"/>
              </w:rPr>
              <w:t>{1, 2}</w:t>
            </w:r>
          </w:p>
        </w:tc>
        <w:tc>
          <w:tcPr>
            <w:tcW w:w="930" w:type="dxa"/>
            <w:tcBorders>
              <w:top w:val="single" w:sz="4" w:space="0" w:color="000000"/>
              <w:left w:val="nil"/>
              <w:bottom w:val="nil"/>
              <w:right w:val="nil"/>
            </w:tcBorders>
            <w:shd w:val="clear" w:color="auto" w:fill="auto"/>
            <w:vAlign w:val="bottom"/>
          </w:tcPr>
          <w:p w14:paraId="697A0242" w14:textId="77777777" w:rsidR="00662F2A" w:rsidRDefault="00662F2A" w:rsidP="008141F2">
            <w:pPr>
              <w:jc w:val="center"/>
              <w:rPr>
                <w:rFonts w:ascii="Calibri" w:eastAsia="Calibri" w:hAnsi="Calibri" w:cs="Calibri"/>
              </w:rPr>
            </w:pPr>
            <w:r>
              <w:rPr>
                <w:rFonts w:ascii="Calibri" w:eastAsia="Calibri" w:hAnsi="Calibri" w:cs="Calibri"/>
              </w:rPr>
              <w:t>0.167</w:t>
            </w:r>
          </w:p>
        </w:tc>
        <w:tc>
          <w:tcPr>
            <w:tcW w:w="1245" w:type="dxa"/>
            <w:tcBorders>
              <w:top w:val="single" w:sz="4" w:space="0" w:color="000000"/>
              <w:left w:val="nil"/>
              <w:bottom w:val="nil"/>
              <w:right w:val="nil"/>
            </w:tcBorders>
            <w:shd w:val="clear" w:color="auto" w:fill="auto"/>
            <w:vAlign w:val="bottom"/>
          </w:tcPr>
          <w:p w14:paraId="08B57A84" w14:textId="77777777" w:rsidR="00662F2A" w:rsidRDefault="00662F2A" w:rsidP="008141F2">
            <w:pPr>
              <w:jc w:val="center"/>
              <w:rPr>
                <w:rFonts w:ascii="Calibri" w:eastAsia="Calibri" w:hAnsi="Calibri" w:cs="Calibri"/>
              </w:rPr>
            </w:pPr>
            <w:r>
              <w:rPr>
                <w:rFonts w:ascii="Calibri" w:eastAsia="Calibri" w:hAnsi="Calibri" w:cs="Calibri"/>
              </w:rPr>
              <w:t>0.164</w:t>
            </w:r>
          </w:p>
        </w:tc>
        <w:tc>
          <w:tcPr>
            <w:tcW w:w="1170" w:type="dxa"/>
            <w:tcBorders>
              <w:top w:val="single" w:sz="4" w:space="0" w:color="000000"/>
              <w:left w:val="nil"/>
              <w:bottom w:val="nil"/>
              <w:right w:val="nil"/>
            </w:tcBorders>
            <w:shd w:val="clear" w:color="auto" w:fill="auto"/>
            <w:vAlign w:val="bottom"/>
          </w:tcPr>
          <w:p w14:paraId="3529D9F1"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single" w:sz="4" w:space="0" w:color="000000"/>
              <w:left w:val="nil"/>
              <w:bottom w:val="nil"/>
              <w:right w:val="nil"/>
            </w:tcBorders>
            <w:shd w:val="clear" w:color="auto" w:fill="auto"/>
            <w:vAlign w:val="bottom"/>
          </w:tcPr>
          <w:p w14:paraId="219AD10A"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70" w:type="dxa"/>
            <w:tcBorders>
              <w:top w:val="single" w:sz="4" w:space="0" w:color="000000"/>
              <w:left w:val="nil"/>
              <w:bottom w:val="nil"/>
              <w:right w:val="nil"/>
            </w:tcBorders>
            <w:shd w:val="clear" w:color="auto" w:fill="auto"/>
            <w:vAlign w:val="bottom"/>
          </w:tcPr>
          <w:p w14:paraId="4B5221FB" w14:textId="77777777" w:rsidR="00662F2A" w:rsidRDefault="00662F2A" w:rsidP="008141F2">
            <w:pPr>
              <w:jc w:val="center"/>
              <w:rPr>
                <w:rFonts w:ascii="Calibri" w:eastAsia="Calibri" w:hAnsi="Calibri" w:cs="Calibri"/>
              </w:rPr>
            </w:pPr>
            <w:r>
              <w:rPr>
                <w:rFonts w:ascii="Calibri" w:eastAsia="Calibri" w:hAnsi="Calibri" w:cs="Calibri"/>
              </w:rPr>
              <w:t>0.158</w:t>
            </w:r>
          </w:p>
        </w:tc>
        <w:tc>
          <w:tcPr>
            <w:tcW w:w="1545" w:type="dxa"/>
            <w:tcBorders>
              <w:top w:val="single" w:sz="4" w:space="0" w:color="000000"/>
              <w:left w:val="nil"/>
              <w:bottom w:val="nil"/>
              <w:right w:val="nil"/>
            </w:tcBorders>
            <w:shd w:val="clear" w:color="auto" w:fill="auto"/>
            <w:vAlign w:val="bottom"/>
          </w:tcPr>
          <w:p w14:paraId="28EE809D" w14:textId="77777777" w:rsidR="00662F2A" w:rsidRDefault="00662F2A" w:rsidP="008141F2">
            <w:pPr>
              <w:jc w:val="center"/>
              <w:rPr>
                <w:rFonts w:ascii="Calibri" w:eastAsia="Calibri" w:hAnsi="Calibri" w:cs="Calibri"/>
              </w:rPr>
            </w:pPr>
            <w:r>
              <w:rPr>
                <w:rFonts w:ascii="Calibri" w:eastAsia="Calibri" w:hAnsi="Calibri" w:cs="Calibri"/>
              </w:rPr>
              <w:t>-</w:t>
            </w:r>
          </w:p>
        </w:tc>
      </w:tr>
      <w:tr w:rsidR="00662F2A" w14:paraId="170CAA80" w14:textId="77777777" w:rsidTr="008141F2">
        <w:trPr>
          <w:trHeight w:val="300"/>
          <w:jc w:val="center"/>
        </w:trPr>
        <w:tc>
          <w:tcPr>
            <w:tcW w:w="1635" w:type="dxa"/>
            <w:tcBorders>
              <w:top w:val="nil"/>
              <w:left w:val="nil"/>
              <w:bottom w:val="nil"/>
              <w:right w:val="nil"/>
            </w:tcBorders>
            <w:shd w:val="clear" w:color="auto" w:fill="auto"/>
            <w:vAlign w:val="center"/>
          </w:tcPr>
          <w:p w14:paraId="11659138" w14:textId="77777777" w:rsidR="00662F2A" w:rsidRDefault="00662F2A" w:rsidP="008141F2">
            <w:pPr>
              <w:jc w:val="center"/>
              <w:rPr>
                <w:rFonts w:ascii="Calibri" w:eastAsia="Calibri" w:hAnsi="Calibri" w:cs="Calibri"/>
              </w:rPr>
            </w:pPr>
            <w:r>
              <w:rPr>
                <w:rFonts w:ascii="Calibri" w:eastAsia="Calibri" w:hAnsi="Calibri" w:cs="Calibri"/>
              </w:rPr>
              <w:t>{3, 4, 5}</w:t>
            </w:r>
          </w:p>
        </w:tc>
        <w:tc>
          <w:tcPr>
            <w:tcW w:w="930" w:type="dxa"/>
            <w:tcBorders>
              <w:top w:val="nil"/>
              <w:left w:val="nil"/>
              <w:bottom w:val="nil"/>
              <w:right w:val="nil"/>
            </w:tcBorders>
            <w:shd w:val="clear" w:color="auto" w:fill="auto"/>
            <w:vAlign w:val="bottom"/>
          </w:tcPr>
          <w:p w14:paraId="0080D1C9" w14:textId="77777777" w:rsidR="00662F2A" w:rsidRDefault="00662F2A" w:rsidP="008141F2">
            <w:pPr>
              <w:jc w:val="center"/>
              <w:rPr>
                <w:rFonts w:ascii="Calibri" w:eastAsia="Calibri" w:hAnsi="Calibri" w:cs="Calibri"/>
              </w:rPr>
            </w:pPr>
            <w:r>
              <w:rPr>
                <w:rFonts w:ascii="Calibri" w:eastAsia="Calibri" w:hAnsi="Calibri" w:cs="Calibri"/>
              </w:rPr>
              <w:t>0.629</w:t>
            </w:r>
          </w:p>
        </w:tc>
        <w:tc>
          <w:tcPr>
            <w:tcW w:w="1245" w:type="dxa"/>
            <w:tcBorders>
              <w:top w:val="nil"/>
              <w:left w:val="nil"/>
              <w:bottom w:val="nil"/>
              <w:right w:val="nil"/>
            </w:tcBorders>
            <w:shd w:val="clear" w:color="auto" w:fill="auto"/>
            <w:vAlign w:val="bottom"/>
          </w:tcPr>
          <w:p w14:paraId="68FCC796" w14:textId="77777777" w:rsidR="00662F2A" w:rsidRDefault="00662F2A" w:rsidP="008141F2">
            <w:pPr>
              <w:jc w:val="center"/>
              <w:rPr>
                <w:rFonts w:ascii="Calibri" w:eastAsia="Calibri" w:hAnsi="Calibri" w:cs="Calibri"/>
              </w:rPr>
            </w:pPr>
            <w:r>
              <w:rPr>
                <w:rFonts w:ascii="Calibri" w:eastAsia="Calibri" w:hAnsi="Calibri" w:cs="Calibri"/>
              </w:rPr>
              <w:t>0.629</w:t>
            </w:r>
          </w:p>
        </w:tc>
        <w:tc>
          <w:tcPr>
            <w:tcW w:w="1170" w:type="dxa"/>
            <w:tcBorders>
              <w:top w:val="nil"/>
              <w:left w:val="nil"/>
              <w:bottom w:val="nil"/>
              <w:right w:val="nil"/>
            </w:tcBorders>
            <w:shd w:val="clear" w:color="auto" w:fill="auto"/>
            <w:vAlign w:val="bottom"/>
          </w:tcPr>
          <w:p w14:paraId="4481AED8"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3E1D623F" w14:textId="77777777" w:rsidR="00662F2A" w:rsidRDefault="00662F2A" w:rsidP="008141F2">
            <w:pPr>
              <w:jc w:val="center"/>
              <w:rPr>
                <w:rFonts w:ascii="Calibri" w:eastAsia="Calibri" w:hAnsi="Calibri" w:cs="Calibri"/>
              </w:rPr>
            </w:pPr>
            <w:r>
              <w:rPr>
                <w:rFonts w:ascii="Calibri" w:eastAsia="Calibri" w:hAnsi="Calibri" w:cs="Calibri"/>
              </w:rPr>
              <w:t>0.614</w:t>
            </w:r>
          </w:p>
        </w:tc>
        <w:tc>
          <w:tcPr>
            <w:tcW w:w="1470" w:type="dxa"/>
            <w:tcBorders>
              <w:top w:val="nil"/>
              <w:left w:val="nil"/>
              <w:bottom w:val="nil"/>
              <w:right w:val="nil"/>
            </w:tcBorders>
            <w:shd w:val="clear" w:color="auto" w:fill="auto"/>
            <w:vAlign w:val="bottom"/>
          </w:tcPr>
          <w:p w14:paraId="084ED332" w14:textId="77777777" w:rsidR="00662F2A" w:rsidRDefault="00662F2A" w:rsidP="008141F2">
            <w:pPr>
              <w:jc w:val="center"/>
              <w:rPr>
                <w:rFonts w:ascii="Calibri" w:eastAsia="Calibri" w:hAnsi="Calibri" w:cs="Calibri"/>
              </w:rPr>
            </w:pPr>
            <w:r>
              <w:rPr>
                <w:rFonts w:ascii="Calibri" w:eastAsia="Calibri" w:hAnsi="Calibri" w:cs="Calibri"/>
              </w:rPr>
              <w:t>0.621</w:t>
            </w:r>
          </w:p>
        </w:tc>
        <w:tc>
          <w:tcPr>
            <w:tcW w:w="1545" w:type="dxa"/>
            <w:tcBorders>
              <w:top w:val="nil"/>
              <w:left w:val="nil"/>
              <w:bottom w:val="nil"/>
              <w:right w:val="nil"/>
            </w:tcBorders>
            <w:shd w:val="clear" w:color="auto" w:fill="auto"/>
            <w:vAlign w:val="bottom"/>
          </w:tcPr>
          <w:p w14:paraId="5308E381" w14:textId="77777777" w:rsidR="00662F2A" w:rsidRDefault="00662F2A" w:rsidP="008141F2">
            <w:pPr>
              <w:jc w:val="center"/>
              <w:rPr>
                <w:rFonts w:ascii="Calibri" w:eastAsia="Calibri" w:hAnsi="Calibri" w:cs="Calibri"/>
              </w:rPr>
            </w:pPr>
            <w:r>
              <w:rPr>
                <w:rFonts w:ascii="Calibri" w:eastAsia="Calibri" w:hAnsi="Calibri" w:cs="Calibri"/>
              </w:rPr>
              <w:t>-</w:t>
            </w:r>
          </w:p>
        </w:tc>
      </w:tr>
      <w:tr w:rsidR="00662F2A" w14:paraId="36D91BC9" w14:textId="77777777" w:rsidTr="008141F2">
        <w:trPr>
          <w:trHeight w:val="300"/>
          <w:jc w:val="center"/>
        </w:trPr>
        <w:tc>
          <w:tcPr>
            <w:tcW w:w="1635" w:type="dxa"/>
            <w:tcBorders>
              <w:top w:val="nil"/>
              <w:left w:val="nil"/>
              <w:bottom w:val="nil"/>
              <w:right w:val="nil"/>
            </w:tcBorders>
            <w:shd w:val="clear" w:color="auto" w:fill="auto"/>
            <w:vAlign w:val="center"/>
          </w:tcPr>
          <w:p w14:paraId="5BF5B3C9" w14:textId="77777777" w:rsidR="00662F2A" w:rsidRDefault="00662F2A" w:rsidP="008141F2">
            <w:pPr>
              <w:jc w:val="center"/>
              <w:rPr>
                <w:rFonts w:ascii="Calibri" w:eastAsia="Calibri" w:hAnsi="Calibri" w:cs="Calibri"/>
              </w:rPr>
            </w:pPr>
            <w:r>
              <w:rPr>
                <w:rFonts w:ascii="Calibri" w:eastAsia="Calibri" w:hAnsi="Calibri" w:cs="Calibri"/>
              </w:rPr>
              <w:t>6</w:t>
            </w:r>
          </w:p>
        </w:tc>
        <w:tc>
          <w:tcPr>
            <w:tcW w:w="930" w:type="dxa"/>
            <w:tcBorders>
              <w:top w:val="nil"/>
              <w:left w:val="nil"/>
              <w:bottom w:val="nil"/>
              <w:right w:val="nil"/>
            </w:tcBorders>
            <w:shd w:val="clear" w:color="auto" w:fill="auto"/>
            <w:vAlign w:val="bottom"/>
          </w:tcPr>
          <w:p w14:paraId="7BFF0433" w14:textId="77777777" w:rsidR="00662F2A" w:rsidRDefault="00662F2A" w:rsidP="008141F2">
            <w:pPr>
              <w:jc w:val="center"/>
              <w:rPr>
                <w:rFonts w:ascii="Calibri" w:eastAsia="Calibri" w:hAnsi="Calibri" w:cs="Calibri"/>
              </w:rPr>
            </w:pPr>
            <w:r>
              <w:rPr>
                <w:rFonts w:ascii="Calibri" w:eastAsia="Calibri" w:hAnsi="Calibri" w:cs="Calibri"/>
              </w:rPr>
              <w:t>0.549</w:t>
            </w:r>
          </w:p>
        </w:tc>
        <w:tc>
          <w:tcPr>
            <w:tcW w:w="1245" w:type="dxa"/>
            <w:tcBorders>
              <w:top w:val="nil"/>
              <w:left w:val="nil"/>
              <w:bottom w:val="nil"/>
              <w:right w:val="nil"/>
            </w:tcBorders>
            <w:shd w:val="clear" w:color="auto" w:fill="auto"/>
            <w:vAlign w:val="bottom"/>
          </w:tcPr>
          <w:p w14:paraId="01512519" w14:textId="77777777" w:rsidR="00662F2A" w:rsidRDefault="00662F2A" w:rsidP="008141F2">
            <w:pPr>
              <w:jc w:val="center"/>
              <w:rPr>
                <w:rFonts w:ascii="Calibri" w:eastAsia="Calibri" w:hAnsi="Calibri" w:cs="Calibri"/>
              </w:rPr>
            </w:pPr>
            <w:r>
              <w:rPr>
                <w:rFonts w:ascii="Calibri" w:eastAsia="Calibri" w:hAnsi="Calibri" w:cs="Calibri"/>
              </w:rPr>
              <w:t>0.561</w:t>
            </w:r>
          </w:p>
        </w:tc>
        <w:tc>
          <w:tcPr>
            <w:tcW w:w="1170" w:type="dxa"/>
            <w:tcBorders>
              <w:top w:val="nil"/>
              <w:left w:val="nil"/>
              <w:bottom w:val="nil"/>
              <w:right w:val="nil"/>
            </w:tcBorders>
            <w:shd w:val="clear" w:color="auto" w:fill="auto"/>
            <w:vAlign w:val="bottom"/>
          </w:tcPr>
          <w:p w14:paraId="2108DA45"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6BAA46A8" w14:textId="77777777" w:rsidR="00662F2A" w:rsidRDefault="00662F2A" w:rsidP="008141F2">
            <w:pPr>
              <w:jc w:val="center"/>
              <w:rPr>
                <w:rFonts w:ascii="Calibri" w:eastAsia="Calibri" w:hAnsi="Calibri" w:cs="Calibri"/>
              </w:rPr>
            </w:pPr>
            <w:r>
              <w:rPr>
                <w:rFonts w:ascii="Calibri" w:eastAsia="Calibri" w:hAnsi="Calibri" w:cs="Calibri"/>
              </w:rPr>
              <w:t>0.563</w:t>
            </w:r>
          </w:p>
        </w:tc>
        <w:tc>
          <w:tcPr>
            <w:tcW w:w="1470" w:type="dxa"/>
            <w:tcBorders>
              <w:top w:val="nil"/>
              <w:left w:val="nil"/>
              <w:bottom w:val="nil"/>
              <w:right w:val="nil"/>
            </w:tcBorders>
            <w:shd w:val="clear" w:color="auto" w:fill="auto"/>
            <w:vAlign w:val="bottom"/>
          </w:tcPr>
          <w:p w14:paraId="7E658C35"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545" w:type="dxa"/>
            <w:tcBorders>
              <w:top w:val="nil"/>
              <w:left w:val="nil"/>
              <w:bottom w:val="nil"/>
              <w:right w:val="nil"/>
            </w:tcBorders>
            <w:shd w:val="clear" w:color="auto" w:fill="auto"/>
            <w:vAlign w:val="bottom"/>
          </w:tcPr>
          <w:p w14:paraId="18C0C883" w14:textId="77777777" w:rsidR="00662F2A" w:rsidRDefault="00662F2A" w:rsidP="008141F2">
            <w:pPr>
              <w:jc w:val="center"/>
              <w:rPr>
                <w:rFonts w:ascii="Calibri" w:eastAsia="Calibri" w:hAnsi="Calibri" w:cs="Calibri"/>
              </w:rPr>
            </w:pPr>
            <w:r>
              <w:rPr>
                <w:rFonts w:ascii="Calibri" w:eastAsia="Calibri" w:hAnsi="Calibri" w:cs="Calibri"/>
              </w:rPr>
              <w:t>0.523</w:t>
            </w:r>
          </w:p>
        </w:tc>
      </w:tr>
      <w:tr w:rsidR="00662F2A" w14:paraId="10B94D61" w14:textId="77777777" w:rsidTr="008141F2">
        <w:trPr>
          <w:trHeight w:val="300"/>
          <w:jc w:val="center"/>
        </w:trPr>
        <w:tc>
          <w:tcPr>
            <w:tcW w:w="1635" w:type="dxa"/>
            <w:tcBorders>
              <w:top w:val="nil"/>
              <w:left w:val="nil"/>
              <w:bottom w:val="nil"/>
              <w:right w:val="nil"/>
            </w:tcBorders>
            <w:shd w:val="clear" w:color="auto" w:fill="auto"/>
            <w:vAlign w:val="center"/>
          </w:tcPr>
          <w:p w14:paraId="420BD1D3" w14:textId="77777777" w:rsidR="00662F2A" w:rsidRDefault="00662F2A" w:rsidP="008141F2">
            <w:pPr>
              <w:jc w:val="center"/>
              <w:rPr>
                <w:rFonts w:ascii="Calibri" w:eastAsia="Calibri" w:hAnsi="Calibri" w:cs="Calibri"/>
              </w:rPr>
            </w:pPr>
            <w:r>
              <w:rPr>
                <w:rFonts w:ascii="Calibri" w:eastAsia="Calibri" w:hAnsi="Calibri" w:cs="Calibri"/>
              </w:rPr>
              <w:t>7</w:t>
            </w:r>
          </w:p>
        </w:tc>
        <w:tc>
          <w:tcPr>
            <w:tcW w:w="930" w:type="dxa"/>
            <w:tcBorders>
              <w:top w:val="nil"/>
              <w:left w:val="nil"/>
              <w:bottom w:val="nil"/>
              <w:right w:val="nil"/>
            </w:tcBorders>
            <w:shd w:val="clear" w:color="auto" w:fill="auto"/>
            <w:vAlign w:val="bottom"/>
          </w:tcPr>
          <w:p w14:paraId="5A7D6364" w14:textId="77777777" w:rsidR="00662F2A" w:rsidRDefault="00662F2A" w:rsidP="008141F2">
            <w:pPr>
              <w:jc w:val="center"/>
              <w:rPr>
                <w:rFonts w:ascii="Calibri" w:eastAsia="Calibri" w:hAnsi="Calibri" w:cs="Calibri"/>
              </w:rPr>
            </w:pPr>
            <w:r>
              <w:rPr>
                <w:rFonts w:ascii="Calibri" w:eastAsia="Calibri" w:hAnsi="Calibri" w:cs="Calibri"/>
              </w:rPr>
              <w:t>0.464</w:t>
            </w:r>
          </w:p>
        </w:tc>
        <w:tc>
          <w:tcPr>
            <w:tcW w:w="1245" w:type="dxa"/>
            <w:tcBorders>
              <w:top w:val="nil"/>
              <w:left w:val="nil"/>
              <w:bottom w:val="nil"/>
              <w:right w:val="nil"/>
            </w:tcBorders>
            <w:shd w:val="clear" w:color="auto" w:fill="auto"/>
            <w:vAlign w:val="bottom"/>
          </w:tcPr>
          <w:p w14:paraId="175AE812" w14:textId="77777777" w:rsidR="00662F2A" w:rsidRDefault="00662F2A" w:rsidP="008141F2">
            <w:pPr>
              <w:jc w:val="center"/>
              <w:rPr>
                <w:rFonts w:ascii="Calibri" w:eastAsia="Calibri" w:hAnsi="Calibri" w:cs="Calibri"/>
              </w:rPr>
            </w:pPr>
            <w:r>
              <w:rPr>
                <w:rFonts w:ascii="Calibri" w:eastAsia="Calibri" w:hAnsi="Calibri" w:cs="Calibri"/>
              </w:rPr>
              <w:t>0.461</w:t>
            </w:r>
          </w:p>
        </w:tc>
        <w:tc>
          <w:tcPr>
            <w:tcW w:w="1170" w:type="dxa"/>
            <w:tcBorders>
              <w:top w:val="nil"/>
              <w:left w:val="nil"/>
              <w:bottom w:val="nil"/>
              <w:right w:val="nil"/>
            </w:tcBorders>
            <w:shd w:val="clear" w:color="auto" w:fill="auto"/>
            <w:vAlign w:val="bottom"/>
          </w:tcPr>
          <w:p w14:paraId="1585ADDE"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446BE162" w14:textId="77777777" w:rsidR="00662F2A" w:rsidRDefault="00662F2A" w:rsidP="008141F2">
            <w:pPr>
              <w:jc w:val="center"/>
              <w:rPr>
                <w:rFonts w:ascii="Calibri" w:eastAsia="Calibri" w:hAnsi="Calibri" w:cs="Calibri"/>
              </w:rPr>
            </w:pPr>
            <w:r>
              <w:rPr>
                <w:rFonts w:ascii="Calibri" w:eastAsia="Calibri" w:hAnsi="Calibri" w:cs="Calibri"/>
              </w:rPr>
              <w:t>0.474</w:t>
            </w:r>
          </w:p>
        </w:tc>
        <w:tc>
          <w:tcPr>
            <w:tcW w:w="1470" w:type="dxa"/>
            <w:tcBorders>
              <w:top w:val="nil"/>
              <w:left w:val="nil"/>
              <w:bottom w:val="nil"/>
              <w:right w:val="nil"/>
            </w:tcBorders>
            <w:shd w:val="clear" w:color="auto" w:fill="auto"/>
            <w:vAlign w:val="bottom"/>
          </w:tcPr>
          <w:p w14:paraId="79B24E3B" w14:textId="77777777" w:rsidR="00662F2A" w:rsidRDefault="00662F2A" w:rsidP="008141F2">
            <w:pPr>
              <w:jc w:val="center"/>
              <w:rPr>
                <w:sz w:val="20"/>
                <w:szCs w:val="20"/>
              </w:rPr>
            </w:pPr>
            <w:r>
              <w:rPr>
                <w:sz w:val="20"/>
                <w:szCs w:val="20"/>
              </w:rPr>
              <w:t>-</w:t>
            </w:r>
          </w:p>
        </w:tc>
        <w:tc>
          <w:tcPr>
            <w:tcW w:w="1545" w:type="dxa"/>
            <w:tcBorders>
              <w:top w:val="nil"/>
              <w:left w:val="nil"/>
              <w:bottom w:val="nil"/>
              <w:right w:val="nil"/>
            </w:tcBorders>
            <w:shd w:val="clear" w:color="auto" w:fill="auto"/>
            <w:vAlign w:val="bottom"/>
          </w:tcPr>
          <w:p w14:paraId="48702146" w14:textId="77777777" w:rsidR="00662F2A" w:rsidRDefault="00662F2A" w:rsidP="008141F2">
            <w:pPr>
              <w:jc w:val="center"/>
              <w:rPr>
                <w:rFonts w:ascii="Calibri" w:eastAsia="Calibri" w:hAnsi="Calibri" w:cs="Calibri"/>
              </w:rPr>
            </w:pPr>
            <w:r>
              <w:rPr>
                <w:rFonts w:ascii="Calibri" w:eastAsia="Calibri" w:hAnsi="Calibri" w:cs="Calibri"/>
              </w:rPr>
              <w:t>0.436</w:t>
            </w:r>
          </w:p>
        </w:tc>
      </w:tr>
      <w:tr w:rsidR="00662F2A" w14:paraId="3A99B6B2" w14:textId="77777777" w:rsidTr="008141F2">
        <w:trPr>
          <w:trHeight w:val="300"/>
          <w:jc w:val="center"/>
        </w:trPr>
        <w:tc>
          <w:tcPr>
            <w:tcW w:w="1635" w:type="dxa"/>
            <w:tcBorders>
              <w:top w:val="nil"/>
              <w:left w:val="nil"/>
              <w:bottom w:val="nil"/>
              <w:right w:val="nil"/>
            </w:tcBorders>
            <w:shd w:val="clear" w:color="auto" w:fill="auto"/>
            <w:vAlign w:val="center"/>
          </w:tcPr>
          <w:p w14:paraId="2FDA38A3" w14:textId="77777777" w:rsidR="00662F2A" w:rsidRDefault="00662F2A" w:rsidP="008141F2">
            <w:pPr>
              <w:jc w:val="center"/>
              <w:rPr>
                <w:rFonts w:ascii="Calibri" w:eastAsia="Calibri" w:hAnsi="Calibri" w:cs="Calibri"/>
              </w:rPr>
            </w:pPr>
            <w:r>
              <w:rPr>
                <w:rFonts w:ascii="Calibri" w:eastAsia="Calibri" w:hAnsi="Calibri" w:cs="Calibri"/>
              </w:rPr>
              <w:t>{8, 9, 10}</w:t>
            </w:r>
          </w:p>
        </w:tc>
        <w:tc>
          <w:tcPr>
            <w:tcW w:w="930" w:type="dxa"/>
            <w:tcBorders>
              <w:top w:val="nil"/>
              <w:left w:val="nil"/>
              <w:bottom w:val="nil"/>
              <w:right w:val="nil"/>
            </w:tcBorders>
            <w:shd w:val="clear" w:color="auto" w:fill="auto"/>
            <w:vAlign w:val="bottom"/>
          </w:tcPr>
          <w:p w14:paraId="61BB9A1B" w14:textId="77777777" w:rsidR="00662F2A" w:rsidRDefault="00662F2A" w:rsidP="008141F2">
            <w:pPr>
              <w:jc w:val="center"/>
              <w:rPr>
                <w:rFonts w:ascii="Calibri" w:eastAsia="Calibri" w:hAnsi="Calibri" w:cs="Calibri"/>
              </w:rPr>
            </w:pPr>
            <w:r>
              <w:rPr>
                <w:rFonts w:ascii="Calibri" w:eastAsia="Calibri" w:hAnsi="Calibri" w:cs="Calibri"/>
              </w:rPr>
              <w:t>0.537</w:t>
            </w:r>
          </w:p>
        </w:tc>
        <w:tc>
          <w:tcPr>
            <w:tcW w:w="1245" w:type="dxa"/>
            <w:tcBorders>
              <w:top w:val="nil"/>
              <w:left w:val="nil"/>
              <w:bottom w:val="nil"/>
              <w:right w:val="nil"/>
            </w:tcBorders>
            <w:shd w:val="clear" w:color="auto" w:fill="auto"/>
            <w:vAlign w:val="bottom"/>
          </w:tcPr>
          <w:p w14:paraId="7513F64A" w14:textId="77777777" w:rsidR="00662F2A" w:rsidRDefault="00662F2A" w:rsidP="008141F2">
            <w:pPr>
              <w:jc w:val="center"/>
              <w:rPr>
                <w:rFonts w:ascii="Calibri" w:eastAsia="Calibri" w:hAnsi="Calibri" w:cs="Calibri"/>
              </w:rPr>
            </w:pPr>
            <w:r>
              <w:rPr>
                <w:rFonts w:ascii="Calibri" w:eastAsia="Calibri" w:hAnsi="Calibri" w:cs="Calibri"/>
              </w:rPr>
              <w:t>0.554</w:t>
            </w:r>
          </w:p>
        </w:tc>
        <w:tc>
          <w:tcPr>
            <w:tcW w:w="1170" w:type="dxa"/>
            <w:tcBorders>
              <w:top w:val="nil"/>
              <w:left w:val="nil"/>
              <w:bottom w:val="nil"/>
              <w:right w:val="nil"/>
            </w:tcBorders>
            <w:shd w:val="clear" w:color="auto" w:fill="auto"/>
            <w:vAlign w:val="bottom"/>
          </w:tcPr>
          <w:p w14:paraId="19DC7816"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39F79991"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70" w:type="dxa"/>
            <w:tcBorders>
              <w:top w:val="nil"/>
              <w:left w:val="nil"/>
              <w:bottom w:val="nil"/>
              <w:right w:val="nil"/>
            </w:tcBorders>
            <w:shd w:val="clear" w:color="auto" w:fill="auto"/>
            <w:vAlign w:val="bottom"/>
          </w:tcPr>
          <w:p w14:paraId="6ACB24A4" w14:textId="77777777" w:rsidR="00662F2A" w:rsidRDefault="00662F2A" w:rsidP="008141F2">
            <w:pPr>
              <w:jc w:val="center"/>
              <w:rPr>
                <w:rFonts w:ascii="Calibri" w:eastAsia="Calibri" w:hAnsi="Calibri" w:cs="Calibri"/>
              </w:rPr>
            </w:pPr>
            <w:r>
              <w:rPr>
                <w:rFonts w:ascii="Calibri" w:eastAsia="Calibri" w:hAnsi="Calibri" w:cs="Calibri"/>
              </w:rPr>
              <w:t>0.538</w:t>
            </w:r>
          </w:p>
        </w:tc>
        <w:tc>
          <w:tcPr>
            <w:tcW w:w="1545" w:type="dxa"/>
            <w:tcBorders>
              <w:top w:val="nil"/>
              <w:left w:val="nil"/>
              <w:bottom w:val="nil"/>
              <w:right w:val="nil"/>
            </w:tcBorders>
            <w:shd w:val="clear" w:color="auto" w:fill="auto"/>
            <w:vAlign w:val="bottom"/>
          </w:tcPr>
          <w:p w14:paraId="0E49A709" w14:textId="77777777" w:rsidR="00662F2A" w:rsidRDefault="00662F2A" w:rsidP="008141F2">
            <w:pPr>
              <w:jc w:val="center"/>
              <w:rPr>
                <w:rFonts w:ascii="Calibri" w:eastAsia="Calibri" w:hAnsi="Calibri" w:cs="Calibri"/>
              </w:rPr>
            </w:pPr>
            <w:r>
              <w:rPr>
                <w:rFonts w:ascii="Calibri" w:eastAsia="Calibri" w:hAnsi="Calibri" w:cs="Calibri"/>
              </w:rPr>
              <w:t>-</w:t>
            </w:r>
          </w:p>
        </w:tc>
      </w:tr>
      <w:tr w:rsidR="00662F2A" w14:paraId="2915CA40" w14:textId="77777777" w:rsidTr="008141F2">
        <w:trPr>
          <w:trHeight w:val="300"/>
          <w:jc w:val="center"/>
        </w:trPr>
        <w:tc>
          <w:tcPr>
            <w:tcW w:w="1635" w:type="dxa"/>
            <w:tcBorders>
              <w:top w:val="nil"/>
              <w:left w:val="nil"/>
              <w:bottom w:val="nil"/>
              <w:right w:val="nil"/>
            </w:tcBorders>
            <w:shd w:val="clear" w:color="auto" w:fill="auto"/>
            <w:vAlign w:val="center"/>
          </w:tcPr>
          <w:p w14:paraId="3602ADDF" w14:textId="77777777" w:rsidR="00662F2A" w:rsidRDefault="00662F2A" w:rsidP="008141F2">
            <w:pPr>
              <w:jc w:val="center"/>
              <w:rPr>
                <w:rFonts w:ascii="Calibri" w:eastAsia="Calibri" w:hAnsi="Calibri" w:cs="Calibri"/>
              </w:rPr>
            </w:pPr>
            <w:r>
              <w:rPr>
                <w:rFonts w:ascii="Calibri" w:eastAsia="Calibri" w:hAnsi="Calibri" w:cs="Calibri"/>
              </w:rPr>
              <w:t>{11, 12, 13}</w:t>
            </w:r>
          </w:p>
        </w:tc>
        <w:tc>
          <w:tcPr>
            <w:tcW w:w="930" w:type="dxa"/>
            <w:tcBorders>
              <w:top w:val="nil"/>
              <w:left w:val="nil"/>
              <w:bottom w:val="nil"/>
              <w:right w:val="nil"/>
            </w:tcBorders>
            <w:shd w:val="clear" w:color="auto" w:fill="auto"/>
            <w:vAlign w:val="bottom"/>
          </w:tcPr>
          <w:p w14:paraId="1FD50A5F" w14:textId="77777777" w:rsidR="00662F2A" w:rsidRDefault="00662F2A" w:rsidP="008141F2">
            <w:pPr>
              <w:jc w:val="center"/>
              <w:rPr>
                <w:rFonts w:ascii="Calibri" w:eastAsia="Calibri" w:hAnsi="Calibri" w:cs="Calibri"/>
              </w:rPr>
            </w:pPr>
            <w:r>
              <w:rPr>
                <w:rFonts w:ascii="Calibri" w:eastAsia="Calibri" w:hAnsi="Calibri" w:cs="Calibri"/>
              </w:rPr>
              <w:t>0.525</w:t>
            </w:r>
          </w:p>
        </w:tc>
        <w:tc>
          <w:tcPr>
            <w:tcW w:w="1245" w:type="dxa"/>
            <w:tcBorders>
              <w:top w:val="nil"/>
              <w:left w:val="nil"/>
              <w:bottom w:val="nil"/>
              <w:right w:val="nil"/>
            </w:tcBorders>
            <w:shd w:val="clear" w:color="auto" w:fill="auto"/>
            <w:vAlign w:val="bottom"/>
          </w:tcPr>
          <w:p w14:paraId="4AFBA77E"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170" w:type="dxa"/>
            <w:tcBorders>
              <w:top w:val="nil"/>
              <w:left w:val="nil"/>
              <w:bottom w:val="nil"/>
              <w:right w:val="nil"/>
            </w:tcBorders>
            <w:shd w:val="clear" w:color="auto" w:fill="auto"/>
            <w:vAlign w:val="bottom"/>
          </w:tcPr>
          <w:p w14:paraId="33556377" w14:textId="77777777" w:rsidR="00662F2A" w:rsidRDefault="00662F2A" w:rsidP="008141F2">
            <w:pPr>
              <w:jc w:val="center"/>
              <w:rPr>
                <w:rFonts w:ascii="Calibri" w:eastAsia="Calibri" w:hAnsi="Calibri" w:cs="Calibri"/>
              </w:rPr>
            </w:pPr>
            <w:r>
              <w:rPr>
                <w:rFonts w:ascii="Calibri" w:eastAsia="Calibri" w:hAnsi="Calibri" w:cs="Calibri"/>
              </w:rPr>
              <w:t>0.469</w:t>
            </w:r>
          </w:p>
        </w:tc>
        <w:tc>
          <w:tcPr>
            <w:tcW w:w="1455" w:type="dxa"/>
            <w:tcBorders>
              <w:top w:val="nil"/>
              <w:left w:val="nil"/>
              <w:bottom w:val="nil"/>
              <w:right w:val="nil"/>
            </w:tcBorders>
            <w:shd w:val="clear" w:color="auto" w:fill="auto"/>
            <w:vAlign w:val="bottom"/>
          </w:tcPr>
          <w:p w14:paraId="6DD5AC23" w14:textId="77777777" w:rsidR="00662F2A" w:rsidRDefault="00662F2A" w:rsidP="008141F2">
            <w:pPr>
              <w:jc w:val="center"/>
              <w:rPr>
                <w:rFonts w:ascii="Calibri" w:eastAsia="Calibri" w:hAnsi="Calibri" w:cs="Calibri"/>
              </w:rPr>
            </w:pPr>
            <w:r>
              <w:rPr>
                <w:rFonts w:ascii="Calibri" w:eastAsia="Calibri" w:hAnsi="Calibri" w:cs="Calibri"/>
              </w:rPr>
              <w:t>0.528</w:t>
            </w:r>
          </w:p>
        </w:tc>
        <w:tc>
          <w:tcPr>
            <w:tcW w:w="1470" w:type="dxa"/>
            <w:tcBorders>
              <w:top w:val="nil"/>
              <w:left w:val="nil"/>
              <w:bottom w:val="nil"/>
              <w:right w:val="nil"/>
            </w:tcBorders>
            <w:shd w:val="clear" w:color="auto" w:fill="auto"/>
            <w:vAlign w:val="bottom"/>
          </w:tcPr>
          <w:p w14:paraId="3939A7BC"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545" w:type="dxa"/>
            <w:tcBorders>
              <w:top w:val="nil"/>
              <w:left w:val="nil"/>
              <w:bottom w:val="nil"/>
              <w:right w:val="nil"/>
            </w:tcBorders>
            <w:shd w:val="clear" w:color="auto" w:fill="auto"/>
            <w:vAlign w:val="bottom"/>
          </w:tcPr>
          <w:p w14:paraId="73E4BC39" w14:textId="77777777" w:rsidR="00662F2A" w:rsidRDefault="00662F2A" w:rsidP="008141F2">
            <w:pPr>
              <w:jc w:val="center"/>
              <w:rPr>
                <w:rFonts w:ascii="Calibri" w:eastAsia="Calibri" w:hAnsi="Calibri" w:cs="Calibri"/>
              </w:rPr>
            </w:pPr>
            <w:r>
              <w:rPr>
                <w:rFonts w:ascii="Calibri" w:eastAsia="Calibri" w:hAnsi="Calibri" w:cs="Calibri"/>
              </w:rPr>
              <w:t>0.471</w:t>
            </w:r>
          </w:p>
        </w:tc>
      </w:tr>
      <w:tr w:rsidR="00662F2A" w14:paraId="20EDEAB7" w14:textId="77777777" w:rsidTr="008141F2">
        <w:trPr>
          <w:trHeight w:val="300"/>
          <w:jc w:val="center"/>
        </w:trPr>
        <w:tc>
          <w:tcPr>
            <w:tcW w:w="1635" w:type="dxa"/>
            <w:tcBorders>
              <w:top w:val="nil"/>
              <w:left w:val="nil"/>
              <w:bottom w:val="nil"/>
              <w:right w:val="nil"/>
            </w:tcBorders>
            <w:shd w:val="clear" w:color="auto" w:fill="auto"/>
            <w:vAlign w:val="center"/>
          </w:tcPr>
          <w:p w14:paraId="43FCB053" w14:textId="77777777" w:rsidR="00662F2A" w:rsidRDefault="00662F2A" w:rsidP="008141F2">
            <w:pPr>
              <w:jc w:val="center"/>
              <w:rPr>
                <w:rFonts w:ascii="Calibri" w:eastAsia="Calibri" w:hAnsi="Calibri" w:cs="Calibri"/>
              </w:rPr>
            </w:pPr>
            <w:r>
              <w:rPr>
                <w:rFonts w:ascii="Calibri" w:eastAsia="Calibri" w:hAnsi="Calibri" w:cs="Calibri"/>
              </w:rPr>
              <w:t>{14, 15}</w:t>
            </w:r>
          </w:p>
        </w:tc>
        <w:tc>
          <w:tcPr>
            <w:tcW w:w="930" w:type="dxa"/>
            <w:tcBorders>
              <w:top w:val="nil"/>
              <w:left w:val="nil"/>
              <w:bottom w:val="nil"/>
              <w:right w:val="nil"/>
            </w:tcBorders>
            <w:shd w:val="clear" w:color="auto" w:fill="auto"/>
            <w:vAlign w:val="bottom"/>
          </w:tcPr>
          <w:p w14:paraId="50052709" w14:textId="77777777" w:rsidR="00662F2A" w:rsidRDefault="00662F2A" w:rsidP="008141F2">
            <w:pPr>
              <w:jc w:val="center"/>
              <w:rPr>
                <w:rFonts w:ascii="Calibri" w:eastAsia="Calibri" w:hAnsi="Calibri" w:cs="Calibri"/>
              </w:rPr>
            </w:pPr>
            <w:r>
              <w:rPr>
                <w:rFonts w:ascii="Calibri" w:eastAsia="Calibri" w:hAnsi="Calibri" w:cs="Calibri"/>
              </w:rPr>
              <w:t>0.511</w:t>
            </w:r>
          </w:p>
        </w:tc>
        <w:tc>
          <w:tcPr>
            <w:tcW w:w="1245" w:type="dxa"/>
            <w:tcBorders>
              <w:top w:val="nil"/>
              <w:left w:val="nil"/>
              <w:bottom w:val="nil"/>
              <w:right w:val="nil"/>
            </w:tcBorders>
            <w:shd w:val="clear" w:color="auto" w:fill="auto"/>
            <w:vAlign w:val="bottom"/>
          </w:tcPr>
          <w:p w14:paraId="70B757A9" w14:textId="77777777" w:rsidR="00662F2A" w:rsidRDefault="00662F2A" w:rsidP="008141F2">
            <w:pPr>
              <w:jc w:val="center"/>
              <w:rPr>
                <w:rFonts w:ascii="Calibri" w:eastAsia="Calibri" w:hAnsi="Calibri" w:cs="Calibri"/>
              </w:rPr>
            </w:pPr>
            <w:r>
              <w:rPr>
                <w:rFonts w:ascii="Calibri" w:eastAsia="Calibri" w:hAnsi="Calibri" w:cs="Calibri"/>
              </w:rPr>
              <w:t>0.527</w:t>
            </w:r>
          </w:p>
        </w:tc>
        <w:tc>
          <w:tcPr>
            <w:tcW w:w="1170" w:type="dxa"/>
            <w:tcBorders>
              <w:top w:val="nil"/>
              <w:left w:val="nil"/>
              <w:bottom w:val="nil"/>
              <w:right w:val="nil"/>
            </w:tcBorders>
            <w:shd w:val="clear" w:color="auto" w:fill="auto"/>
            <w:vAlign w:val="bottom"/>
          </w:tcPr>
          <w:p w14:paraId="44AAF4F7"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6D848A42" w14:textId="77777777" w:rsidR="00662F2A" w:rsidRDefault="00662F2A" w:rsidP="008141F2">
            <w:pPr>
              <w:jc w:val="center"/>
              <w:rPr>
                <w:rFonts w:ascii="Calibri" w:eastAsia="Calibri" w:hAnsi="Calibri" w:cs="Calibri"/>
              </w:rPr>
            </w:pPr>
            <w:r>
              <w:rPr>
                <w:rFonts w:ascii="Calibri" w:eastAsia="Calibri" w:hAnsi="Calibri" w:cs="Calibri"/>
              </w:rPr>
              <w:t>0.506</w:t>
            </w:r>
          </w:p>
        </w:tc>
        <w:tc>
          <w:tcPr>
            <w:tcW w:w="1470" w:type="dxa"/>
            <w:tcBorders>
              <w:top w:val="nil"/>
              <w:left w:val="nil"/>
              <w:bottom w:val="nil"/>
              <w:right w:val="nil"/>
            </w:tcBorders>
            <w:shd w:val="clear" w:color="auto" w:fill="auto"/>
            <w:vAlign w:val="bottom"/>
          </w:tcPr>
          <w:p w14:paraId="10B900B6" w14:textId="77777777" w:rsidR="00662F2A" w:rsidRDefault="00662F2A" w:rsidP="008141F2">
            <w:pPr>
              <w:jc w:val="center"/>
              <w:rPr>
                <w:rFonts w:ascii="Calibri" w:eastAsia="Calibri" w:hAnsi="Calibri" w:cs="Calibri"/>
              </w:rPr>
            </w:pPr>
            <w:r>
              <w:rPr>
                <w:rFonts w:ascii="Calibri" w:eastAsia="Calibri" w:hAnsi="Calibri" w:cs="Calibri"/>
              </w:rPr>
              <w:t>0.509</w:t>
            </w:r>
          </w:p>
        </w:tc>
        <w:tc>
          <w:tcPr>
            <w:tcW w:w="1545" w:type="dxa"/>
            <w:tcBorders>
              <w:top w:val="nil"/>
              <w:left w:val="nil"/>
              <w:bottom w:val="nil"/>
              <w:right w:val="nil"/>
            </w:tcBorders>
            <w:shd w:val="clear" w:color="auto" w:fill="auto"/>
            <w:vAlign w:val="bottom"/>
          </w:tcPr>
          <w:p w14:paraId="245D0DFA" w14:textId="77777777" w:rsidR="00662F2A" w:rsidRDefault="00662F2A" w:rsidP="008141F2">
            <w:pPr>
              <w:jc w:val="center"/>
              <w:rPr>
                <w:rFonts w:ascii="Calibri" w:eastAsia="Calibri" w:hAnsi="Calibri" w:cs="Calibri"/>
              </w:rPr>
            </w:pPr>
            <w:r>
              <w:rPr>
                <w:rFonts w:ascii="Calibri" w:eastAsia="Calibri" w:hAnsi="Calibri" w:cs="Calibri"/>
              </w:rPr>
              <w:t>0.505</w:t>
            </w:r>
          </w:p>
        </w:tc>
      </w:tr>
      <w:tr w:rsidR="00662F2A" w14:paraId="3F38B1CA" w14:textId="77777777" w:rsidTr="008141F2">
        <w:trPr>
          <w:trHeight w:val="300"/>
          <w:jc w:val="center"/>
        </w:trPr>
        <w:tc>
          <w:tcPr>
            <w:tcW w:w="1635" w:type="dxa"/>
            <w:tcBorders>
              <w:top w:val="nil"/>
              <w:left w:val="nil"/>
              <w:bottom w:val="nil"/>
              <w:right w:val="nil"/>
            </w:tcBorders>
            <w:shd w:val="clear" w:color="auto" w:fill="auto"/>
            <w:vAlign w:val="center"/>
          </w:tcPr>
          <w:p w14:paraId="62523F7A" w14:textId="77777777" w:rsidR="00662F2A" w:rsidRDefault="00662F2A" w:rsidP="008141F2">
            <w:pPr>
              <w:jc w:val="center"/>
              <w:rPr>
                <w:rFonts w:ascii="Calibri" w:eastAsia="Calibri" w:hAnsi="Calibri" w:cs="Calibri"/>
              </w:rPr>
            </w:pPr>
            <w:r>
              <w:rPr>
                <w:rFonts w:ascii="Calibri" w:eastAsia="Calibri" w:hAnsi="Calibri" w:cs="Calibri"/>
              </w:rPr>
              <w:t>16</w:t>
            </w:r>
          </w:p>
        </w:tc>
        <w:tc>
          <w:tcPr>
            <w:tcW w:w="930" w:type="dxa"/>
            <w:tcBorders>
              <w:top w:val="nil"/>
              <w:left w:val="nil"/>
              <w:bottom w:val="nil"/>
              <w:right w:val="nil"/>
            </w:tcBorders>
            <w:shd w:val="clear" w:color="auto" w:fill="auto"/>
            <w:vAlign w:val="bottom"/>
          </w:tcPr>
          <w:p w14:paraId="085A12BA" w14:textId="77777777" w:rsidR="00662F2A" w:rsidRDefault="00662F2A" w:rsidP="008141F2">
            <w:pPr>
              <w:jc w:val="center"/>
              <w:rPr>
                <w:rFonts w:ascii="Calibri" w:eastAsia="Calibri" w:hAnsi="Calibri" w:cs="Calibri"/>
              </w:rPr>
            </w:pPr>
            <w:r>
              <w:rPr>
                <w:rFonts w:ascii="Calibri" w:eastAsia="Calibri" w:hAnsi="Calibri" w:cs="Calibri"/>
              </w:rPr>
              <w:t>0.608</w:t>
            </w:r>
          </w:p>
        </w:tc>
        <w:tc>
          <w:tcPr>
            <w:tcW w:w="1245" w:type="dxa"/>
            <w:tcBorders>
              <w:top w:val="nil"/>
              <w:left w:val="nil"/>
              <w:bottom w:val="nil"/>
              <w:right w:val="nil"/>
            </w:tcBorders>
            <w:shd w:val="clear" w:color="auto" w:fill="auto"/>
            <w:vAlign w:val="bottom"/>
          </w:tcPr>
          <w:p w14:paraId="028D102A"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170" w:type="dxa"/>
            <w:tcBorders>
              <w:top w:val="nil"/>
              <w:left w:val="nil"/>
              <w:bottom w:val="nil"/>
              <w:right w:val="nil"/>
            </w:tcBorders>
            <w:shd w:val="clear" w:color="auto" w:fill="auto"/>
            <w:vAlign w:val="bottom"/>
          </w:tcPr>
          <w:p w14:paraId="78B1BD46" w14:textId="16CC0ECE" w:rsidR="00662F2A" w:rsidRDefault="00662F2A" w:rsidP="008141F2">
            <w:pPr>
              <w:jc w:val="center"/>
              <w:rPr>
                <w:rFonts w:ascii="Calibri" w:eastAsia="Calibri" w:hAnsi="Calibri" w:cs="Calibri"/>
              </w:rPr>
            </w:pPr>
            <w:r>
              <w:rPr>
                <w:rFonts w:ascii="Calibri" w:eastAsia="Calibri" w:hAnsi="Calibri" w:cs="Calibri"/>
              </w:rPr>
              <w:t>0.604</w:t>
            </w:r>
            <w:r w:rsidR="00327EE7">
              <w:rPr>
                <w:rFonts w:ascii="Calibri" w:eastAsia="Calibri" w:hAnsi="Calibri" w:cs="Calibri"/>
              </w:rPr>
              <w:t>A</w:t>
            </w:r>
          </w:p>
        </w:tc>
        <w:tc>
          <w:tcPr>
            <w:tcW w:w="1455" w:type="dxa"/>
            <w:tcBorders>
              <w:top w:val="nil"/>
              <w:left w:val="nil"/>
              <w:bottom w:val="nil"/>
              <w:right w:val="nil"/>
            </w:tcBorders>
            <w:shd w:val="clear" w:color="auto" w:fill="auto"/>
            <w:vAlign w:val="bottom"/>
          </w:tcPr>
          <w:p w14:paraId="55B7121A"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70" w:type="dxa"/>
            <w:tcBorders>
              <w:top w:val="nil"/>
              <w:left w:val="nil"/>
              <w:bottom w:val="nil"/>
              <w:right w:val="nil"/>
            </w:tcBorders>
            <w:shd w:val="clear" w:color="auto" w:fill="auto"/>
            <w:vAlign w:val="bottom"/>
          </w:tcPr>
          <w:p w14:paraId="6B3E60F6" w14:textId="77777777" w:rsidR="00662F2A" w:rsidRDefault="00662F2A" w:rsidP="008141F2">
            <w:pPr>
              <w:jc w:val="center"/>
              <w:rPr>
                <w:rFonts w:ascii="Calibri" w:eastAsia="Calibri" w:hAnsi="Calibri" w:cs="Calibri"/>
              </w:rPr>
            </w:pPr>
            <w:r>
              <w:rPr>
                <w:rFonts w:ascii="Calibri" w:eastAsia="Calibri" w:hAnsi="Calibri" w:cs="Calibri"/>
              </w:rPr>
              <w:t>0.604</w:t>
            </w:r>
          </w:p>
        </w:tc>
        <w:tc>
          <w:tcPr>
            <w:tcW w:w="1545" w:type="dxa"/>
            <w:tcBorders>
              <w:top w:val="nil"/>
              <w:left w:val="nil"/>
              <w:bottom w:val="nil"/>
              <w:right w:val="nil"/>
            </w:tcBorders>
            <w:shd w:val="clear" w:color="auto" w:fill="auto"/>
            <w:vAlign w:val="bottom"/>
          </w:tcPr>
          <w:p w14:paraId="531A9E53" w14:textId="77777777" w:rsidR="00662F2A" w:rsidRDefault="00662F2A" w:rsidP="008141F2">
            <w:pPr>
              <w:jc w:val="center"/>
              <w:rPr>
                <w:rFonts w:ascii="Calibri" w:eastAsia="Calibri" w:hAnsi="Calibri" w:cs="Calibri"/>
              </w:rPr>
            </w:pPr>
            <w:r>
              <w:rPr>
                <w:rFonts w:ascii="Calibri" w:eastAsia="Calibri" w:hAnsi="Calibri" w:cs="Calibri"/>
              </w:rPr>
              <w:t>0.610</w:t>
            </w:r>
          </w:p>
        </w:tc>
      </w:tr>
      <w:tr w:rsidR="00662F2A" w14:paraId="0E3A6898" w14:textId="77777777" w:rsidTr="008141F2">
        <w:trPr>
          <w:trHeight w:val="300"/>
          <w:jc w:val="center"/>
        </w:trPr>
        <w:tc>
          <w:tcPr>
            <w:tcW w:w="1635" w:type="dxa"/>
            <w:tcBorders>
              <w:top w:val="nil"/>
              <w:left w:val="nil"/>
              <w:bottom w:val="nil"/>
              <w:right w:val="nil"/>
            </w:tcBorders>
            <w:shd w:val="clear" w:color="auto" w:fill="auto"/>
            <w:vAlign w:val="center"/>
          </w:tcPr>
          <w:p w14:paraId="7D0971D7" w14:textId="77777777" w:rsidR="00662F2A" w:rsidRDefault="00662F2A" w:rsidP="008141F2">
            <w:pPr>
              <w:jc w:val="center"/>
              <w:rPr>
                <w:rFonts w:ascii="Calibri" w:eastAsia="Calibri" w:hAnsi="Calibri" w:cs="Calibri"/>
              </w:rPr>
            </w:pPr>
            <w:r>
              <w:rPr>
                <w:rFonts w:ascii="Calibri" w:eastAsia="Calibri" w:hAnsi="Calibri" w:cs="Calibri"/>
              </w:rPr>
              <w:t>17</w:t>
            </w:r>
          </w:p>
        </w:tc>
        <w:tc>
          <w:tcPr>
            <w:tcW w:w="930" w:type="dxa"/>
            <w:tcBorders>
              <w:top w:val="nil"/>
              <w:left w:val="nil"/>
              <w:bottom w:val="nil"/>
              <w:right w:val="nil"/>
            </w:tcBorders>
            <w:shd w:val="clear" w:color="auto" w:fill="auto"/>
            <w:vAlign w:val="bottom"/>
          </w:tcPr>
          <w:p w14:paraId="6E612EAD" w14:textId="77777777" w:rsidR="00662F2A" w:rsidRDefault="00662F2A" w:rsidP="008141F2">
            <w:pPr>
              <w:jc w:val="center"/>
              <w:rPr>
                <w:rFonts w:ascii="Calibri" w:eastAsia="Calibri" w:hAnsi="Calibri" w:cs="Calibri"/>
              </w:rPr>
            </w:pPr>
            <w:r>
              <w:rPr>
                <w:rFonts w:ascii="Calibri" w:eastAsia="Calibri" w:hAnsi="Calibri" w:cs="Calibri"/>
              </w:rPr>
              <w:t>0.406</w:t>
            </w:r>
          </w:p>
        </w:tc>
        <w:tc>
          <w:tcPr>
            <w:tcW w:w="1245" w:type="dxa"/>
            <w:tcBorders>
              <w:top w:val="nil"/>
              <w:left w:val="nil"/>
              <w:bottom w:val="nil"/>
              <w:right w:val="nil"/>
            </w:tcBorders>
            <w:shd w:val="clear" w:color="auto" w:fill="auto"/>
            <w:vAlign w:val="bottom"/>
          </w:tcPr>
          <w:p w14:paraId="2148A081"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170" w:type="dxa"/>
            <w:tcBorders>
              <w:top w:val="nil"/>
              <w:left w:val="nil"/>
              <w:bottom w:val="nil"/>
              <w:right w:val="nil"/>
            </w:tcBorders>
            <w:shd w:val="clear" w:color="auto" w:fill="auto"/>
            <w:vAlign w:val="bottom"/>
          </w:tcPr>
          <w:p w14:paraId="7A423FDD" w14:textId="77777777" w:rsidR="00662F2A" w:rsidRDefault="00662F2A" w:rsidP="008141F2">
            <w:pPr>
              <w:jc w:val="center"/>
              <w:rPr>
                <w:rFonts w:ascii="Calibri" w:eastAsia="Calibri" w:hAnsi="Calibri" w:cs="Calibri"/>
              </w:rPr>
            </w:pPr>
            <w:r>
              <w:rPr>
                <w:rFonts w:ascii="Calibri" w:eastAsia="Calibri" w:hAnsi="Calibri" w:cs="Calibri"/>
              </w:rPr>
              <w:t>0.428</w:t>
            </w:r>
          </w:p>
        </w:tc>
        <w:tc>
          <w:tcPr>
            <w:tcW w:w="1455" w:type="dxa"/>
            <w:tcBorders>
              <w:top w:val="nil"/>
              <w:left w:val="nil"/>
              <w:bottom w:val="nil"/>
              <w:right w:val="nil"/>
            </w:tcBorders>
            <w:shd w:val="clear" w:color="auto" w:fill="auto"/>
            <w:vAlign w:val="bottom"/>
          </w:tcPr>
          <w:p w14:paraId="5A98FAAB"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70" w:type="dxa"/>
            <w:tcBorders>
              <w:top w:val="nil"/>
              <w:left w:val="nil"/>
              <w:bottom w:val="nil"/>
              <w:right w:val="nil"/>
            </w:tcBorders>
            <w:shd w:val="clear" w:color="auto" w:fill="auto"/>
            <w:vAlign w:val="bottom"/>
          </w:tcPr>
          <w:p w14:paraId="39D555DA" w14:textId="77777777" w:rsidR="00662F2A" w:rsidRDefault="00662F2A" w:rsidP="008141F2">
            <w:pPr>
              <w:jc w:val="center"/>
              <w:rPr>
                <w:sz w:val="20"/>
                <w:szCs w:val="20"/>
              </w:rPr>
            </w:pPr>
            <w:r>
              <w:rPr>
                <w:sz w:val="20"/>
                <w:szCs w:val="20"/>
              </w:rPr>
              <w:t>-</w:t>
            </w:r>
          </w:p>
        </w:tc>
        <w:tc>
          <w:tcPr>
            <w:tcW w:w="1545" w:type="dxa"/>
            <w:tcBorders>
              <w:top w:val="nil"/>
              <w:left w:val="nil"/>
              <w:bottom w:val="nil"/>
              <w:right w:val="nil"/>
            </w:tcBorders>
            <w:shd w:val="clear" w:color="auto" w:fill="auto"/>
            <w:vAlign w:val="bottom"/>
          </w:tcPr>
          <w:p w14:paraId="484B5CF8" w14:textId="77777777" w:rsidR="00662F2A" w:rsidRDefault="00662F2A" w:rsidP="008141F2">
            <w:pPr>
              <w:jc w:val="center"/>
              <w:rPr>
                <w:rFonts w:ascii="Calibri" w:eastAsia="Calibri" w:hAnsi="Calibri" w:cs="Calibri"/>
              </w:rPr>
            </w:pPr>
            <w:r>
              <w:rPr>
                <w:rFonts w:ascii="Calibri" w:eastAsia="Calibri" w:hAnsi="Calibri" w:cs="Calibri"/>
              </w:rPr>
              <w:t>0.395</w:t>
            </w:r>
          </w:p>
        </w:tc>
      </w:tr>
      <w:tr w:rsidR="00662F2A" w14:paraId="05C87C9A" w14:textId="77777777" w:rsidTr="008141F2">
        <w:trPr>
          <w:trHeight w:val="300"/>
          <w:jc w:val="center"/>
        </w:trPr>
        <w:tc>
          <w:tcPr>
            <w:tcW w:w="1635" w:type="dxa"/>
            <w:tcBorders>
              <w:top w:val="nil"/>
              <w:left w:val="nil"/>
              <w:bottom w:val="nil"/>
              <w:right w:val="nil"/>
            </w:tcBorders>
            <w:shd w:val="clear" w:color="auto" w:fill="auto"/>
            <w:vAlign w:val="center"/>
          </w:tcPr>
          <w:p w14:paraId="71CB422B" w14:textId="77777777" w:rsidR="00662F2A" w:rsidRDefault="00662F2A" w:rsidP="008141F2">
            <w:pPr>
              <w:jc w:val="center"/>
              <w:rPr>
                <w:rFonts w:ascii="Calibri" w:eastAsia="Calibri" w:hAnsi="Calibri" w:cs="Calibri"/>
              </w:rPr>
            </w:pPr>
            <w:r>
              <w:rPr>
                <w:rFonts w:ascii="Calibri" w:eastAsia="Calibri" w:hAnsi="Calibri" w:cs="Calibri"/>
              </w:rPr>
              <w:t>18</w:t>
            </w:r>
          </w:p>
        </w:tc>
        <w:tc>
          <w:tcPr>
            <w:tcW w:w="930" w:type="dxa"/>
            <w:tcBorders>
              <w:top w:val="nil"/>
              <w:left w:val="nil"/>
              <w:bottom w:val="nil"/>
              <w:right w:val="nil"/>
            </w:tcBorders>
            <w:shd w:val="clear" w:color="auto" w:fill="auto"/>
            <w:vAlign w:val="bottom"/>
          </w:tcPr>
          <w:p w14:paraId="1DB6593E" w14:textId="77777777" w:rsidR="00662F2A" w:rsidRDefault="00662F2A" w:rsidP="008141F2">
            <w:pPr>
              <w:jc w:val="center"/>
              <w:rPr>
                <w:rFonts w:ascii="Calibri" w:eastAsia="Calibri" w:hAnsi="Calibri" w:cs="Calibri"/>
              </w:rPr>
            </w:pPr>
            <w:r>
              <w:rPr>
                <w:rFonts w:ascii="Calibri" w:eastAsia="Calibri" w:hAnsi="Calibri" w:cs="Calibri"/>
              </w:rPr>
              <w:t>0.328</w:t>
            </w:r>
          </w:p>
        </w:tc>
        <w:tc>
          <w:tcPr>
            <w:tcW w:w="1245" w:type="dxa"/>
            <w:tcBorders>
              <w:top w:val="nil"/>
              <w:left w:val="nil"/>
              <w:bottom w:val="nil"/>
              <w:right w:val="nil"/>
            </w:tcBorders>
            <w:shd w:val="clear" w:color="auto" w:fill="auto"/>
            <w:vAlign w:val="bottom"/>
          </w:tcPr>
          <w:p w14:paraId="778A6F78" w14:textId="77777777" w:rsidR="00662F2A" w:rsidRDefault="00662F2A" w:rsidP="008141F2">
            <w:pPr>
              <w:jc w:val="center"/>
              <w:rPr>
                <w:rFonts w:ascii="Calibri" w:eastAsia="Calibri" w:hAnsi="Calibri" w:cs="Calibri"/>
              </w:rPr>
            </w:pPr>
            <w:r>
              <w:rPr>
                <w:rFonts w:ascii="Calibri" w:eastAsia="Calibri" w:hAnsi="Calibri" w:cs="Calibri"/>
              </w:rPr>
              <w:t>0.344</w:t>
            </w:r>
          </w:p>
        </w:tc>
        <w:tc>
          <w:tcPr>
            <w:tcW w:w="1170" w:type="dxa"/>
            <w:tcBorders>
              <w:top w:val="nil"/>
              <w:left w:val="nil"/>
              <w:bottom w:val="nil"/>
              <w:right w:val="nil"/>
            </w:tcBorders>
            <w:shd w:val="clear" w:color="auto" w:fill="auto"/>
            <w:vAlign w:val="bottom"/>
          </w:tcPr>
          <w:p w14:paraId="14E34788"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6E3BE679" w14:textId="77777777" w:rsidR="00662F2A" w:rsidRDefault="00662F2A" w:rsidP="008141F2">
            <w:pPr>
              <w:jc w:val="center"/>
              <w:rPr>
                <w:rFonts w:ascii="Calibri" w:eastAsia="Calibri" w:hAnsi="Calibri" w:cs="Calibri"/>
              </w:rPr>
            </w:pPr>
            <w:r>
              <w:rPr>
                <w:rFonts w:ascii="Calibri" w:eastAsia="Calibri" w:hAnsi="Calibri" w:cs="Calibri"/>
              </w:rPr>
              <w:t>0.295</w:t>
            </w:r>
          </w:p>
        </w:tc>
        <w:tc>
          <w:tcPr>
            <w:tcW w:w="1470" w:type="dxa"/>
            <w:tcBorders>
              <w:top w:val="nil"/>
              <w:left w:val="nil"/>
              <w:bottom w:val="nil"/>
              <w:right w:val="nil"/>
            </w:tcBorders>
            <w:shd w:val="clear" w:color="auto" w:fill="auto"/>
            <w:vAlign w:val="bottom"/>
          </w:tcPr>
          <w:p w14:paraId="0B05A765"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545" w:type="dxa"/>
            <w:tcBorders>
              <w:top w:val="nil"/>
              <w:left w:val="nil"/>
              <w:bottom w:val="nil"/>
              <w:right w:val="nil"/>
            </w:tcBorders>
            <w:shd w:val="clear" w:color="auto" w:fill="auto"/>
            <w:vAlign w:val="bottom"/>
          </w:tcPr>
          <w:p w14:paraId="72F395D8" w14:textId="77777777" w:rsidR="00662F2A" w:rsidRDefault="00662F2A" w:rsidP="008141F2">
            <w:pPr>
              <w:jc w:val="center"/>
              <w:rPr>
                <w:sz w:val="20"/>
                <w:szCs w:val="20"/>
              </w:rPr>
            </w:pPr>
            <w:r>
              <w:rPr>
                <w:sz w:val="20"/>
                <w:szCs w:val="20"/>
              </w:rPr>
              <w:t>-</w:t>
            </w:r>
          </w:p>
        </w:tc>
      </w:tr>
      <w:tr w:rsidR="00662F2A" w14:paraId="33B3418C" w14:textId="77777777" w:rsidTr="008141F2">
        <w:trPr>
          <w:trHeight w:val="300"/>
          <w:jc w:val="center"/>
        </w:trPr>
        <w:tc>
          <w:tcPr>
            <w:tcW w:w="1635" w:type="dxa"/>
            <w:tcBorders>
              <w:top w:val="nil"/>
              <w:left w:val="nil"/>
              <w:bottom w:val="nil"/>
              <w:right w:val="nil"/>
            </w:tcBorders>
            <w:shd w:val="clear" w:color="auto" w:fill="auto"/>
            <w:vAlign w:val="center"/>
          </w:tcPr>
          <w:p w14:paraId="7760E09B" w14:textId="77777777" w:rsidR="00662F2A" w:rsidRDefault="00662F2A" w:rsidP="008141F2">
            <w:pPr>
              <w:jc w:val="center"/>
              <w:rPr>
                <w:rFonts w:ascii="Calibri" w:eastAsia="Calibri" w:hAnsi="Calibri" w:cs="Calibri"/>
              </w:rPr>
            </w:pPr>
            <w:r>
              <w:rPr>
                <w:rFonts w:ascii="Calibri" w:eastAsia="Calibri" w:hAnsi="Calibri" w:cs="Calibri"/>
              </w:rPr>
              <w:t>19</w:t>
            </w:r>
          </w:p>
        </w:tc>
        <w:tc>
          <w:tcPr>
            <w:tcW w:w="930" w:type="dxa"/>
            <w:tcBorders>
              <w:top w:val="nil"/>
              <w:left w:val="nil"/>
              <w:bottom w:val="nil"/>
              <w:right w:val="nil"/>
            </w:tcBorders>
            <w:shd w:val="clear" w:color="auto" w:fill="auto"/>
            <w:vAlign w:val="bottom"/>
          </w:tcPr>
          <w:p w14:paraId="5A959125" w14:textId="77777777" w:rsidR="00662F2A" w:rsidRDefault="00662F2A" w:rsidP="008141F2">
            <w:pPr>
              <w:jc w:val="center"/>
              <w:rPr>
                <w:rFonts w:ascii="Calibri" w:eastAsia="Calibri" w:hAnsi="Calibri" w:cs="Calibri"/>
              </w:rPr>
            </w:pPr>
            <w:r>
              <w:rPr>
                <w:rFonts w:ascii="Calibri" w:eastAsia="Calibri" w:hAnsi="Calibri" w:cs="Calibri"/>
              </w:rPr>
              <w:t>0.458</w:t>
            </w:r>
          </w:p>
        </w:tc>
        <w:tc>
          <w:tcPr>
            <w:tcW w:w="1245" w:type="dxa"/>
            <w:tcBorders>
              <w:top w:val="nil"/>
              <w:left w:val="nil"/>
              <w:bottom w:val="nil"/>
              <w:right w:val="nil"/>
            </w:tcBorders>
            <w:shd w:val="clear" w:color="auto" w:fill="auto"/>
            <w:vAlign w:val="bottom"/>
          </w:tcPr>
          <w:p w14:paraId="36EE1594"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170" w:type="dxa"/>
            <w:tcBorders>
              <w:top w:val="nil"/>
              <w:left w:val="nil"/>
              <w:bottom w:val="nil"/>
              <w:right w:val="nil"/>
            </w:tcBorders>
            <w:shd w:val="clear" w:color="auto" w:fill="auto"/>
            <w:vAlign w:val="bottom"/>
          </w:tcPr>
          <w:p w14:paraId="66BEA023" w14:textId="77777777" w:rsidR="00662F2A" w:rsidRDefault="00662F2A" w:rsidP="008141F2">
            <w:pPr>
              <w:jc w:val="center"/>
              <w:rPr>
                <w:rFonts w:ascii="Calibri" w:eastAsia="Calibri" w:hAnsi="Calibri" w:cs="Calibri"/>
              </w:rPr>
            </w:pPr>
            <w:r>
              <w:rPr>
                <w:rFonts w:ascii="Calibri" w:eastAsia="Calibri" w:hAnsi="Calibri" w:cs="Calibri"/>
              </w:rPr>
              <w:t>0.468</w:t>
            </w:r>
          </w:p>
        </w:tc>
        <w:tc>
          <w:tcPr>
            <w:tcW w:w="1455" w:type="dxa"/>
            <w:tcBorders>
              <w:top w:val="nil"/>
              <w:left w:val="nil"/>
              <w:bottom w:val="nil"/>
              <w:right w:val="nil"/>
            </w:tcBorders>
            <w:shd w:val="clear" w:color="auto" w:fill="auto"/>
            <w:vAlign w:val="bottom"/>
          </w:tcPr>
          <w:p w14:paraId="3A124298" w14:textId="77777777" w:rsidR="00662F2A" w:rsidRDefault="00662F2A" w:rsidP="008141F2">
            <w:pPr>
              <w:jc w:val="center"/>
              <w:rPr>
                <w:rFonts w:ascii="Calibri" w:eastAsia="Calibri" w:hAnsi="Calibri" w:cs="Calibri"/>
              </w:rPr>
            </w:pPr>
            <w:r>
              <w:rPr>
                <w:rFonts w:ascii="Calibri" w:eastAsia="Calibri" w:hAnsi="Calibri" w:cs="Calibri"/>
              </w:rPr>
              <w:t>0.466</w:t>
            </w:r>
          </w:p>
        </w:tc>
        <w:tc>
          <w:tcPr>
            <w:tcW w:w="1470" w:type="dxa"/>
            <w:tcBorders>
              <w:top w:val="nil"/>
              <w:left w:val="nil"/>
              <w:bottom w:val="nil"/>
              <w:right w:val="nil"/>
            </w:tcBorders>
            <w:shd w:val="clear" w:color="auto" w:fill="auto"/>
            <w:vAlign w:val="bottom"/>
          </w:tcPr>
          <w:p w14:paraId="69919FED" w14:textId="77777777" w:rsidR="00662F2A" w:rsidRDefault="00662F2A" w:rsidP="008141F2">
            <w:pPr>
              <w:jc w:val="center"/>
              <w:rPr>
                <w:rFonts w:ascii="Calibri" w:eastAsia="Calibri" w:hAnsi="Calibri" w:cs="Calibri"/>
              </w:rPr>
            </w:pPr>
            <w:r>
              <w:rPr>
                <w:rFonts w:ascii="Calibri" w:eastAsia="Calibri" w:hAnsi="Calibri" w:cs="Calibri"/>
              </w:rPr>
              <w:t>0.441</w:t>
            </w:r>
          </w:p>
        </w:tc>
        <w:tc>
          <w:tcPr>
            <w:tcW w:w="1545" w:type="dxa"/>
            <w:tcBorders>
              <w:top w:val="nil"/>
              <w:left w:val="nil"/>
              <w:bottom w:val="nil"/>
              <w:right w:val="nil"/>
            </w:tcBorders>
            <w:shd w:val="clear" w:color="auto" w:fill="auto"/>
            <w:vAlign w:val="bottom"/>
          </w:tcPr>
          <w:p w14:paraId="12B137B8" w14:textId="77777777" w:rsidR="00662F2A" w:rsidRDefault="00662F2A" w:rsidP="008141F2">
            <w:pPr>
              <w:jc w:val="center"/>
              <w:rPr>
                <w:rFonts w:ascii="Calibri" w:eastAsia="Calibri" w:hAnsi="Calibri" w:cs="Calibri"/>
              </w:rPr>
            </w:pPr>
            <w:r>
              <w:rPr>
                <w:rFonts w:ascii="Calibri" w:eastAsia="Calibri" w:hAnsi="Calibri" w:cs="Calibri"/>
              </w:rPr>
              <w:t>-</w:t>
            </w:r>
          </w:p>
        </w:tc>
      </w:tr>
      <w:tr w:rsidR="00662F2A" w14:paraId="1D7CBA64" w14:textId="77777777" w:rsidTr="008141F2">
        <w:trPr>
          <w:trHeight w:val="300"/>
          <w:jc w:val="center"/>
        </w:trPr>
        <w:tc>
          <w:tcPr>
            <w:tcW w:w="1635" w:type="dxa"/>
            <w:tcBorders>
              <w:top w:val="nil"/>
              <w:left w:val="nil"/>
              <w:bottom w:val="nil"/>
              <w:right w:val="nil"/>
            </w:tcBorders>
            <w:shd w:val="clear" w:color="auto" w:fill="auto"/>
            <w:vAlign w:val="center"/>
          </w:tcPr>
          <w:p w14:paraId="7EE65812" w14:textId="77777777" w:rsidR="00662F2A" w:rsidRDefault="00662F2A" w:rsidP="008141F2">
            <w:pPr>
              <w:jc w:val="center"/>
              <w:rPr>
                <w:rFonts w:ascii="Calibri" w:eastAsia="Calibri" w:hAnsi="Calibri" w:cs="Calibri"/>
              </w:rPr>
            </w:pPr>
            <w:r>
              <w:rPr>
                <w:rFonts w:ascii="Calibri" w:eastAsia="Calibri" w:hAnsi="Calibri" w:cs="Calibri"/>
              </w:rPr>
              <w:t>20</w:t>
            </w:r>
          </w:p>
        </w:tc>
        <w:tc>
          <w:tcPr>
            <w:tcW w:w="930" w:type="dxa"/>
            <w:tcBorders>
              <w:top w:val="nil"/>
              <w:left w:val="nil"/>
              <w:bottom w:val="nil"/>
              <w:right w:val="nil"/>
            </w:tcBorders>
            <w:shd w:val="clear" w:color="auto" w:fill="auto"/>
            <w:vAlign w:val="bottom"/>
          </w:tcPr>
          <w:p w14:paraId="65CD9DED" w14:textId="77777777" w:rsidR="00662F2A" w:rsidRDefault="00662F2A" w:rsidP="008141F2">
            <w:pPr>
              <w:jc w:val="center"/>
              <w:rPr>
                <w:rFonts w:ascii="Calibri" w:eastAsia="Calibri" w:hAnsi="Calibri" w:cs="Calibri"/>
              </w:rPr>
            </w:pPr>
            <w:r>
              <w:rPr>
                <w:rFonts w:ascii="Calibri" w:eastAsia="Calibri" w:hAnsi="Calibri" w:cs="Calibri"/>
              </w:rPr>
              <w:t>0.416</w:t>
            </w:r>
          </w:p>
        </w:tc>
        <w:tc>
          <w:tcPr>
            <w:tcW w:w="1245" w:type="dxa"/>
            <w:tcBorders>
              <w:top w:val="nil"/>
              <w:left w:val="nil"/>
              <w:bottom w:val="nil"/>
              <w:right w:val="nil"/>
            </w:tcBorders>
            <w:shd w:val="clear" w:color="auto" w:fill="auto"/>
            <w:vAlign w:val="bottom"/>
          </w:tcPr>
          <w:p w14:paraId="1C3082D0" w14:textId="77777777" w:rsidR="00662F2A" w:rsidRDefault="00662F2A" w:rsidP="008141F2">
            <w:pPr>
              <w:jc w:val="center"/>
              <w:rPr>
                <w:rFonts w:ascii="Calibri" w:eastAsia="Calibri" w:hAnsi="Calibri" w:cs="Calibri"/>
              </w:rPr>
            </w:pPr>
            <w:r>
              <w:rPr>
                <w:rFonts w:ascii="Calibri" w:eastAsia="Calibri" w:hAnsi="Calibri" w:cs="Calibri"/>
              </w:rPr>
              <w:t>0.494</w:t>
            </w:r>
          </w:p>
        </w:tc>
        <w:tc>
          <w:tcPr>
            <w:tcW w:w="1170" w:type="dxa"/>
            <w:tcBorders>
              <w:top w:val="nil"/>
              <w:left w:val="nil"/>
              <w:bottom w:val="nil"/>
              <w:right w:val="nil"/>
            </w:tcBorders>
            <w:shd w:val="clear" w:color="auto" w:fill="auto"/>
            <w:vAlign w:val="bottom"/>
          </w:tcPr>
          <w:p w14:paraId="0C1726C1"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6F366EA3"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70" w:type="dxa"/>
            <w:tcBorders>
              <w:top w:val="nil"/>
              <w:left w:val="nil"/>
              <w:bottom w:val="nil"/>
              <w:right w:val="nil"/>
            </w:tcBorders>
            <w:shd w:val="clear" w:color="auto" w:fill="auto"/>
            <w:vAlign w:val="bottom"/>
          </w:tcPr>
          <w:p w14:paraId="163F49B8" w14:textId="77777777" w:rsidR="00662F2A" w:rsidRDefault="00662F2A" w:rsidP="008141F2">
            <w:pPr>
              <w:jc w:val="center"/>
              <w:rPr>
                <w:rFonts w:ascii="Calibri" w:eastAsia="Calibri" w:hAnsi="Calibri" w:cs="Calibri"/>
              </w:rPr>
            </w:pPr>
            <w:r>
              <w:rPr>
                <w:rFonts w:ascii="Calibri" w:eastAsia="Calibri" w:hAnsi="Calibri" w:cs="Calibri"/>
              </w:rPr>
              <w:t>0.353</w:t>
            </w:r>
          </w:p>
        </w:tc>
        <w:tc>
          <w:tcPr>
            <w:tcW w:w="1545" w:type="dxa"/>
            <w:tcBorders>
              <w:top w:val="nil"/>
              <w:left w:val="nil"/>
              <w:bottom w:val="nil"/>
              <w:right w:val="nil"/>
            </w:tcBorders>
            <w:shd w:val="clear" w:color="auto" w:fill="auto"/>
            <w:vAlign w:val="bottom"/>
          </w:tcPr>
          <w:p w14:paraId="14FBDDE8" w14:textId="77777777" w:rsidR="00662F2A" w:rsidRDefault="00662F2A" w:rsidP="008141F2">
            <w:pPr>
              <w:jc w:val="center"/>
              <w:rPr>
                <w:rFonts w:ascii="Calibri" w:eastAsia="Calibri" w:hAnsi="Calibri" w:cs="Calibri"/>
              </w:rPr>
            </w:pPr>
            <w:r>
              <w:rPr>
                <w:rFonts w:ascii="Calibri" w:eastAsia="Calibri" w:hAnsi="Calibri" w:cs="Calibri"/>
              </w:rPr>
              <w:t>-</w:t>
            </w:r>
          </w:p>
        </w:tc>
      </w:tr>
      <w:tr w:rsidR="00662F2A" w14:paraId="26BD789F" w14:textId="77777777" w:rsidTr="008141F2">
        <w:trPr>
          <w:trHeight w:val="300"/>
          <w:jc w:val="center"/>
        </w:trPr>
        <w:tc>
          <w:tcPr>
            <w:tcW w:w="1635" w:type="dxa"/>
            <w:tcBorders>
              <w:top w:val="nil"/>
              <w:left w:val="nil"/>
              <w:bottom w:val="nil"/>
              <w:right w:val="nil"/>
            </w:tcBorders>
            <w:shd w:val="clear" w:color="auto" w:fill="auto"/>
            <w:vAlign w:val="center"/>
          </w:tcPr>
          <w:p w14:paraId="55074F24" w14:textId="77777777" w:rsidR="00662F2A" w:rsidRDefault="00662F2A" w:rsidP="008141F2">
            <w:pPr>
              <w:jc w:val="center"/>
              <w:rPr>
                <w:rFonts w:ascii="Calibri" w:eastAsia="Calibri" w:hAnsi="Calibri" w:cs="Calibri"/>
              </w:rPr>
            </w:pPr>
            <w:r>
              <w:rPr>
                <w:rFonts w:ascii="Calibri" w:eastAsia="Calibri" w:hAnsi="Calibri" w:cs="Calibri"/>
              </w:rPr>
              <w:t>21</w:t>
            </w:r>
          </w:p>
        </w:tc>
        <w:tc>
          <w:tcPr>
            <w:tcW w:w="930" w:type="dxa"/>
            <w:tcBorders>
              <w:top w:val="nil"/>
              <w:left w:val="nil"/>
              <w:bottom w:val="nil"/>
              <w:right w:val="nil"/>
            </w:tcBorders>
            <w:shd w:val="clear" w:color="auto" w:fill="auto"/>
            <w:vAlign w:val="bottom"/>
          </w:tcPr>
          <w:p w14:paraId="1473F67E" w14:textId="77777777" w:rsidR="00662F2A" w:rsidRDefault="00662F2A" w:rsidP="008141F2">
            <w:pPr>
              <w:jc w:val="center"/>
              <w:rPr>
                <w:rFonts w:ascii="Calibri" w:eastAsia="Calibri" w:hAnsi="Calibri" w:cs="Calibri"/>
              </w:rPr>
            </w:pPr>
            <w:r>
              <w:rPr>
                <w:rFonts w:ascii="Calibri" w:eastAsia="Calibri" w:hAnsi="Calibri" w:cs="Calibri"/>
              </w:rPr>
              <w:t>0.268</w:t>
            </w:r>
          </w:p>
        </w:tc>
        <w:tc>
          <w:tcPr>
            <w:tcW w:w="1245" w:type="dxa"/>
            <w:tcBorders>
              <w:top w:val="nil"/>
              <w:left w:val="nil"/>
              <w:bottom w:val="nil"/>
              <w:right w:val="nil"/>
            </w:tcBorders>
            <w:shd w:val="clear" w:color="auto" w:fill="auto"/>
            <w:vAlign w:val="bottom"/>
          </w:tcPr>
          <w:p w14:paraId="3FC3EE28" w14:textId="77777777" w:rsidR="00662F2A" w:rsidRDefault="00662F2A" w:rsidP="008141F2">
            <w:pPr>
              <w:jc w:val="center"/>
              <w:rPr>
                <w:rFonts w:ascii="Calibri" w:eastAsia="Calibri" w:hAnsi="Calibri" w:cs="Calibri"/>
              </w:rPr>
            </w:pPr>
            <w:r>
              <w:rPr>
                <w:rFonts w:ascii="Calibri" w:eastAsia="Calibri" w:hAnsi="Calibri" w:cs="Calibri"/>
              </w:rPr>
              <w:t>0.290</w:t>
            </w:r>
          </w:p>
        </w:tc>
        <w:tc>
          <w:tcPr>
            <w:tcW w:w="1170" w:type="dxa"/>
            <w:tcBorders>
              <w:top w:val="nil"/>
              <w:left w:val="nil"/>
              <w:bottom w:val="nil"/>
              <w:right w:val="nil"/>
            </w:tcBorders>
            <w:shd w:val="clear" w:color="auto" w:fill="auto"/>
            <w:vAlign w:val="bottom"/>
          </w:tcPr>
          <w:p w14:paraId="5A9438B7"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0350A990" w14:textId="77777777" w:rsidR="00662F2A" w:rsidRDefault="00662F2A" w:rsidP="008141F2">
            <w:pPr>
              <w:jc w:val="center"/>
              <w:rPr>
                <w:rFonts w:ascii="Calibri" w:eastAsia="Calibri" w:hAnsi="Calibri" w:cs="Calibri"/>
              </w:rPr>
            </w:pPr>
            <w:r>
              <w:rPr>
                <w:rFonts w:ascii="Calibri" w:eastAsia="Calibri" w:hAnsi="Calibri" w:cs="Calibri"/>
              </w:rPr>
              <w:t>0.285</w:t>
            </w:r>
          </w:p>
        </w:tc>
        <w:tc>
          <w:tcPr>
            <w:tcW w:w="1470" w:type="dxa"/>
            <w:tcBorders>
              <w:top w:val="nil"/>
              <w:left w:val="nil"/>
              <w:bottom w:val="nil"/>
              <w:right w:val="nil"/>
            </w:tcBorders>
            <w:shd w:val="clear" w:color="auto" w:fill="auto"/>
            <w:vAlign w:val="bottom"/>
          </w:tcPr>
          <w:p w14:paraId="4885AE10"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545" w:type="dxa"/>
            <w:tcBorders>
              <w:top w:val="nil"/>
              <w:left w:val="nil"/>
              <w:bottom w:val="nil"/>
              <w:right w:val="nil"/>
            </w:tcBorders>
            <w:shd w:val="clear" w:color="auto" w:fill="auto"/>
            <w:vAlign w:val="bottom"/>
          </w:tcPr>
          <w:p w14:paraId="4B7370DC" w14:textId="77777777" w:rsidR="00662F2A" w:rsidRDefault="00662F2A" w:rsidP="008141F2">
            <w:pPr>
              <w:jc w:val="center"/>
              <w:rPr>
                <w:rFonts w:ascii="Calibri" w:eastAsia="Calibri" w:hAnsi="Calibri" w:cs="Calibri"/>
              </w:rPr>
            </w:pPr>
            <w:r>
              <w:rPr>
                <w:rFonts w:ascii="Calibri" w:eastAsia="Calibri" w:hAnsi="Calibri" w:cs="Calibri"/>
              </w:rPr>
              <w:t>0.257</w:t>
            </w:r>
          </w:p>
        </w:tc>
      </w:tr>
      <w:tr w:rsidR="00662F2A" w14:paraId="4E3B64BA" w14:textId="77777777" w:rsidTr="008141F2">
        <w:trPr>
          <w:trHeight w:val="300"/>
          <w:jc w:val="center"/>
        </w:trPr>
        <w:tc>
          <w:tcPr>
            <w:tcW w:w="1635" w:type="dxa"/>
            <w:tcBorders>
              <w:top w:val="nil"/>
              <w:left w:val="nil"/>
              <w:bottom w:val="nil"/>
              <w:right w:val="nil"/>
            </w:tcBorders>
            <w:shd w:val="clear" w:color="auto" w:fill="auto"/>
            <w:vAlign w:val="center"/>
          </w:tcPr>
          <w:p w14:paraId="4DC9374A" w14:textId="77777777" w:rsidR="00662F2A" w:rsidRDefault="00662F2A" w:rsidP="008141F2">
            <w:pPr>
              <w:jc w:val="center"/>
              <w:rPr>
                <w:rFonts w:ascii="Calibri" w:eastAsia="Calibri" w:hAnsi="Calibri" w:cs="Calibri"/>
              </w:rPr>
            </w:pPr>
            <w:r>
              <w:rPr>
                <w:rFonts w:ascii="Calibri" w:eastAsia="Calibri" w:hAnsi="Calibri" w:cs="Calibri"/>
              </w:rPr>
              <w:t>22</w:t>
            </w:r>
          </w:p>
        </w:tc>
        <w:tc>
          <w:tcPr>
            <w:tcW w:w="930" w:type="dxa"/>
            <w:tcBorders>
              <w:top w:val="nil"/>
              <w:left w:val="nil"/>
              <w:bottom w:val="nil"/>
              <w:right w:val="nil"/>
            </w:tcBorders>
            <w:shd w:val="clear" w:color="auto" w:fill="auto"/>
            <w:vAlign w:val="bottom"/>
          </w:tcPr>
          <w:p w14:paraId="3B5AEF52" w14:textId="77777777" w:rsidR="00662F2A" w:rsidRDefault="00662F2A" w:rsidP="008141F2">
            <w:pPr>
              <w:jc w:val="center"/>
              <w:rPr>
                <w:rFonts w:ascii="Calibri" w:eastAsia="Calibri" w:hAnsi="Calibri" w:cs="Calibri"/>
              </w:rPr>
            </w:pPr>
            <w:r>
              <w:rPr>
                <w:rFonts w:ascii="Calibri" w:eastAsia="Calibri" w:hAnsi="Calibri" w:cs="Calibri"/>
              </w:rPr>
              <w:t>0.353</w:t>
            </w:r>
          </w:p>
        </w:tc>
        <w:tc>
          <w:tcPr>
            <w:tcW w:w="1245" w:type="dxa"/>
            <w:tcBorders>
              <w:top w:val="nil"/>
              <w:left w:val="nil"/>
              <w:bottom w:val="nil"/>
              <w:right w:val="nil"/>
            </w:tcBorders>
            <w:shd w:val="clear" w:color="auto" w:fill="auto"/>
            <w:vAlign w:val="bottom"/>
          </w:tcPr>
          <w:p w14:paraId="2A9BE3AC" w14:textId="77777777" w:rsidR="00662F2A" w:rsidRDefault="00662F2A" w:rsidP="008141F2">
            <w:pPr>
              <w:jc w:val="center"/>
              <w:rPr>
                <w:rFonts w:ascii="Calibri" w:eastAsia="Calibri" w:hAnsi="Calibri" w:cs="Calibri"/>
              </w:rPr>
            </w:pPr>
            <w:r>
              <w:rPr>
                <w:rFonts w:ascii="Calibri" w:eastAsia="Calibri" w:hAnsi="Calibri" w:cs="Calibri"/>
              </w:rPr>
              <w:t>0.352</w:t>
            </w:r>
          </w:p>
        </w:tc>
        <w:tc>
          <w:tcPr>
            <w:tcW w:w="1170" w:type="dxa"/>
            <w:tcBorders>
              <w:top w:val="nil"/>
              <w:left w:val="nil"/>
              <w:bottom w:val="nil"/>
              <w:right w:val="nil"/>
            </w:tcBorders>
            <w:shd w:val="clear" w:color="auto" w:fill="auto"/>
            <w:vAlign w:val="bottom"/>
          </w:tcPr>
          <w:p w14:paraId="397A10E1"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1AE667F3" w14:textId="77777777" w:rsidR="00662F2A" w:rsidRDefault="00662F2A" w:rsidP="008141F2">
            <w:pPr>
              <w:jc w:val="center"/>
              <w:rPr>
                <w:rFonts w:ascii="Calibri" w:eastAsia="Calibri" w:hAnsi="Calibri" w:cs="Calibri"/>
              </w:rPr>
            </w:pPr>
            <w:r>
              <w:rPr>
                <w:rFonts w:ascii="Calibri" w:eastAsia="Calibri" w:hAnsi="Calibri" w:cs="Calibri"/>
              </w:rPr>
              <w:t>0.367</w:t>
            </w:r>
          </w:p>
        </w:tc>
        <w:tc>
          <w:tcPr>
            <w:tcW w:w="1470" w:type="dxa"/>
            <w:tcBorders>
              <w:top w:val="nil"/>
              <w:left w:val="nil"/>
              <w:bottom w:val="nil"/>
              <w:right w:val="nil"/>
            </w:tcBorders>
            <w:shd w:val="clear" w:color="auto" w:fill="auto"/>
            <w:vAlign w:val="bottom"/>
          </w:tcPr>
          <w:p w14:paraId="142E9173"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545" w:type="dxa"/>
            <w:tcBorders>
              <w:top w:val="nil"/>
              <w:left w:val="nil"/>
              <w:bottom w:val="nil"/>
              <w:right w:val="nil"/>
            </w:tcBorders>
            <w:shd w:val="clear" w:color="auto" w:fill="auto"/>
            <w:vAlign w:val="bottom"/>
          </w:tcPr>
          <w:p w14:paraId="598E96C8" w14:textId="77777777" w:rsidR="00662F2A" w:rsidRDefault="00662F2A" w:rsidP="008141F2">
            <w:pPr>
              <w:jc w:val="center"/>
              <w:rPr>
                <w:rFonts w:ascii="Calibri" w:eastAsia="Calibri" w:hAnsi="Calibri" w:cs="Calibri"/>
              </w:rPr>
            </w:pPr>
            <w:r>
              <w:rPr>
                <w:rFonts w:ascii="Calibri" w:eastAsia="Calibri" w:hAnsi="Calibri" w:cs="Calibri"/>
              </w:rPr>
              <w:t>0.335</w:t>
            </w:r>
          </w:p>
        </w:tc>
      </w:tr>
      <w:tr w:rsidR="00662F2A" w14:paraId="3FB139EA" w14:textId="77777777" w:rsidTr="008141F2">
        <w:trPr>
          <w:trHeight w:val="300"/>
          <w:jc w:val="center"/>
        </w:trPr>
        <w:tc>
          <w:tcPr>
            <w:tcW w:w="1635" w:type="dxa"/>
            <w:tcBorders>
              <w:top w:val="nil"/>
              <w:left w:val="nil"/>
              <w:bottom w:val="nil"/>
              <w:right w:val="nil"/>
            </w:tcBorders>
            <w:shd w:val="clear" w:color="auto" w:fill="auto"/>
            <w:vAlign w:val="center"/>
          </w:tcPr>
          <w:p w14:paraId="579406E4" w14:textId="77777777" w:rsidR="00662F2A" w:rsidRDefault="00662F2A" w:rsidP="008141F2">
            <w:pPr>
              <w:jc w:val="center"/>
              <w:rPr>
                <w:rFonts w:ascii="Calibri" w:eastAsia="Calibri" w:hAnsi="Calibri" w:cs="Calibri"/>
              </w:rPr>
            </w:pPr>
            <w:r>
              <w:rPr>
                <w:rFonts w:ascii="Calibri" w:eastAsia="Calibri" w:hAnsi="Calibri" w:cs="Calibri"/>
              </w:rPr>
              <w:t>{23, 24}</w:t>
            </w:r>
          </w:p>
        </w:tc>
        <w:tc>
          <w:tcPr>
            <w:tcW w:w="930" w:type="dxa"/>
            <w:tcBorders>
              <w:top w:val="nil"/>
              <w:left w:val="nil"/>
              <w:bottom w:val="nil"/>
              <w:right w:val="nil"/>
            </w:tcBorders>
            <w:shd w:val="clear" w:color="auto" w:fill="auto"/>
            <w:vAlign w:val="bottom"/>
          </w:tcPr>
          <w:p w14:paraId="64D93211" w14:textId="77777777" w:rsidR="00662F2A" w:rsidRDefault="00662F2A" w:rsidP="008141F2">
            <w:pPr>
              <w:jc w:val="center"/>
              <w:rPr>
                <w:rFonts w:ascii="Calibri" w:eastAsia="Calibri" w:hAnsi="Calibri" w:cs="Calibri"/>
              </w:rPr>
            </w:pPr>
            <w:r>
              <w:rPr>
                <w:rFonts w:ascii="Calibri" w:eastAsia="Calibri" w:hAnsi="Calibri" w:cs="Calibri"/>
              </w:rPr>
              <w:t>0.302</w:t>
            </w:r>
          </w:p>
        </w:tc>
        <w:tc>
          <w:tcPr>
            <w:tcW w:w="1245" w:type="dxa"/>
            <w:tcBorders>
              <w:top w:val="nil"/>
              <w:left w:val="nil"/>
              <w:bottom w:val="nil"/>
              <w:right w:val="nil"/>
            </w:tcBorders>
            <w:shd w:val="clear" w:color="auto" w:fill="auto"/>
            <w:vAlign w:val="bottom"/>
          </w:tcPr>
          <w:p w14:paraId="7B629CD3" w14:textId="77777777" w:rsidR="00662F2A" w:rsidRDefault="00662F2A" w:rsidP="008141F2">
            <w:pPr>
              <w:jc w:val="center"/>
              <w:rPr>
                <w:rFonts w:ascii="Calibri" w:eastAsia="Calibri" w:hAnsi="Calibri" w:cs="Calibri"/>
              </w:rPr>
            </w:pPr>
            <w:r>
              <w:rPr>
                <w:rFonts w:ascii="Calibri" w:eastAsia="Calibri" w:hAnsi="Calibri" w:cs="Calibri"/>
              </w:rPr>
              <w:t>0.299</w:t>
            </w:r>
          </w:p>
        </w:tc>
        <w:tc>
          <w:tcPr>
            <w:tcW w:w="1170" w:type="dxa"/>
            <w:tcBorders>
              <w:top w:val="nil"/>
              <w:left w:val="nil"/>
              <w:bottom w:val="nil"/>
              <w:right w:val="nil"/>
            </w:tcBorders>
            <w:shd w:val="clear" w:color="auto" w:fill="auto"/>
            <w:vAlign w:val="bottom"/>
          </w:tcPr>
          <w:p w14:paraId="11274503"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2A8F4F65" w14:textId="77777777" w:rsidR="00662F2A" w:rsidRDefault="00662F2A" w:rsidP="008141F2">
            <w:pPr>
              <w:jc w:val="center"/>
              <w:rPr>
                <w:rFonts w:ascii="Calibri" w:eastAsia="Calibri" w:hAnsi="Calibri" w:cs="Calibri"/>
              </w:rPr>
            </w:pPr>
            <w:r>
              <w:rPr>
                <w:rFonts w:ascii="Calibri" w:eastAsia="Calibri" w:hAnsi="Calibri" w:cs="Calibri"/>
              </w:rPr>
              <w:t>0.306</w:t>
            </w:r>
          </w:p>
        </w:tc>
        <w:tc>
          <w:tcPr>
            <w:tcW w:w="1470" w:type="dxa"/>
            <w:tcBorders>
              <w:top w:val="nil"/>
              <w:left w:val="nil"/>
              <w:bottom w:val="nil"/>
              <w:right w:val="nil"/>
            </w:tcBorders>
            <w:shd w:val="clear" w:color="auto" w:fill="auto"/>
            <w:vAlign w:val="bottom"/>
          </w:tcPr>
          <w:p w14:paraId="56E59E39" w14:textId="77777777" w:rsidR="00662F2A" w:rsidRDefault="00662F2A" w:rsidP="008141F2">
            <w:pPr>
              <w:jc w:val="center"/>
              <w:rPr>
                <w:rFonts w:ascii="Calibri" w:eastAsia="Calibri" w:hAnsi="Calibri" w:cs="Calibri"/>
              </w:rPr>
            </w:pPr>
            <w:r>
              <w:rPr>
                <w:rFonts w:ascii="Calibri" w:eastAsia="Calibri" w:hAnsi="Calibri" w:cs="Calibri"/>
              </w:rPr>
              <w:t>0.284</w:t>
            </w:r>
          </w:p>
        </w:tc>
        <w:tc>
          <w:tcPr>
            <w:tcW w:w="1545" w:type="dxa"/>
            <w:tcBorders>
              <w:top w:val="nil"/>
              <w:left w:val="nil"/>
              <w:bottom w:val="nil"/>
              <w:right w:val="nil"/>
            </w:tcBorders>
            <w:shd w:val="clear" w:color="auto" w:fill="auto"/>
            <w:vAlign w:val="bottom"/>
          </w:tcPr>
          <w:p w14:paraId="41F3C3F4" w14:textId="77777777" w:rsidR="00662F2A" w:rsidRDefault="00662F2A" w:rsidP="008141F2">
            <w:pPr>
              <w:jc w:val="center"/>
              <w:rPr>
                <w:rFonts w:ascii="Calibri" w:eastAsia="Calibri" w:hAnsi="Calibri" w:cs="Calibri"/>
              </w:rPr>
            </w:pPr>
            <w:r>
              <w:rPr>
                <w:rFonts w:ascii="Calibri" w:eastAsia="Calibri" w:hAnsi="Calibri" w:cs="Calibri"/>
              </w:rPr>
              <w:t>-</w:t>
            </w:r>
          </w:p>
        </w:tc>
      </w:tr>
      <w:tr w:rsidR="00662F2A" w14:paraId="21CE38C6" w14:textId="77777777" w:rsidTr="008141F2">
        <w:trPr>
          <w:trHeight w:val="300"/>
          <w:jc w:val="center"/>
        </w:trPr>
        <w:tc>
          <w:tcPr>
            <w:tcW w:w="1635" w:type="dxa"/>
            <w:tcBorders>
              <w:top w:val="nil"/>
              <w:left w:val="nil"/>
              <w:bottom w:val="nil"/>
              <w:right w:val="nil"/>
            </w:tcBorders>
            <w:shd w:val="clear" w:color="auto" w:fill="auto"/>
            <w:vAlign w:val="center"/>
          </w:tcPr>
          <w:p w14:paraId="0D078A6C" w14:textId="77777777" w:rsidR="00662F2A" w:rsidRDefault="00662F2A" w:rsidP="008141F2">
            <w:pPr>
              <w:jc w:val="center"/>
              <w:rPr>
                <w:rFonts w:ascii="Calibri" w:eastAsia="Calibri" w:hAnsi="Calibri" w:cs="Calibri"/>
              </w:rPr>
            </w:pPr>
            <w:r>
              <w:rPr>
                <w:rFonts w:ascii="Calibri" w:eastAsia="Calibri" w:hAnsi="Calibri" w:cs="Calibri"/>
              </w:rPr>
              <w:t>{25, 26, 27}</w:t>
            </w:r>
          </w:p>
        </w:tc>
        <w:tc>
          <w:tcPr>
            <w:tcW w:w="930" w:type="dxa"/>
            <w:tcBorders>
              <w:top w:val="nil"/>
              <w:left w:val="nil"/>
              <w:bottom w:val="nil"/>
              <w:right w:val="nil"/>
            </w:tcBorders>
            <w:shd w:val="clear" w:color="auto" w:fill="auto"/>
            <w:vAlign w:val="bottom"/>
          </w:tcPr>
          <w:p w14:paraId="7555FE7D" w14:textId="77777777" w:rsidR="00662F2A" w:rsidRDefault="00662F2A" w:rsidP="008141F2">
            <w:pPr>
              <w:jc w:val="center"/>
              <w:rPr>
                <w:rFonts w:ascii="Calibri" w:eastAsia="Calibri" w:hAnsi="Calibri" w:cs="Calibri"/>
              </w:rPr>
            </w:pPr>
            <w:r>
              <w:rPr>
                <w:rFonts w:ascii="Calibri" w:eastAsia="Calibri" w:hAnsi="Calibri" w:cs="Calibri"/>
              </w:rPr>
              <w:t>0.489</w:t>
            </w:r>
          </w:p>
        </w:tc>
        <w:tc>
          <w:tcPr>
            <w:tcW w:w="1245" w:type="dxa"/>
            <w:tcBorders>
              <w:top w:val="nil"/>
              <w:left w:val="nil"/>
              <w:bottom w:val="nil"/>
              <w:right w:val="nil"/>
            </w:tcBorders>
            <w:shd w:val="clear" w:color="auto" w:fill="auto"/>
            <w:vAlign w:val="bottom"/>
          </w:tcPr>
          <w:p w14:paraId="7F10F685"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170" w:type="dxa"/>
            <w:tcBorders>
              <w:top w:val="nil"/>
              <w:left w:val="nil"/>
              <w:bottom w:val="nil"/>
              <w:right w:val="nil"/>
            </w:tcBorders>
            <w:shd w:val="clear" w:color="auto" w:fill="auto"/>
            <w:vAlign w:val="bottom"/>
          </w:tcPr>
          <w:p w14:paraId="48CE48EC" w14:textId="77777777" w:rsidR="00662F2A" w:rsidRDefault="00662F2A" w:rsidP="008141F2">
            <w:pPr>
              <w:jc w:val="center"/>
              <w:rPr>
                <w:rFonts w:ascii="Calibri" w:eastAsia="Calibri" w:hAnsi="Calibri" w:cs="Calibri"/>
              </w:rPr>
            </w:pPr>
            <w:r>
              <w:rPr>
                <w:rFonts w:ascii="Calibri" w:eastAsia="Calibri" w:hAnsi="Calibri" w:cs="Calibri"/>
              </w:rPr>
              <w:t>0.518</w:t>
            </w:r>
          </w:p>
        </w:tc>
        <w:tc>
          <w:tcPr>
            <w:tcW w:w="1455" w:type="dxa"/>
            <w:tcBorders>
              <w:top w:val="nil"/>
              <w:left w:val="nil"/>
              <w:bottom w:val="nil"/>
              <w:right w:val="nil"/>
            </w:tcBorders>
            <w:shd w:val="clear" w:color="auto" w:fill="auto"/>
            <w:vAlign w:val="bottom"/>
          </w:tcPr>
          <w:p w14:paraId="2CD06246" w14:textId="77777777" w:rsidR="00662F2A" w:rsidRDefault="00662F2A" w:rsidP="008141F2">
            <w:pPr>
              <w:jc w:val="center"/>
              <w:rPr>
                <w:rFonts w:ascii="Calibri" w:eastAsia="Calibri" w:hAnsi="Calibri" w:cs="Calibri"/>
              </w:rPr>
            </w:pPr>
            <w:r>
              <w:rPr>
                <w:rFonts w:ascii="Calibri" w:eastAsia="Calibri" w:hAnsi="Calibri" w:cs="Calibri"/>
              </w:rPr>
              <w:t>0.492</w:t>
            </w:r>
          </w:p>
        </w:tc>
        <w:tc>
          <w:tcPr>
            <w:tcW w:w="1470" w:type="dxa"/>
            <w:tcBorders>
              <w:top w:val="nil"/>
              <w:left w:val="nil"/>
              <w:bottom w:val="nil"/>
              <w:right w:val="nil"/>
            </w:tcBorders>
            <w:shd w:val="clear" w:color="auto" w:fill="auto"/>
            <w:vAlign w:val="bottom"/>
          </w:tcPr>
          <w:p w14:paraId="5156D76B"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545" w:type="dxa"/>
            <w:tcBorders>
              <w:top w:val="nil"/>
              <w:left w:val="nil"/>
              <w:bottom w:val="nil"/>
              <w:right w:val="nil"/>
            </w:tcBorders>
            <w:shd w:val="clear" w:color="auto" w:fill="auto"/>
            <w:vAlign w:val="bottom"/>
          </w:tcPr>
          <w:p w14:paraId="0B93025C" w14:textId="77777777" w:rsidR="00662F2A" w:rsidRDefault="00662F2A" w:rsidP="008141F2">
            <w:pPr>
              <w:jc w:val="center"/>
              <w:rPr>
                <w:sz w:val="20"/>
                <w:szCs w:val="20"/>
              </w:rPr>
            </w:pPr>
            <w:r>
              <w:rPr>
                <w:sz w:val="20"/>
                <w:szCs w:val="20"/>
              </w:rPr>
              <w:t>-</w:t>
            </w:r>
          </w:p>
        </w:tc>
      </w:tr>
      <w:tr w:rsidR="00662F2A" w14:paraId="177AF23D" w14:textId="77777777" w:rsidTr="008141F2">
        <w:trPr>
          <w:trHeight w:val="300"/>
          <w:jc w:val="center"/>
        </w:trPr>
        <w:tc>
          <w:tcPr>
            <w:tcW w:w="1635" w:type="dxa"/>
            <w:tcBorders>
              <w:top w:val="nil"/>
              <w:left w:val="nil"/>
              <w:bottom w:val="nil"/>
              <w:right w:val="nil"/>
            </w:tcBorders>
            <w:shd w:val="clear" w:color="auto" w:fill="auto"/>
            <w:vAlign w:val="center"/>
          </w:tcPr>
          <w:p w14:paraId="7F64C3FD" w14:textId="77777777" w:rsidR="00662F2A" w:rsidRDefault="00662F2A" w:rsidP="008141F2">
            <w:pPr>
              <w:jc w:val="center"/>
              <w:rPr>
                <w:rFonts w:ascii="Calibri" w:eastAsia="Calibri" w:hAnsi="Calibri" w:cs="Calibri"/>
              </w:rPr>
            </w:pPr>
            <w:r>
              <w:rPr>
                <w:rFonts w:ascii="Calibri" w:eastAsia="Calibri" w:hAnsi="Calibri" w:cs="Calibri"/>
              </w:rPr>
              <w:t>{28, 29, 30, 31}</w:t>
            </w:r>
          </w:p>
        </w:tc>
        <w:tc>
          <w:tcPr>
            <w:tcW w:w="930" w:type="dxa"/>
            <w:tcBorders>
              <w:top w:val="nil"/>
              <w:left w:val="nil"/>
              <w:bottom w:val="nil"/>
              <w:right w:val="nil"/>
            </w:tcBorders>
            <w:shd w:val="clear" w:color="auto" w:fill="auto"/>
            <w:vAlign w:val="bottom"/>
          </w:tcPr>
          <w:p w14:paraId="57BFCCBA" w14:textId="77777777" w:rsidR="00662F2A" w:rsidRDefault="00662F2A" w:rsidP="008141F2">
            <w:pPr>
              <w:jc w:val="center"/>
              <w:rPr>
                <w:rFonts w:ascii="Calibri" w:eastAsia="Calibri" w:hAnsi="Calibri" w:cs="Calibri"/>
              </w:rPr>
            </w:pPr>
            <w:r>
              <w:rPr>
                <w:rFonts w:ascii="Calibri" w:eastAsia="Calibri" w:hAnsi="Calibri" w:cs="Calibri"/>
              </w:rPr>
              <w:t>0.387</w:t>
            </w:r>
          </w:p>
        </w:tc>
        <w:tc>
          <w:tcPr>
            <w:tcW w:w="1245" w:type="dxa"/>
            <w:tcBorders>
              <w:top w:val="nil"/>
              <w:left w:val="nil"/>
              <w:bottom w:val="nil"/>
              <w:right w:val="nil"/>
            </w:tcBorders>
            <w:shd w:val="clear" w:color="auto" w:fill="auto"/>
            <w:vAlign w:val="bottom"/>
          </w:tcPr>
          <w:p w14:paraId="741DD34F"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170" w:type="dxa"/>
            <w:tcBorders>
              <w:top w:val="nil"/>
              <w:left w:val="nil"/>
              <w:bottom w:val="nil"/>
              <w:right w:val="nil"/>
            </w:tcBorders>
            <w:shd w:val="clear" w:color="auto" w:fill="auto"/>
            <w:vAlign w:val="bottom"/>
          </w:tcPr>
          <w:p w14:paraId="37407270" w14:textId="77777777" w:rsidR="00662F2A" w:rsidRDefault="00662F2A" w:rsidP="008141F2">
            <w:pPr>
              <w:jc w:val="center"/>
              <w:rPr>
                <w:rFonts w:ascii="Calibri" w:eastAsia="Calibri" w:hAnsi="Calibri" w:cs="Calibri"/>
              </w:rPr>
            </w:pPr>
            <w:r>
              <w:rPr>
                <w:rFonts w:ascii="Calibri" w:eastAsia="Calibri" w:hAnsi="Calibri" w:cs="Calibri"/>
              </w:rPr>
              <w:t>0.421</w:t>
            </w:r>
          </w:p>
        </w:tc>
        <w:tc>
          <w:tcPr>
            <w:tcW w:w="1455" w:type="dxa"/>
            <w:tcBorders>
              <w:top w:val="nil"/>
              <w:left w:val="nil"/>
              <w:bottom w:val="nil"/>
              <w:right w:val="nil"/>
            </w:tcBorders>
            <w:shd w:val="clear" w:color="auto" w:fill="auto"/>
            <w:vAlign w:val="bottom"/>
          </w:tcPr>
          <w:p w14:paraId="3E730C87" w14:textId="77777777" w:rsidR="00662F2A" w:rsidRDefault="00662F2A" w:rsidP="008141F2">
            <w:pPr>
              <w:jc w:val="center"/>
              <w:rPr>
                <w:rFonts w:ascii="Calibri" w:eastAsia="Calibri" w:hAnsi="Calibri" w:cs="Calibri"/>
              </w:rPr>
            </w:pPr>
            <w:r>
              <w:rPr>
                <w:rFonts w:ascii="Calibri" w:eastAsia="Calibri" w:hAnsi="Calibri" w:cs="Calibri"/>
              </w:rPr>
              <w:t>0.399</w:t>
            </w:r>
          </w:p>
        </w:tc>
        <w:tc>
          <w:tcPr>
            <w:tcW w:w="1470" w:type="dxa"/>
            <w:tcBorders>
              <w:top w:val="nil"/>
              <w:left w:val="nil"/>
              <w:bottom w:val="nil"/>
              <w:right w:val="nil"/>
            </w:tcBorders>
            <w:shd w:val="clear" w:color="auto" w:fill="auto"/>
            <w:vAlign w:val="bottom"/>
          </w:tcPr>
          <w:p w14:paraId="5EB468B7" w14:textId="77777777" w:rsidR="00662F2A" w:rsidRDefault="00662F2A" w:rsidP="008141F2">
            <w:pPr>
              <w:jc w:val="center"/>
              <w:rPr>
                <w:rFonts w:ascii="Calibri" w:eastAsia="Calibri" w:hAnsi="Calibri" w:cs="Calibri"/>
              </w:rPr>
            </w:pPr>
            <w:r>
              <w:rPr>
                <w:rFonts w:ascii="Calibri" w:eastAsia="Calibri" w:hAnsi="Calibri" w:cs="Calibri"/>
              </w:rPr>
              <w:t>0.371</w:t>
            </w:r>
          </w:p>
        </w:tc>
        <w:tc>
          <w:tcPr>
            <w:tcW w:w="1545" w:type="dxa"/>
            <w:tcBorders>
              <w:top w:val="nil"/>
              <w:left w:val="nil"/>
              <w:bottom w:val="nil"/>
              <w:right w:val="nil"/>
            </w:tcBorders>
            <w:shd w:val="clear" w:color="auto" w:fill="auto"/>
            <w:vAlign w:val="bottom"/>
          </w:tcPr>
          <w:p w14:paraId="4A220DDF" w14:textId="77777777" w:rsidR="00662F2A" w:rsidRDefault="00662F2A" w:rsidP="008141F2">
            <w:pPr>
              <w:jc w:val="center"/>
              <w:rPr>
                <w:rFonts w:ascii="Calibri" w:eastAsia="Calibri" w:hAnsi="Calibri" w:cs="Calibri"/>
              </w:rPr>
            </w:pPr>
            <w:r>
              <w:rPr>
                <w:rFonts w:ascii="Calibri" w:eastAsia="Calibri" w:hAnsi="Calibri" w:cs="Calibri"/>
              </w:rPr>
              <w:t>-</w:t>
            </w:r>
          </w:p>
        </w:tc>
      </w:tr>
      <w:tr w:rsidR="00662F2A" w14:paraId="65C2EF1A" w14:textId="77777777" w:rsidTr="008141F2">
        <w:trPr>
          <w:trHeight w:val="300"/>
          <w:jc w:val="center"/>
        </w:trPr>
        <w:tc>
          <w:tcPr>
            <w:tcW w:w="1635" w:type="dxa"/>
            <w:tcBorders>
              <w:top w:val="nil"/>
              <w:left w:val="nil"/>
              <w:bottom w:val="nil"/>
              <w:right w:val="nil"/>
            </w:tcBorders>
            <w:shd w:val="clear" w:color="auto" w:fill="auto"/>
            <w:vAlign w:val="center"/>
          </w:tcPr>
          <w:p w14:paraId="62ABD9E9" w14:textId="77777777" w:rsidR="00662F2A" w:rsidRDefault="00662F2A" w:rsidP="008141F2">
            <w:pPr>
              <w:jc w:val="center"/>
              <w:rPr>
                <w:rFonts w:ascii="Calibri" w:eastAsia="Calibri" w:hAnsi="Calibri" w:cs="Calibri"/>
              </w:rPr>
            </w:pPr>
            <w:r>
              <w:rPr>
                <w:rFonts w:ascii="Calibri" w:eastAsia="Calibri" w:hAnsi="Calibri" w:cs="Calibri"/>
              </w:rPr>
              <w:t>33</w:t>
            </w:r>
          </w:p>
        </w:tc>
        <w:tc>
          <w:tcPr>
            <w:tcW w:w="930" w:type="dxa"/>
            <w:tcBorders>
              <w:top w:val="nil"/>
              <w:left w:val="nil"/>
              <w:bottom w:val="nil"/>
              <w:right w:val="nil"/>
            </w:tcBorders>
            <w:shd w:val="clear" w:color="auto" w:fill="auto"/>
            <w:vAlign w:val="bottom"/>
          </w:tcPr>
          <w:p w14:paraId="75D3B1FB" w14:textId="77777777" w:rsidR="00662F2A" w:rsidRDefault="00662F2A" w:rsidP="008141F2">
            <w:pPr>
              <w:jc w:val="center"/>
              <w:rPr>
                <w:rFonts w:ascii="Calibri" w:eastAsia="Calibri" w:hAnsi="Calibri" w:cs="Calibri"/>
              </w:rPr>
            </w:pPr>
            <w:r>
              <w:rPr>
                <w:rFonts w:ascii="Calibri" w:eastAsia="Calibri" w:hAnsi="Calibri" w:cs="Calibri"/>
              </w:rPr>
              <w:t>0.287</w:t>
            </w:r>
          </w:p>
        </w:tc>
        <w:tc>
          <w:tcPr>
            <w:tcW w:w="1245" w:type="dxa"/>
            <w:tcBorders>
              <w:top w:val="nil"/>
              <w:left w:val="nil"/>
              <w:bottom w:val="nil"/>
              <w:right w:val="nil"/>
            </w:tcBorders>
            <w:shd w:val="clear" w:color="auto" w:fill="auto"/>
            <w:vAlign w:val="bottom"/>
          </w:tcPr>
          <w:p w14:paraId="555FF16E" w14:textId="77777777" w:rsidR="00662F2A" w:rsidRDefault="00662F2A" w:rsidP="008141F2">
            <w:pPr>
              <w:jc w:val="center"/>
              <w:rPr>
                <w:rFonts w:ascii="Calibri" w:eastAsia="Calibri" w:hAnsi="Calibri" w:cs="Calibri"/>
              </w:rPr>
            </w:pPr>
            <w:r>
              <w:rPr>
                <w:rFonts w:ascii="Calibri" w:eastAsia="Calibri" w:hAnsi="Calibri" w:cs="Calibri"/>
              </w:rPr>
              <w:t>0.279</w:t>
            </w:r>
          </w:p>
        </w:tc>
        <w:tc>
          <w:tcPr>
            <w:tcW w:w="1170" w:type="dxa"/>
            <w:tcBorders>
              <w:top w:val="nil"/>
              <w:left w:val="nil"/>
              <w:bottom w:val="nil"/>
              <w:right w:val="nil"/>
            </w:tcBorders>
            <w:shd w:val="clear" w:color="auto" w:fill="auto"/>
            <w:vAlign w:val="bottom"/>
          </w:tcPr>
          <w:p w14:paraId="5CBDDD8E"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7AE96D32"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70" w:type="dxa"/>
            <w:tcBorders>
              <w:top w:val="nil"/>
              <w:left w:val="nil"/>
              <w:bottom w:val="nil"/>
              <w:right w:val="nil"/>
            </w:tcBorders>
            <w:shd w:val="clear" w:color="auto" w:fill="auto"/>
            <w:vAlign w:val="bottom"/>
          </w:tcPr>
          <w:p w14:paraId="680F047B" w14:textId="77777777" w:rsidR="00662F2A" w:rsidRDefault="00662F2A" w:rsidP="008141F2">
            <w:pPr>
              <w:jc w:val="center"/>
              <w:rPr>
                <w:rFonts w:ascii="Calibri" w:eastAsia="Calibri" w:hAnsi="Calibri" w:cs="Calibri"/>
              </w:rPr>
            </w:pPr>
            <w:r>
              <w:rPr>
                <w:rFonts w:ascii="Calibri" w:eastAsia="Calibri" w:hAnsi="Calibri" w:cs="Calibri"/>
              </w:rPr>
              <w:t>0.309</w:t>
            </w:r>
          </w:p>
        </w:tc>
        <w:tc>
          <w:tcPr>
            <w:tcW w:w="1545" w:type="dxa"/>
            <w:tcBorders>
              <w:top w:val="nil"/>
              <w:left w:val="nil"/>
              <w:bottom w:val="nil"/>
              <w:right w:val="nil"/>
            </w:tcBorders>
            <w:shd w:val="clear" w:color="auto" w:fill="auto"/>
            <w:vAlign w:val="bottom"/>
          </w:tcPr>
          <w:p w14:paraId="232BE37D" w14:textId="77777777" w:rsidR="00662F2A" w:rsidRDefault="00662F2A" w:rsidP="008141F2">
            <w:pPr>
              <w:jc w:val="center"/>
              <w:rPr>
                <w:rFonts w:ascii="Calibri" w:eastAsia="Calibri" w:hAnsi="Calibri" w:cs="Calibri"/>
              </w:rPr>
            </w:pPr>
            <w:r>
              <w:rPr>
                <w:rFonts w:ascii="Calibri" w:eastAsia="Calibri" w:hAnsi="Calibri" w:cs="Calibri"/>
              </w:rPr>
              <w:t>0.266</w:t>
            </w:r>
          </w:p>
        </w:tc>
      </w:tr>
      <w:tr w:rsidR="00662F2A" w14:paraId="70048F99" w14:textId="77777777" w:rsidTr="008141F2">
        <w:trPr>
          <w:trHeight w:val="300"/>
          <w:jc w:val="center"/>
        </w:trPr>
        <w:tc>
          <w:tcPr>
            <w:tcW w:w="1635" w:type="dxa"/>
            <w:tcBorders>
              <w:top w:val="nil"/>
              <w:left w:val="nil"/>
              <w:bottom w:val="nil"/>
              <w:right w:val="nil"/>
            </w:tcBorders>
            <w:shd w:val="clear" w:color="auto" w:fill="auto"/>
            <w:vAlign w:val="center"/>
          </w:tcPr>
          <w:p w14:paraId="025B973C" w14:textId="77777777" w:rsidR="00662F2A" w:rsidRDefault="00662F2A" w:rsidP="008141F2">
            <w:pPr>
              <w:jc w:val="center"/>
              <w:rPr>
                <w:rFonts w:ascii="Calibri" w:eastAsia="Calibri" w:hAnsi="Calibri" w:cs="Calibri"/>
              </w:rPr>
            </w:pPr>
            <w:r>
              <w:rPr>
                <w:rFonts w:ascii="Calibri" w:eastAsia="Calibri" w:hAnsi="Calibri" w:cs="Calibri"/>
              </w:rPr>
              <w:t>{34, 35}</w:t>
            </w:r>
          </w:p>
        </w:tc>
        <w:tc>
          <w:tcPr>
            <w:tcW w:w="930" w:type="dxa"/>
            <w:tcBorders>
              <w:top w:val="nil"/>
              <w:left w:val="nil"/>
              <w:bottom w:val="nil"/>
              <w:right w:val="nil"/>
            </w:tcBorders>
            <w:shd w:val="clear" w:color="auto" w:fill="auto"/>
            <w:vAlign w:val="bottom"/>
          </w:tcPr>
          <w:p w14:paraId="0EC583A9" w14:textId="77777777" w:rsidR="00662F2A" w:rsidRDefault="00662F2A" w:rsidP="008141F2">
            <w:pPr>
              <w:jc w:val="center"/>
              <w:rPr>
                <w:rFonts w:ascii="Calibri" w:eastAsia="Calibri" w:hAnsi="Calibri" w:cs="Calibri"/>
              </w:rPr>
            </w:pPr>
            <w:r>
              <w:rPr>
                <w:rFonts w:ascii="Calibri" w:eastAsia="Calibri" w:hAnsi="Calibri" w:cs="Calibri"/>
              </w:rPr>
              <w:t>0.329</w:t>
            </w:r>
          </w:p>
        </w:tc>
        <w:tc>
          <w:tcPr>
            <w:tcW w:w="1245" w:type="dxa"/>
            <w:tcBorders>
              <w:top w:val="nil"/>
              <w:left w:val="nil"/>
              <w:bottom w:val="nil"/>
              <w:right w:val="nil"/>
            </w:tcBorders>
            <w:shd w:val="clear" w:color="auto" w:fill="auto"/>
            <w:vAlign w:val="bottom"/>
          </w:tcPr>
          <w:p w14:paraId="4A5899FA"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170" w:type="dxa"/>
            <w:tcBorders>
              <w:top w:val="nil"/>
              <w:left w:val="nil"/>
              <w:bottom w:val="nil"/>
              <w:right w:val="nil"/>
            </w:tcBorders>
            <w:shd w:val="clear" w:color="auto" w:fill="auto"/>
            <w:vAlign w:val="bottom"/>
          </w:tcPr>
          <w:p w14:paraId="4417E369" w14:textId="77777777" w:rsidR="00662F2A" w:rsidRDefault="00662F2A" w:rsidP="008141F2">
            <w:pPr>
              <w:jc w:val="center"/>
              <w:rPr>
                <w:rFonts w:ascii="Calibri" w:eastAsia="Calibri" w:hAnsi="Calibri" w:cs="Calibri"/>
              </w:rPr>
            </w:pPr>
            <w:r>
              <w:rPr>
                <w:rFonts w:ascii="Calibri" w:eastAsia="Calibri" w:hAnsi="Calibri" w:cs="Calibri"/>
              </w:rPr>
              <w:t>0.298</w:t>
            </w:r>
          </w:p>
        </w:tc>
        <w:tc>
          <w:tcPr>
            <w:tcW w:w="1455" w:type="dxa"/>
            <w:tcBorders>
              <w:top w:val="nil"/>
              <w:left w:val="nil"/>
              <w:bottom w:val="nil"/>
              <w:right w:val="nil"/>
            </w:tcBorders>
            <w:shd w:val="clear" w:color="auto" w:fill="auto"/>
            <w:vAlign w:val="bottom"/>
          </w:tcPr>
          <w:p w14:paraId="637C19F2"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70" w:type="dxa"/>
            <w:tcBorders>
              <w:top w:val="nil"/>
              <w:left w:val="nil"/>
              <w:bottom w:val="nil"/>
              <w:right w:val="nil"/>
            </w:tcBorders>
            <w:shd w:val="clear" w:color="auto" w:fill="auto"/>
            <w:vAlign w:val="bottom"/>
          </w:tcPr>
          <w:p w14:paraId="2AFC3AD9" w14:textId="77777777" w:rsidR="00662F2A" w:rsidRDefault="00662F2A" w:rsidP="008141F2">
            <w:pPr>
              <w:jc w:val="center"/>
              <w:rPr>
                <w:rFonts w:ascii="Calibri" w:eastAsia="Calibri" w:hAnsi="Calibri" w:cs="Calibri"/>
              </w:rPr>
            </w:pPr>
            <w:r>
              <w:rPr>
                <w:rFonts w:ascii="Calibri" w:eastAsia="Calibri" w:hAnsi="Calibri" w:cs="Calibri"/>
              </w:rPr>
              <w:t>0.338</w:t>
            </w:r>
          </w:p>
        </w:tc>
        <w:tc>
          <w:tcPr>
            <w:tcW w:w="1545" w:type="dxa"/>
            <w:tcBorders>
              <w:top w:val="nil"/>
              <w:left w:val="nil"/>
              <w:bottom w:val="nil"/>
              <w:right w:val="nil"/>
            </w:tcBorders>
            <w:shd w:val="clear" w:color="auto" w:fill="auto"/>
            <w:vAlign w:val="bottom"/>
          </w:tcPr>
          <w:p w14:paraId="296A59D2" w14:textId="77777777" w:rsidR="00662F2A" w:rsidRDefault="00662F2A" w:rsidP="008141F2">
            <w:pPr>
              <w:jc w:val="center"/>
              <w:rPr>
                <w:rFonts w:ascii="Calibri" w:eastAsia="Calibri" w:hAnsi="Calibri" w:cs="Calibri"/>
              </w:rPr>
            </w:pPr>
            <w:r>
              <w:rPr>
                <w:rFonts w:ascii="Calibri" w:eastAsia="Calibri" w:hAnsi="Calibri" w:cs="Calibri"/>
              </w:rPr>
              <w:t>0.338</w:t>
            </w:r>
          </w:p>
        </w:tc>
      </w:tr>
      <w:tr w:rsidR="00662F2A" w14:paraId="4DE91E91" w14:textId="77777777" w:rsidTr="008141F2">
        <w:trPr>
          <w:trHeight w:val="300"/>
          <w:jc w:val="center"/>
        </w:trPr>
        <w:tc>
          <w:tcPr>
            <w:tcW w:w="1635" w:type="dxa"/>
            <w:tcBorders>
              <w:top w:val="nil"/>
              <w:left w:val="nil"/>
              <w:bottom w:val="nil"/>
              <w:right w:val="nil"/>
            </w:tcBorders>
            <w:shd w:val="clear" w:color="auto" w:fill="auto"/>
            <w:vAlign w:val="center"/>
          </w:tcPr>
          <w:p w14:paraId="7A05D744" w14:textId="77777777" w:rsidR="00662F2A" w:rsidRDefault="00662F2A" w:rsidP="008141F2">
            <w:pPr>
              <w:jc w:val="center"/>
              <w:rPr>
                <w:rFonts w:ascii="Calibri" w:eastAsia="Calibri" w:hAnsi="Calibri" w:cs="Calibri"/>
              </w:rPr>
            </w:pPr>
            <w:r>
              <w:rPr>
                <w:rFonts w:ascii="Calibri" w:eastAsia="Calibri" w:hAnsi="Calibri" w:cs="Calibri"/>
              </w:rPr>
              <w:t>36</w:t>
            </w:r>
          </w:p>
        </w:tc>
        <w:tc>
          <w:tcPr>
            <w:tcW w:w="930" w:type="dxa"/>
            <w:tcBorders>
              <w:top w:val="nil"/>
              <w:left w:val="nil"/>
              <w:bottom w:val="nil"/>
              <w:right w:val="nil"/>
            </w:tcBorders>
            <w:shd w:val="clear" w:color="auto" w:fill="auto"/>
            <w:vAlign w:val="bottom"/>
          </w:tcPr>
          <w:p w14:paraId="4D20411E" w14:textId="77777777" w:rsidR="00662F2A" w:rsidRDefault="00662F2A" w:rsidP="008141F2">
            <w:pPr>
              <w:jc w:val="center"/>
              <w:rPr>
                <w:rFonts w:ascii="Calibri" w:eastAsia="Calibri" w:hAnsi="Calibri" w:cs="Calibri"/>
              </w:rPr>
            </w:pPr>
            <w:r>
              <w:rPr>
                <w:rFonts w:ascii="Calibri" w:eastAsia="Calibri" w:hAnsi="Calibri" w:cs="Calibri"/>
              </w:rPr>
              <w:t>0.445</w:t>
            </w:r>
          </w:p>
        </w:tc>
        <w:tc>
          <w:tcPr>
            <w:tcW w:w="1245" w:type="dxa"/>
            <w:tcBorders>
              <w:top w:val="nil"/>
              <w:left w:val="nil"/>
              <w:bottom w:val="nil"/>
              <w:right w:val="nil"/>
            </w:tcBorders>
            <w:shd w:val="clear" w:color="auto" w:fill="auto"/>
            <w:vAlign w:val="bottom"/>
          </w:tcPr>
          <w:p w14:paraId="696EE7A6" w14:textId="77777777" w:rsidR="00662F2A" w:rsidRDefault="00662F2A" w:rsidP="008141F2">
            <w:pPr>
              <w:jc w:val="center"/>
              <w:rPr>
                <w:rFonts w:ascii="Calibri" w:eastAsia="Calibri" w:hAnsi="Calibri" w:cs="Calibri"/>
              </w:rPr>
            </w:pPr>
            <w:r>
              <w:rPr>
                <w:rFonts w:ascii="Calibri" w:eastAsia="Calibri" w:hAnsi="Calibri" w:cs="Calibri"/>
              </w:rPr>
              <w:t>0.445</w:t>
            </w:r>
          </w:p>
        </w:tc>
        <w:tc>
          <w:tcPr>
            <w:tcW w:w="1170" w:type="dxa"/>
            <w:tcBorders>
              <w:top w:val="nil"/>
              <w:left w:val="nil"/>
              <w:bottom w:val="nil"/>
              <w:right w:val="nil"/>
            </w:tcBorders>
            <w:shd w:val="clear" w:color="auto" w:fill="auto"/>
            <w:vAlign w:val="bottom"/>
          </w:tcPr>
          <w:p w14:paraId="5EB9BDA5"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16AD43D4" w14:textId="77777777" w:rsidR="00662F2A" w:rsidRDefault="00662F2A" w:rsidP="008141F2">
            <w:pPr>
              <w:jc w:val="center"/>
              <w:rPr>
                <w:rFonts w:ascii="Calibri" w:eastAsia="Calibri" w:hAnsi="Calibri" w:cs="Calibri"/>
              </w:rPr>
            </w:pPr>
            <w:r>
              <w:rPr>
                <w:rFonts w:ascii="Calibri" w:eastAsia="Calibri" w:hAnsi="Calibri" w:cs="Calibri"/>
              </w:rPr>
              <w:t>0.422</w:t>
            </w:r>
          </w:p>
        </w:tc>
        <w:tc>
          <w:tcPr>
            <w:tcW w:w="1470" w:type="dxa"/>
            <w:tcBorders>
              <w:top w:val="nil"/>
              <w:left w:val="nil"/>
              <w:bottom w:val="nil"/>
              <w:right w:val="nil"/>
            </w:tcBorders>
            <w:shd w:val="clear" w:color="auto" w:fill="auto"/>
            <w:vAlign w:val="bottom"/>
          </w:tcPr>
          <w:p w14:paraId="100FCA2D" w14:textId="77777777" w:rsidR="00662F2A" w:rsidRDefault="00662F2A" w:rsidP="008141F2">
            <w:pPr>
              <w:jc w:val="center"/>
              <w:rPr>
                <w:rFonts w:ascii="Calibri" w:eastAsia="Calibri" w:hAnsi="Calibri" w:cs="Calibri"/>
              </w:rPr>
            </w:pPr>
            <w:r>
              <w:rPr>
                <w:rFonts w:ascii="Calibri" w:eastAsia="Calibri" w:hAnsi="Calibri" w:cs="Calibri"/>
              </w:rPr>
              <w:t>0.446</w:t>
            </w:r>
          </w:p>
        </w:tc>
        <w:tc>
          <w:tcPr>
            <w:tcW w:w="1545" w:type="dxa"/>
            <w:tcBorders>
              <w:top w:val="nil"/>
              <w:left w:val="nil"/>
              <w:bottom w:val="nil"/>
              <w:right w:val="nil"/>
            </w:tcBorders>
            <w:shd w:val="clear" w:color="auto" w:fill="auto"/>
            <w:vAlign w:val="bottom"/>
          </w:tcPr>
          <w:p w14:paraId="48CBCFA1" w14:textId="77777777" w:rsidR="00662F2A" w:rsidRDefault="00662F2A" w:rsidP="008141F2">
            <w:pPr>
              <w:jc w:val="center"/>
              <w:rPr>
                <w:rFonts w:ascii="Calibri" w:eastAsia="Calibri" w:hAnsi="Calibri" w:cs="Calibri"/>
              </w:rPr>
            </w:pPr>
            <w:r>
              <w:rPr>
                <w:rFonts w:ascii="Calibri" w:eastAsia="Calibri" w:hAnsi="Calibri" w:cs="Calibri"/>
              </w:rPr>
              <w:t>0.460</w:t>
            </w:r>
          </w:p>
        </w:tc>
      </w:tr>
      <w:tr w:rsidR="00662F2A" w14:paraId="4D88965D" w14:textId="77777777" w:rsidTr="008141F2">
        <w:trPr>
          <w:trHeight w:val="300"/>
          <w:jc w:val="center"/>
        </w:trPr>
        <w:tc>
          <w:tcPr>
            <w:tcW w:w="1635" w:type="dxa"/>
            <w:tcBorders>
              <w:top w:val="nil"/>
              <w:left w:val="nil"/>
              <w:bottom w:val="nil"/>
              <w:right w:val="nil"/>
            </w:tcBorders>
            <w:shd w:val="clear" w:color="auto" w:fill="auto"/>
            <w:vAlign w:val="center"/>
          </w:tcPr>
          <w:p w14:paraId="03467AAB" w14:textId="77777777" w:rsidR="00662F2A" w:rsidRDefault="00662F2A" w:rsidP="008141F2">
            <w:pPr>
              <w:jc w:val="center"/>
              <w:rPr>
                <w:rFonts w:ascii="Calibri" w:eastAsia="Calibri" w:hAnsi="Calibri" w:cs="Calibri"/>
              </w:rPr>
            </w:pPr>
            <w:r>
              <w:rPr>
                <w:rFonts w:ascii="Calibri" w:eastAsia="Calibri" w:hAnsi="Calibri" w:cs="Calibri"/>
              </w:rPr>
              <w:t>37</w:t>
            </w:r>
          </w:p>
        </w:tc>
        <w:tc>
          <w:tcPr>
            <w:tcW w:w="930" w:type="dxa"/>
            <w:tcBorders>
              <w:top w:val="nil"/>
              <w:left w:val="nil"/>
              <w:bottom w:val="nil"/>
              <w:right w:val="nil"/>
            </w:tcBorders>
            <w:shd w:val="clear" w:color="auto" w:fill="auto"/>
            <w:vAlign w:val="bottom"/>
          </w:tcPr>
          <w:p w14:paraId="41DCAB5E" w14:textId="77777777" w:rsidR="00662F2A" w:rsidRDefault="00662F2A" w:rsidP="008141F2">
            <w:pPr>
              <w:jc w:val="center"/>
              <w:rPr>
                <w:rFonts w:ascii="Calibri" w:eastAsia="Calibri" w:hAnsi="Calibri" w:cs="Calibri"/>
              </w:rPr>
            </w:pPr>
            <w:r>
              <w:rPr>
                <w:rFonts w:ascii="Calibri" w:eastAsia="Calibri" w:hAnsi="Calibri" w:cs="Calibri"/>
              </w:rPr>
              <w:t>0.404</w:t>
            </w:r>
          </w:p>
        </w:tc>
        <w:tc>
          <w:tcPr>
            <w:tcW w:w="1245" w:type="dxa"/>
            <w:tcBorders>
              <w:top w:val="nil"/>
              <w:left w:val="nil"/>
              <w:bottom w:val="nil"/>
              <w:right w:val="nil"/>
            </w:tcBorders>
            <w:shd w:val="clear" w:color="auto" w:fill="auto"/>
            <w:vAlign w:val="bottom"/>
          </w:tcPr>
          <w:p w14:paraId="49A7064C" w14:textId="77777777" w:rsidR="00662F2A" w:rsidRDefault="00662F2A" w:rsidP="008141F2">
            <w:pPr>
              <w:jc w:val="center"/>
              <w:rPr>
                <w:rFonts w:ascii="Calibri" w:eastAsia="Calibri" w:hAnsi="Calibri" w:cs="Calibri"/>
              </w:rPr>
            </w:pPr>
            <w:r>
              <w:rPr>
                <w:rFonts w:ascii="Calibri" w:eastAsia="Calibri" w:hAnsi="Calibri" w:cs="Calibri"/>
              </w:rPr>
              <w:t>0.377</w:t>
            </w:r>
          </w:p>
        </w:tc>
        <w:tc>
          <w:tcPr>
            <w:tcW w:w="1170" w:type="dxa"/>
            <w:tcBorders>
              <w:top w:val="nil"/>
              <w:left w:val="nil"/>
              <w:bottom w:val="nil"/>
              <w:right w:val="nil"/>
            </w:tcBorders>
            <w:shd w:val="clear" w:color="auto" w:fill="auto"/>
            <w:vAlign w:val="bottom"/>
          </w:tcPr>
          <w:p w14:paraId="27A97797"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2B5D9780"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70" w:type="dxa"/>
            <w:tcBorders>
              <w:top w:val="nil"/>
              <w:left w:val="nil"/>
              <w:bottom w:val="nil"/>
              <w:right w:val="nil"/>
            </w:tcBorders>
            <w:shd w:val="clear" w:color="auto" w:fill="auto"/>
            <w:vAlign w:val="bottom"/>
          </w:tcPr>
          <w:p w14:paraId="4089D374" w14:textId="77777777" w:rsidR="00662F2A" w:rsidRDefault="00662F2A" w:rsidP="008141F2">
            <w:pPr>
              <w:jc w:val="center"/>
              <w:rPr>
                <w:rFonts w:ascii="Calibri" w:eastAsia="Calibri" w:hAnsi="Calibri" w:cs="Calibri"/>
              </w:rPr>
            </w:pPr>
            <w:r>
              <w:rPr>
                <w:rFonts w:ascii="Calibri" w:eastAsia="Calibri" w:hAnsi="Calibri" w:cs="Calibri"/>
              </w:rPr>
              <w:t>0.434</w:t>
            </w:r>
          </w:p>
        </w:tc>
        <w:tc>
          <w:tcPr>
            <w:tcW w:w="1545" w:type="dxa"/>
            <w:tcBorders>
              <w:top w:val="nil"/>
              <w:left w:val="nil"/>
              <w:bottom w:val="nil"/>
              <w:right w:val="nil"/>
            </w:tcBorders>
            <w:shd w:val="clear" w:color="auto" w:fill="auto"/>
            <w:vAlign w:val="bottom"/>
          </w:tcPr>
          <w:p w14:paraId="0281EDB3" w14:textId="77777777" w:rsidR="00662F2A" w:rsidRDefault="00662F2A" w:rsidP="008141F2">
            <w:pPr>
              <w:jc w:val="center"/>
              <w:rPr>
                <w:rFonts w:ascii="Calibri" w:eastAsia="Calibri" w:hAnsi="Calibri" w:cs="Calibri"/>
              </w:rPr>
            </w:pPr>
            <w:r>
              <w:rPr>
                <w:rFonts w:ascii="Calibri" w:eastAsia="Calibri" w:hAnsi="Calibri" w:cs="Calibri"/>
              </w:rPr>
              <w:t>0.397</w:t>
            </w:r>
          </w:p>
        </w:tc>
      </w:tr>
      <w:tr w:rsidR="00662F2A" w14:paraId="0801D8A4" w14:textId="77777777" w:rsidTr="008141F2">
        <w:trPr>
          <w:trHeight w:val="300"/>
          <w:jc w:val="center"/>
        </w:trPr>
        <w:tc>
          <w:tcPr>
            <w:tcW w:w="1635" w:type="dxa"/>
            <w:tcBorders>
              <w:top w:val="nil"/>
              <w:left w:val="nil"/>
              <w:bottom w:val="nil"/>
              <w:right w:val="nil"/>
            </w:tcBorders>
            <w:shd w:val="clear" w:color="auto" w:fill="auto"/>
            <w:vAlign w:val="center"/>
          </w:tcPr>
          <w:p w14:paraId="0BFD3952" w14:textId="77777777" w:rsidR="00662F2A" w:rsidRDefault="00662F2A" w:rsidP="008141F2">
            <w:pPr>
              <w:jc w:val="center"/>
              <w:rPr>
                <w:rFonts w:ascii="Calibri" w:eastAsia="Calibri" w:hAnsi="Calibri" w:cs="Calibri"/>
              </w:rPr>
            </w:pPr>
            <w:r>
              <w:rPr>
                <w:rFonts w:ascii="Calibri" w:eastAsia="Calibri" w:hAnsi="Calibri" w:cs="Calibri"/>
              </w:rPr>
              <w:t>38</w:t>
            </w:r>
          </w:p>
        </w:tc>
        <w:tc>
          <w:tcPr>
            <w:tcW w:w="930" w:type="dxa"/>
            <w:tcBorders>
              <w:top w:val="nil"/>
              <w:left w:val="nil"/>
              <w:bottom w:val="nil"/>
              <w:right w:val="nil"/>
            </w:tcBorders>
            <w:shd w:val="clear" w:color="auto" w:fill="auto"/>
            <w:vAlign w:val="bottom"/>
          </w:tcPr>
          <w:p w14:paraId="0C8CA681" w14:textId="77777777" w:rsidR="00662F2A" w:rsidRDefault="00662F2A" w:rsidP="008141F2">
            <w:pPr>
              <w:jc w:val="center"/>
              <w:rPr>
                <w:rFonts w:ascii="Calibri" w:eastAsia="Calibri" w:hAnsi="Calibri" w:cs="Calibri"/>
              </w:rPr>
            </w:pPr>
            <w:r>
              <w:rPr>
                <w:rFonts w:ascii="Calibri" w:eastAsia="Calibri" w:hAnsi="Calibri" w:cs="Calibri"/>
              </w:rPr>
              <w:t>0.397</w:t>
            </w:r>
          </w:p>
        </w:tc>
        <w:tc>
          <w:tcPr>
            <w:tcW w:w="1245" w:type="dxa"/>
            <w:tcBorders>
              <w:top w:val="nil"/>
              <w:left w:val="nil"/>
              <w:bottom w:val="nil"/>
              <w:right w:val="nil"/>
            </w:tcBorders>
            <w:shd w:val="clear" w:color="auto" w:fill="auto"/>
            <w:vAlign w:val="bottom"/>
          </w:tcPr>
          <w:p w14:paraId="0ADC60AF" w14:textId="77777777" w:rsidR="00662F2A" w:rsidRDefault="00662F2A" w:rsidP="008141F2">
            <w:pPr>
              <w:jc w:val="center"/>
              <w:rPr>
                <w:rFonts w:ascii="Calibri" w:eastAsia="Calibri" w:hAnsi="Calibri" w:cs="Calibri"/>
              </w:rPr>
            </w:pPr>
            <w:r>
              <w:rPr>
                <w:rFonts w:ascii="Calibri" w:eastAsia="Calibri" w:hAnsi="Calibri" w:cs="Calibri"/>
              </w:rPr>
              <w:t>0.386</w:t>
            </w:r>
          </w:p>
        </w:tc>
        <w:tc>
          <w:tcPr>
            <w:tcW w:w="1170" w:type="dxa"/>
            <w:tcBorders>
              <w:top w:val="nil"/>
              <w:left w:val="nil"/>
              <w:bottom w:val="nil"/>
              <w:right w:val="nil"/>
            </w:tcBorders>
            <w:shd w:val="clear" w:color="auto" w:fill="auto"/>
            <w:vAlign w:val="bottom"/>
          </w:tcPr>
          <w:p w14:paraId="4375C76E"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bottom w:val="nil"/>
              <w:right w:val="nil"/>
            </w:tcBorders>
            <w:shd w:val="clear" w:color="auto" w:fill="auto"/>
            <w:vAlign w:val="bottom"/>
          </w:tcPr>
          <w:p w14:paraId="1870A719"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70" w:type="dxa"/>
            <w:tcBorders>
              <w:top w:val="nil"/>
              <w:left w:val="nil"/>
              <w:bottom w:val="nil"/>
              <w:right w:val="nil"/>
            </w:tcBorders>
            <w:shd w:val="clear" w:color="auto" w:fill="auto"/>
            <w:vAlign w:val="bottom"/>
          </w:tcPr>
          <w:p w14:paraId="34C71F48" w14:textId="77777777" w:rsidR="00662F2A" w:rsidRDefault="00662F2A" w:rsidP="008141F2">
            <w:pPr>
              <w:jc w:val="center"/>
              <w:rPr>
                <w:rFonts w:ascii="Calibri" w:eastAsia="Calibri" w:hAnsi="Calibri" w:cs="Calibri"/>
              </w:rPr>
            </w:pPr>
            <w:r>
              <w:rPr>
                <w:rFonts w:ascii="Calibri" w:eastAsia="Calibri" w:hAnsi="Calibri" w:cs="Calibri"/>
              </w:rPr>
              <w:t>0.399</w:t>
            </w:r>
          </w:p>
        </w:tc>
        <w:tc>
          <w:tcPr>
            <w:tcW w:w="1545" w:type="dxa"/>
            <w:tcBorders>
              <w:top w:val="nil"/>
              <w:left w:val="nil"/>
              <w:bottom w:val="nil"/>
              <w:right w:val="nil"/>
            </w:tcBorders>
            <w:shd w:val="clear" w:color="auto" w:fill="auto"/>
            <w:vAlign w:val="bottom"/>
          </w:tcPr>
          <w:p w14:paraId="5607E5A5" w14:textId="77777777" w:rsidR="00662F2A" w:rsidRDefault="00662F2A" w:rsidP="008141F2">
            <w:pPr>
              <w:jc w:val="center"/>
              <w:rPr>
                <w:rFonts w:ascii="Calibri" w:eastAsia="Calibri" w:hAnsi="Calibri" w:cs="Calibri"/>
              </w:rPr>
            </w:pPr>
            <w:r>
              <w:rPr>
                <w:rFonts w:ascii="Calibri" w:eastAsia="Calibri" w:hAnsi="Calibri" w:cs="Calibri"/>
              </w:rPr>
              <w:t>0.413</w:t>
            </w:r>
          </w:p>
        </w:tc>
      </w:tr>
      <w:tr w:rsidR="00662F2A" w14:paraId="3D289085" w14:textId="77777777" w:rsidTr="008141F2">
        <w:trPr>
          <w:trHeight w:val="300"/>
          <w:jc w:val="center"/>
        </w:trPr>
        <w:tc>
          <w:tcPr>
            <w:tcW w:w="1635" w:type="dxa"/>
            <w:tcBorders>
              <w:top w:val="nil"/>
              <w:left w:val="nil"/>
              <w:right w:val="nil"/>
            </w:tcBorders>
            <w:shd w:val="clear" w:color="auto" w:fill="auto"/>
            <w:vAlign w:val="center"/>
          </w:tcPr>
          <w:p w14:paraId="49E0BC0E" w14:textId="77777777" w:rsidR="00662F2A" w:rsidRDefault="00662F2A" w:rsidP="008141F2">
            <w:pPr>
              <w:jc w:val="center"/>
              <w:rPr>
                <w:rFonts w:ascii="Calibri" w:eastAsia="Calibri" w:hAnsi="Calibri" w:cs="Calibri"/>
              </w:rPr>
            </w:pPr>
            <w:r>
              <w:rPr>
                <w:rFonts w:ascii="Calibri" w:eastAsia="Calibri" w:hAnsi="Calibri" w:cs="Calibri"/>
              </w:rPr>
              <w:t>39</w:t>
            </w:r>
          </w:p>
        </w:tc>
        <w:tc>
          <w:tcPr>
            <w:tcW w:w="930" w:type="dxa"/>
            <w:tcBorders>
              <w:top w:val="nil"/>
              <w:left w:val="nil"/>
              <w:right w:val="nil"/>
            </w:tcBorders>
            <w:shd w:val="clear" w:color="auto" w:fill="auto"/>
            <w:vAlign w:val="bottom"/>
          </w:tcPr>
          <w:p w14:paraId="4D9B52EE" w14:textId="77777777" w:rsidR="00662F2A" w:rsidRDefault="00662F2A" w:rsidP="008141F2">
            <w:pPr>
              <w:jc w:val="center"/>
              <w:rPr>
                <w:rFonts w:ascii="Calibri" w:eastAsia="Calibri" w:hAnsi="Calibri" w:cs="Calibri"/>
              </w:rPr>
            </w:pPr>
            <w:r>
              <w:rPr>
                <w:rFonts w:ascii="Calibri" w:eastAsia="Calibri" w:hAnsi="Calibri" w:cs="Calibri"/>
              </w:rPr>
              <w:t>0.332</w:t>
            </w:r>
          </w:p>
        </w:tc>
        <w:tc>
          <w:tcPr>
            <w:tcW w:w="1245" w:type="dxa"/>
            <w:tcBorders>
              <w:top w:val="nil"/>
              <w:left w:val="nil"/>
              <w:right w:val="nil"/>
            </w:tcBorders>
            <w:shd w:val="clear" w:color="auto" w:fill="auto"/>
            <w:vAlign w:val="bottom"/>
          </w:tcPr>
          <w:p w14:paraId="5AC9593D" w14:textId="77777777" w:rsidR="00662F2A" w:rsidRDefault="00662F2A" w:rsidP="008141F2">
            <w:pPr>
              <w:jc w:val="center"/>
              <w:rPr>
                <w:rFonts w:ascii="Calibri" w:eastAsia="Calibri" w:hAnsi="Calibri" w:cs="Calibri"/>
              </w:rPr>
            </w:pPr>
            <w:r>
              <w:rPr>
                <w:rFonts w:ascii="Calibri" w:eastAsia="Calibri" w:hAnsi="Calibri" w:cs="Calibri"/>
              </w:rPr>
              <w:t>0.327</w:t>
            </w:r>
          </w:p>
        </w:tc>
        <w:tc>
          <w:tcPr>
            <w:tcW w:w="1170" w:type="dxa"/>
            <w:tcBorders>
              <w:top w:val="nil"/>
              <w:left w:val="nil"/>
              <w:right w:val="nil"/>
            </w:tcBorders>
            <w:shd w:val="clear" w:color="auto" w:fill="auto"/>
            <w:vAlign w:val="bottom"/>
          </w:tcPr>
          <w:p w14:paraId="79715EC2"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455" w:type="dxa"/>
            <w:tcBorders>
              <w:top w:val="nil"/>
              <w:left w:val="nil"/>
              <w:right w:val="nil"/>
            </w:tcBorders>
            <w:shd w:val="clear" w:color="auto" w:fill="auto"/>
            <w:vAlign w:val="bottom"/>
          </w:tcPr>
          <w:p w14:paraId="0D4D445F" w14:textId="77777777" w:rsidR="00662F2A" w:rsidRDefault="00662F2A" w:rsidP="008141F2">
            <w:pPr>
              <w:jc w:val="center"/>
              <w:rPr>
                <w:rFonts w:ascii="Calibri" w:eastAsia="Calibri" w:hAnsi="Calibri" w:cs="Calibri"/>
              </w:rPr>
            </w:pPr>
            <w:r>
              <w:rPr>
                <w:rFonts w:ascii="Calibri" w:eastAsia="Calibri" w:hAnsi="Calibri" w:cs="Calibri"/>
              </w:rPr>
              <w:t>0.346</w:t>
            </w:r>
          </w:p>
        </w:tc>
        <w:tc>
          <w:tcPr>
            <w:tcW w:w="1470" w:type="dxa"/>
            <w:tcBorders>
              <w:top w:val="nil"/>
              <w:left w:val="nil"/>
              <w:right w:val="nil"/>
            </w:tcBorders>
            <w:shd w:val="clear" w:color="auto" w:fill="auto"/>
            <w:vAlign w:val="bottom"/>
          </w:tcPr>
          <w:p w14:paraId="6844A8C8"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545" w:type="dxa"/>
            <w:tcBorders>
              <w:top w:val="nil"/>
              <w:left w:val="nil"/>
              <w:right w:val="nil"/>
            </w:tcBorders>
            <w:shd w:val="clear" w:color="auto" w:fill="auto"/>
            <w:vAlign w:val="bottom"/>
          </w:tcPr>
          <w:p w14:paraId="2D0BEA4E" w14:textId="77777777" w:rsidR="00662F2A" w:rsidRDefault="00662F2A" w:rsidP="008141F2">
            <w:pPr>
              <w:jc w:val="center"/>
              <w:rPr>
                <w:rFonts w:ascii="Calibri" w:eastAsia="Calibri" w:hAnsi="Calibri" w:cs="Calibri"/>
              </w:rPr>
            </w:pPr>
            <w:r>
              <w:rPr>
                <w:rFonts w:ascii="Calibri" w:eastAsia="Calibri" w:hAnsi="Calibri" w:cs="Calibri"/>
              </w:rPr>
              <w:t>0.290</w:t>
            </w:r>
          </w:p>
        </w:tc>
      </w:tr>
      <w:tr w:rsidR="00662F2A" w14:paraId="4E81F500" w14:textId="77777777" w:rsidTr="008141F2">
        <w:trPr>
          <w:trHeight w:val="300"/>
          <w:jc w:val="center"/>
        </w:trPr>
        <w:tc>
          <w:tcPr>
            <w:tcW w:w="1635" w:type="dxa"/>
            <w:tcBorders>
              <w:top w:val="nil"/>
              <w:left w:val="nil"/>
              <w:bottom w:val="single" w:sz="4" w:space="0" w:color="000000"/>
              <w:right w:val="nil"/>
            </w:tcBorders>
            <w:shd w:val="clear" w:color="auto" w:fill="auto"/>
            <w:vAlign w:val="center"/>
          </w:tcPr>
          <w:p w14:paraId="583D2484" w14:textId="77777777" w:rsidR="00662F2A" w:rsidRDefault="00662F2A" w:rsidP="008141F2">
            <w:pPr>
              <w:jc w:val="center"/>
              <w:rPr>
                <w:rFonts w:ascii="Calibri" w:eastAsia="Calibri" w:hAnsi="Calibri" w:cs="Calibri"/>
              </w:rPr>
            </w:pPr>
            <w:r>
              <w:rPr>
                <w:rFonts w:ascii="Calibri" w:eastAsia="Calibri" w:hAnsi="Calibri" w:cs="Calibri"/>
              </w:rPr>
              <w:t>40</w:t>
            </w:r>
          </w:p>
        </w:tc>
        <w:tc>
          <w:tcPr>
            <w:tcW w:w="930" w:type="dxa"/>
            <w:tcBorders>
              <w:top w:val="nil"/>
              <w:left w:val="nil"/>
              <w:bottom w:val="single" w:sz="4" w:space="0" w:color="000000"/>
              <w:right w:val="nil"/>
            </w:tcBorders>
            <w:shd w:val="clear" w:color="auto" w:fill="auto"/>
            <w:vAlign w:val="bottom"/>
          </w:tcPr>
          <w:p w14:paraId="3CAED2DD" w14:textId="77777777" w:rsidR="00662F2A" w:rsidRDefault="00662F2A" w:rsidP="008141F2">
            <w:pPr>
              <w:jc w:val="center"/>
              <w:rPr>
                <w:rFonts w:ascii="Calibri" w:eastAsia="Calibri" w:hAnsi="Calibri" w:cs="Calibri"/>
              </w:rPr>
            </w:pPr>
            <w:r>
              <w:rPr>
                <w:rFonts w:ascii="Calibri" w:eastAsia="Calibri" w:hAnsi="Calibri" w:cs="Calibri"/>
              </w:rPr>
              <w:t>0.469</w:t>
            </w:r>
          </w:p>
        </w:tc>
        <w:tc>
          <w:tcPr>
            <w:tcW w:w="1245" w:type="dxa"/>
            <w:tcBorders>
              <w:top w:val="nil"/>
              <w:left w:val="nil"/>
              <w:bottom w:val="single" w:sz="4" w:space="0" w:color="000000"/>
              <w:right w:val="nil"/>
            </w:tcBorders>
            <w:shd w:val="clear" w:color="auto" w:fill="auto"/>
            <w:vAlign w:val="bottom"/>
          </w:tcPr>
          <w:p w14:paraId="19DC4C3E" w14:textId="77777777" w:rsidR="00662F2A" w:rsidRDefault="00662F2A" w:rsidP="008141F2">
            <w:pPr>
              <w:jc w:val="center"/>
              <w:rPr>
                <w:rFonts w:ascii="Calibri" w:eastAsia="Calibri" w:hAnsi="Calibri" w:cs="Calibri"/>
              </w:rPr>
            </w:pPr>
            <w:r>
              <w:rPr>
                <w:rFonts w:ascii="Calibri" w:eastAsia="Calibri" w:hAnsi="Calibri" w:cs="Calibri"/>
              </w:rPr>
              <w:t>-</w:t>
            </w:r>
          </w:p>
        </w:tc>
        <w:tc>
          <w:tcPr>
            <w:tcW w:w="1170" w:type="dxa"/>
            <w:tcBorders>
              <w:top w:val="nil"/>
              <w:left w:val="nil"/>
              <w:bottom w:val="single" w:sz="4" w:space="0" w:color="000000"/>
              <w:right w:val="nil"/>
            </w:tcBorders>
            <w:shd w:val="clear" w:color="auto" w:fill="auto"/>
            <w:vAlign w:val="bottom"/>
          </w:tcPr>
          <w:p w14:paraId="3365A5D7" w14:textId="77777777" w:rsidR="00662F2A" w:rsidRDefault="00662F2A" w:rsidP="008141F2">
            <w:pPr>
              <w:jc w:val="center"/>
              <w:rPr>
                <w:rFonts w:ascii="Calibri" w:eastAsia="Calibri" w:hAnsi="Calibri" w:cs="Calibri"/>
              </w:rPr>
            </w:pPr>
            <w:r>
              <w:rPr>
                <w:rFonts w:ascii="Calibri" w:eastAsia="Calibri" w:hAnsi="Calibri" w:cs="Calibri"/>
              </w:rPr>
              <w:t>0.474</w:t>
            </w:r>
          </w:p>
        </w:tc>
        <w:tc>
          <w:tcPr>
            <w:tcW w:w="1455" w:type="dxa"/>
            <w:tcBorders>
              <w:top w:val="nil"/>
              <w:left w:val="nil"/>
              <w:bottom w:val="single" w:sz="4" w:space="0" w:color="000000"/>
              <w:right w:val="nil"/>
            </w:tcBorders>
            <w:shd w:val="clear" w:color="auto" w:fill="auto"/>
            <w:vAlign w:val="bottom"/>
          </w:tcPr>
          <w:p w14:paraId="5D97EF3D" w14:textId="77777777" w:rsidR="00662F2A" w:rsidRDefault="00662F2A" w:rsidP="008141F2">
            <w:pPr>
              <w:jc w:val="center"/>
              <w:rPr>
                <w:rFonts w:ascii="Calibri" w:eastAsia="Calibri" w:hAnsi="Calibri" w:cs="Calibri"/>
              </w:rPr>
            </w:pPr>
            <w:r>
              <w:rPr>
                <w:rFonts w:ascii="Calibri" w:eastAsia="Calibri" w:hAnsi="Calibri" w:cs="Calibri"/>
              </w:rPr>
              <w:t>0.473</w:t>
            </w:r>
          </w:p>
        </w:tc>
        <w:tc>
          <w:tcPr>
            <w:tcW w:w="1470" w:type="dxa"/>
            <w:tcBorders>
              <w:top w:val="nil"/>
              <w:left w:val="nil"/>
              <w:bottom w:val="single" w:sz="4" w:space="0" w:color="000000"/>
              <w:right w:val="nil"/>
            </w:tcBorders>
            <w:shd w:val="clear" w:color="auto" w:fill="auto"/>
            <w:vAlign w:val="bottom"/>
          </w:tcPr>
          <w:p w14:paraId="28C1D19A" w14:textId="77777777" w:rsidR="00662F2A" w:rsidRDefault="00662F2A" w:rsidP="008141F2">
            <w:pPr>
              <w:jc w:val="center"/>
              <w:rPr>
                <w:rFonts w:ascii="Calibri" w:eastAsia="Calibri" w:hAnsi="Calibri" w:cs="Calibri"/>
              </w:rPr>
            </w:pPr>
            <w:r>
              <w:rPr>
                <w:rFonts w:ascii="Calibri" w:eastAsia="Calibri" w:hAnsi="Calibri" w:cs="Calibri"/>
              </w:rPr>
              <w:t>0.461</w:t>
            </w:r>
          </w:p>
        </w:tc>
        <w:tc>
          <w:tcPr>
            <w:tcW w:w="1545" w:type="dxa"/>
            <w:tcBorders>
              <w:top w:val="nil"/>
              <w:left w:val="nil"/>
              <w:bottom w:val="single" w:sz="4" w:space="0" w:color="000000"/>
              <w:right w:val="nil"/>
            </w:tcBorders>
            <w:shd w:val="clear" w:color="auto" w:fill="auto"/>
            <w:vAlign w:val="bottom"/>
          </w:tcPr>
          <w:p w14:paraId="2E92BDA3" w14:textId="77777777" w:rsidR="00662F2A" w:rsidRDefault="00662F2A" w:rsidP="008141F2">
            <w:pPr>
              <w:jc w:val="center"/>
              <w:rPr>
                <w:rFonts w:ascii="Calibri" w:eastAsia="Calibri" w:hAnsi="Calibri" w:cs="Calibri"/>
              </w:rPr>
            </w:pPr>
            <w:r>
              <w:rPr>
                <w:rFonts w:ascii="Calibri" w:eastAsia="Calibri" w:hAnsi="Calibri" w:cs="Calibri"/>
              </w:rPr>
              <w:t>0.481</w:t>
            </w:r>
          </w:p>
        </w:tc>
      </w:tr>
    </w:tbl>
    <w:p w14:paraId="7258C7AB" w14:textId="77777777" w:rsidR="00662F2A" w:rsidRDefault="00662F2A">
      <w:pPr>
        <w:pBdr>
          <w:top w:val="nil"/>
          <w:left w:val="nil"/>
          <w:bottom w:val="nil"/>
          <w:right w:val="nil"/>
          <w:between w:val="nil"/>
        </w:pBdr>
        <w:spacing w:line="480" w:lineRule="auto"/>
        <w:ind w:firstLine="340"/>
        <w:rPr>
          <w:color w:val="000000"/>
        </w:rPr>
      </w:pPr>
    </w:p>
    <w:p w14:paraId="1EC6C9AC" w14:textId="77777777" w:rsidR="00327EE7" w:rsidRDefault="00327EE7" w:rsidP="00327EE7">
      <w:pPr>
        <w:pBdr>
          <w:top w:val="nil"/>
          <w:left w:val="nil"/>
          <w:bottom w:val="nil"/>
          <w:right w:val="nil"/>
          <w:between w:val="nil"/>
        </w:pBdr>
        <w:spacing w:line="480" w:lineRule="auto"/>
        <w:ind w:firstLine="340"/>
      </w:pPr>
      <w:r>
        <w:rPr>
          <w:color w:val="000000"/>
        </w:rPr>
        <w:t xml:space="preserve">An examination of the consistency of models in this analysis compared to that by </w:t>
      </w:r>
      <w:proofErr w:type="spellStart"/>
      <w:r>
        <w:rPr>
          <w:color w:val="000000"/>
        </w:rPr>
        <w:t>delMas</w:t>
      </w:r>
      <w:proofErr w:type="spellEnd"/>
      <w:r>
        <w:rPr>
          <w:color w:val="000000"/>
        </w:rPr>
        <w:t xml:space="preserve"> (2014) indicates that factor loadings were generally consistent for all items </w:t>
      </w:r>
      <w:proofErr w:type="gramStart"/>
      <w:r>
        <w:rPr>
          <w:color w:val="000000"/>
        </w:rPr>
        <w:t>with the exception of</w:t>
      </w:r>
      <w:proofErr w:type="gramEnd"/>
      <w:r>
        <w:rPr>
          <w:color w:val="000000"/>
        </w:rPr>
        <w:t xml:space="preserve"> items 7, 20, and 40. Items 7 and 20 were identified by </w:t>
      </w:r>
      <w:proofErr w:type="spellStart"/>
      <w:r>
        <w:rPr>
          <w:color w:val="000000"/>
        </w:rPr>
        <w:t>delMas</w:t>
      </w:r>
      <w:proofErr w:type="spellEnd"/>
      <w:r>
        <w:rPr>
          <w:color w:val="000000"/>
        </w:rPr>
        <w:t xml:space="preserve"> (2014) as potentially representing content not included in instruction for courses utilizing CAOS. </w:t>
      </w:r>
      <w:r>
        <w:t xml:space="preserve"> Noticeable increases in the factor loadings </w:t>
      </w:r>
      <w:proofErr w:type="gramStart"/>
      <w:r>
        <w:rPr>
          <w:color w:val="000000"/>
        </w:rPr>
        <w:t>was</w:t>
      </w:r>
      <w:proofErr w:type="gramEnd"/>
      <w:r>
        <w:rPr>
          <w:color w:val="000000"/>
        </w:rPr>
        <w:t xml:space="preserve"> seen on all items identified as having factor loadings less than 0.3 by </w:t>
      </w:r>
      <w:proofErr w:type="spellStart"/>
      <w:r>
        <w:rPr>
          <w:color w:val="000000"/>
        </w:rPr>
        <w:t>delMas</w:t>
      </w:r>
      <w:proofErr w:type="spellEnd"/>
      <w:r>
        <w:rPr>
          <w:color w:val="000000"/>
        </w:rPr>
        <w:t xml:space="preserve"> (2014) except the </w:t>
      </w:r>
      <w:proofErr w:type="spellStart"/>
      <w:r>
        <w:rPr>
          <w:color w:val="000000"/>
        </w:rPr>
        <w:t>testlet</w:t>
      </w:r>
      <w:proofErr w:type="spellEnd"/>
      <w:r>
        <w:rPr>
          <w:color w:val="000000"/>
        </w:rPr>
        <w:t xml:space="preserve"> item 1 and 2</w:t>
      </w:r>
      <w:r>
        <w:t>, as shown in Table 6</w:t>
      </w:r>
      <w:r>
        <w:rPr>
          <w:color w:val="000000"/>
        </w:rPr>
        <w:t>. As this analysis utiliz</w:t>
      </w:r>
      <w:r>
        <w:t xml:space="preserve">ed MIRT models to estimate item factor loadings, while </w:t>
      </w:r>
      <w:proofErr w:type="spellStart"/>
      <w:r>
        <w:t>delMas</w:t>
      </w:r>
      <w:proofErr w:type="spellEnd"/>
      <w:r>
        <w:t xml:space="preserve"> </w:t>
      </w:r>
      <w:r>
        <w:lastRenderedPageBreak/>
        <w:t xml:space="preserve">(2014) utilized a CFA, differences in item factor loadings may be due to improved item fit with the use of a 2PL model. </w:t>
      </w:r>
    </w:p>
    <w:p w14:paraId="7DF9F462"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Furthermore, the reliability of the unidimensional model in the present study was estimated to be approximately 0.784, nearly equivalent to </w:t>
      </w:r>
      <w:proofErr w:type="spellStart"/>
      <w:r>
        <w:rPr>
          <w:color w:val="000000"/>
        </w:rPr>
        <w:t>delMas’s</w:t>
      </w:r>
      <w:proofErr w:type="spellEnd"/>
      <w:r>
        <w:rPr>
          <w:color w:val="000000"/>
        </w:rPr>
        <w:t xml:space="preserve"> (2014) estimate of 0.75. This was also consistent with the two-topic bifactor model estimate of the general factor score reliability of 0.780. This replication of results from delMas (2014) adds further validity evi</w:t>
      </w:r>
      <w:r>
        <w:t xml:space="preserve">dence for the comparison of </w:t>
      </w:r>
      <w:r>
        <w:rPr>
          <w:color w:val="000000"/>
        </w:rPr>
        <w:t>past and present analyses.</w:t>
      </w:r>
    </w:p>
    <w:p w14:paraId="79214F88" w14:textId="77777777" w:rsidR="00EA40B7" w:rsidRDefault="00EA40B7">
      <w:pPr>
        <w:jc w:val="left"/>
      </w:pPr>
    </w:p>
    <w:p w14:paraId="0DF4FF08" w14:textId="77777777" w:rsidR="00EA40B7" w:rsidRDefault="006B39EF">
      <w:pPr>
        <w:numPr>
          <w:ilvl w:val="0"/>
          <w:numId w:val="1"/>
        </w:numPr>
        <w:pBdr>
          <w:top w:val="nil"/>
          <w:left w:val="nil"/>
          <w:bottom w:val="nil"/>
          <w:right w:val="nil"/>
          <w:between w:val="nil"/>
        </w:pBdr>
        <w:jc w:val="center"/>
      </w:pPr>
      <w:r>
        <w:rPr>
          <w:b/>
          <w:smallCaps/>
        </w:rPr>
        <w:t>Summary</w:t>
      </w:r>
    </w:p>
    <w:p w14:paraId="0AE89BAB" w14:textId="77777777" w:rsidR="00EA40B7" w:rsidRDefault="00EA40B7">
      <w:pPr>
        <w:pBdr>
          <w:top w:val="nil"/>
          <w:left w:val="nil"/>
          <w:bottom w:val="nil"/>
          <w:right w:val="nil"/>
          <w:between w:val="nil"/>
        </w:pBdr>
        <w:rPr>
          <w:color w:val="000000"/>
        </w:rPr>
      </w:pPr>
    </w:p>
    <w:p w14:paraId="18A8A6B8" w14:textId="77777777" w:rsidR="00EA40B7" w:rsidRDefault="006B39EF">
      <w:pPr>
        <w:numPr>
          <w:ilvl w:val="1"/>
          <w:numId w:val="1"/>
        </w:numPr>
        <w:pBdr>
          <w:top w:val="nil"/>
          <w:left w:val="nil"/>
          <w:bottom w:val="nil"/>
          <w:right w:val="nil"/>
          <w:between w:val="nil"/>
        </w:pBdr>
      </w:pPr>
      <w:r>
        <w:rPr>
          <w:b/>
          <w:smallCaps/>
          <w:color w:val="000000"/>
        </w:rPr>
        <w:t xml:space="preserve"> Discussion </w:t>
      </w:r>
    </w:p>
    <w:p w14:paraId="1910B225" w14:textId="77777777" w:rsidR="00EA40B7" w:rsidRDefault="00EA40B7">
      <w:pPr>
        <w:pBdr>
          <w:top w:val="nil"/>
          <w:left w:val="nil"/>
          <w:bottom w:val="nil"/>
          <w:right w:val="nil"/>
          <w:between w:val="nil"/>
        </w:pBdr>
        <w:ind w:firstLine="340"/>
        <w:rPr>
          <w:color w:val="000000"/>
        </w:rPr>
      </w:pPr>
    </w:p>
    <w:p w14:paraId="308EEBFE"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In order to establish evidence of multidimensionality in students’ responses to CAOS for the purpose of justifying the use of subscores, I examined three candidate bifactor models and compared them to a unidimensional IRT model. A two-topic bifactor model outperformed the unidimensional model on all model comparison tests considered. This suggests that there may indeed be a multidimensional structure to latent traits governing student responses on CAOS. </w:t>
      </w:r>
    </w:p>
    <w:p w14:paraId="76002BBD" w14:textId="50377FB4" w:rsidR="00EA40B7" w:rsidRDefault="006B39EF">
      <w:pPr>
        <w:pBdr>
          <w:top w:val="nil"/>
          <w:left w:val="nil"/>
          <w:bottom w:val="nil"/>
          <w:right w:val="nil"/>
          <w:between w:val="nil"/>
        </w:pBdr>
        <w:spacing w:line="480" w:lineRule="auto"/>
        <w:ind w:firstLine="340"/>
        <w:rPr>
          <w:color w:val="000000"/>
        </w:rPr>
      </w:pPr>
      <w:r>
        <w:rPr>
          <w:color w:val="000000"/>
        </w:rPr>
        <w:t>However, while there is statistical evidence in support of this claim, further analysis needs to be conducted to determine whether this difference is of any meaningful or practic</w:t>
      </w:r>
      <w:r>
        <w:t>al</w:t>
      </w:r>
      <w:r>
        <w:rPr>
          <w:color w:val="000000"/>
        </w:rPr>
        <w:t xml:space="preserve"> significance. Furthermore, additional investigation must be conducted to fully establish validity evidence for the use of subscores from CAOS. Nevertheless, the establishment of multidimensionality is an important first step in this validation process. </w:t>
      </w:r>
    </w:p>
    <w:p w14:paraId="7F9AE1E6" w14:textId="77777777" w:rsidR="00EA40B7" w:rsidRDefault="006B39EF">
      <w:pPr>
        <w:pBdr>
          <w:top w:val="nil"/>
          <w:left w:val="nil"/>
          <w:bottom w:val="nil"/>
          <w:right w:val="nil"/>
          <w:between w:val="nil"/>
        </w:pBdr>
        <w:spacing w:line="480" w:lineRule="auto"/>
        <w:ind w:firstLine="340"/>
        <w:rPr>
          <w:color w:val="000000"/>
        </w:rPr>
      </w:pPr>
      <w:r>
        <w:rPr>
          <w:color w:val="000000"/>
        </w:rPr>
        <w:t>Although there is evidence of multidimensionality, the best fitting model only includes two secondary factors, which are intended to represent content and reasoning related to descriptive statistics and inferential statistics respectively. Therefore, it remains doubtful that there is sufficient evidence to justify the use and analysis of subscores aligned with either six (delMas, 2014) or nine (</w:t>
      </w:r>
      <w:proofErr w:type="spellStart"/>
      <w:r>
        <w:rPr>
          <w:color w:val="000000"/>
        </w:rPr>
        <w:t>Tintle</w:t>
      </w:r>
      <w:proofErr w:type="spellEnd"/>
      <w:r>
        <w:rPr>
          <w:color w:val="000000"/>
        </w:rPr>
        <w:t xml:space="preserve"> et al., 2014) topics. </w:t>
      </w:r>
    </w:p>
    <w:p w14:paraId="73D938A7" w14:textId="77777777" w:rsidR="00EA40B7" w:rsidRDefault="006B39EF">
      <w:pPr>
        <w:pBdr>
          <w:top w:val="nil"/>
          <w:left w:val="nil"/>
          <w:bottom w:val="nil"/>
          <w:right w:val="nil"/>
          <w:between w:val="nil"/>
        </w:pBdr>
        <w:spacing w:line="480" w:lineRule="auto"/>
        <w:ind w:firstLine="340"/>
        <w:rPr>
          <w:color w:val="000000"/>
        </w:rPr>
      </w:pPr>
      <w:r>
        <w:rPr>
          <w:color w:val="000000"/>
        </w:rPr>
        <w:lastRenderedPageBreak/>
        <w:t xml:space="preserve">Additionally, further study is required to validate that the two topics do indeed represent descriptive statistics and inferential statistics constructs before investigation and discussion of the use of subscores representing these subfactors can be continued. It may also be useful to partition items into two groups for creating subscores. Nevertheless, the establishment of statistical evidence of multidimensionality in student responses to CAOS is an important prerequisite for such efforts.  </w:t>
      </w:r>
    </w:p>
    <w:p w14:paraId="6F5F417F" w14:textId="77777777" w:rsidR="00EA40B7" w:rsidRDefault="00EA40B7">
      <w:pPr>
        <w:pBdr>
          <w:top w:val="nil"/>
          <w:left w:val="nil"/>
          <w:bottom w:val="nil"/>
          <w:right w:val="nil"/>
          <w:between w:val="nil"/>
        </w:pBdr>
        <w:ind w:firstLine="340"/>
        <w:rPr>
          <w:color w:val="000000"/>
        </w:rPr>
      </w:pPr>
    </w:p>
    <w:p w14:paraId="34609575" w14:textId="77777777" w:rsidR="00EA40B7" w:rsidRDefault="006B39EF">
      <w:pPr>
        <w:numPr>
          <w:ilvl w:val="1"/>
          <w:numId w:val="1"/>
        </w:numPr>
        <w:pBdr>
          <w:top w:val="nil"/>
          <w:left w:val="nil"/>
          <w:bottom w:val="nil"/>
          <w:right w:val="nil"/>
          <w:between w:val="nil"/>
        </w:pBdr>
      </w:pPr>
      <w:r>
        <w:rPr>
          <w:b/>
          <w:smallCaps/>
          <w:color w:val="000000"/>
        </w:rPr>
        <w:t xml:space="preserve"> Limitations </w:t>
      </w:r>
    </w:p>
    <w:p w14:paraId="785267C4" w14:textId="77777777" w:rsidR="00EA40B7" w:rsidRDefault="00EA40B7">
      <w:pPr>
        <w:pBdr>
          <w:top w:val="nil"/>
          <w:left w:val="nil"/>
          <w:bottom w:val="nil"/>
          <w:right w:val="nil"/>
          <w:between w:val="nil"/>
        </w:pBdr>
        <w:ind w:firstLine="340"/>
        <w:rPr>
          <w:color w:val="000000"/>
        </w:rPr>
      </w:pPr>
    </w:p>
    <w:p w14:paraId="0C63C83C"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While the identification of multidimensionality is an important result, the lack of similar findings in studies with smaller sample sizes indicates that the power of statistical tests employed in this study may be of questionable quality, despite the use of robust model comparison measures. Therefore, a power analysis or replication of these methods must be conducted in order to verify that the result is not a false positive. </w:t>
      </w:r>
    </w:p>
    <w:p w14:paraId="6B056D5A" w14:textId="77777777" w:rsidR="00EA40B7" w:rsidRDefault="006B39EF">
      <w:pPr>
        <w:pBdr>
          <w:top w:val="nil"/>
          <w:left w:val="nil"/>
          <w:bottom w:val="nil"/>
          <w:right w:val="nil"/>
          <w:between w:val="nil"/>
        </w:pBdr>
        <w:spacing w:line="480" w:lineRule="auto"/>
        <w:ind w:firstLine="340"/>
        <w:rPr>
          <w:color w:val="000000"/>
        </w:rPr>
      </w:pPr>
      <w:r>
        <w:rPr>
          <w:color w:val="000000"/>
        </w:rPr>
        <w:t xml:space="preserve">Although the scope of this study is by definition limited to students completing CAOS, it is unknown whether the population of institutions, instructors, and students utilizing CAOS is in any way representative of the larger community of statistics educators and students. Furthermore, it is possible that the characteristics of CAOS users has changed over time, thus limiting the generalizability of </w:t>
      </w:r>
      <w:r>
        <w:t xml:space="preserve">these </w:t>
      </w:r>
      <w:r>
        <w:rPr>
          <w:color w:val="000000"/>
        </w:rPr>
        <w:t xml:space="preserve">results. </w:t>
      </w:r>
    </w:p>
    <w:p w14:paraId="4A410171" w14:textId="77777777" w:rsidR="00EA40B7" w:rsidRDefault="006B39EF">
      <w:pPr>
        <w:pBdr>
          <w:top w:val="nil"/>
          <w:left w:val="nil"/>
          <w:bottom w:val="nil"/>
          <w:right w:val="nil"/>
          <w:between w:val="nil"/>
        </w:pBdr>
        <w:spacing w:after="200" w:line="480" w:lineRule="auto"/>
        <w:ind w:firstLine="340"/>
      </w:pPr>
      <w:r>
        <w:rPr>
          <w:color w:val="000000"/>
        </w:rPr>
        <w:t xml:space="preserve">Similarly, CAOS was designed to conform to courses following the consensus curriculum. However, many new curricula have since been developed and adopted which focus on simulation-based methods (Garfield, </w:t>
      </w:r>
      <w:proofErr w:type="spellStart"/>
      <w:r>
        <w:rPr>
          <w:color w:val="000000"/>
        </w:rPr>
        <w:t>delMas</w:t>
      </w:r>
      <w:proofErr w:type="spellEnd"/>
      <w:r>
        <w:rPr>
          <w:color w:val="000000"/>
        </w:rPr>
        <w:t xml:space="preserve">, &amp; </w:t>
      </w:r>
      <w:proofErr w:type="spellStart"/>
      <w:r>
        <w:rPr>
          <w:color w:val="000000"/>
        </w:rPr>
        <w:t>Zieffler</w:t>
      </w:r>
      <w:proofErr w:type="spellEnd"/>
      <w:r>
        <w:rPr>
          <w:color w:val="000000"/>
        </w:rPr>
        <w:t xml:space="preserve">, 2012; Lock et al., 2013; </w:t>
      </w:r>
      <w:proofErr w:type="spellStart"/>
      <w:r>
        <w:rPr>
          <w:color w:val="000000"/>
        </w:rPr>
        <w:t>Tintle</w:t>
      </w:r>
      <w:proofErr w:type="spellEnd"/>
      <w:r>
        <w:rPr>
          <w:color w:val="000000"/>
        </w:rPr>
        <w:t xml:space="preserve"> et al., 2015). It may be that there is no longer full alignment between CAOS and classroom instruction for students completing CAOS. The adoption of these curricula has occurred in recent years, and is not reflected in previous analyses of CAOS to the extent which it may be reflected in the present analysis. Thus, improvements in statistics education as a result of these new curricula may have led to increased reliability of student </w:t>
      </w:r>
      <w:r>
        <w:rPr>
          <w:color w:val="000000"/>
        </w:rPr>
        <w:lastRenderedPageBreak/>
        <w:t xml:space="preserve">responses to CAOS in recent years. While this is a boon to analyses of student performance on CAOS, it implies that there may be significant </w:t>
      </w:r>
      <w:r>
        <w:rPr>
          <w:i/>
          <w:color w:val="000000"/>
        </w:rPr>
        <w:t>differential item functioning</w:t>
      </w:r>
      <w:r>
        <w:rPr>
          <w:color w:val="000000"/>
        </w:rPr>
        <w:t xml:space="preserve"> (DIF; Holland &amp; Thayer, 1988) for students instructed with different curricula and across time, which may have biased analyses of the dimensionality of student responses to CAOS. Therefore, further research is required to ensure the homogeneity of the full CAOS sample and the </w:t>
      </w:r>
      <w:r>
        <w:t>appropriateness</w:t>
      </w:r>
      <w:r>
        <w:rPr>
          <w:color w:val="000000"/>
        </w:rPr>
        <w:t xml:space="preserve"> of utilizing the full dataset in any such analysis. </w:t>
      </w:r>
    </w:p>
    <w:p w14:paraId="3AE12DAF" w14:textId="77777777" w:rsidR="00EA40B7" w:rsidRDefault="006B39EF">
      <w:pPr>
        <w:numPr>
          <w:ilvl w:val="1"/>
          <w:numId w:val="1"/>
        </w:numPr>
        <w:pBdr>
          <w:top w:val="nil"/>
          <w:left w:val="nil"/>
          <w:bottom w:val="nil"/>
          <w:right w:val="nil"/>
          <w:between w:val="nil"/>
        </w:pBdr>
      </w:pPr>
      <w:r>
        <w:rPr>
          <w:b/>
          <w:smallCaps/>
          <w:color w:val="000000"/>
        </w:rPr>
        <w:t xml:space="preserve"> Future Analyses</w:t>
      </w:r>
    </w:p>
    <w:p w14:paraId="6BA2600C" w14:textId="77777777" w:rsidR="00EA40B7" w:rsidRDefault="00EA40B7">
      <w:pPr>
        <w:pBdr>
          <w:top w:val="nil"/>
          <w:left w:val="nil"/>
          <w:bottom w:val="nil"/>
          <w:right w:val="nil"/>
          <w:between w:val="nil"/>
        </w:pBdr>
        <w:ind w:firstLine="340"/>
        <w:rPr>
          <w:color w:val="000000"/>
        </w:rPr>
      </w:pPr>
    </w:p>
    <w:p w14:paraId="4F4BA585" w14:textId="7C2AF301" w:rsidR="00EA40B7" w:rsidRDefault="006B39EF">
      <w:pPr>
        <w:pBdr>
          <w:top w:val="nil"/>
          <w:left w:val="nil"/>
          <w:bottom w:val="nil"/>
          <w:right w:val="nil"/>
          <w:between w:val="nil"/>
        </w:pBdr>
        <w:spacing w:line="480" w:lineRule="auto"/>
        <w:ind w:firstLine="340"/>
        <w:rPr>
          <w:color w:val="000000"/>
        </w:rPr>
      </w:pPr>
      <w:r>
        <w:rPr>
          <w:color w:val="000000"/>
        </w:rPr>
        <w:t xml:space="preserve">While the distinctness of subscores is an important attribute, the reliability of subscores must also be evaluated in order to fully establish validity evidence that meets current standards. Such analyses utilizing procedures prescribed by Haberman </w:t>
      </w:r>
      <w:r w:rsidR="00214065">
        <w:rPr>
          <w:color w:val="000000"/>
        </w:rPr>
        <w:t xml:space="preserve">and </w:t>
      </w:r>
      <w:proofErr w:type="spellStart"/>
      <w:r>
        <w:rPr>
          <w:color w:val="000000"/>
        </w:rPr>
        <w:t>Sinharay</w:t>
      </w:r>
      <w:proofErr w:type="spellEnd"/>
      <w:r>
        <w:rPr>
          <w:color w:val="000000"/>
        </w:rPr>
        <w:t xml:space="preserve"> (2010) and </w:t>
      </w:r>
      <w:proofErr w:type="spellStart"/>
      <w:r>
        <w:rPr>
          <w:color w:val="000000"/>
        </w:rPr>
        <w:t>Biancarosa</w:t>
      </w:r>
      <w:proofErr w:type="spellEnd"/>
      <w:r>
        <w:rPr>
          <w:color w:val="000000"/>
        </w:rPr>
        <w:t xml:space="preserve"> et al. (2019) are an important next step to fully justify the utilization of CAOS subscores.</w:t>
      </w:r>
    </w:p>
    <w:p w14:paraId="2419AE38" w14:textId="628AA6F9" w:rsidR="00EA40B7" w:rsidRDefault="006B39EF">
      <w:pPr>
        <w:pBdr>
          <w:top w:val="nil"/>
          <w:left w:val="nil"/>
          <w:bottom w:val="nil"/>
          <w:right w:val="nil"/>
          <w:between w:val="nil"/>
        </w:pBdr>
        <w:spacing w:line="480" w:lineRule="auto"/>
        <w:ind w:firstLine="340"/>
        <w:rPr>
          <w:color w:val="000000"/>
        </w:rPr>
      </w:pPr>
      <w:r>
        <w:rPr>
          <w:color w:val="000000"/>
        </w:rPr>
        <w:t xml:space="preserve">Although this investigation focused on the use of subscores, results from delMas (2014) identifying non-equivalent discrimination parameters in a 2PL model for dichotomous items, also replicated in the present study, indicate that the raw total score may not be a reliable indication of students’ understanding. Similarly, Haberman </w:t>
      </w:r>
      <w:r w:rsidR="00214065">
        <w:rPr>
          <w:color w:val="000000"/>
        </w:rPr>
        <w:t xml:space="preserve">and </w:t>
      </w:r>
      <w:proofErr w:type="spellStart"/>
      <w:r>
        <w:rPr>
          <w:color w:val="000000"/>
        </w:rPr>
        <w:t>Sinharay</w:t>
      </w:r>
      <w:proofErr w:type="spellEnd"/>
      <w:r>
        <w:rPr>
          <w:color w:val="000000"/>
        </w:rPr>
        <w:t xml:space="preserve"> (2010) note that raw subscores are less reliable than weighted subscores generated by MIRT models. Therefore, a thorough reexamination of the validity of total score interpretation using advanced IRT models in addition to the 2PL and GRM is required to fully understand the implications of </w:t>
      </w:r>
      <w:r w:rsidR="00214065">
        <w:rPr>
          <w:color w:val="000000"/>
        </w:rPr>
        <w:t xml:space="preserve">analyzing </w:t>
      </w:r>
      <w:r>
        <w:rPr>
          <w:color w:val="000000"/>
        </w:rPr>
        <w:t xml:space="preserve">raw total scores from student responses to CAOS in addition to raw subscores. </w:t>
      </w:r>
    </w:p>
    <w:p w14:paraId="083D5817" w14:textId="46890318" w:rsidR="00EA40B7" w:rsidRDefault="00EA40B7">
      <w:pPr>
        <w:jc w:val="left"/>
      </w:pPr>
    </w:p>
    <w:p w14:paraId="11489C4B" w14:textId="29A0A44B" w:rsidR="00327EE7" w:rsidRDefault="00327EE7">
      <w:r>
        <w:br w:type="page"/>
      </w:r>
    </w:p>
    <w:p w14:paraId="3469113F" w14:textId="77777777" w:rsidR="00EA40B7" w:rsidRDefault="006B39EF">
      <w:pPr>
        <w:pBdr>
          <w:top w:val="nil"/>
          <w:left w:val="nil"/>
          <w:bottom w:val="nil"/>
          <w:right w:val="nil"/>
          <w:between w:val="nil"/>
        </w:pBdr>
        <w:jc w:val="center"/>
        <w:rPr>
          <w:b/>
          <w:smallCaps/>
          <w:color w:val="000000"/>
        </w:rPr>
      </w:pPr>
      <w:r>
        <w:rPr>
          <w:b/>
          <w:smallCaps/>
          <w:color w:val="000000"/>
        </w:rPr>
        <w:lastRenderedPageBreak/>
        <w:t>REFERENCES</w:t>
      </w:r>
    </w:p>
    <w:p w14:paraId="3DC75BC7" w14:textId="77777777" w:rsidR="00EA40B7" w:rsidRDefault="00EA40B7">
      <w:pPr>
        <w:pBdr>
          <w:top w:val="nil"/>
          <w:left w:val="nil"/>
          <w:bottom w:val="nil"/>
          <w:right w:val="nil"/>
          <w:between w:val="nil"/>
        </w:pBdr>
        <w:ind w:firstLine="340"/>
        <w:rPr>
          <w:color w:val="000000"/>
        </w:rPr>
      </w:pPr>
    </w:p>
    <w:p w14:paraId="2418BC7C"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Akaike, H. (1974). A new look at the statistical model identification. </w:t>
      </w:r>
      <w:r>
        <w:rPr>
          <w:i/>
          <w:color w:val="000000"/>
          <w:highlight w:val="white"/>
        </w:rPr>
        <w:t>IEEE Transactions on Automatic Control</w:t>
      </w:r>
      <w:r>
        <w:rPr>
          <w:color w:val="000000"/>
          <w:highlight w:val="white"/>
        </w:rPr>
        <w:t>, </w:t>
      </w:r>
      <w:r>
        <w:rPr>
          <w:i/>
          <w:color w:val="000000"/>
          <w:highlight w:val="white"/>
        </w:rPr>
        <w:t>19</w:t>
      </w:r>
      <w:r>
        <w:rPr>
          <w:color w:val="000000"/>
          <w:highlight w:val="white"/>
        </w:rPr>
        <w:t>, 716-723.</w:t>
      </w:r>
    </w:p>
    <w:p w14:paraId="640396B2" w14:textId="77777777" w:rsidR="00EA40B7" w:rsidRDefault="006B39EF">
      <w:pPr>
        <w:pBdr>
          <w:top w:val="nil"/>
          <w:left w:val="nil"/>
          <w:bottom w:val="nil"/>
          <w:right w:val="nil"/>
          <w:between w:val="nil"/>
        </w:pBdr>
        <w:ind w:left="340" w:hanging="340"/>
        <w:rPr>
          <w:color w:val="000000"/>
        </w:rPr>
      </w:pPr>
      <w:r>
        <w:rPr>
          <w:color w:val="000000"/>
        </w:rPr>
        <w:t xml:space="preserve">Allen, K. (2006). </w:t>
      </w:r>
      <w:r>
        <w:rPr>
          <w:i/>
          <w:color w:val="000000"/>
        </w:rPr>
        <w:t>The statistics concept inventory: Development and analysis of a cognitive assessment instrument in statistics</w:t>
      </w:r>
      <w:r>
        <w:rPr>
          <w:color w:val="000000"/>
        </w:rPr>
        <w:t xml:space="preserve">. (Doctoral dissertation, University of Oklahoma, 2006). Retrieved from SSRN. </w:t>
      </w:r>
    </w:p>
    <w:p w14:paraId="78B90699" w14:textId="77777777" w:rsidR="00EA40B7" w:rsidRDefault="006B39EF">
      <w:pPr>
        <w:pBdr>
          <w:top w:val="nil"/>
          <w:left w:val="nil"/>
          <w:bottom w:val="nil"/>
          <w:right w:val="nil"/>
          <w:between w:val="nil"/>
        </w:pBdr>
        <w:ind w:left="340" w:hanging="340"/>
        <w:rPr>
          <w:color w:val="000000"/>
        </w:rPr>
      </w:pPr>
      <w:r>
        <w:rPr>
          <w:color w:val="000000"/>
        </w:rPr>
        <w:t xml:space="preserve">American Educational Research Association, American Psychological Association, &amp; National Council on Measurement in Education. (2014). </w:t>
      </w:r>
      <w:r>
        <w:rPr>
          <w:i/>
          <w:color w:val="000000"/>
        </w:rPr>
        <w:t>Standards for educational and psychological testing</w:t>
      </w:r>
      <w:r>
        <w:rPr>
          <w:color w:val="000000"/>
        </w:rPr>
        <w:t>. Washington, DC: American Educational Research Association.</w:t>
      </w:r>
    </w:p>
    <w:p w14:paraId="6D3F16E9" w14:textId="77777777" w:rsidR="00EA40B7" w:rsidRDefault="006B39EF">
      <w:pPr>
        <w:pBdr>
          <w:top w:val="nil"/>
          <w:left w:val="nil"/>
          <w:bottom w:val="nil"/>
          <w:right w:val="nil"/>
          <w:between w:val="nil"/>
        </w:pBdr>
        <w:ind w:left="340" w:hanging="340"/>
        <w:rPr>
          <w:color w:val="000000"/>
          <w:highlight w:val="white"/>
        </w:rPr>
      </w:pPr>
      <w:proofErr w:type="spellStart"/>
      <w:r>
        <w:rPr>
          <w:color w:val="000000"/>
          <w:highlight w:val="white"/>
        </w:rPr>
        <w:t>Biancarosa</w:t>
      </w:r>
      <w:proofErr w:type="spellEnd"/>
      <w:r>
        <w:rPr>
          <w:color w:val="000000"/>
          <w:highlight w:val="white"/>
        </w:rPr>
        <w:t xml:space="preserve">, G., Kennedy, P. C., Carlson, S. E., Yoon, H., </w:t>
      </w:r>
      <w:proofErr w:type="spellStart"/>
      <w:r>
        <w:rPr>
          <w:color w:val="000000"/>
          <w:highlight w:val="white"/>
        </w:rPr>
        <w:t>Seipel</w:t>
      </w:r>
      <w:proofErr w:type="spellEnd"/>
      <w:r>
        <w:rPr>
          <w:color w:val="000000"/>
          <w:highlight w:val="white"/>
        </w:rPr>
        <w:t>, B., Liu, B., &amp; Davison, M. L. (2019). Constructing subscores that add validity: A case study of identifying students at risk. </w:t>
      </w:r>
      <w:r>
        <w:rPr>
          <w:i/>
          <w:color w:val="000000"/>
          <w:highlight w:val="white"/>
        </w:rPr>
        <w:t>Educational and psychological measurement</w:t>
      </w:r>
      <w:r>
        <w:rPr>
          <w:color w:val="000000"/>
          <w:highlight w:val="white"/>
        </w:rPr>
        <w:t>, </w:t>
      </w:r>
      <w:r>
        <w:rPr>
          <w:i/>
          <w:color w:val="000000"/>
          <w:highlight w:val="white"/>
        </w:rPr>
        <w:t>79</w:t>
      </w:r>
      <w:r>
        <w:rPr>
          <w:color w:val="000000"/>
          <w:highlight w:val="white"/>
        </w:rPr>
        <w:t>(1), 65-84.</w:t>
      </w:r>
    </w:p>
    <w:p w14:paraId="285EE840" w14:textId="77777777" w:rsidR="00EA40B7" w:rsidRDefault="006B39EF">
      <w:pPr>
        <w:pBdr>
          <w:top w:val="nil"/>
          <w:left w:val="nil"/>
          <w:bottom w:val="nil"/>
          <w:right w:val="nil"/>
          <w:between w:val="nil"/>
        </w:pBdr>
        <w:ind w:left="340" w:hanging="340"/>
        <w:rPr>
          <w:color w:val="000000"/>
        </w:rPr>
      </w:pPr>
      <w:r>
        <w:rPr>
          <w:color w:val="000000"/>
        </w:rPr>
        <w:t xml:space="preserve">Birnbaum, A. (1968). Some latent trait models and their use in inferring an examinee’s ability. In F. M. Lord &amp; M. R. Novick, </w:t>
      </w:r>
      <w:r>
        <w:rPr>
          <w:i/>
          <w:color w:val="000000"/>
        </w:rPr>
        <w:t>Statistical Theories of Mental Test Scores</w:t>
      </w:r>
      <w:r>
        <w:rPr>
          <w:color w:val="000000"/>
        </w:rPr>
        <w:t>. Reading, MA: Addison-Wesley Publishing.</w:t>
      </w:r>
    </w:p>
    <w:p w14:paraId="5C009F9D"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 xml:space="preserve">Bonifay, W., Lane, S. P., &amp; </w:t>
      </w:r>
      <w:proofErr w:type="spellStart"/>
      <w:r>
        <w:rPr>
          <w:color w:val="000000"/>
          <w:highlight w:val="white"/>
        </w:rPr>
        <w:t>Reise</w:t>
      </w:r>
      <w:proofErr w:type="spellEnd"/>
      <w:r>
        <w:rPr>
          <w:color w:val="000000"/>
          <w:highlight w:val="white"/>
        </w:rPr>
        <w:t>, S. P. (2017). Three concerns with applying a bifactor model as a structure of psychopathology. </w:t>
      </w:r>
      <w:r>
        <w:rPr>
          <w:i/>
          <w:color w:val="000000"/>
          <w:highlight w:val="white"/>
        </w:rPr>
        <w:t>Clinical Psychological Science</w:t>
      </w:r>
      <w:r>
        <w:rPr>
          <w:color w:val="000000"/>
          <w:highlight w:val="white"/>
        </w:rPr>
        <w:t>, </w:t>
      </w:r>
      <w:r>
        <w:rPr>
          <w:i/>
          <w:color w:val="000000"/>
          <w:highlight w:val="white"/>
        </w:rPr>
        <w:t>5</w:t>
      </w:r>
      <w:r>
        <w:rPr>
          <w:color w:val="000000"/>
          <w:highlight w:val="white"/>
        </w:rPr>
        <w:t>(1), 184-186.</w:t>
      </w:r>
    </w:p>
    <w:p w14:paraId="1EF82500" w14:textId="77777777" w:rsidR="00EA40B7" w:rsidRDefault="006B39EF">
      <w:pPr>
        <w:pBdr>
          <w:top w:val="nil"/>
          <w:left w:val="nil"/>
          <w:bottom w:val="nil"/>
          <w:right w:val="nil"/>
          <w:between w:val="nil"/>
        </w:pBdr>
        <w:ind w:left="340" w:hanging="340"/>
        <w:rPr>
          <w:color w:val="000000"/>
        </w:rPr>
      </w:pPr>
      <w:r>
        <w:rPr>
          <w:color w:val="000000"/>
        </w:rPr>
        <w:t xml:space="preserve">Brown, M. W., &amp; </w:t>
      </w:r>
      <w:proofErr w:type="spellStart"/>
      <w:r>
        <w:rPr>
          <w:color w:val="000000"/>
        </w:rPr>
        <w:t>Cudeck</w:t>
      </w:r>
      <w:proofErr w:type="spellEnd"/>
      <w:r>
        <w:rPr>
          <w:color w:val="000000"/>
        </w:rPr>
        <w:t xml:space="preserve">, R. (1992). Alternative ways of assessing model fit. </w:t>
      </w:r>
      <w:r>
        <w:rPr>
          <w:i/>
          <w:color w:val="000000"/>
        </w:rPr>
        <w:t>Sociological Methods &amp; Research, 21</w:t>
      </w:r>
      <w:r>
        <w:rPr>
          <w:color w:val="000000"/>
        </w:rPr>
        <w:t xml:space="preserve">, 230-258. </w:t>
      </w:r>
    </w:p>
    <w:p w14:paraId="30B0381C" w14:textId="77777777" w:rsidR="00EA40B7" w:rsidRDefault="006B39EF">
      <w:pPr>
        <w:pBdr>
          <w:top w:val="nil"/>
          <w:left w:val="nil"/>
          <w:bottom w:val="nil"/>
          <w:right w:val="nil"/>
          <w:between w:val="nil"/>
        </w:pBdr>
        <w:ind w:left="340" w:hanging="340"/>
        <w:rPr>
          <w:color w:val="000000"/>
        </w:rPr>
      </w:pPr>
      <w:r>
        <w:rPr>
          <w:color w:val="000000"/>
        </w:rPr>
        <w:t xml:space="preserve">Chalmers, R., P. (2012). </w:t>
      </w:r>
      <w:proofErr w:type="spellStart"/>
      <w:r>
        <w:rPr>
          <w:color w:val="000000"/>
        </w:rPr>
        <w:t>mirt</w:t>
      </w:r>
      <w:proofErr w:type="spellEnd"/>
      <w:r>
        <w:rPr>
          <w:color w:val="000000"/>
        </w:rPr>
        <w:t xml:space="preserve">: A multidimensional item response theory package for the R environment. </w:t>
      </w:r>
      <w:r>
        <w:rPr>
          <w:i/>
          <w:color w:val="000000"/>
        </w:rPr>
        <w:t>Journal of Statistical Software, 48</w:t>
      </w:r>
      <w:r>
        <w:rPr>
          <w:color w:val="000000"/>
        </w:rPr>
        <w:t xml:space="preserve">(6), 1-29. </w:t>
      </w:r>
    </w:p>
    <w:p w14:paraId="73654C1B" w14:textId="77777777" w:rsidR="00EA40B7" w:rsidRDefault="006B39EF">
      <w:pPr>
        <w:pBdr>
          <w:top w:val="nil"/>
          <w:left w:val="nil"/>
          <w:bottom w:val="nil"/>
          <w:right w:val="nil"/>
          <w:between w:val="nil"/>
        </w:pBdr>
        <w:ind w:left="340" w:hanging="340"/>
        <w:rPr>
          <w:color w:val="000000"/>
        </w:rPr>
      </w:pPr>
      <w:r>
        <w:rPr>
          <w:color w:val="000000"/>
          <w:highlight w:val="white"/>
        </w:rPr>
        <w:t>Chon, K. H., Lee, W. C., &amp; Dunbar, S. B. (2010). A comparison of item fit statistics for mixed IRT models. </w:t>
      </w:r>
      <w:r>
        <w:rPr>
          <w:i/>
          <w:color w:val="000000"/>
          <w:highlight w:val="white"/>
        </w:rPr>
        <w:t>Journal of Educational Measurement</w:t>
      </w:r>
      <w:r>
        <w:rPr>
          <w:color w:val="000000"/>
          <w:highlight w:val="white"/>
        </w:rPr>
        <w:t>, </w:t>
      </w:r>
      <w:r>
        <w:rPr>
          <w:i/>
          <w:color w:val="000000"/>
          <w:highlight w:val="white"/>
        </w:rPr>
        <w:t>47</w:t>
      </w:r>
      <w:r>
        <w:rPr>
          <w:color w:val="000000"/>
          <w:highlight w:val="white"/>
        </w:rPr>
        <w:t>(3), 318-338.</w:t>
      </w:r>
    </w:p>
    <w:p w14:paraId="1025A205" w14:textId="77777777" w:rsidR="00EA40B7" w:rsidRDefault="006B39EF">
      <w:pPr>
        <w:pBdr>
          <w:top w:val="nil"/>
          <w:left w:val="nil"/>
          <w:bottom w:val="nil"/>
          <w:right w:val="nil"/>
          <w:between w:val="nil"/>
        </w:pBdr>
        <w:ind w:left="340" w:hanging="340"/>
        <w:rPr>
          <w:color w:val="000000"/>
        </w:rPr>
      </w:pPr>
      <w:r>
        <w:rPr>
          <w:color w:val="000000"/>
        </w:rPr>
        <w:t xml:space="preserve">Cobb, G. W. (2007). The introductory statistics course: A </w:t>
      </w:r>
      <w:proofErr w:type="spellStart"/>
      <w:r>
        <w:rPr>
          <w:color w:val="000000"/>
        </w:rPr>
        <w:t>ptolemaic</w:t>
      </w:r>
      <w:proofErr w:type="spellEnd"/>
      <w:r>
        <w:rPr>
          <w:color w:val="000000"/>
        </w:rPr>
        <w:t xml:space="preserve"> curriculum? </w:t>
      </w:r>
      <w:r>
        <w:rPr>
          <w:i/>
          <w:color w:val="000000"/>
        </w:rPr>
        <w:t>Technology Innovations in Statistics Education, 1</w:t>
      </w:r>
      <w:r>
        <w:rPr>
          <w:color w:val="000000"/>
        </w:rPr>
        <w:t>(1).</w:t>
      </w:r>
    </w:p>
    <w:p w14:paraId="0EC55730"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Cook, K. F., Dodd, B. G., &amp; Fitzpatrick, S. J. (1999). A comparison of three polytomous item response theory models in the context of testlet scoring. </w:t>
      </w:r>
      <w:r>
        <w:rPr>
          <w:i/>
          <w:color w:val="000000"/>
          <w:highlight w:val="white"/>
        </w:rPr>
        <w:t>Journal of outcome measurement</w:t>
      </w:r>
      <w:r>
        <w:rPr>
          <w:color w:val="000000"/>
          <w:highlight w:val="white"/>
        </w:rPr>
        <w:t>, </w:t>
      </w:r>
      <w:r>
        <w:rPr>
          <w:i/>
          <w:color w:val="000000"/>
          <w:highlight w:val="white"/>
        </w:rPr>
        <w:t>3</w:t>
      </w:r>
      <w:r>
        <w:rPr>
          <w:color w:val="000000"/>
          <w:highlight w:val="white"/>
        </w:rPr>
        <w:t>(1), 1-20.</w:t>
      </w:r>
    </w:p>
    <w:p w14:paraId="43AE76D9"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de Ayala, R.J. (2009). </w:t>
      </w:r>
      <w:r>
        <w:rPr>
          <w:i/>
          <w:color w:val="000000"/>
          <w:highlight w:val="white"/>
        </w:rPr>
        <w:t>The theory and practice of item response theory.</w:t>
      </w:r>
      <w:r>
        <w:rPr>
          <w:color w:val="000000"/>
          <w:highlight w:val="white"/>
        </w:rPr>
        <w:t xml:space="preserve"> New York: The Guilford Press.</w:t>
      </w:r>
    </w:p>
    <w:p w14:paraId="17123555" w14:textId="77777777" w:rsidR="00EA40B7" w:rsidRDefault="006B39EF">
      <w:pPr>
        <w:pBdr>
          <w:top w:val="nil"/>
          <w:left w:val="nil"/>
          <w:bottom w:val="nil"/>
          <w:right w:val="nil"/>
          <w:between w:val="nil"/>
        </w:pBdr>
        <w:ind w:left="340" w:hanging="340"/>
        <w:rPr>
          <w:color w:val="000000"/>
          <w:highlight w:val="yellow"/>
        </w:rPr>
      </w:pPr>
      <w:r>
        <w:rPr>
          <w:color w:val="000000"/>
        </w:rPr>
        <w:t xml:space="preserve">delMas, R. (2014). Trends in students’ conceptual understanding of statistics. In K. Makar, B. de Sousa, &amp; R. Gould (Eds.), </w:t>
      </w:r>
      <w:r>
        <w:rPr>
          <w:i/>
          <w:color w:val="000000"/>
        </w:rPr>
        <w:t>Sustainability in statistics education. Proceedings of the Ninth International Conference on Teaching Statistics, Flagstaff, Arizona, USA</w:t>
      </w:r>
      <w:r>
        <w:rPr>
          <w:color w:val="000000"/>
        </w:rPr>
        <w:t xml:space="preserve">. </w:t>
      </w:r>
      <w:proofErr w:type="spellStart"/>
      <w:r>
        <w:rPr>
          <w:color w:val="000000"/>
        </w:rPr>
        <w:t>Voorburg</w:t>
      </w:r>
      <w:proofErr w:type="spellEnd"/>
      <w:r>
        <w:rPr>
          <w:color w:val="000000"/>
        </w:rPr>
        <w:t>, The Netherlands: International Statistical Institute</w:t>
      </w:r>
      <w:r>
        <w:rPr>
          <w:i/>
          <w:color w:val="000000"/>
        </w:rPr>
        <w:t>.</w:t>
      </w:r>
      <w:r>
        <w:rPr>
          <w:color w:val="000000"/>
        </w:rPr>
        <w:t xml:space="preserve"> </w:t>
      </w:r>
    </w:p>
    <w:p w14:paraId="3094B0D5" w14:textId="77777777" w:rsidR="00EA40B7" w:rsidRDefault="006B39EF">
      <w:pPr>
        <w:pBdr>
          <w:top w:val="nil"/>
          <w:left w:val="nil"/>
          <w:bottom w:val="nil"/>
          <w:right w:val="nil"/>
          <w:between w:val="nil"/>
        </w:pBdr>
        <w:ind w:left="340" w:hanging="340"/>
        <w:rPr>
          <w:color w:val="000000"/>
          <w:sz w:val="36"/>
          <w:szCs w:val="36"/>
          <w:vertAlign w:val="superscript"/>
        </w:rPr>
      </w:pPr>
      <w:r>
        <w:rPr>
          <w:color w:val="000000"/>
        </w:rPr>
        <w:t xml:space="preserve">delMas, R., Garfield, J., &amp; Chance, B. (2003). The web-based ARTIST: An online resource for the assessment of instructional outcomes. Paper presented at the </w:t>
      </w:r>
      <w:r>
        <w:rPr>
          <w:i/>
          <w:color w:val="000000"/>
        </w:rPr>
        <w:t>Joint Statistical Meetings,</w:t>
      </w:r>
      <w:r>
        <w:rPr>
          <w:color w:val="000000"/>
        </w:rPr>
        <w:t xml:space="preserve"> San </w:t>
      </w:r>
      <w:r>
        <w:t>Francisco</w:t>
      </w:r>
      <w:r>
        <w:rPr>
          <w:color w:val="000000"/>
        </w:rPr>
        <w:t>, August, 2003.</w:t>
      </w:r>
    </w:p>
    <w:p w14:paraId="5350A2A3" w14:textId="77777777" w:rsidR="00EA40B7" w:rsidRDefault="006B39EF">
      <w:pPr>
        <w:pBdr>
          <w:top w:val="nil"/>
          <w:left w:val="nil"/>
          <w:bottom w:val="nil"/>
          <w:right w:val="nil"/>
          <w:between w:val="nil"/>
        </w:pBdr>
        <w:ind w:left="340" w:hanging="340"/>
        <w:rPr>
          <w:color w:val="000000"/>
        </w:rPr>
      </w:pPr>
      <w:r>
        <w:rPr>
          <w:color w:val="000000"/>
        </w:rPr>
        <w:t xml:space="preserve">delMas, R., Garfield, J., </w:t>
      </w:r>
      <w:proofErr w:type="spellStart"/>
      <w:r>
        <w:rPr>
          <w:color w:val="000000"/>
        </w:rPr>
        <w:t>Ooms</w:t>
      </w:r>
      <w:proofErr w:type="spellEnd"/>
      <w:r>
        <w:rPr>
          <w:color w:val="000000"/>
        </w:rPr>
        <w:t xml:space="preserve">, A., &amp; Chance, B. (2007). Assessing students’ conceptual understanding after a first course in statistics. </w:t>
      </w:r>
      <w:r>
        <w:rPr>
          <w:i/>
          <w:color w:val="000000"/>
        </w:rPr>
        <w:t>Statistics Education Research Journal, 6</w:t>
      </w:r>
      <w:r>
        <w:rPr>
          <w:color w:val="000000"/>
        </w:rPr>
        <w:t xml:space="preserve">(2), 28-58. </w:t>
      </w:r>
    </w:p>
    <w:p w14:paraId="577C1716" w14:textId="77777777" w:rsidR="00EA40B7" w:rsidRDefault="006B39EF">
      <w:pPr>
        <w:pBdr>
          <w:top w:val="nil"/>
          <w:left w:val="nil"/>
          <w:bottom w:val="nil"/>
          <w:right w:val="nil"/>
          <w:between w:val="nil"/>
        </w:pBdr>
        <w:ind w:left="340" w:hanging="340"/>
        <w:rPr>
          <w:i/>
          <w:color w:val="000000"/>
        </w:rPr>
      </w:pPr>
      <w:r>
        <w:rPr>
          <w:color w:val="000000"/>
        </w:rPr>
        <w:t xml:space="preserve">delMas, R., Garfield, J., &amp; </w:t>
      </w:r>
      <w:proofErr w:type="spellStart"/>
      <w:r>
        <w:rPr>
          <w:color w:val="000000"/>
        </w:rPr>
        <w:t>Ooms</w:t>
      </w:r>
      <w:proofErr w:type="spellEnd"/>
      <w:r>
        <w:rPr>
          <w:color w:val="000000"/>
        </w:rPr>
        <w:t xml:space="preserve">, A. (2005). Using assessment items to study students’ difficulty reading and interpreting graphical representations of distributions. In K. Makar (Ed.), </w:t>
      </w:r>
      <w:r>
        <w:rPr>
          <w:i/>
          <w:color w:val="000000"/>
        </w:rPr>
        <w:t xml:space="preserve">Proceedings of the Fourth International Research Forum on Statistical Reasoning, Thinking, and Literacy (on CD). </w:t>
      </w:r>
      <w:r>
        <w:rPr>
          <w:color w:val="000000"/>
        </w:rPr>
        <w:t>Auckland, New Zealand: University of Auckland</w:t>
      </w:r>
      <w:r>
        <w:rPr>
          <w:i/>
          <w:color w:val="000000"/>
        </w:rPr>
        <w:t>.</w:t>
      </w:r>
    </w:p>
    <w:p w14:paraId="4E8E98F5" w14:textId="77777777" w:rsidR="00EA40B7" w:rsidRDefault="006B39EF">
      <w:pPr>
        <w:pBdr>
          <w:top w:val="nil"/>
          <w:left w:val="nil"/>
          <w:bottom w:val="nil"/>
          <w:right w:val="nil"/>
          <w:between w:val="nil"/>
        </w:pBdr>
        <w:ind w:left="340" w:hanging="340"/>
        <w:rPr>
          <w:color w:val="000000"/>
        </w:rPr>
      </w:pPr>
      <w:r>
        <w:rPr>
          <w:color w:val="000000"/>
          <w:highlight w:val="white"/>
        </w:rPr>
        <w:t>Feinberg, R. A., &amp; Jurich, D. P. (2017). Guidelines for interpreting and reporting subscores. </w:t>
      </w:r>
      <w:r>
        <w:rPr>
          <w:i/>
          <w:color w:val="000000"/>
          <w:highlight w:val="white"/>
        </w:rPr>
        <w:t>Educational Measurement: Issues and Practice</w:t>
      </w:r>
      <w:r>
        <w:rPr>
          <w:color w:val="000000"/>
          <w:highlight w:val="white"/>
        </w:rPr>
        <w:t>, </w:t>
      </w:r>
      <w:r>
        <w:rPr>
          <w:i/>
          <w:color w:val="000000"/>
          <w:highlight w:val="white"/>
        </w:rPr>
        <w:t>36</w:t>
      </w:r>
      <w:r>
        <w:rPr>
          <w:color w:val="000000"/>
          <w:highlight w:val="white"/>
        </w:rPr>
        <w:t>(1), 5-13.</w:t>
      </w:r>
    </w:p>
    <w:p w14:paraId="4F8ED368" w14:textId="77777777" w:rsidR="00EA40B7" w:rsidRDefault="006B39EF">
      <w:pPr>
        <w:pBdr>
          <w:top w:val="nil"/>
          <w:left w:val="nil"/>
          <w:bottom w:val="nil"/>
          <w:right w:val="nil"/>
          <w:between w:val="nil"/>
        </w:pBdr>
        <w:ind w:left="340" w:hanging="340"/>
        <w:rPr>
          <w:color w:val="000000"/>
        </w:rPr>
      </w:pPr>
      <w:r>
        <w:rPr>
          <w:color w:val="000000"/>
        </w:rPr>
        <w:lastRenderedPageBreak/>
        <w:t xml:space="preserve">Garfield, J., delMas, R., &amp; Chance, B. (2002). </w:t>
      </w:r>
      <w:r>
        <w:rPr>
          <w:i/>
          <w:color w:val="000000"/>
        </w:rPr>
        <w:t>The Assessment Resource Tools for Improving Statistical Thinking (ARTIST) Project</w:t>
      </w:r>
      <w:r>
        <w:rPr>
          <w:color w:val="000000"/>
        </w:rPr>
        <w:t>. NSF CCLI grant ASA- 0206571.</w:t>
      </w:r>
    </w:p>
    <w:p w14:paraId="355125E8" w14:textId="77777777" w:rsidR="00EA40B7" w:rsidRDefault="006B39EF">
      <w:pPr>
        <w:pBdr>
          <w:top w:val="nil"/>
          <w:left w:val="nil"/>
          <w:bottom w:val="nil"/>
          <w:right w:val="nil"/>
          <w:between w:val="nil"/>
        </w:pBdr>
        <w:ind w:left="340" w:hanging="340"/>
        <w:rPr>
          <w:color w:val="000000"/>
        </w:rPr>
      </w:pPr>
      <w:r>
        <w:rPr>
          <w:color w:val="000000"/>
        </w:rPr>
        <w:t xml:space="preserve">Garfield, J., delMas, R., &amp; Zieffler, A. (2012). Developing statistical modelers and thinkers in an introductory, tertiary-level statistics course. </w:t>
      </w:r>
      <w:r>
        <w:rPr>
          <w:i/>
          <w:color w:val="000000"/>
        </w:rPr>
        <w:t>ZDM, 44</w:t>
      </w:r>
      <w:r>
        <w:rPr>
          <w:color w:val="000000"/>
        </w:rPr>
        <w:t>(7), 883-898.</w:t>
      </w:r>
    </w:p>
    <w:p w14:paraId="0528090E"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 xml:space="preserve">Gibbons, R. D., &amp; </w:t>
      </w:r>
      <w:proofErr w:type="spellStart"/>
      <w:r>
        <w:rPr>
          <w:color w:val="000000"/>
          <w:highlight w:val="white"/>
        </w:rPr>
        <w:t>Hedeker</w:t>
      </w:r>
      <w:proofErr w:type="spellEnd"/>
      <w:r>
        <w:rPr>
          <w:color w:val="000000"/>
          <w:highlight w:val="white"/>
        </w:rPr>
        <w:t>, D. R. (1992). Full-information item bi-factor analysis. </w:t>
      </w:r>
      <w:r>
        <w:rPr>
          <w:i/>
          <w:color w:val="000000"/>
          <w:highlight w:val="white"/>
        </w:rPr>
        <w:t>Psychometrika</w:t>
      </w:r>
      <w:r>
        <w:rPr>
          <w:color w:val="000000"/>
          <w:highlight w:val="white"/>
        </w:rPr>
        <w:t>, </w:t>
      </w:r>
      <w:r>
        <w:rPr>
          <w:i/>
          <w:color w:val="000000"/>
          <w:highlight w:val="white"/>
        </w:rPr>
        <w:t>57</w:t>
      </w:r>
      <w:r>
        <w:rPr>
          <w:color w:val="000000"/>
          <w:highlight w:val="white"/>
        </w:rPr>
        <w:t>(3), 423-436.</w:t>
      </w:r>
    </w:p>
    <w:p w14:paraId="6BF01468" w14:textId="77777777" w:rsidR="00EA40B7" w:rsidRDefault="006B39EF">
      <w:pPr>
        <w:pBdr>
          <w:top w:val="nil"/>
          <w:left w:val="nil"/>
          <w:bottom w:val="nil"/>
          <w:right w:val="nil"/>
          <w:between w:val="nil"/>
        </w:pBdr>
        <w:ind w:left="340" w:hanging="340"/>
        <w:rPr>
          <w:color w:val="000000"/>
        </w:rPr>
      </w:pPr>
      <w:r>
        <w:rPr>
          <w:color w:val="000000"/>
        </w:rPr>
        <w:t xml:space="preserve">Haberman, S.J. (2008). When can subscores have value? </w:t>
      </w:r>
      <w:r>
        <w:rPr>
          <w:i/>
          <w:color w:val="000000"/>
        </w:rPr>
        <w:t>Journal of Educational and Behavioral Statistics, 33</w:t>
      </w:r>
      <w:r>
        <w:rPr>
          <w:color w:val="000000"/>
        </w:rPr>
        <w:t>(2), 204-229.</w:t>
      </w:r>
    </w:p>
    <w:p w14:paraId="744BCE11"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 xml:space="preserve">Haberman, S. J., &amp; </w:t>
      </w:r>
      <w:proofErr w:type="spellStart"/>
      <w:r>
        <w:rPr>
          <w:color w:val="000000"/>
          <w:highlight w:val="white"/>
        </w:rPr>
        <w:t>Sinharay</w:t>
      </w:r>
      <w:proofErr w:type="spellEnd"/>
      <w:r>
        <w:rPr>
          <w:color w:val="000000"/>
          <w:highlight w:val="white"/>
        </w:rPr>
        <w:t>, S. (2010). Reporting of subscores using multidimensional item response theory. </w:t>
      </w:r>
      <w:r>
        <w:rPr>
          <w:i/>
          <w:color w:val="000000"/>
          <w:highlight w:val="white"/>
        </w:rPr>
        <w:t>Psychometrika</w:t>
      </w:r>
      <w:r>
        <w:rPr>
          <w:color w:val="000000"/>
          <w:highlight w:val="white"/>
        </w:rPr>
        <w:t>, </w:t>
      </w:r>
      <w:r>
        <w:rPr>
          <w:i/>
          <w:color w:val="000000"/>
          <w:highlight w:val="white"/>
        </w:rPr>
        <w:t>75</w:t>
      </w:r>
      <w:r>
        <w:rPr>
          <w:color w:val="000000"/>
          <w:highlight w:val="white"/>
        </w:rPr>
        <w:t>(2), 209-227.</w:t>
      </w:r>
    </w:p>
    <w:p w14:paraId="1B2D5EC9" w14:textId="77777777" w:rsidR="00EA40B7" w:rsidRDefault="006B39EF">
      <w:pPr>
        <w:pBdr>
          <w:top w:val="nil"/>
          <w:left w:val="nil"/>
          <w:bottom w:val="nil"/>
          <w:right w:val="nil"/>
          <w:between w:val="nil"/>
        </w:pBdr>
        <w:ind w:left="340" w:hanging="340"/>
      </w:pPr>
      <w:r>
        <w:t xml:space="preserve">Henson, J. M., </w:t>
      </w:r>
      <w:proofErr w:type="spellStart"/>
      <w:r>
        <w:t>Reise</w:t>
      </w:r>
      <w:proofErr w:type="spellEnd"/>
      <w:r>
        <w:t xml:space="preserve">, S. P., &amp; Kim, K. H. (2007). Detecting mixtures from structural model differences using latent variable mixture modeling: A comparison of relative model fit statistics. </w:t>
      </w:r>
      <w:r>
        <w:rPr>
          <w:i/>
        </w:rPr>
        <w:t>Structural Equation Modeling, 14</w:t>
      </w:r>
      <w:r>
        <w:t>, 202–226.</w:t>
      </w:r>
    </w:p>
    <w:p w14:paraId="3699FB32" w14:textId="77777777" w:rsidR="00EA40B7" w:rsidRDefault="006B39EF">
      <w:pPr>
        <w:pBdr>
          <w:top w:val="nil"/>
          <w:left w:val="nil"/>
          <w:bottom w:val="nil"/>
          <w:right w:val="nil"/>
          <w:between w:val="nil"/>
        </w:pBdr>
        <w:ind w:left="340" w:hanging="340"/>
        <w:rPr>
          <w:color w:val="000000"/>
        </w:rPr>
      </w:pPr>
      <w:r>
        <w:rPr>
          <w:color w:val="000000"/>
        </w:rPr>
        <w:t xml:space="preserve">Holland, P. W., &amp; Thayer, D. T. (1988). Differential item performance and the Mantel-Haenszel procedure. In H. </w:t>
      </w:r>
      <w:proofErr w:type="spellStart"/>
      <w:r>
        <w:rPr>
          <w:color w:val="000000"/>
        </w:rPr>
        <w:t>Wainer</w:t>
      </w:r>
      <w:proofErr w:type="spellEnd"/>
      <w:r>
        <w:rPr>
          <w:color w:val="000000"/>
        </w:rPr>
        <w:t xml:space="preserve">, and H. I. Brown (Eds.), </w:t>
      </w:r>
      <w:r>
        <w:rPr>
          <w:i/>
          <w:color w:val="000000"/>
        </w:rPr>
        <w:t xml:space="preserve">Test Validity </w:t>
      </w:r>
      <w:r>
        <w:rPr>
          <w:color w:val="000000"/>
        </w:rPr>
        <w:t xml:space="preserve">(pp. 129-145). Hillsdale, NJ: Lawrence Erlbaum Associates. </w:t>
      </w:r>
    </w:p>
    <w:p w14:paraId="4C466D27" w14:textId="77777777" w:rsidR="00EA40B7" w:rsidRDefault="006B39EF">
      <w:pPr>
        <w:pBdr>
          <w:top w:val="nil"/>
          <w:left w:val="nil"/>
          <w:bottom w:val="nil"/>
          <w:right w:val="nil"/>
          <w:between w:val="nil"/>
        </w:pBdr>
        <w:ind w:left="340" w:hanging="340"/>
        <w:rPr>
          <w:color w:val="000000"/>
          <w:highlight w:val="white"/>
        </w:rPr>
      </w:pPr>
      <w:proofErr w:type="spellStart"/>
      <w:r>
        <w:rPr>
          <w:color w:val="000000"/>
          <w:highlight w:val="white"/>
        </w:rPr>
        <w:t>Holzinger</w:t>
      </w:r>
      <w:proofErr w:type="spellEnd"/>
      <w:r>
        <w:rPr>
          <w:color w:val="000000"/>
          <w:highlight w:val="white"/>
        </w:rPr>
        <w:t xml:space="preserve">, K. J., &amp; </w:t>
      </w:r>
      <w:proofErr w:type="spellStart"/>
      <w:r>
        <w:rPr>
          <w:color w:val="000000"/>
          <w:highlight w:val="white"/>
        </w:rPr>
        <w:t>Swineford</w:t>
      </w:r>
      <w:proofErr w:type="spellEnd"/>
      <w:r>
        <w:rPr>
          <w:color w:val="000000"/>
          <w:highlight w:val="white"/>
        </w:rPr>
        <w:t>, F. (1937). The bi-factor method. </w:t>
      </w:r>
      <w:r>
        <w:rPr>
          <w:i/>
          <w:color w:val="000000"/>
          <w:highlight w:val="white"/>
        </w:rPr>
        <w:t>Psychometrika</w:t>
      </w:r>
      <w:r>
        <w:rPr>
          <w:color w:val="000000"/>
          <w:highlight w:val="white"/>
        </w:rPr>
        <w:t>, </w:t>
      </w:r>
      <w:r>
        <w:rPr>
          <w:i/>
          <w:color w:val="000000"/>
          <w:highlight w:val="white"/>
        </w:rPr>
        <w:t>2</w:t>
      </w:r>
      <w:r>
        <w:rPr>
          <w:color w:val="000000"/>
          <w:highlight w:val="white"/>
        </w:rPr>
        <w:t>(1), 41-54.</w:t>
      </w:r>
    </w:p>
    <w:p w14:paraId="44D64FA7" w14:textId="77777777" w:rsidR="00EA40B7" w:rsidRDefault="006B39EF">
      <w:pPr>
        <w:pBdr>
          <w:top w:val="nil"/>
          <w:left w:val="nil"/>
          <w:bottom w:val="nil"/>
          <w:right w:val="nil"/>
          <w:between w:val="nil"/>
        </w:pBdr>
        <w:ind w:left="340" w:hanging="340"/>
        <w:rPr>
          <w:color w:val="000000"/>
          <w:highlight w:val="white"/>
        </w:rPr>
      </w:pPr>
      <w:proofErr w:type="spellStart"/>
      <w:r>
        <w:rPr>
          <w:color w:val="000000"/>
          <w:highlight w:val="white"/>
        </w:rPr>
        <w:t>Jöreskog</w:t>
      </w:r>
      <w:proofErr w:type="spellEnd"/>
      <w:r>
        <w:rPr>
          <w:color w:val="000000"/>
          <w:highlight w:val="white"/>
        </w:rPr>
        <w:t>, K. G. (1969). A general approach to confirmatory maximum likelihood factor analysis. </w:t>
      </w:r>
      <w:r>
        <w:rPr>
          <w:i/>
          <w:color w:val="000000"/>
          <w:highlight w:val="white"/>
        </w:rPr>
        <w:t>Psychometrika</w:t>
      </w:r>
      <w:r>
        <w:rPr>
          <w:color w:val="000000"/>
          <w:highlight w:val="white"/>
        </w:rPr>
        <w:t>, </w:t>
      </w:r>
      <w:r>
        <w:rPr>
          <w:i/>
          <w:color w:val="000000"/>
          <w:highlight w:val="white"/>
        </w:rPr>
        <w:t>34</w:t>
      </w:r>
      <w:r>
        <w:rPr>
          <w:color w:val="000000"/>
          <w:highlight w:val="white"/>
        </w:rPr>
        <w:t>(2), 183-202.</w:t>
      </w:r>
    </w:p>
    <w:p w14:paraId="6CBA9561" w14:textId="77777777" w:rsidR="00EA40B7" w:rsidRDefault="006B39EF">
      <w:pPr>
        <w:pBdr>
          <w:top w:val="nil"/>
          <w:left w:val="nil"/>
          <w:bottom w:val="nil"/>
          <w:right w:val="nil"/>
          <w:between w:val="nil"/>
        </w:pBdr>
        <w:ind w:left="340" w:hanging="340"/>
        <w:rPr>
          <w:color w:val="000000"/>
          <w:highlight w:val="yellow"/>
        </w:rPr>
      </w:pPr>
      <w:r>
        <w:rPr>
          <w:color w:val="000000"/>
        </w:rPr>
        <w:t>Kang, T., &amp; Chen, T. T. (2008). Performance of the generalized S-X</w:t>
      </w:r>
      <w:r>
        <w:rPr>
          <w:color w:val="000000"/>
          <w:vertAlign w:val="superscript"/>
        </w:rPr>
        <w:t>2</w:t>
      </w:r>
      <w:r>
        <w:rPr>
          <w:color w:val="000000"/>
        </w:rPr>
        <w:t xml:space="preserve"> item fit index for polytomous IRT models. </w:t>
      </w:r>
      <w:r>
        <w:rPr>
          <w:i/>
          <w:color w:val="000000"/>
        </w:rPr>
        <w:t>Journal of Educational Measurement, 45</w:t>
      </w:r>
      <w:r>
        <w:rPr>
          <w:color w:val="000000"/>
        </w:rPr>
        <w:t>, 391-406.</w:t>
      </w:r>
      <w:r>
        <w:rPr>
          <w:color w:val="000000"/>
          <w:highlight w:val="yellow"/>
        </w:rPr>
        <w:t xml:space="preserve"> </w:t>
      </w:r>
    </w:p>
    <w:p w14:paraId="4D0190AA" w14:textId="77777777" w:rsidR="00EA40B7" w:rsidRDefault="006B39EF">
      <w:pPr>
        <w:pBdr>
          <w:top w:val="nil"/>
          <w:left w:val="nil"/>
          <w:bottom w:val="nil"/>
          <w:right w:val="nil"/>
          <w:between w:val="nil"/>
        </w:pBdr>
        <w:ind w:left="340" w:hanging="340"/>
        <w:rPr>
          <w:color w:val="000000"/>
        </w:rPr>
      </w:pPr>
      <w:proofErr w:type="spellStart"/>
      <w:r>
        <w:rPr>
          <w:color w:val="000000"/>
        </w:rPr>
        <w:t>Kamata</w:t>
      </w:r>
      <w:proofErr w:type="spellEnd"/>
      <w:r>
        <w:rPr>
          <w:color w:val="000000"/>
        </w:rPr>
        <w:t xml:space="preserve">, A., &amp; Bauer, D. J. (2008). A note on the relation between factor analytic and item response theory models. </w:t>
      </w:r>
      <w:r>
        <w:rPr>
          <w:i/>
          <w:color w:val="000000"/>
        </w:rPr>
        <w:t>Structural Equation Modeling: A Multidisciplinary Journal, 15</w:t>
      </w:r>
      <w:r>
        <w:rPr>
          <w:color w:val="000000"/>
        </w:rPr>
        <w:t xml:space="preserve">(1), 136-153. </w:t>
      </w:r>
    </w:p>
    <w:p w14:paraId="5017AF49" w14:textId="77777777" w:rsidR="00EA40B7" w:rsidRDefault="006B39EF">
      <w:pPr>
        <w:pBdr>
          <w:top w:val="nil"/>
          <w:left w:val="nil"/>
          <w:bottom w:val="nil"/>
          <w:right w:val="nil"/>
          <w:between w:val="nil"/>
        </w:pBdr>
        <w:ind w:left="340" w:hanging="340"/>
        <w:rPr>
          <w:color w:val="000000"/>
          <w:highlight w:val="white"/>
        </w:rPr>
      </w:pPr>
      <w:proofErr w:type="spellStart"/>
      <w:r>
        <w:rPr>
          <w:color w:val="000000"/>
          <w:highlight w:val="white"/>
        </w:rPr>
        <w:t>Kunina‐Habenicht</w:t>
      </w:r>
      <w:proofErr w:type="spellEnd"/>
      <w:r>
        <w:rPr>
          <w:color w:val="000000"/>
          <w:highlight w:val="white"/>
        </w:rPr>
        <w:t>, O., Rupp, A. A., &amp; Wilhelm, O. (2012). The impact of model misspecification on parameter estimation and item‐fit assessment in log‐linear diagnostic classification models. </w:t>
      </w:r>
      <w:r>
        <w:rPr>
          <w:i/>
          <w:color w:val="000000"/>
          <w:highlight w:val="white"/>
        </w:rPr>
        <w:t>Journal of Educational Measurement</w:t>
      </w:r>
      <w:r>
        <w:rPr>
          <w:color w:val="000000"/>
          <w:highlight w:val="white"/>
        </w:rPr>
        <w:t>, </w:t>
      </w:r>
      <w:r>
        <w:rPr>
          <w:i/>
          <w:color w:val="000000"/>
          <w:highlight w:val="white"/>
        </w:rPr>
        <w:t>49</w:t>
      </w:r>
      <w:r>
        <w:rPr>
          <w:color w:val="000000"/>
          <w:highlight w:val="white"/>
        </w:rPr>
        <w:t>(1), 59-81.</w:t>
      </w:r>
    </w:p>
    <w:p w14:paraId="37AC6214" w14:textId="77777777" w:rsidR="00EA40B7" w:rsidRDefault="006B39EF">
      <w:pPr>
        <w:pBdr>
          <w:top w:val="nil"/>
          <w:left w:val="nil"/>
          <w:bottom w:val="nil"/>
          <w:right w:val="nil"/>
          <w:between w:val="nil"/>
        </w:pBdr>
        <w:ind w:left="340" w:hanging="340"/>
        <w:rPr>
          <w:color w:val="000000"/>
        </w:rPr>
      </w:pPr>
      <w:r>
        <w:rPr>
          <w:color w:val="000000"/>
          <w:highlight w:val="white"/>
        </w:rPr>
        <w:t xml:space="preserve">Li, Y., Jiao, H., &amp; </w:t>
      </w:r>
      <w:proofErr w:type="spellStart"/>
      <w:r>
        <w:rPr>
          <w:color w:val="000000"/>
          <w:highlight w:val="white"/>
        </w:rPr>
        <w:t>Lissitz</w:t>
      </w:r>
      <w:proofErr w:type="spellEnd"/>
      <w:r>
        <w:rPr>
          <w:color w:val="000000"/>
          <w:highlight w:val="white"/>
        </w:rPr>
        <w:t>, R. W. (2012). Applying multidimensional item response theory models in validating test dimensionality: An example of K–12 large-scale science assessment. </w:t>
      </w:r>
      <w:r>
        <w:rPr>
          <w:i/>
          <w:color w:val="000000"/>
          <w:highlight w:val="white"/>
        </w:rPr>
        <w:t>Journal of Applied Testing Technology</w:t>
      </w:r>
      <w:r>
        <w:rPr>
          <w:color w:val="000000"/>
          <w:highlight w:val="white"/>
        </w:rPr>
        <w:t>, </w:t>
      </w:r>
      <w:r>
        <w:rPr>
          <w:i/>
          <w:color w:val="000000"/>
          <w:highlight w:val="white"/>
        </w:rPr>
        <w:t>13</w:t>
      </w:r>
      <w:r>
        <w:rPr>
          <w:color w:val="000000"/>
          <w:highlight w:val="white"/>
        </w:rPr>
        <w:t>(2).</w:t>
      </w:r>
    </w:p>
    <w:p w14:paraId="6B3B7BF2"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Lock, R. H., Lock, P.F., Lock Morgan, K., Lock, E.F., &amp; Lock, D.F. (2013). </w:t>
      </w:r>
      <w:r>
        <w:rPr>
          <w:i/>
          <w:color w:val="000000"/>
          <w:highlight w:val="white"/>
        </w:rPr>
        <w:t>Statistics: Unlocking the power of data</w:t>
      </w:r>
      <w:r>
        <w:rPr>
          <w:color w:val="000000"/>
          <w:highlight w:val="white"/>
        </w:rPr>
        <w:t>. Hoboken, NJ: Wiley.</w:t>
      </w:r>
    </w:p>
    <w:p w14:paraId="640ED538" w14:textId="77777777" w:rsidR="00EA40B7" w:rsidRDefault="006B39EF">
      <w:pPr>
        <w:pBdr>
          <w:top w:val="nil"/>
          <w:left w:val="nil"/>
          <w:bottom w:val="nil"/>
          <w:right w:val="nil"/>
          <w:between w:val="nil"/>
        </w:pBdr>
        <w:ind w:left="340" w:hanging="340"/>
        <w:rPr>
          <w:color w:val="000000"/>
        </w:rPr>
      </w:pPr>
      <w:proofErr w:type="spellStart"/>
      <w:r>
        <w:rPr>
          <w:color w:val="000000"/>
        </w:rPr>
        <w:t>Lyren</w:t>
      </w:r>
      <w:proofErr w:type="spellEnd"/>
      <w:r>
        <w:rPr>
          <w:color w:val="000000"/>
        </w:rPr>
        <w:t>, P. (2009). Reporting subscores for college admissions tests. Practical Assessment, Research, and Evaluation, 14, 1-10.</w:t>
      </w:r>
    </w:p>
    <w:p w14:paraId="2816AB2C" w14:textId="77777777" w:rsidR="00EA40B7" w:rsidRDefault="006B39EF">
      <w:pPr>
        <w:pBdr>
          <w:top w:val="nil"/>
          <w:left w:val="nil"/>
          <w:bottom w:val="nil"/>
          <w:right w:val="nil"/>
          <w:between w:val="nil"/>
        </w:pBdr>
        <w:ind w:left="340" w:hanging="340"/>
        <w:rPr>
          <w:color w:val="000000"/>
          <w:highlight w:val="white"/>
        </w:rPr>
      </w:pPr>
      <w:proofErr w:type="spellStart"/>
      <w:r>
        <w:rPr>
          <w:color w:val="000000"/>
          <w:highlight w:val="white"/>
        </w:rPr>
        <w:t>Maydeu</w:t>
      </w:r>
      <w:proofErr w:type="spellEnd"/>
      <w:r>
        <w:rPr>
          <w:color w:val="000000"/>
          <w:highlight w:val="white"/>
        </w:rPr>
        <w:t>-Olivares, A., Cai, L., &amp; Hernández, A. (2011). Comparing the fit of item response theory and factor analysis models. </w:t>
      </w:r>
      <w:r>
        <w:rPr>
          <w:i/>
          <w:color w:val="000000"/>
          <w:highlight w:val="white"/>
        </w:rPr>
        <w:t>Structural Equation Modeling: A Multidisciplinary Journal</w:t>
      </w:r>
      <w:r>
        <w:rPr>
          <w:color w:val="000000"/>
          <w:highlight w:val="white"/>
        </w:rPr>
        <w:t>, </w:t>
      </w:r>
      <w:r>
        <w:rPr>
          <w:i/>
          <w:color w:val="000000"/>
          <w:highlight w:val="white"/>
        </w:rPr>
        <w:t>18</w:t>
      </w:r>
      <w:r>
        <w:rPr>
          <w:color w:val="000000"/>
          <w:highlight w:val="white"/>
        </w:rPr>
        <w:t>(3), 333-356.</w:t>
      </w:r>
    </w:p>
    <w:p w14:paraId="08B18B0F" w14:textId="77777777" w:rsidR="00EA40B7" w:rsidRDefault="006B39EF">
      <w:pPr>
        <w:pBdr>
          <w:top w:val="nil"/>
          <w:left w:val="nil"/>
          <w:bottom w:val="nil"/>
          <w:right w:val="nil"/>
          <w:between w:val="nil"/>
        </w:pBdr>
        <w:ind w:left="340" w:hanging="340"/>
        <w:rPr>
          <w:color w:val="000000"/>
          <w:highlight w:val="white"/>
        </w:rPr>
      </w:pPr>
      <w:r>
        <w:rPr>
          <w:color w:val="000000"/>
        </w:rPr>
        <w:t xml:space="preserve">McKinley, R. L., &amp; Mills, C. N. (1985). A comparison of several goodness-of-fit statistics. </w:t>
      </w:r>
      <w:r>
        <w:rPr>
          <w:i/>
          <w:color w:val="000000"/>
        </w:rPr>
        <w:t>Applied Psychological Measurement, 9</w:t>
      </w:r>
      <w:r>
        <w:rPr>
          <w:color w:val="000000"/>
        </w:rPr>
        <w:t>, 49-57.</w:t>
      </w:r>
      <w:r>
        <w:rPr>
          <w:color w:val="000000"/>
          <w:highlight w:val="white"/>
        </w:rPr>
        <w:t xml:space="preserve"> </w:t>
      </w:r>
    </w:p>
    <w:p w14:paraId="1E306A49"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 xml:space="preserve">Meijer, R. R., </w:t>
      </w:r>
      <w:proofErr w:type="spellStart"/>
      <w:r>
        <w:rPr>
          <w:color w:val="000000"/>
          <w:highlight w:val="white"/>
        </w:rPr>
        <w:t>Boevé</w:t>
      </w:r>
      <w:proofErr w:type="spellEnd"/>
      <w:r>
        <w:rPr>
          <w:color w:val="000000"/>
          <w:highlight w:val="white"/>
        </w:rPr>
        <w:t xml:space="preserve">, A. J., </w:t>
      </w:r>
      <w:proofErr w:type="spellStart"/>
      <w:r>
        <w:rPr>
          <w:color w:val="000000"/>
          <w:highlight w:val="white"/>
        </w:rPr>
        <w:t>Tendeiro</w:t>
      </w:r>
      <w:proofErr w:type="spellEnd"/>
      <w:r>
        <w:rPr>
          <w:color w:val="000000"/>
          <w:highlight w:val="white"/>
        </w:rPr>
        <w:t xml:space="preserve">, J. N., Bosker, R. J., &amp; Albers, C. J. (2017). The use of subscores in higher education: When is this </w:t>
      </w:r>
      <w:proofErr w:type="gramStart"/>
      <w:r>
        <w:rPr>
          <w:color w:val="000000"/>
          <w:highlight w:val="white"/>
        </w:rPr>
        <w:t>useful?.</w:t>
      </w:r>
      <w:proofErr w:type="gramEnd"/>
      <w:r>
        <w:rPr>
          <w:color w:val="000000"/>
          <w:highlight w:val="white"/>
        </w:rPr>
        <w:t> </w:t>
      </w:r>
      <w:r>
        <w:rPr>
          <w:i/>
          <w:color w:val="000000"/>
          <w:highlight w:val="white"/>
        </w:rPr>
        <w:t>Frontiers in psychology</w:t>
      </w:r>
      <w:r>
        <w:rPr>
          <w:color w:val="000000"/>
          <w:highlight w:val="white"/>
        </w:rPr>
        <w:t>, </w:t>
      </w:r>
      <w:r>
        <w:rPr>
          <w:i/>
          <w:color w:val="000000"/>
          <w:highlight w:val="white"/>
        </w:rPr>
        <w:t>8</w:t>
      </w:r>
      <w:r>
        <w:rPr>
          <w:color w:val="000000"/>
          <w:highlight w:val="white"/>
        </w:rPr>
        <w:t>, 305.</w:t>
      </w:r>
    </w:p>
    <w:p w14:paraId="426A2FF6" w14:textId="77777777" w:rsidR="00EA40B7" w:rsidRDefault="006B39EF">
      <w:pPr>
        <w:pBdr>
          <w:top w:val="nil"/>
          <w:left w:val="nil"/>
          <w:bottom w:val="nil"/>
          <w:right w:val="nil"/>
          <w:between w:val="nil"/>
        </w:pBdr>
        <w:ind w:left="340" w:hanging="340"/>
        <w:rPr>
          <w:color w:val="000000"/>
          <w:highlight w:val="white"/>
        </w:rPr>
      </w:pPr>
      <w:proofErr w:type="spellStart"/>
      <w:r>
        <w:rPr>
          <w:color w:val="000000"/>
          <w:highlight w:val="white"/>
        </w:rPr>
        <w:t>Neyman</w:t>
      </w:r>
      <w:proofErr w:type="spellEnd"/>
      <w:r>
        <w:rPr>
          <w:color w:val="000000"/>
          <w:highlight w:val="white"/>
        </w:rPr>
        <w:t>, J., &amp; Pearson, E. S. (1933). On the problem of the most efficient tests of statistical hypotheses. </w:t>
      </w:r>
      <w:r>
        <w:rPr>
          <w:i/>
          <w:color w:val="000000"/>
          <w:highlight w:val="white"/>
        </w:rPr>
        <w:t>Philosophical Transactions of the Royal Society of London. Series A, Containing Papers of a Mathematical or Physical Character</w:t>
      </w:r>
      <w:r>
        <w:rPr>
          <w:color w:val="000000"/>
          <w:highlight w:val="white"/>
        </w:rPr>
        <w:t>, </w:t>
      </w:r>
      <w:r>
        <w:rPr>
          <w:i/>
          <w:color w:val="000000"/>
          <w:highlight w:val="white"/>
        </w:rPr>
        <w:t>231</w:t>
      </w:r>
      <w:r>
        <w:rPr>
          <w:color w:val="000000"/>
          <w:highlight w:val="white"/>
        </w:rPr>
        <w:t>(694-706), 289-337.</w:t>
      </w:r>
    </w:p>
    <w:p w14:paraId="7EBEC81B" w14:textId="77777777" w:rsidR="00EA40B7" w:rsidRDefault="006B39EF">
      <w:pPr>
        <w:pBdr>
          <w:top w:val="nil"/>
          <w:left w:val="nil"/>
          <w:bottom w:val="nil"/>
          <w:right w:val="nil"/>
          <w:between w:val="nil"/>
        </w:pBdr>
        <w:ind w:left="340" w:hanging="340"/>
        <w:rPr>
          <w:color w:val="000000"/>
          <w:highlight w:val="yellow"/>
        </w:rPr>
      </w:pPr>
      <w:r>
        <w:rPr>
          <w:color w:val="000000"/>
        </w:rPr>
        <w:t xml:space="preserve">Orlando, M., &amp; </w:t>
      </w:r>
      <w:proofErr w:type="spellStart"/>
      <w:r>
        <w:rPr>
          <w:color w:val="000000"/>
        </w:rPr>
        <w:t>Thissen</w:t>
      </w:r>
      <w:proofErr w:type="spellEnd"/>
      <w:r>
        <w:rPr>
          <w:color w:val="000000"/>
        </w:rPr>
        <w:t xml:space="preserve">, D. (2000). Likelihood-based item-fit indices for dichotomous item response theory models. </w:t>
      </w:r>
      <w:r>
        <w:rPr>
          <w:i/>
          <w:color w:val="000000"/>
        </w:rPr>
        <w:t>Applied Psychological Measurement, 24,</w:t>
      </w:r>
      <w:r>
        <w:rPr>
          <w:color w:val="000000"/>
        </w:rPr>
        <w:t xml:space="preserve"> 50-64.</w:t>
      </w:r>
      <w:r>
        <w:rPr>
          <w:color w:val="000000"/>
          <w:highlight w:val="yellow"/>
        </w:rPr>
        <w:t xml:space="preserve"> </w:t>
      </w:r>
    </w:p>
    <w:p w14:paraId="780FA88B" w14:textId="77777777" w:rsidR="00EA40B7" w:rsidRDefault="006B39EF">
      <w:pPr>
        <w:pBdr>
          <w:top w:val="nil"/>
          <w:left w:val="nil"/>
          <w:bottom w:val="nil"/>
          <w:right w:val="nil"/>
          <w:between w:val="nil"/>
        </w:pBdr>
        <w:ind w:left="340" w:hanging="340"/>
        <w:rPr>
          <w:color w:val="000000"/>
          <w:highlight w:val="yellow"/>
        </w:rPr>
      </w:pPr>
      <w:proofErr w:type="spellStart"/>
      <w:r>
        <w:rPr>
          <w:color w:val="000000"/>
        </w:rPr>
        <w:t>Reise</w:t>
      </w:r>
      <w:proofErr w:type="spellEnd"/>
      <w:r>
        <w:rPr>
          <w:color w:val="000000"/>
        </w:rPr>
        <w:t xml:space="preserve">, S. P. (2012). The rediscovery of bifactor measurement models. </w:t>
      </w:r>
      <w:r>
        <w:rPr>
          <w:i/>
          <w:color w:val="000000"/>
        </w:rPr>
        <w:t>Multivariate behavioral research, 47</w:t>
      </w:r>
      <w:r>
        <w:rPr>
          <w:color w:val="000000"/>
        </w:rPr>
        <w:t>(5), 667-696.</w:t>
      </w:r>
    </w:p>
    <w:p w14:paraId="0BC1DCB4" w14:textId="77777777" w:rsidR="00EA40B7" w:rsidRDefault="006B39EF">
      <w:pPr>
        <w:pBdr>
          <w:top w:val="nil"/>
          <w:left w:val="nil"/>
          <w:bottom w:val="nil"/>
          <w:right w:val="nil"/>
          <w:between w:val="nil"/>
        </w:pBdr>
        <w:ind w:left="340" w:hanging="340"/>
        <w:rPr>
          <w:color w:val="000000"/>
          <w:highlight w:val="white"/>
        </w:rPr>
      </w:pPr>
      <w:proofErr w:type="spellStart"/>
      <w:r>
        <w:rPr>
          <w:color w:val="000000"/>
          <w:highlight w:val="white"/>
        </w:rPr>
        <w:lastRenderedPageBreak/>
        <w:t>Reise</w:t>
      </w:r>
      <w:proofErr w:type="spellEnd"/>
      <w:r>
        <w:rPr>
          <w:color w:val="000000"/>
          <w:highlight w:val="white"/>
        </w:rPr>
        <w:t>, S. P., Moore, T. M., &amp; Haviland, M. G. (2010). Bifactor models and rotations: Exploring the extent to which multidimensional data yield univocal scale scores. </w:t>
      </w:r>
      <w:r>
        <w:rPr>
          <w:i/>
          <w:color w:val="000000"/>
          <w:highlight w:val="white"/>
        </w:rPr>
        <w:t>Journal of personality assessment</w:t>
      </w:r>
      <w:r>
        <w:rPr>
          <w:color w:val="000000"/>
          <w:highlight w:val="white"/>
        </w:rPr>
        <w:t>, </w:t>
      </w:r>
      <w:r>
        <w:rPr>
          <w:i/>
          <w:color w:val="000000"/>
          <w:highlight w:val="white"/>
        </w:rPr>
        <w:t>92</w:t>
      </w:r>
      <w:r>
        <w:rPr>
          <w:color w:val="000000"/>
          <w:highlight w:val="white"/>
        </w:rPr>
        <w:t>(6), 544-559.</w:t>
      </w:r>
    </w:p>
    <w:p w14:paraId="273C90C7" w14:textId="77777777" w:rsidR="00EA40B7" w:rsidRDefault="006B39EF">
      <w:pPr>
        <w:pBdr>
          <w:top w:val="nil"/>
          <w:left w:val="nil"/>
          <w:bottom w:val="nil"/>
          <w:right w:val="nil"/>
          <w:between w:val="nil"/>
        </w:pBdr>
        <w:ind w:left="340" w:hanging="340"/>
        <w:rPr>
          <w:color w:val="000000"/>
        </w:rPr>
      </w:pPr>
      <w:proofErr w:type="spellStart"/>
      <w:r>
        <w:rPr>
          <w:color w:val="000000"/>
        </w:rPr>
        <w:t>Sabbag</w:t>
      </w:r>
      <w:proofErr w:type="spellEnd"/>
      <w:r>
        <w:rPr>
          <w:color w:val="000000"/>
        </w:rPr>
        <w:t xml:space="preserve">, A. G. (2016). </w:t>
      </w:r>
      <w:r>
        <w:rPr>
          <w:i/>
          <w:color w:val="000000"/>
        </w:rPr>
        <w:t>Examining the relationship between statistical literacy and statistical reasoning</w:t>
      </w:r>
      <w:r>
        <w:rPr>
          <w:color w:val="000000"/>
        </w:rPr>
        <w:t>. (Doctoral dissertation, University of Minnesota, 2016). Retrieved from the International Association for Statistical Education.</w:t>
      </w:r>
    </w:p>
    <w:p w14:paraId="598ADC49" w14:textId="77777777" w:rsidR="00EA40B7" w:rsidRDefault="006B39EF">
      <w:pPr>
        <w:pBdr>
          <w:top w:val="nil"/>
          <w:left w:val="nil"/>
          <w:bottom w:val="nil"/>
          <w:right w:val="nil"/>
          <w:between w:val="nil"/>
        </w:pBdr>
        <w:ind w:left="340" w:hanging="340"/>
        <w:rPr>
          <w:color w:val="000000"/>
        </w:rPr>
      </w:pPr>
      <w:proofErr w:type="spellStart"/>
      <w:r>
        <w:rPr>
          <w:color w:val="000000"/>
        </w:rPr>
        <w:t>Samejima</w:t>
      </w:r>
      <w:proofErr w:type="spellEnd"/>
      <w:r>
        <w:rPr>
          <w:color w:val="000000"/>
        </w:rPr>
        <w:t xml:space="preserve">, F. (1969). Estimation of latent ability using a response pattern of graded scores. </w:t>
      </w:r>
      <w:r>
        <w:rPr>
          <w:i/>
          <w:color w:val="000000"/>
        </w:rPr>
        <w:t>Psychometrika Monograph Supplement</w:t>
      </w:r>
      <w:r>
        <w:rPr>
          <w:color w:val="000000"/>
        </w:rPr>
        <w:t>, No. 17.</w:t>
      </w:r>
    </w:p>
    <w:p w14:paraId="3F31CCFD"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 xml:space="preserve">Schmid, J., &amp; </w:t>
      </w:r>
      <w:proofErr w:type="spellStart"/>
      <w:r>
        <w:rPr>
          <w:color w:val="000000"/>
          <w:highlight w:val="white"/>
        </w:rPr>
        <w:t>Leiman</w:t>
      </w:r>
      <w:proofErr w:type="spellEnd"/>
      <w:r>
        <w:rPr>
          <w:color w:val="000000"/>
          <w:highlight w:val="white"/>
        </w:rPr>
        <w:t>, J. M. (1957). The development of hierarchical factor solutions. </w:t>
      </w:r>
      <w:r>
        <w:rPr>
          <w:i/>
          <w:color w:val="000000"/>
          <w:highlight w:val="white"/>
        </w:rPr>
        <w:t>Psychometrika, 22</w:t>
      </w:r>
      <w:r>
        <w:rPr>
          <w:color w:val="000000"/>
          <w:highlight w:val="white"/>
        </w:rPr>
        <w:t xml:space="preserve">(1), 53-61. </w:t>
      </w:r>
    </w:p>
    <w:p w14:paraId="7491D209"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Schwarz, G. (1978). Estimating the dimension of a model. </w:t>
      </w:r>
      <w:r>
        <w:rPr>
          <w:i/>
          <w:color w:val="000000"/>
          <w:highlight w:val="white"/>
        </w:rPr>
        <w:t>The annals of statistics</w:t>
      </w:r>
      <w:r>
        <w:rPr>
          <w:color w:val="000000"/>
          <w:highlight w:val="white"/>
        </w:rPr>
        <w:t>, </w:t>
      </w:r>
      <w:r>
        <w:rPr>
          <w:i/>
          <w:color w:val="000000"/>
          <w:highlight w:val="white"/>
        </w:rPr>
        <w:t>6</w:t>
      </w:r>
      <w:r>
        <w:rPr>
          <w:color w:val="000000"/>
          <w:highlight w:val="white"/>
        </w:rPr>
        <w:t>(2), 461-464.</w:t>
      </w:r>
    </w:p>
    <w:p w14:paraId="19339217" w14:textId="77777777" w:rsidR="00EA40B7" w:rsidRDefault="006B39EF">
      <w:pPr>
        <w:pBdr>
          <w:top w:val="nil"/>
          <w:left w:val="nil"/>
          <w:bottom w:val="nil"/>
          <w:right w:val="nil"/>
          <w:between w:val="nil"/>
        </w:pBdr>
        <w:ind w:left="340" w:hanging="340"/>
        <w:rPr>
          <w:color w:val="000000"/>
          <w:highlight w:val="white"/>
        </w:rPr>
      </w:pPr>
      <w:proofErr w:type="spellStart"/>
      <w:r>
        <w:rPr>
          <w:color w:val="000000"/>
          <w:highlight w:val="white"/>
        </w:rPr>
        <w:t>Sinharay</w:t>
      </w:r>
      <w:proofErr w:type="spellEnd"/>
      <w:r>
        <w:rPr>
          <w:color w:val="000000"/>
          <w:highlight w:val="white"/>
        </w:rPr>
        <w:t>, S. (2010). How often do subscores have added value? Results from operational and simulated data. </w:t>
      </w:r>
      <w:r>
        <w:rPr>
          <w:i/>
          <w:color w:val="000000"/>
          <w:highlight w:val="white"/>
        </w:rPr>
        <w:t>Journal of Educational Measurement</w:t>
      </w:r>
      <w:r>
        <w:rPr>
          <w:color w:val="000000"/>
          <w:highlight w:val="white"/>
        </w:rPr>
        <w:t>, </w:t>
      </w:r>
      <w:r>
        <w:rPr>
          <w:i/>
          <w:color w:val="000000"/>
          <w:highlight w:val="white"/>
        </w:rPr>
        <w:t>47</w:t>
      </w:r>
      <w:r>
        <w:rPr>
          <w:color w:val="000000"/>
          <w:highlight w:val="white"/>
        </w:rPr>
        <w:t>(2), 150-174.</w:t>
      </w:r>
    </w:p>
    <w:p w14:paraId="6A7848B5" w14:textId="77777777" w:rsidR="00EA40B7" w:rsidRDefault="006B39EF">
      <w:pPr>
        <w:pBdr>
          <w:top w:val="nil"/>
          <w:left w:val="nil"/>
          <w:bottom w:val="nil"/>
          <w:right w:val="nil"/>
          <w:between w:val="nil"/>
        </w:pBdr>
        <w:ind w:left="340" w:hanging="340"/>
        <w:rPr>
          <w:color w:val="000000"/>
          <w:highlight w:val="white"/>
        </w:rPr>
      </w:pPr>
      <w:proofErr w:type="spellStart"/>
      <w:r>
        <w:rPr>
          <w:color w:val="000000"/>
          <w:highlight w:val="white"/>
        </w:rPr>
        <w:t>Sinharay</w:t>
      </w:r>
      <w:proofErr w:type="spellEnd"/>
      <w:r>
        <w:rPr>
          <w:color w:val="000000"/>
          <w:highlight w:val="white"/>
        </w:rPr>
        <w:t xml:space="preserve">, S., Haberman, S.J., &amp; </w:t>
      </w:r>
      <w:proofErr w:type="spellStart"/>
      <w:r>
        <w:rPr>
          <w:color w:val="000000"/>
          <w:highlight w:val="white"/>
        </w:rPr>
        <w:t>Puhan</w:t>
      </w:r>
      <w:proofErr w:type="spellEnd"/>
      <w:r>
        <w:rPr>
          <w:color w:val="000000"/>
          <w:highlight w:val="white"/>
        </w:rPr>
        <w:t>, G. (2007). Subscores based on classical test theory: To report or not to report. </w:t>
      </w:r>
      <w:r>
        <w:rPr>
          <w:i/>
          <w:color w:val="000000"/>
          <w:highlight w:val="white"/>
        </w:rPr>
        <w:t>Educational Measurement: Issues and Practice</w:t>
      </w:r>
      <w:r>
        <w:rPr>
          <w:color w:val="000000"/>
          <w:highlight w:val="white"/>
        </w:rPr>
        <w:t>, </w:t>
      </w:r>
      <w:r>
        <w:rPr>
          <w:i/>
          <w:color w:val="000000"/>
          <w:highlight w:val="white"/>
        </w:rPr>
        <w:t>26</w:t>
      </w:r>
      <w:r>
        <w:rPr>
          <w:color w:val="000000"/>
          <w:highlight w:val="white"/>
        </w:rPr>
        <w:t>(4), 21-28.</w:t>
      </w:r>
    </w:p>
    <w:p w14:paraId="238A251E"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Spearman, C. (1904). " General Intelligence," objectively determined and measured. </w:t>
      </w:r>
      <w:r>
        <w:rPr>
          <w:i/>
          <w:color w:val="000000"/>
          <w:highlight w:val="white"/>
        </w:rPr>
        <w:t>The American Journal of Psychology</w:t>
      </w:r>
      <w:r>
        <w:rPr>
          <w:color w:val="000000"/>
          <w:highlight w:val="white"/>
        </w:rPr>
        <w:t>, </w:t>
      </w:r>
      <w:r>
        <w:rPr>
          <w:i/>
          <w:color w:val="000000"/>
          <w:highlight w:val="white"/>
        </w:rPr>
        <w:t>15</w:t>
      </w:r>
      <w:r>
        <w:rPr>
          <w:color w:val="000000"/>
          <w:highlight w:val="white"/>
        </w:rPr>
        <w:t>(2), 201-292.</w:t>
      </w:r>
    </w:p>
    <w:p w14:paraId="05BEAFD1"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Thurstone, L. L. (1931). Multiple factor analysis. </w:t>
      </w:r>
      <w:r>
        <w:rPr>
          <w:i/>
          <w:color w:val="000000"/>
          <w:highlight w:val="white"/>
        </w:rPr>
        <w:t>Psychological Review, 38</w:t>
      </w:r>
      <w:r>
        <w:rPr>
          <w:color w:val="000000"/>
          <w:highlight w:val="white"/>
        </w:rPr>
        <w:t>(5), 406-427.</w:t>
      </w:r>
    </w:p>
    <w:p w14:paraId="7F6B9613" w14:textId="77777777" w:rsidR="00EA40B7" w:rsidRDefault="006B39EF">
      <w:pPr>
        <w:pBdr>
          <w:top w:val="nil"/>
          <w:left w:val="nil"/>
          <w:bottom w:val="nil"/>
          <w:right w:val="nil"/>
          <w:between w:val="nil"/>
        </w:pBdr>
        <w:ind w:left="340" w:hanging="340"/>
        <w:rPr>
          <w:color w:val="000000"/>
        </w:rPr>
      </w:pPr>
      <w:proofErr w:type="spellStart"/>
      <w:r>
        <w:rPr>
          <w:color w:val="000000"/>
        </w:rPr>
        <w:t>Tintle</w:t>
      </w:r>
      <w:proofErr w:type="spellEnd"/>
      <w:r>
        <w:rPr>
          <w:color w:val="000000"/>
        </w:rPr>
        <w:t xml:space="preserve">, N.L., Chance, B., Cobb, G., Rossman, A., Roy, S., Swanson, T., &amp; </w:t>
      </w:r>
      <w:proofErr w:type="spellStart"/>
      <w:r>
        <w:rPr>
          <w:color w:val="000000"/>
        </w:rPr>
        <w:t>VanderStoep</w:t>
      </w:r>
      <w:proofErr w:type="spellEnd"/>
      <w:r>
        <w:rPr>
          <w:color w:val="000000"/>
        </w:rPr>
        <w:t xml:space="preserve">, J. (2015). </w:t>
      </w:r>
      <w:r>
        <w:rPr>
          <w:i/>
          <w:color w:val="000000"/>
        </w:rPr>
        <w:t>Introduction to statistical investigations.</w:t>
      </w:r>
      <w:r>
        <w:rPr>
          <w:color w:val="000000"/>
        </w:rPr>
        <w:t xml:space="preserve"> New York: Wiley.</w:t>
      </w:r>
    </w:p>
    <w:p w14:paraId="5D695D19" w14:textId="77777777" w:rsidR="00EA40B7" w:rsidRDefault="006B39EF">
      <w:pPr>
        <w:pBdr>
          <w:top w:val="nil"/>
          <w:left w:val="nil"/>
          <w:bottom w:val="nil"/>
          <w:right w:val="nil"/>
          <w:between w:val="nil"/>
        </w:pBdr>
        <w:ind w:left="340" w:hanging="340"/>
        <w:rPr>
          <w:i/>
          <w:color w:val="000000"/>
        </w:rPr>
      </w:pPr>
      <w:proofErr w:type="spellStart"/>
      <w:r>
        <w:rPr>
          <w:color w:val="000000"/>
        </w:rPr>
        <w:t>Tintle</w:t>
      </w:r>
      <w:proofErr w:type="spellEnd"/>
      <w:r>
        <w:rPr>
          <w:color w:val="000000"/>
        </w:rPr>
        <w:t xml:space="preserve">, N.L., Rogers, A., Chance, B., Cobb, G., Rossman, A. (2014). Quantitative evidence for the use of simulation and randomization in the introductory statistics course. In K. Makar, B. de Sousa, &amp; R. Gould (Eds.), </w:t>
      </w:r>
      <w:r>
        <w:rPr>
          <w:i/>
          <w:color w:val="000000"/>
        </w:rPr>
        <w:t>Sustainability in statistics education. Proceedings of the Ninth International Conference on Teaching Statistics, Flagstaff, Arizona, USA</w:t>
      </w:r>
      <w:r>
        <w:rPr>
          <w:color w:val="000000"/>
        </w:rPr>
        <w:t xml:space="preserve">. </w:t>
      </w:r>
      <w:proofErr w:type="spellStart"/>
      <w:r>
        <w:rPr>
          <w:color w:val="000000"/>
        </w:rPr>
        <w:t>Voorburg</w:t>
      </w:r>
      <w:proofErr w:type="spellEnd"/>
      <w:r>
        <w:rPr>
          <w:color w:val="000000"/>
        </w:rPr>
        <w:t>, The Netherlands: International Statistical Institute</w:t>
      </w:r>
      <w:r>
        <w:rPr>
          <w:i/>
          <w:color w:val="000000"/>
        </w:rPr>
        <w:t>.</w:t>
      </w:r>
    </w:p>
    <w:p w14:paraId="2E256E36" w14:textId="77777777" w:rsidR="00EA40B7" w:rsidRDefault="006B39EF">
      <w:pPr>
        <w:pBdr>
          <w:top w:val="nil"/>
          <w:left w:val="nil"/>
          <w:bottom w:val="nil"/>
          <w:right w:val="nil"/>
          <w:between w:val="nil"/>
        </w:pBdr>
        <w:ind w:left="340" w:hanging="340"/>
        <w:rPr>
          <w:color w:val="000000"/>
        </w:rPr>
      </w:pPr>
      <w:proofErr w:type="spellStart"/>
      <w:r>
        <w:rPr>
          <w:color w:val="000000"/>
        </w:rPr>
        <w:t>Tintle</w:t>
      </w:r>
      <w:proofErr w:type="spellEnd"/>
      <w:r>
        <w:rPr>
          <w:color w:val="000000"/>
        </w:rPr>
        <w:t xml:space="preserve">, N. L., </w:t>
      </w:r>
      <w:proofErr w:type="spellStart"/>
      <w:r>
        <w:rPr>
          <w:color w:val="000000"/>
        </w:rPr>
        <w:t>Topliff</w:t>
      </w:r>
      <w:proofErr w:type="spellEnd"/>
      <w:r>
        <w:rPr>
          <w:color w:val="000000"/>
        </w:rPr>
        <w:t xml:space="preserve">, K., </w:t>
      </w:r>
      <w:proofErr w:type="spellStart"/>
      <w:r>
        <w:rPr>
          <w:color w:val="000000"/>
        </w:rPr>
        <w:t>VanderStoep</w:t>
      </w:r>
      <w:proofErr w:type="spellEnd"/>
      <w:r>
        <w:rPr>
          <w:color w:val="000000"/>
        </w:rPr>
        <w:t xml:space="preserve">, J., Holmes, V. L., &amp; Swanson, T. (2012). Retention of statistical concepts in a preliminary randomization-based introductory statistics curriculum. </w:t>
      </w:r>
      <w:r>
        <w:rPr>
          <w:i/>
          <w:color w:val="000000"/>
        </w:rPr>
        <w:t>Statistics Education Research Journal, 11</w:t>
      </w:r>
      <w:r>
        <w:rPr>
          <w:color w:val="000000"/>
        </w:rPr>
        <w:t xml:space="preserve">(1), 21-40. </w:t>
      </w:r>
    </w:p>
    <w:p w14:paraId="6D01D732" w14:textId="77777777" w:rsidR="00EA40B7" w:rsidRDefault="006B39EF">
      <w:pPr>
        <w:pBdr>
          <w:top w:val="nil"/>
          <w:left w:val="nil"/>
          <w:bottom w:val="nil"/>
          <w:right w:val="nil"/>
          <w:between w:val="nil"/>
        </w:pBdr>
        <w:ind w:left="340" w:hanging="340"/>
        <w:rPr>
          <w:color w:val="000000"/>
        </w:rPr>
      </w:pPr>
      <w:proofErr w:type="spellStart"/>
      <w:r>
        <w:rPr>
          <w:color w:val="000000"/>
        </w:rPr>
        <w:t>Tintle</w:t>
      </w:r>
      <w:proofErr w:type="spellEnd"/>
      <w:r>
        <w:rPr>
          <w:color w:val="000000"/>
        </w:rPr>
        <w:t xml:space="preserve">, N. L., </w:t>
      </w:r>
      <w:proofErr w:type="spellStart"/>
      <w:r>
        <w:rPr>
          <w:color w:val="000000"/>
        </w:rPr>
        <w:t>VanderStoep</w:t>
      </w:r>
      <w:proofErr w:type="spellEnd"/>
      <w:r>
        <w:rPr>
          <w:color w:val="000000"/>
        </w:rPr>
        <w:t xml:space="preserve">, J., Holmes, V. L., </w:t>
      </w:r>
      <w:proofErr w:type="spellStart"/>
      <w:r>
        <w:rPr>
          <w:color w:val="000000"/>
        </w:rPr>
        <w:t>Quisenberry</w:t>
      </w:r>
      <w:proofErr w:type="spellEnd"/>
      <w:r>
        <w:rPr>
          <w:color w:val="000000"/>
        </w:rPr>
        <w:t xml:space="preserve">, B., &amp; Swanson, T. (2011). Development and assessment of a preliminary randomization-based introductory statistics curriculum. </w:t>
      </w:r>
      <w:r>
        <w:rPr>
          <w:i/>
          <w:color w:val="000000"/>
        </w:rPr>
        <w:t>Journal of Statistics Education, 19</w:t>
      </w:r>
      <w:r>
        <w:rPr>
          <w:color w:val="000000"/>
        </w:rPr>
        <w:t xml:space="preserve">(1). </w:t>
      </w:r>
    </w:p>
    <w:p w14:paraId="7AA9813C" w14:textId="77777777" w:rsidR="00EA40B7" w:rsidRDefault="006B39EF">
      <w:pPr>
        <w:pBdr>
          <w:top w:val="nil"/>
          <w:left w:val="nil"/>
          <w:bottom w:val="nil"/>
          <w:right w:val="nil"/>
          <w:between w:val="nil"/>
        </w:pBdr>
        <w:ind w:left="340" w:hanging="340"/>
        <w:rPr>
          <w:color w:val="000000"/>
          <w:highlight w:val="white"/>
        </w:rPr>
      </w:pPr>
      <w:r>
        <w:rPr>
          <w:color w:val="000000"/>
          <w:highlight w:val="white"/>
        </w:rPr>
        <w:t xml:space="preserve">von </w:t>
      </w:r>
      <w:proofErr w:type="spellStart"/>
      <w:r>
        <w:rPr>
          <w:color w:val="000000"/>
          <w:highlight w:val="white"/>
        </w:rPr>
        <w:t>Davier</w:t>
      </w:r>
      <w:proofErr w:type="spellEnd"/>
      <w:r>
        <w:rPr>
          <w:color w:val="000000"/>
          <w:highlight w:val="white"/>
        </w:rPr>
        <w:t>, M. (2008). A general diagnostic model applied to language testing data. </w:t>
      </w:r>
      <w:r>
        <w:rPr>
          <w:i/>
          <w:color w:val="000000"/>
          <w:highlight w:val="white"/>
        </w:rPr>
        <w:t>British Journal of Mathematical and Statistical Psychology</w:t>
      </w:r>
      <w:r>
        <w:rPr>
          <w:color w:val="000000"/>
          <w:highlight w:val="white"/>
        </w:rPr>
        <w:t>, </w:t>
      </w:r>
      <w:r>
        <w:rPr>
          <w:i/>
          <w:color w:val="000000"/>
          <w:highlight w:val="white"/>
        </w:rPr>
        <w:t>61</w:t>
      </w:r>
      <w:r>
        <w:rPr>
          <w:color w:val="000000"/>
          <w:highlight w:val="white"/>
        </w:rPr>
        <w:t>(2), 287-307.</w:t>
      </w:r>
    </w:p>
    <w:p w14:paraId="53CFE68A" w14:textId="77777777" w:rsidR="00EA40B7" w:rsidRDefault="006B39EF">
      <w:pPr>
        <w:pBdr>
          <w:top w:val="nil"/>
          <w:left w:val="nil"/>
          <w:bottom w:val="nil"/>
          <w:right w:val="nil"/>
          <w:between w:val="nil"/>
        </w:pBdr>
        <w:ind w:left="340" w:hanging="340"/>
      </w:pPr>
      <w:proofErr w:type="spellStart"/>
      <w:r>
        <w:t>Vrieze</w:t>
      </w:r>
      <w:proofErr w:type="spellEnd"/>
      <w:r>
        <w:t xml:space="preserve">, S. I. (2012). Model selection and psychological theory: a discussion of the differences between the Akaike information criterion (AIC) and the Bayesian information criterion (BIC). </w:t>
      </w:r>
      <w:r>
        <w:rPr>
          <w:i/>
        </w:rPr>
        <w:t>Psychological methods, 17</w:t>
      </w:r>
      <w:r>
        <w:t>(2), 228-243.</w:t>
      </w:r>
    </w:p>
    <w:p w14:paraId="69CC0CD4" w14:textId="77777777" w:rsidR="00EA40B7" w:rsidRDefault="006B39EF">
      <w:pPr>
        <w:pBdr>
          <w:top w:val="nil"/>
          <w:left w:val="nil"/>
          <w:bottom w:val="nil"/>
          <w:right w:val="nil"/>
          <w:between w:val="nil"/>
        </w:pBdr>
        <w:ind w:left="340" w:hanging="340"/>
        <w:rPr>
          <w:color w:val="000000"/>
        </w:rPr>
      </w:pPr>
      <w:proofErr w:type="spellStart"/>
      <w:r>
        <w:rPr>
          <w:color w:val="000000"/>
        </w:rPr>
        <w:t>Wainer</w:t>
      </w:r>
      <w:proofErr w:type="spellEnd"/>
      <w:r>
        <w:rPr>
          <w:color w:val="000000"/>
        </w:rPr>
        <w:t xml:space="preserve">, H., Bradlow, E. T., &amp; Wang, X. (2007). </w:t>
      </w:r>
      <w:r>
        <w:rPr>
          <w:i/>
          <w:color w:val="000000"/>
        </w:rPr>
        <w:t>Testlet response theory and its applications</w:t>
      </w:r>
      <w:r>
        <w:rPr>
          <w:color w:val="000000"/>
        </w:rPr>
        <w:t>. Cambridge: Cambridge University Press.</w:t>
      </w:r>
    </w:p>
    <w:p w14:paraId="541512E8" w14:textId="2B5CE48C" w:rsidR="00EA40B7" w:rsidRDefault="006B39EF">
      <w:pPr>
        <w:pBdr>
          <w:top w:val="nil"/>
          <w:left w:val="nil"/>
          <w:bottom w:val="nil"/>
          <w:right w:val="nil"/>
          <w:between w:val="nil"/>
        </w:pBdr>
        <w:ind w:left="340" w:hanging="340"/>
        <w:rPr>
          <w:color w:val="000000"/>
          <w:highlight w:val="white"/>
        </w:rPr>
      </w:pPr>
      <w:r>
        <w:rPr>
          <w:color w:val="000000"/>
          <w:highlight w:val="white"/>
        </w:rPr>
        <w:t>Waller, N. G. (2018). Direct Schmid–</w:t>
      </w:r>
      <w:proofErr w:type="spellStart"/>
      <w:r>
        <w:rPr>
          <w:color w:val="000000"/>
          <w:highlight w:val="white"/>
        </w:rPr>
        <w:t>Leiman</w:t>
      </w:r>
      <w:proofErr w:type="spellEnd"/>
      <w:r>
        <w:rPr>
          <w:color w:val="000000"/>
          <w:highlight w:val="white"/>
        </w:rPr>
        <w:t xml:space="preserve"> Transformations and Rank-Deficient Loadings Matrices. </w:t>
      </w:r>
      <w:r>
        <w:rPr>
          <w:i/>
          <w:color w:val="000000"/>
          <w:highlight w:val="white"/>
        </w:rPr>
        <w:t>Psychometrika</w:t>
      </w:r>
      <w:r>
        <w:rPr>
          <w:color w:val="000000"/>
          <w:highlight w:val="white"/>
        </w:rPr>
        <w:t>, </w:t>
      </w:r>
      <w:r>
        <w:rPr>
          <w:i/>
          <w:color w:val="000000"/>
          <w:highlight w:val="white"/>
        </w:rPr>
        <w:t>83</w:t>
      </w:r>
      <w:r>
        <w:rPr>
          <w:color w:val="000000"/>
          <w:highlight w:val="white"/>
        </w:rPr>
        <w:t>(4), 858-870.</w:t>
      </w:r>
    </w:p>
    <w:sectPr w:rsidR="00EA40B7">
      <w:headerReference w:type="default" r:id="rId7"/>
      <w:footerReference w:type="default" r:id="rId8"/>
      <w:pgSz w:w="11899" w:h="16838"/>
      <w:pgMar w:top="1987" w:right="1987" w:bottom="1987" w:left="1987"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58668" w14:textId="77777777" w:rsidR="00256F28" w:rsidRDefault="00256F28">
      <w:r>
        <w:separator/>
      </w:r>
    </w:p>
  </w:endnote>
  <w:endnote w:type="continuationSeparator" w:id="0">
    <w:p w14:paraId="7B290B24" w14:textId="77777777" w:rsidR="00256F28" w:rsidRDefault="0025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A6F20" w14:textId="77777777" w:rsidR="008C1DE0" w:rsidRDefault="008C1DE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9F5F2B2" w14:textId="77777777" w:rsidR="008C1DE0" w:rsidRDefault="008C1DE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1165B" w14:textId="77777777" w:rsidR="00256F28" w:rsidRDefault="00256F28">
      <w:r>
        <w:separator/>
      </w:r>
    </w:p>
  </w:footnote>
  <w:footnote w:type="continuationSeparator" w:id="0">
    <w:p w14:paraId="28614B56" w14:textId="77777777" w:rsidR="00256F28" w:rsidRDefault="00256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B1C79" w14:textId="77777777" w:rsidR="008C1DE0" w:rsidRDefault="008C1DE0">
    <w:pPr>
      <w:pBdr>
        <w:top w:val="nil"/>
        <w:left w:val="nil"/>
        <w:bottom w:val="nil"/>
        <w:right w:val="nil"/>
        <w:between w:val="nil"/>
      </w:pBdr>
      <w:tabs>
        <w:tab w:val="center" w:pos="4680"/>
        <w:tab w:val="right" w:pos="9360"/>
      </w:tabs>
      <w:jc w:val="right"/>
      <w:rPr>
        <w:color w:val="000000"/>
      </w:rPr>
    </w:pPr>
  </w:p>
  <w:p w14:paraId="7F000A45" w14:textId="77777777" w:rsidR="008C1DE0" w:rsidRDefault="008C1D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77B3A"/>
    <w:multiLevelType w:val="multilevel"/>
    <w:tmpl w:val="57DAE0C2"/>
    <w:lvl w:ilvl="0">
      <w:start w:val="1"/>
      <w:numFmt w:val="decimal"/>
      <w:lvlText w:val="%1."/>
      <w:lvlJc w:val="left"/>
      <w:pPr>
        <w:ind w:left="340" w:hanging="340"/>
      </w:pPr>
      <w:rPr>
        <w:rFonts w:ascii="Arial" w:eastAsia="Arial" w:hAnsi="Arial" w:cs="Arial"/>
        <w:b/>
      </w:rPr>
    </w:lvl>
    <w:lvl w:ilvl="1">
      <w:start w:val="1"/>
      <w:numFmt w:val="decimal"/>
      <w:lvlText w:val="%1.%2."/>
      <w:lvlJc w:val="left"/>
      <w:pPr>
        <w:ind w:left="340" w:hanging="34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720" w:hanging="720"/>
      </w:pPr>
      <w:rPr>
        <w:b/>
      </w:rPr>
    </w:lvl>
    <w:lvl w:ilvl="5">
      <w:start w:val="1"/>
      <w:numFmt w:val="decimal"/>
      <w:lvlText w:val="%1.%2.%3.%4.%5.%6"/>
      <w:lvlJc w:val="left"/>
      <w:pPr>
        <w:ind w:left="1080" w:hanging="1080"/>
      </w:pPr>
      <w:rPr>
        <w:b/>
      </w:rPr>
    </w:lvl>
    <w:lvl w:ilvl="6">
      <w:start w:val="1"/>
      <w:numFmt w:val="decimal"/>
      <w:lvlText w:val="%1.%2.%3.%4.%5.%6.%7"/>
      <w:lvlJc w:val="left"/>
      <w:pPr>
        <w:ind w:left="1080" w:hanging="108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B7"/>
    <w:rsid w:val="0008629D"/>
    <w:rsid w:val="000D017E"/>
    <w:rsid w:val="00214065"/>
    <w:rsid w:val="002368DD"/>
    <w:rsid w:val="00256F28"/>
    <w:rsid w:val="00296F9E"/>
    <w:rsid w:val="002D17D4"/>
    <w:rsid w:val="00327EE7"/>
    <w:rsid w:val="004306B2"/>
    <w:rsid w:val="004C5A34"/>
    <w:rsid w:val="005D09CC"/>
    <w:rsid w:val="00647132"/>
    <w:rsid w:val="00662F2A"/>
    <w:rsid w:val="006B39EF"/>
    <w:rsid w:val="007638A0"/>
    <w:rsid w:val="007C271B"/>
    <w:rsid w:val="007E107D"/>
    <w:rsid w:val="008141F2"/>
    <w:rsid w:val="008373D7"/>
    <w:rsid w:val="008C1DE0"/>
    <w:rsid w:val="008F4A78"/>
    <w:rsid w:val="00906861"/>
    <w:rsid w:val="00985FAC"/>
    <w:rsid w:val="00A311D3"/>
    <w:rsid w:val="00AC5490"/>
    <w:rsid w:val="00AE3A47"/>
    <w:rsid w:val="00B773E4"/>
    <w:rsid w:val="00BB367A"/>
    <w:rsid w:val="00C54DD2"/>
    <w:rsid w:val="00CA1329"/>
    <w:rsid w:val="00D541F8"/>
    <w:rsid w:val="00E022D0"/>
    <w:rsid w:val="00EA40B7"/>
    <w:rsid w:val="00F24619"/>
    <w:rsid w:val="00FC6B1A"/>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4183"/>
  <w15:docId w15:val="{A7098DD3-A1F8-2B4C-B913-E19F20A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Arial Narrow" w:eastAsia="Arial Narrow" w:hAnsi="Arial Narrow" w:cs="Arial Narrow"/>
      <w:i/>
    </w:rPr>
  </w:style>
  <w:style w:type="paragraph" w:styleId="Heading2">
    <w:name w:val="heading 2"/>
    <w:basedOn w:val="Normal"/>
    <w:next w:val="Normal"/>
    <w:uiPriority w:val="9"/>
    <w:semiHidden/>
    <w:unhideWhenUsed/>
    <w:qFormat/>
    <w:pPr>
      <w:keepNext/>
      <w:jc w:val="center"/>
      <w:outlineLvl w:val="1"/>
    </w:pPr>
    <w:rPr>
      <w:rFonts w:ascii="Arial Narrow" w:eastAsia="Arial Narrow" w:hAnsi="Arial Narrow" w:cs="Arial Narrow"/>
      <w:b/>
    </w:rPr>
  </w:style>
  <w:style w:type="paragraph" w:styleId="Heading3">
    <w:name w:val="heading 3"/>
    <w:basedOn w:val="Normal"/>
    <w:next w:val="Normal"/>
    <w:uiPriority w:val="9"/>
    <w:semiHidden/>
    <w:unhideWhenUsed/>
    <w:qFormat/>
    <w:pPr>
      <w:keepNext/>
      <w:outlineLvl w:val="2"/>
    </w:pPr>
    <w:rPr>
      <w:b/>
      <w:i/>
    </w:rPr>
  </w:style>
  <w:style w:type="paragraph" w:styleId="Heading4">
    <w:name w:val="heading 4"/>
    <w:basedOn w:val="Normal"/>
    <w:next w:val="Normal"/>
    <w:uiPriority w:val="9"/>
    <w:semiHidden/>
    <w:unhideWhenUsed/>
    <w:qFormat/>
    <w:pPr>
      <w:keepNext/>
      <w:spacing w:before="240" w:after="60"/>
      <w:outlineLvl w:val="3"/>
    </w:pPr>
    <w:rPr>
      <w:rFonts w:ascii="Times" w:eastAsia="Times" w:hAnsi="Times" w:cs="Times"/>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rFonts w:ascii="Times" w:eastAsia="Times" w:hAnsi="Times" w:cs="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A1329"/>
    <w:rPr>
      <w:sz w:val="18"/>
      <w:szCs w:val="18"/>
    </w:rPr>
  </w:style>
  <w:style w:type="character" w:customStyle="1" w:styleId="BalloonTextChar">
    <w:name w:val="Balloon Text Char"/>
    <w:basedOn w:val="DefaultParagraphFont"/>
    <w:link w:val="BalloonText"/>
    <w:uiPriority w:val="99"/>
    <w:semiHidden/>
    <w:rsid w:val="00CA1329"/>
    <w:rPr>
      <w:sz w:val="18"/>
      <w:szCs w:val="18"/>
    </w:rPr>
  </w:style>
  <w:style w:type="character" w:styleId="CommentReference">
    <w:name w:val="annotation reference"/>
    <w:basedOn w:val="DefaultParagraphFont"/>
    <w:uiPriority w:val="99"/>
    <w:semiHidden/>
    <w:unhideWhenUsed/>
    <w:rsid w:val="00CA1329"/>
    <w:rPr>
      <w:sz w:val="16"/>
      <w:szCs w:val="16"/>
    </w:rPr>
  </w:style>
  <w:style w:type="paragraph" w:styleId="CommentText">
    <w:name w:val="annotation text"/>
    <w:basedOn w:val="Normal"/>
    <w:link w:val="CommentTextChar"/>
    <w:uiPriority w:val="99"/>
    <w:semiHidden/>
    <w:unhideWhenUsed/>
    <w:rsid w:val="00CA1329"/>
    <w:rPr>
      <w:sz w:val="20"/>
      <w:szCs w:val="20"/>
    </w:rPr>
  </w:style>
  <w:style w:type="character" w:customStyle="1" w:styleId="CommentTextChar">
    <w:name w:val="Comment Text Char"/>
    <w:basedOn w:val="DefaultParagraphFont"/>
    <w:link w:val="CommentText"/>
    <w:uiPriority w:val="99"/>
    <w:semiHidden/>
    <w:rsid w:val="00CA1329"/>
    <w:rPr>
      <w:sz w:val="20"/>
      <w:szCs w:val="20"/>
    </w:rPr>
  </w:style>
  <w:style w:type="paragraph" w:styleId="CommentSubject">
    <w:name w:val="annotation subject"/>
    <w:basedOn w:val="CommentText"/>
    <w:next w:val="CommentText"/>
    <w:link w:val="CommentSubjectChar"/>
    <w:uiPriority w:val="99"/>
    <w:semiHidden/>
    <w:unhideWhenUsed/>
    <w:rsid w:val="00CA1329"/>
    <w:rPr>
      <w:b/>
      <w:bCs/>
    </w:rPr>
  </w:style>
  <w:style w:type="character" w:customStyle="1" w:styleId="CommentSubjectChar">
    <w:name w:val="Comment Subject Char"/>
    <w:basedOn w:val="CommentTextChar"/>
    <w:link w:val="CommentSubject"/>
    <w:uiPriority w:val="99"/>
    <w:semiHidden/>
    <w:rsid w:val="00CA1329"/>
    <w:rPr>
      <w:b/>
      <w:bCs/>
      <w:sz w:val="20"/>
      <w:szCs w:val="20"/>
    </w:rPr>
  </w:style>
  <w:style w:type="character" w:styleId="Hyperlink">
    <w:name w:val="Hyperlink"/>
    <w:basedOn w:val="DefaultParagraphFont"/>
    <w:uiPriority w:val="99"/>
    <w:unhideWhenUsed/>
    <w:rsid w:val="002368DD"/>
    <w:rPr>
      <w:color w:val="0000FF" w:themeColor="hyperlink"/>
      <w:u w:val="single"/>
    </w:rPr>
  </w:style>
  <w:style w:type="character" w:styleId="UnresolvedMention">
    <w:name w:val="Unresolved Mention"/>
    <w:basedOn w:val="DefaultParagraphFont"/>
    <w:uiPriority w:val="99"/>
    <w:semiHidden/>
    <w:unhideWhenUsed/>
    <w:rsid w:val="002368DD"/>
    <w:rPr>
      <w:color w:val="605E5C"/>
      <w:shd w:val="clear" w:color="auto" w:fill="E1DFDD"/>
    </w:rPr>
  </w:style>
  <w:style w:type="paragraph" w:styleId="Revision">
    <w:name w:val="Revision"/>
    <w:hidden/>
    <w:uiPriority w:val="99"/>
    <w:semiHidden/>
    <w:rsid w:val="008C1DE0"/>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5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23</Pages>
  <Words>6639</Words>
  <Characters>38180</Characters>
  <Application>Microsoft Office Word</Application>
  <DocSecurity>0</DocSecurity>
  <Lines>795</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Vimal Rao</cp:lastModifiedBy>
  <cp:revision>21</cp:revision>
  <dcterms:created xsi:type="dcterms:W3CDTF">2019-06-04T14:11:00Z</dcterms:created>
  <dcterms:modified xsi:type="dcterms:W3CDTF">2021-04-22T18:48:00Z</dcterms:modified>
</cp:coreProperties>
</file>