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litique-de-confidentialité"/>
      <w:r>
        <w:t xml:space="preserve">Politique de confidentialité</w:t>
      </w:r>
      <w:bookmarkEnd w:id="20"/>
    </w:p>
    <w:p>
      <w:pPr>
        <w:pStyle w:val="FirstParagraph"/>
      </w:pPr>
      <w:r>
        <w:rPr>
          <w:i/>
        </w:rPr>
        <w:t xml:space="preserve">Dernière mise à jour : 13 juin 2026</w:t>
      </w:r>
    </w:p>
    <w:p>
      <w:pPr>
        <w:pStyle w:val="BodyText"/>
      </w:pPr>
      <w:r>
        <w:t xml:space="preserve">Drop No. accorde la plus grande importance à la protection de vos données personnelles. La présente politique explique quelles données nous collectons, pourquoi, combien de temps nous les conservons, et quels sont vos droits.</w:t>
      </w:r>
    </w:p>
    <w:p>
      <w:pPr>
        <w:pStyle w:val="BodyText"/>
      </w:pPr>
      <w:r>
        <w:t xml:space="preserve">Document rédigé conformément au Règlement (UE) 2016/679 (RGPD) et à la loi belge du 30 juillet 2018 relative à la protection des personnes physiques à l’égard des traitements de données à caractère personnel.</w:t>
      </w:r>
    </w:p>
    <w:p>
      <w:pPr>
        <w:pStyle w:val="Heading2"/>
      </w:pPr>
      <w:bookmarkStart w:id="21" w:name="responsable-du-traitement"/>
      <w:r>
        <w:t xml:space="preserve">1. Responsable du traitement</w:t>
      </w:r>
      <w:bookmarkEnd w:id="21"/>
    </w:p>
    <w:p>
      <w:pPr>
        <w:pStyle w:val="FirstParagraph"/>
      </w:pPr>
      <w:r>
        <w:rPr>
          <w:b/>
        </w:rPr>
        <w:t xml:space="preserve">Veracruz SRL</w:t>
      </w:r>
      <w:r>
        <w:t xml:space="preserve"> </w:t>
      </w:r>
      <w:r>
        <w:t xml:space="preserve">(exploitant la marque « Drop No. »)</w:t>
      </w:r>
      <w:r>
        <w:t xml:space="preserve"> </w:t>
      </w:r>
      <w:r>
        <w:t xml:space="preserve">Route de Huy 134, 4287 Lincent, Belgique</w:t>
      </w:r>
      <w:r>
        <w:t xml:space="preserve"> </w:t>
      </w:r>
      <w:r>
        <w:t xml:space="preserve">Numéro BCE : BE 0799.209.229</w:t>
      </w:r>
    </w:p>
    <w:p>
      <w:pPr>
        <w:pStyle w:val="BodyText"/>
      </w:pPr>
      <w:r>
        <w:t xml:space="preserve">Contact pour toute question relative à vos données : hello@dropno.eu</w:t>
      </w:r>
      <w:r>
        <w:t xml:space="preserve"> </w:t>
      </w:r>
      <w:r>
        <w:t xml:space="preserve">Délégué à la protection des données (DPO) : Raphaël Hombroeck, hello@dropno.eu</w:t>
      </w:r>
    </w:p>
    <w:p>
      <w:pPr>
        <w:pStyle w:val="Heading2"/>
      </w:pPr>
      <w:bookmarkStart w:id="22" w:name="données-collectées"/>
      <w:r>
        <w:t xml:space="preserve">2. Données collectées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Nom, prénom, date de naissance, nationalité</w:t>
            </w:r>
          </w:p>
        </w:tc>
        <w:tc>
          <w:p>
            <w:pPr>
              <w:pStyle w:val="Compact"/>
              <w:jc w:val="left"/>
            </w:pPr>
            <w:r>
              <w:t xml:space="preserve">Inscription + Stripe Identity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Coordonnées</w:t>
            </w:r>
          </w:p>
        </w:tc>
        <w:tc>
          <w:p>
            <w:pPr>
              <w:pStyle w:val="Compact"/>
              <w:jc w:val="left"/>
            </w:pPr>
            <w:r>
              <w:t xml:space="preserve">Email, adresse postale, téléphone</w:t>
            </w:r>
          </w:p>
        </w:tc>
        <w:tc>
          <w:p>
            <w:pPr>
              <w:pStyle w:val="Compact"/>
              <w:jc w:val="left"/>
            </w:pPr>
            <w:r>
              <w:t xml:space="preserve">Inscription, processus de livraison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Identité officielle</w:t>
            </w:r>
          </w:p>
        </w:tc>
        <w:tc>
          <w:p>
            <w:pPr>
              <w:pStyle w:val="Compact"/>
              <w:jc w:val="left"/>
            </w:pPr>
            <w:r>
              <w:t xml:space="preserve">Numéro et copie de pièce d’identité, selfie</w:t>
            </w:r>
          </w:p>
        </w:tc>
        <w:tc>
          <w:p>
            <w:pPr>
              <w:pStyle w:val="Compact"/>
              <w:jc w:val="left"/>
            </w:pPr>
            <w:r>
              <w:t xml:space="preserve">Stripe Identity (KYC)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Paiement</w:t>
            </w:r>
          </w:p>
        </w:tc>
        <w:tc>
          <w:p>
            <w:pPr>
              <w:pStyle w:val="Compact"/>
              <w:jc w:val="left"/>
            </w:pPr>
            <w:r>
              <w:t xml:space="preserve">Empreinte de carte bancaire (jamais le numéro complet)</w:t>
            </w:r>
          </w:p>
        </w:tc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Activité plateforme</w:t>
            </w:r>
          </w:p>
        </w:tc>
        <w:tc>
          <w:p>
            <w:pPr>
              <w:pStyle w:val="Compact"/>
              <w:jc w:val="left"/>
            </w:pPr>
            <w:r>
              <w:t xml:space="preserve">Drops suivis, offres soumises, modifications, transactions</w:t>
            </w:r>
          </w:p>
        </w:tc>
        <w:tc>
          <w:p>
            <w:pPr>
              <w:pStyle w:val="Compact"/>
              <w:jc w:val="left"/>
            </w:pPr>
            <w:r>
              <w:t xml:space="preserve">Utilisation du 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Emails échangés avec Drop No., demandes support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p>
            <w:pPr>
              <w:pStyle w:val="Compact"/>
              <w:jc w:val="left"/>
            </w:pPr>
            <w:r>
              <w:t xml:space="preserve">Adresse IP, type de navigateur, pages visitées, cookies</w:t>
            </w:r>
          </w:p>
        </w:tc>
        <w:tc>
          <w:p>
            <w:pPr>
              <w:pStyle w:val="Compact"/>
              <w:jc w:val="left"/>
            </w:pPr>
            <w:r>
              <w:t xml:space="preserve">Connexion automatique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anonymisé</w:t>
            </w:r>
          </w:p>
        </w:tc>
        <w:tc>
          <w:p>
            <w:pPr>
              <w:pStyle w:val="Compact"/>
              <w:jc w:val="left"/>
            </w:pPr>
            <w:r>
              <w:t xml:space="preserve">Comportement agrégé, conversions</w:t>
            </w:r>
          </w:p>
        </w:tc>
        <w:tc>
          <w:p>
            <w:pPr>
              <w:pStyle w:val="Compact"/>
              <w:jc w:val="left"/>
            </w:pPr>
            <w:r>
              <w:t xml:space="preserve">PostHog (sans identifiants individuels)</w:t>
            </w:r>
          </w:p>
        </w:tc>
      </w:tr>
    </w:tbl>
    <w:p>
      <w:pPr>
        <w:pStyle w:val="Heading2"/>
      </w:pPr>
      <w:bookmarkStart w:id="23" w:name="finalités-et-bases-légales"/>
      <w:r>
        <w:t xml:space="preserve">3. Finalités et bases légales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légale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Données concernées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Création et gestion du compte</w:t>
            </w:r>
          </w:p>
        </w:tc>
        <w:tc>
          <w:p>
            <w:pPr>
              <w:pStyle w:val="Compact"/>
              <w:jc w:val="left"/>
            </w:pPr>
            <w:r>
              <w:t xml:space="preserve">Contrat (article 6.1.b RGPD)</w:t>
            </w:r>
          </w:p>
        </w:tc>
        <w:tc>
          <w:p>
            <w:pPr>
              <w:pStyle w:val="Compact"/>
              <w:jc w:val="left"/>
            </w:pPr>
            <w:r>
              <w:t xml:space="preserve">Identification, coordonnées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Vérification d’identité (KYC, AML)</w:t>
            </w:r>
          </w:p>
        </w:tc>
        <w:tc>
          <w:p>
            <w:pPr>
              <w:pStyle w:val="Compact"/>
              <w:jc w:val="left"/>
            </w:pPr>
            <w:r>
              <w:t xml:space="preserve">Obligation légale (5e directive AML)</w:t>
            </w:r>
          </w:p>
        </w:tc>
        <w:tc>
          <w:p>
            <w:pPr>
              <w:pStyle w:val="Compact"/>
              <w:jc w:val="left"/>
            </w:pPr>
            <w:r>
              <w:t xml:space="preserve">Identité officielle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Traitement des offres et paiements</w:t>
            </w:r>
          </w:p>
        </w:tc>
        <w:tc>
          <w:p>
            <w:pPr>
              <w:pStyle w:val="Compact"/>
              <w:jc w:val="left"/>
            </w:pPr>
            <w:r>
              <w:t xml:space="preserve">Contrat</w:t>
            </w:r>
          </w:p>
        </w:tc>
        <w:tc>
          <w:p>
            <w:pPr>
              <w:pStyle w:val="Compact"/>
              <w:jc w:val="left"/>
            </w:pPr>
            <w:r>
              <w:t xml:space="preserve">Paiement, activité plateforme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Livraison des pièces</w:t>
            </w:r>
          </w:p>
        </w:tc>
        <w:tc>
          <w:p>
            <w:pPr>
              <w:pStyle w:val="Compact"/>
              <w:jc w:val="left"/>
            </w:pPr>
            <w:r>
              <w:t xml:space="preserve">Contrat</w:t>
            </w:r>
          </w:p>
        </w:tc>
        <w:tc>
          <w:p>
            <w:pPr>
              <w:pStyle w:val="Compact"/>
              <w:jc w:val="left"/>
            </w:pPr>
            <w:r>
              <w:t xml:space="preserve">Coordonnées, identité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client et support</w:t>
            </w:r>
          </w:p>
        </w:tc>
        <w:tc>
          <w:p>
            <w:pPr>
              <w:pStyle w:val="Compact"/>
              <w:jc w:val="left"/>
            </w:pPr>
            <w:r>
              <w:t xml:space="preserve">Contrat + intérêt légitime</w:t>
            </w:r>
          </w:p>
        </w:tc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Conservation comptable</w:t>
            </w:r>
          </w:p>
        </w:tc>
        <w:tc>
          <w:p>
            <w:pPr>
              <w:pStyle w:val="Compact"/>
              <w:jc w:val="left"/>
            </w:pPr>
            <w:r>
              <w:t xml:space="preserve">Obligation légale (Code TVA)</w:t>
            </w:r>
          </w:p>
        </w:tc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Lutte contre la fraude</w:t>
            </w:r>
          </w:p>
        </w:tc>
        <w:tc>
          <w:p>
            <w:pPr>
              <w:pStyle w:val="Compact"/>
              <w:jc w:val="left"/>
            </w:pPr>
            <w:r>
              <w:t xml:space="preserve">Intérêt légitime</w:t>
            </w:r>
          </w:p>
        </w:tc>
        <w:tc>
          <w:p>
            <w:pPr>
              <w:pStyle w:val="Compact"/>
              <w:jc w:val="left"/>
            </w:pPr>
            <w:r>
              <w:t xml:space="preserve">Activité, technique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Envoi de la lettre du jeudi (newsletter)</w:t>
            </w:r>
          </w:p>
        </w:tc>
        <w:tc>
          <w:p>
            <w:pPr>
              <w:pStyle w:val="Compact"/>
              <w:jc w:val="left"/>
            </w:pPr>
            <w:r>
              <w:t xml:space="preserve">Consentement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Analyse d’audience anonymisée</w:t>
            </w:r>
          </w:p>
        </w:tc>
        <w:tc>
          <w:p>
            <w:pPr>
              <w:pStyle w:val="Compact"/>
              <w:jc w:val="left"/>
            </w:pPr>
            <w:r>
              <w:t xml:space="preserve">Intérêt légitime + consentement (PostHog)</w:t>
            </w:r>
          </w:p>
        </w:tc>
        <w:tc>
          <w:p>
            <w:pPr>
              <w:pStyle w:val="Compact"/>
              <w:jc w:val="left"/>
            </w:pPr>
            <w:r>
              <w:t xml:space="preserve">Technique, analytics</w:t>
            </w:r>
          </w:p>
        </w:tc>
      </w:tr>
    </w:tbl>
    <w:p>
      <w:pPr>
        <w:pStyle w:val="Heading2"/>
      </w:pPr>
      <w:bookmarkStart w:id="24" w:name="destinataires"/>
      <w:r>
        <w:t xml:space="preserve">4. Destinataires</w:t>
      </w:r>
      <w:bookmarkEnd w:id="24"/>
    </w:p>
    <w:p>
      <w:pPr>
        <w:pStyle w:val="FirstParagraph"/>
      </w:pPr>
      <w:r>
        <w:t xml:space="preserve">Vos données sont accessibles aux personnes habilitées de Drop No., ainsi qu’aux sous-traitants suivants, dans la limite de ce qui est strictement nécessaire à leur mission 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Sous-traitant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Inc.</w:t>
            </w:r>
          </w:p>
        </w:tc>
        <w:tc>
          <w:p>
            <w:pPr>
              <w:pStyle w:val="Compact"/>
              <w:jc w:val="left"/>
            </w:pPr>
            <w:r>
              <w:t xml:space="preserve">Singapore (HQ) / EU eu-west-3 Paris (data)</w:t>
            </w:r>
          </w:p>
        </w:tc>
        <w:tc>
          <w:p>
            <w:pPr>
              <w:pStyle w:val="Compact"/>
              <w:jc w:val="left"/>
            </w:pPr>
            <w:r>
              <w:t xml:space="preserve">Hébergement base de données, authentification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 Inc. + Stripe Payments Europe Ltd.</w:t>
            </w:r>
          </w:p>
        </w:tc>
        <w:tc>
          <w:p>
            <w:pPr>
              <w:pStyle w:val="Compact"/>
              <w:jc w:val="left"/>
            </w:pPr>
            <w:r>
              <w:t xml:space="preserve">États-Unis + Irlande</w:t>
            </w:r>
          </w:p>
        </w:tc>
        <w:tc>
          <w:p>
            <w:pPr>
              <w:pStyle w:val="Compact"/>
              <w:jc w:val="left"/>
            </w:pPr>
            <w:r>
              <w:t xml:space="preserve">Traitement des paiements, KYC, 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Netlify, Inc.</w:t>
            </w:r>
          </w:p>
        </w:tc>
        <w:tc>
          <w:p>
            <w:pPr>
              <w:pStyle w:val="Compact"/>
              <w:jc w:val="left"/>
            </w:pPr>
            <w:r>
              <w:t xml:space="preserve">États-Unis</w:t>
            </w:r>
          </w:p>
        </w:tc>
        <w:tc>
          <w:p>
            <w:pPr>
              <w:pStyle w:val="Compact"/>
              <w:jc w:val="left"/>
            </w:pPr>
            <w:r>
              <w:t xml:space="preserve">Hébergement du 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 Inc.</w:t>
            </w:r>
          </w:p>
        </w:tc>
        <w:tc>
          <w:p>
            <w:pPr>
              <w:pStyle w:val="Compact"/>
              <w:jc w:val="left"/>
            </w:pPr>
            <w:r>
              <w:t xml:space="preserve">États-Unis</w:t>
            </w:r>
          </w:p>
        </w:tc>
        <w:tc>
          <w:p>
            <w:pPr>
              <w:pStyle w:val="Compact"/>
              <w:jc w:val="left"/>
            </w:pPr>
            <w:r>
              <w:t xml:space="preserve">Envoi des emails transactionnels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PostHog Inc.</w:t>
            </w:r>
          </w:p>
        </w:tc>
        <w:tc>
          <w:p>
            <w:pPr>
              <w:pStyle w:val="Compact"/>
              <w:jc w:val="left"/>
            </w:pPr>
            <w:r>
              <w:t xml:space="preserve">EU (Cloud EU)</w:t>
            </w:r>
          </w:p>
        </w:tc>
        <w:tc>
          <w:p>
            <w:pPr>
              <w:pStyle w:val="Compact"/>
              <w:jc w:val="left"/>
            </w:pPr>
            <w:r>
              <w:t xml:space="preserve">Analyse d’audience anonymisée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Combell SA</w:t>
            </w:r>
          </w:p>
        </w:tc>
        <w:tc>
          <w:p>
            <w:pPr>
              <w:pStyle w:val="Compact"/>
              <w:jc w:val="left"/>
            </w:pPr>
            <w:r>
              <w:t xml:space="preserve">Belgique</w:t>
            </w:r>
          </w:p>
        </w:tc>
        <w:tc>
          <w:p>
            <w:pPr>
              <w:pStyle w:val="Compact"/>
              <w:jc w:val="left"/>
            </w:pPr>
            <w:r>
              <w:t xml:space="preserve">Service de messagerie email</w:t>
            </w:r>
          </w:p>
        </w:tc>
      </w:tr>
    </w:tbl>
    <w:p>
      <w:pPr>
        <w:pStyle w:val="BodyText"/>
      </w:pPr>
      <w:r>
        <w:t xml:space="preserve">Vos données ne sont jamais vendues à des tiers commerciaux, jamais transmises à des plateformes publicitaires.</w:t>
      </w:r>
    </w:p>
    <w:p>
      <w:pPr>
        <w:pStyle w:val="Heading2"/>
      </w:pPr>
      <w:bookmarkStart w:id="25" w:name="transferts-hors-union-européenne"/>
      <w:r>
        <w:t xml:space="preserve">5. Transferts hors Union européenne</w:t>
      </w:r>
      <w:bookmarkEnd w:id="25"/>
    </w:p>
    <w:p>
      <w:pPr>
        <w:pStyle w:val="FirstParagraph"/>
      </w:pPr>
      <w:r>
        <w:t xml:space="preserve">Certains sous-traitants (Stripe, Netlify, Resend) sont établis aux États-Unis. Les transferts de données vers ces destinataires sont encadrés par :</w:t>
      </w:r>
      <w:r>
        <w:t xml:space="preserve"> </w:t>
      </w:r>
      <w:r>
        <w:t xml:space="preserve">- les clauses contractuelles types adoptées par la Commission européenne (décision 2021/914), ou</w:t>
      </w:r>
      <w:r>
        <w:t xml:space="preserve"> </w:t>
      </w:r>
      <w:r>
        <w:t xml:space="preserve">- les certifications EU-US Data Privacy Framework lorsqu’elles sont applicables.</w:t>
      </w:r>
    </w:p>
    <w:p>
      <w:pPr>
        <w:pStyle w:val="BodyText"/>
      </w:pPr>
      <w:r>
        <w:t xml:space="preserve">Vous pouvez demander copie de ces garanties à hello@dropno.eu.</w:t>
      </w:r>
    </w:p>
    <w:p>
      <w:pPr>
        <w:pStyle w:val="Heading2"/>
      </w:pPr>
      <w:bookmarkStart w:id="26" w:name="durées-de-conservation"/>
      <w:r>
        <w:t xml:space="preserve">6. Durées de conservation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Catégorie de données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Compte actif</w:t>
            </w:r>
          </w:p>
        </w:tc>
        <w:tc>
          <w:p>
            <w:pPr>
              <w:pStyle w:val="Compact"/>
              <w:jc w:val="left"/>
            </w:pPr>
            <w:r>
              <w:t xml:space="preserve">Durée du compte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KYC</w:t>
            </w:r>
          </w:p>
        </w:tc>
        <w:tc>
          <w:p>
            <w:pPr>
              <w:pStyle w:val="Compact"/>
              <w:jc w:val="left"/>
            </w:pPr>
            <w:r>
              <w:t xml:space="preserve">5 ans à compter de la fin de la relation contractuelle (obligation AML)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de transaction</w:t>
            </w:r>
          </w:p>
        </w:tc>
        <w:tc>
          <w:p>
            <w:pPr>
              <w:pStyle w:val="Compact"/>
              <w:jc w:val="left"/>
            </w:pPr>
            <w:r>
              <w:t xml:space="preserve">10 ans (obligations fiscales et comptables)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Communications support</w:t>
            </w:r>
          </w:p>
        </w:tc>
        <w:tc>
          <w:p>
            <w:pPr>
              <w:pStyle w:val="Compact"/>
              <w:jc w:val="left"/>
            </w:pPr>
            <w:r>
              <w:t xml:space="preserve">3 ans à compter du dernier échange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Cookies analytics</w:t>
            </w:r>
          </w:p>
        </w:tc>
        <w:tc>
          <w:p>
            <w:pPr>
              <w:pStyle w:val="Compact"/>
              <w:jc w:val="left"/>
            </w:pPr>
            <w:r>
              <w:t xml:space="preserve">13 mois (recommandation APD)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Cookies essentiels</w:t>
            </w:r>
          </w:p>
        </w:tc>
        <w:tc>
          <w:p>
            <w:pPr>
              <w:pStyle w:val="Compact"/>
              <w:jc w:val="left"/>
            </w:pPr>
            <w:r>
              <w:t xml:space="preserve">Session ou 12 mois selon le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après suppression de compte</w:t>
            </w:r>
          </w:p>
        </w:tc>
        <w:tc>
          <w:p>
            <w:pPr>
              <w:pStyle w:val="Compact"/>
              <w:jc w:val="left"/>
            </w:pPr>
            <w:r>
              <w:t xml:space="preserve">30 jours avant effacement définitif (hors obligations légales)</w:t>
            </w:r>
          </w:p>
        </w:tc>
      </w:tr>
    </w:tbl>
    <w:p>
      <w:pPr>
        <w:pStyle w:val="Heading2"/>
      </w:pPr>
      <w:bookmarkStart w:id="27" w:name="vos-droits"/>
      <w:r>
        <w:t xml:space="preserve">7. Vos droits</w:t>
      </w:r>
      <w:bookmarkEnd w:id="27"/>
    </w:p>
    <w:p>
      <w:pPr>
        <w:pStyle w:val="FirstParagraph"/>
      </w:pPr>
      <w:r>
        <w:t xml:space="preserve">Conformément au RGPD, vous disposez des droits suivants sur vos données 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d’accès</w:t>
      </w:r>
      <w:r>
        <w:t xml:space="preserve"> </w:t>
      </w:r>
      <w:r>
        <w:t xml:space="preserve">: obtenir confirmation que des données vous concernant sont traitées, et copie de ces données.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de rectification</w:t>
      </w:r>
      <w:r>
        <w:t xml:space="preserve"> </w:t>
      </w:r>
      <w:r>
        <w:t xml:space="preserve">: faire corriger des données inexactes ou incomplètes.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à l’effacement (« droit à l’oubli »)</w:t>
      </w:r>
      <w:r>
        <w:t xml:space="preserve"> </w:t>
      </w:r>
      <w:r>
        <w:t xml:space="preserve">: faire supprimer vos données, sous réserve des obligations légales de conservation.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à la limitation du traitement</w:t>
      </w:r>
      <w:r>
        <w:t xml:space="preserve"> </w:t>
      </w:r>
      <w:r>
        <w:t xml:space="preserve">: demander la suspension temporaire du traitement.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à la portabilité</w:t>
      </w:r>
      <w:r>
        <w:t xml:space="preserve"> </w:t>
      </w:r>
      <w:r>
        <w:t xml:space="preserve">: recevoir vos données dans un format structuré et les transmettre à un autre responsable de traitement.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d’opposition</w:t>
      </w:r>
      <w:r>
        <w:t xml:space="preserve"> </w:t>
      </w:r>
      <w:r>
        <w:t xml:space="preserve">: vous opposer à un traitement basé sur l’intérêt légitime ou à des fins de marketing direct.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Droit de définir des directives post-mortem</w:t>
      </w:r>
      <w:r>
        <w:t xml:space="preserve"> </w:t>
      </w:r>
      <w:r>
        <w:t xml:space="preserve">sur le sort de vos données après votre décès.</w:t>
      </w:r>
    </w:p>
    <w:p>
      <w:pPr>
        <w:pStyle w:val="Heading3"/>
      </w:pPr>
      <w:bookmarkStart w:id="28" w:name="exercice-des-droits"/>
      <w:r>
        <w:t xml:space="preserve">Exercice des droits</w:t>
      </w:r>
      <w:bookmarkEnd w:id="28"/>
    </w:p>
    <w:p>
      <w:pPr>
        <w:pStyle w:val="FirstParagraph"/>
      </w:pPr>
      <w:r>
        <w:t xml:space="preserve">Pour exercer ces droits, contactez-nous à hello@dropno.eu en précisant la nature de votre demande. Nous répondrons dans un délai d’un mois, prolongeable de deux mois si la demande est complexe.</w:t>
      </w:r>
    </w:p>
    <w:p>
      <w:pPr>
        <w:pStyle w:val="BodyText"/>
      </w:pPr>
      <w:r>
        <w:t xml:space="preserve">Si nécessaire, nous pourrons vous demander une preuve d’identité.</w:t>
      </w:r>
    </w:p>
    <w:p>
      <w:pPr>
        <w:pStyle w:val="Heading2"/>
      </w:pPr>
      <w:bookmarkStart w:id="29" w:name="X647dd6d62095de6c5f3c0696e612499ffcd4dae"/>
      <w:r>
        <w:t xml:space="preserve">8. Réclamation auprès de l’autorité de contrôle</w:t>
      </w:r>
      <w:bookmarkEnd w:id="29"/>
    </w:p>
    <w:p>
      <w:pPr>
        <w:pStyle w:val="FirstParagraph"/>
      </w:pPr>
      <w:r>
        <w:t xml:space="preserve">Si vous estimez que le traitement de vos données ne respecte pas le RGPD, vous pouvez introduire une réclamation auprès de :</w:t>
      </w:r>
    </w:p>
    <w:p>
      <w:pPr>
        <w:pStyle w:val="BodyText"/>
      </w:pPr>
      <w:r>
        <w:rPr>
          <w:b/>
        </w:rPr>
        <w:t xml:space="preserve">Autorité de Protection des Données (APD)</w:t>
      </w:r>
      <w:r>
        <w:t xml:space="preserve"> </w:t>
      </w:r>
      <w:r>
        <w:t xml:space="preserve">Rue de la Presse 35, 1000 Bruxelles</w:t>
      </w:r>
      <w:r>
        <w:t xml:space="preserve"> </w:t>
      </w:r>
      <w:hyperlink r:id="rId30">
        <w:r>
          <w:rPr>
            <w:rStyle w:val="Hyperlink"/>
          </w:rPr>
          <w:t xml:space="preserve">autoriteprotectiondonnees.be</w:t>
        </w:r>
      </w:hyperlink>
      <w:r>
        <w:t xml:space="preserve"> </w:t>
      </w:r>
      <w:r>
        <w:t xml:space="preserve">contact@apd-gba.be</w:t>
      </w:r>
    </w:p>
    <w:p>
      <w:pPr>
        <w:pStyle w:val="Heading2"/>
      </w:pPr>
      <w:bookmarkStart w:id="31" w:name="sécurité"/>
      <w:r>
        <w:t xml:space="preserve">9. Sécurité</w:t>
      </w:r>
      <w:bookmarkEnd w:id="31"/>
    </w:p>
    <w:p>
      <w:pPr>
        <w:pStyle w:val="FirstParagraph"/>
      </w:pPr>
      <w:r>
        <w:t xml:space="preserve">Drop No. met en œuvre des mesures techniques et organisationnelles pour garantir la sécurité des données : chiffrement TLS, base de données protégée par Row Level Security, audit log immuable des transactions sensibles, accès restreint aux personnes habilitées, sauvegardes quotidiennes chiffrées.</w:t>
      </w:r>
    </w:p>
    <w:p>
      <w:pPr>
        <w:pStyle w:val="BodyText"/>
      </w:pPr>
      <w:r>
        <w:t xml:space="preserve">En cas de violation de données susceptible d’engendrer un risque pour vos droits et libertés, Drop No. vous en informera dans les meilleurs délais et notifiera l’APD conformément à l’article 33 du RGPD.</w:t>
      </w:r>
    </w:p>
    <w:p>
      <w:pPr>
        <w:pStyle w:val="Heading2"/>
      </w:pPr>
      <w:bookmarkStart w:id="32" w:name="cookies"/>
      <w:r>
        <w:t xml:space="preserve">10. Cookies</w:t>
      </w:r>
      <w:bookmarkEnd w:id="32"/>
    </w:p>
    <w:p>
      <w:pPr>
        <w:pStyle w:val="FirstParagraph"/>
      </w:pPr>
      <w:r>
        <w:t xml:space="preserve">L’utilisation des cookies sur le Site est régie par la politique de cookies disponible à dropno.eu/cookies.</w:t>
      </w:r>
    </w:p>
    <w:p>
      <w:pPr>
        <w:pStyle w:val="Heading2"/>
      </w:pPr>
      <w:bookmarkStart w:id="33" w:name="modification"/>
      <w:r>
        <w:t xml:space="preserve">11. Modification</w:t>
      </w:r>
      <w:bookmarkEnd w:id="33"/>
    </w:p>
    <w:p>
      <w:pPr>
        <w:pStyle w:val="FirstParagraph"/>
      </w:pPr>
      <w:r>
        <w:t xml:space="preserve">Drop No. se réserve le droit de modifier la présente politique à tout moment. En cas de modification substantielle, les utilisateurs inscrits seront informés par email au moins trente (30) jours avant l’entrée en vigueur.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www.autoriteprotectiondonnees.b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www.autoriteprotectiondonnees.b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2026-06-18T14:00:10Z</dcterms:created>
  <dcterms:modified xsi:type="dcterms:W3CDTF">2026-06-18T14:00:10Z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