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dfa8ece532a4beaaa2b1728d405c4be80064766"/>
      <w:r>
        <w:t xml:space="preserve">Drop № — Audience and targeting (decided 2026-06-12)</w:t>
      </w:r>
      <w:bookmarkEnd w:id="20"/>
    </w:p>
    <w:p>
      <w:pPr>
        <w:pStyle w:val="FirstParagraph"/>
      </w:pPr>
      <w:r>
        <w:t xml:space="preserve">English version of</w:t>
      </w:r>
      <w:r>
        <w:t xml:space="preserve"> </w:t>
      </w:r>
      <w:r>
        <w:rPr>
          <w:rStyle w:val="VerbatimChar"/>
        </w:rPr>
        <w:t xml:space="preserve">cible-audience.md</w:t>
      </w:r>
      <w:r>
        <w:t xml:space="preserve">. The French file remains the source of truth for the team; this version exists to share with English-speaking partners, maisons and investors.</w:t>
      </w:r>
    </w:p>
    <w:p>
      <w:pPr>
        <w:pStyle w:val="BodyText"/>
      </w:pPr>
      <w:r>
        <w:t xml:space="preserve">Founding document: who we speak to. Every caption, visual and platform choice is validated against this file. Complements</w:t>
      </w:r>
      <w:r>
        <w:t xml:space="preserve"> </w:t>
      </w:r>
      <w:r>
        <w:rPr>
          <w:rStyle w:val="VerbatimChar"/>
        </w:rPr>
        <w:t xml:space="preserve">editorial-line.en.md</w:t>
      </w:r>
      <w:r>
        <w:t xml:space="preserve">.</w:t>
      </w:r>
    </w:p>
    <w:p>
      <w:pPr>
        <w:pStyle w:val="Heading2"/>
      </w:pPr>
      <w:bookmarkStart w:id="21" w:name="the-principle-three-distinct-audiences"/>
      <w:r>
        <w:t xml:space="preserve">The principle: three distinct audiences</w:t>
      </w:r>
      <w:bookmarkEnd w:id="21"/>
    </w:p>
    <w:p>
      <w:pPr>
        <w:pStyle w:val="FirstParagraph"/>
      </w:pPr>
      <w:r>
        <w:t xml:space="preserve">We are not speaking to one person. Three circles, three channels, three goals. Never blur them inside a single post.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The buyer</w:t>
      </w:r>
      <w:r>
        <w:t xml:space="preserve"> </w:t>
      </w:r>
      <w:r>
        <w:t xml:space="preserve">— the one who bids. Commercial core. Everything converges on him.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The follower</w:t>
      </w:r>
      <w:r>
        <w:t xml:space="preserve"> </w:t>
      </w:r>
      <w:r>
        <w:t xml:space="preserve">— the one we attract on the feed during stealth. Funnel toward the buyer. Broader, but not unlimited: we attract the follower who</w:t>
      </w:r>
      <w:r>
        <w:t xml:space="preserve"> </w:t>
      </w:r>
      <w:r>
        <w:rPr>
          <w:i/>
        </w:rPr>
        <w:t xml:space="preserve">can become</w:t>
      </w:r>
      <w:r>
        <w:t xml:space="preserve"> </w:t>
      </w:r>
      <w:r>
        <w:t xml:space="preserve">a buyer, not the whole planet.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The maison</w:t>
      </w:r>
      <w:r>
        <w:t xml:space="preserve"> </w:t>
      </w:r>
      <w:r>
        <w:t xml:space="preserve">— the one we want to sign. B2B. Dedicated channel: LinkedIn.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8d3ce8ffa45d8fb09d0f84321bd5eabf1d3fbe2"/>
      <w:r>
        <w:t xml:space="preserve">1. The buyer (primary persona) —</w:t>
      </w:r>
      <w:r>
        <w:t xml:space="preserve"> </w:t>
      </w:r>
      <w:r>
        <w:t xml:space="preserve">“</w:t>
      </w:r>
      <w:r>
        <w:t xml:space="preserve">locked out of the system</w:t>
      </w:r>
      <w:r>
        <w:t xml:space="preserve">”</w:t>
      </w:r>
      <w:bookmarkEnd w:id="22"/>
    </w:p>
    <w:p>
      <w:pPr>
        <w:pStyle w:val="FirstParagraph"/>
      </w:pPr>
      <w:r>
        <w:t xml:space="preserve">The client is neither the beginner nor the collector already served. He is the one with the means and the taste, but whom the traditional system leaves at the door.</w:t>
      </w:r>
    </w:p>
    <w:p>
      <w:pPr>
        <w:pStyle w:val="BodyText"/>
      </w:pPr>
      <w:r>
        <w:rPr>
          <w:b/>
        </w:rPr>
        <w:t xml:space="preserve">Profile</w:t>
      </w:r>
      <w:r>
        <w:t xml:space="preserve"> </w:t>
      </w:r>
      <w:r>
        <w:t xml:space="preserve">- 32-48, urban (Brussels, Geneva, Paris, Lausanne, Antwerp).</w:t>
      </w:r>
      <w:r>
        <w:t xml:space="preserve"> </w:t>
      </w:r>
      <w:r>
        <w:t xml:space="preserve">- Comfortable income: senior manager, founder, professional, finance, tech. Often</w:t>
      </w:r>
      <w:r>
        <w:t xml:space="preserve"> </w:t>
      </w:r>
      <w:r>
        <w:t xml:space="preserve">“</w:t>
      </w:r>
      <w:r>
        <w:t xml:space="preserve">new money</w:t>
      </w:r>
      <w:r>
        <w:t xml:space="preserve">”</w:t>
      </w:r>
      <w:r>
        <w:t xml:space="preserve"> </w:t>
      </w:r>
      <w:r>
        <w:t xml:space="preserve">without the boutique-relationship history.</w:t>
      </w:r>
      <w:r>
        <w:t xml:space="preserve"> </w:t>
      </w:r>
      <w:r>
        <w:t xml:space="preserve">- Already owns 2 to 4 fine watches. Knows the value of things. Knows what a manufacture calibre is.</w:t>
      </w:r>
      <w:r>
        <w:t xml:space="preserve"> </w:t>
      </w:r>
      <w:r>
        <w:t xml:space="preserve">- Tech-comfortable: bids online without friction, passes KYC without worry.</w:t>
      </w:r>
    </w:p>
    <w:p>
      <w:pPr>
        <w:pStyle w:val="BodyText"/>
      </w:pPr>
      <w:r>
        <w:rPr>
          <w:b/>
        </w:rPr>
        <w:t xml:space="preserve">His pain (our way in)</w:t>
      </w:r>
      <w:r>
        <w:t xml:space="preserve"> </w:t>
      </w:r>
      <w:r>
        <w:t xml:space="preserve">- The waiting-list wall: the piece he wants, they refuse to list him, or it is eight years.</w:t>
      </w:r>
      <w:r>
        <w:t xml:space="preserve"> </w:t>
      </w:r>
      <w:r>
        <w:t xml:space="preserve">- The grey market: he can have it now, but 40% over retail, no papers, no relationship.</w:t>
      </w:r>
      <w:r>
        <w:t xml:space="preserve"> </w:t>
      </w:r>
      <w:r>
        <w:t xml:space="preserve">- The humiliation of allocation: retail has become an audition he fails despite his money.</w:t>
      </w:r>
    </w:p>
    <w:p>
      <w:pPr>
        <w:pStyle w:val="BodyText"/>
      </w:pPr>
      <w:r>
        <w:rPr>
          <w:b/>
        </w:rPr>
        <w:t xml:space="preserve">What he wants</w:t>
      </w:r>
      <w:r>
        <w:t xml:space="preserve"> </w:t>
      </w:r>
      <w:r>
        <w:t xml:space="preserve">- Fair access, not a backdoor. A chance he does not have today.</w:t>
      </w:r>
      <w:r>
        <w:t xml:space="preserve"> </w:t>
      </w:r>
      <w:r>
        <w:t xml:space="preserve">- Transparency: knowing the rules of the game in advance.</w:t>
      </w:r>
      <w:r>
        <w:t xml:space="preserve"> </w:t>
      </w:r>
      <w:r>
        <w:t xml:space="preserve">- To buy direct, a piece with papers, with no intermediary capturing the margin.</w:t>
      </w:r>
    </w:p>
    <w:p>
      <w:pPr>
        <w:pStyle w:val="BodyText"/>
      </w:pPr>
      <w:r>
        <w:rPr>
          <w:b/>
        </w:rPr>
        <w:t xml:space="preserve">What he rejects</w:t>
      </w:r>
      <w:r>
        <w:t xml:space="preserve"> </w:t>
      </w:r>
      <w:r>
        <w:t xml:space="preserve">- Empty hype, bling, the lifestyle wristshot.</w:t>
      </w:r>
      <w:r>
        <w:t xml:space="preserve"> </w:t>
      </w:r>
      <w:r>
        <w:t xml:space="preserve">- Being talked to like a beginner.</w:t>
      </w:r>
      <w:r>
        <w:t xml:space="preserve"> </w:t>
      </w:r>
      <w:r>
        <w:t xml:space="preserve">- Opaque mechanics.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emotional-promise-access-fairness"/>
      <w:r>
        <w:t xml:space="preserve">2. Emotional promise: ACCESS / FAIRNESS</w:t>
      </w:r>
      <w:bookmarkEnd w:id="23"/>
    </w:p>
    <w:p>
      <w:pPr>
        <w:pStyle w:val="FirstParagraph"/>
      </w:pPr>
      <w:r>
        <w:t xml:space="preserve">The throughline of all communication, from the first stealth post to the reveal:</w:t>
      </w:r>
    </w:p>
    <w:p>
      <w:pPr>
        <w:pStyle w:val="BlockText"/>
      </w:pPr>
      <w:r>
        <w:t xml:space="preserve">We give you the chance the boutique denies you. Sealed bids, one fair price for all, zero allocation politics.</w:t>
      </w:r>
    </w:p>
    <w:p>
      <w:pPr>
        <w:pStyle w:val="FirstParagraph"/>
      </w:pPr>
      <w:r>
        <w:t xml:space="preserve">This is why the</w:t>
      </w:r>
      <w:r>
        <w:t xml:space="preserve"> </w:t>
      </w:r>
      <w:r>
        <w:rPr>
          <w:b/>
        </w:rPr>
        <w:t xml:space="preserve">Provenance</w:t>
      </w:r>
      <w:r>
        <w:t xml:space="preserve"> </w:t>
      </w:r>
      <w:r>
        <w:t xml:space="preserve">pillar (broken waiting lists, grey market, sealed sales, serial 001) is the heart of the seeding: every post about the injustice of today’s system sets up the relief Drop № will offer. We do not sell the thrill of the drop (Supreme energy) or belonging alone: we sell the</w:t>
      </w:r>
      <w:r>
        <w:t xml:space="preserve"> </w:t>
      </w:r>
      <w:r>
        <w:rPr>
          <w:b/>
        </w:rPr>
        <w:t xml:space="preserve">end of a specific frustration</w:t>
      </w:r>
      <w:r>
        <w:t xml:space="preserve">.</w:t>
      </w:r>
    </w:p>
    <w:p>
      <w:pPr>
        <w:pStyle w:val="BodyText"/>
      </w:pPr>
      <w:r>
        <w:t xml:space="preserve">For every post, the test:</w:t>
      </w:r>
      <w:r>
        <w:t xml:space="preserve"> </w:t>
      </w:r>
      <w:r>
        <w:t xml:space="preserve">“</w:t>
      </w:r>
      <w:r>
        <w:t xml:space="preserve">does this speak to someone who cannot buy the watch he wants?</w:t>
      </w:r>
      <w:r>
        <w:t xml:space="preserve">”</w:t>
      </w:r>
      <w:r>
        <w:t xml:space="preserve"> </w:t>
      </w:r>
      <w:r>
        <w:t xml:space="preserve">If a post touches neither the knowledge, the taste, nor the access pain of the locked-out buyer, it is cut.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geography-hyper-local-befrch-first"/>
      <w:r>
        <w:t xml:space="preserve">3. Geography: hyper-local BE/FR/CH first</w:t>
      </w:r>
      <w:bookmarkEnd w:id="24"/>
    </w:p>
    <w:p>
      <w:pPr>
        <w:pStyle w:val="FirstParagraph"/>
      </w:pPr>
      <w:r>
        <w:t xml:space="preserve">We prove the model on a tight francophone core before expanding.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Launch market</w:t>
      </w:r>
      <w:r>
        <w:t xml:space="preserve">: Belgium, France, French-speaking Switzerland. Founder proximity, accessible Romandy maisons, familiar EU regulatory frame.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Major consequence</w:t>
      </w:r>
      <w:r>
        <w:t xml:space="preserve">: the target buyer is francophone, but the feed stays</w:t>
      </w:r>
      <w:r>
        <w:t xml:space="preserve"> </w:t>
      </w:r>
      <w:r>
        <w:rPr>
          <w:b/>
        </w:rPr>
        <w:t xml:space="preserve">in English</w:t>
      </w:r>
      <w:r>
        <w:t xml:space="preserve"> </w:t>
      </w:r>
      <w:r>
        <w:t xml:space="preserve">(decided 2026-06-12). Reason: the affluent francophone buyer consumes watch content in EN (#watchfam = lingua franca), EN carries the international premium and builds the audience faster. LinkedIn stays FR+EN (the maison is spoken to in its own language).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Expansion</w:t>
      </w:r>
      <w:r>
        <w:t xml:space="preserve">: pan-EU English in v2, once the model is proven locally.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the-maison-b2b-audience-linkedin"/>
      <w:r>
        <w:t xml:space="preserve">4. The maison (B2B audience, LinkedIn)</w:t>
      </w:r>
      <w:bookmarkEnd w:id="25"/>
    </w:p>
    <w:p>
      <w:pPr>
        <w:pStyle w:val="FirstParagraph"/>
      </w:pPr>
      <w:r>
        <w:t xml:space="preserve">Target: independent maisons and mid-sized watchmakers, primarily French-speaking Switzerland and France, suffering the loss of control over their distribution.</w:t>
      </w:r>
    </w:p>
    <w:p>
      <w:pPr>
        <w:numPr>
          <w:ilvl w:val="0"/>
          <w:numId w:val="1003"/>
        </w:numPr>
        <w:pStyle w:val="Compact"/>
      </w:pPr>
      <w:r>
        <w:t xml:space="preserve">Decision-maker: founder, commercial director, retail/D2C lead.</w:t>
      </w:r>
    </w:p>
    <w:p>
      <w:pPr>
        <w:numPr>
          <w:ilvl w:val="0"/>
          <w:numId w:val="1003"/>
        </w:numPr>
        <w:pStyle w:val="Compact"/>
      </w:pPr>
      <w:r>
        <w:t xml:space="preserve">Their pain: watching the value of their pieces leak to the grey market, not knowing their end customer, depending on a network of retailers.</w:t>
      </w:r>
    </w:p>
    <w:p>
      <w:pPr>
        <w:numPr>
          <w:ilvl w:val="0"/>
          <w:numId w:val="1003"/>
        </w:numPr>
        <w:pStyle w:val="Compact"/>
      </w:pPr>
      <w:r>
        <w:t xml:space="preserve">Our B2B promise: regain control of the workshop-to-wrist link, sell direct, choose who receives the rare piece, keep the data and the relationship.</w:t>
      </w:r>
    </w:p>
    <w:p>
      <w:pPr>
        <w:numPr>
          <w:ilvl w:val="0"/>
          <w:numId w:val="1003"/>
        </w:numPr>
        <w:pStyle w:val="Compact"/>
      </w:pPr>
      <w:r>
        <w:t xml:space="preserve">LinkedIn tone: industry analysis, FR first (Romandy/French target), never consumer.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who-the-target-is-not"/>
      <w:r>
        <w:t xml:space="preserve">Who the target is NOT</w:t>
      </w:r>
      <w:bookmarkEnd w:id="26"/>
    </w:p>
    <w:p>
      <w:pPr>
        <w:numPr>
          <w:ilvl w:val="0"/>
          <w:numId w:val="1004"/>
        </w:numPr>
        <w:pStyle w:val="Compact"/>
      </w:pPr>
      <w:r>
        <w:t xml:space="preserve">The ultra-wealthy already served by boutiques (they do not have the pain).</w:t>
      </w:r>
    </w:p>
    <w:p>
      <w:pPr>
        <w:numPr>
          <w:ilvl w:val="0"/>
          <w:numId w:val="1004"/>
        </w:numPr>
        <w:pStyle w:val="Compact"/>
      </w:pPr>
      <w:r>
        <w:t xml:space="preserve">Pure hype-chasers without means (the €3,000 floor excludes them).</w:t>
      </w:r>
    </w:p>
    <w:p>
      <w:pPr>
        <w:numPr>
          <w:ilvl w:val="0"/>
          <w:numId w:val="1004"/>
        </w:numPr>
        <w:pStyle w:val="Compact"/>
      </w:pPr>
      <w:r>
        <w:t xml:space="preserve">Resellers / flippers (KYC and brand-direct B2C discourage them; C2C out of scope).</w:t>
      </w:r>
    </w:p>
    <w:p>
      <w:pPr>
        <w:numPr>
          <w:ilvl w:val="0"/>
          <w:numId w:val="1004"/>
        </w:numPr>
        <w:pStyle w:val="Compact"/>
      </w:pPr>
      <w:r>
        <w:t xml:space="preserve">The global English-speaking watch public at large, while we are in the hyper-local phase.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2026-06-18T14:00:10Z</dcterms:created>
  <dcterms:modified xsi:type="dcterms:W3CDTF">2026-06-18T14:00:10Z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