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26211C"/>
          <w:sz w:val="76"/>
          <w:szCs w:val="76"/>
        </w:rPr>
        <w:t xml:space="preserve">DROP Nº</w:t>
      </w:r>
    </w:p>
    <w:p>
      <w:pPr>
        <w:spacing w:after="240"/>
      </w:pPr>
      <w:r>
        <w:rPr>
          <w:i/>
          <w:iCs/>
          <w:color w:val="6B655C"/>
          <w:sz w:val="24"/>
          <w:szCs w:val="24"/>
        </w:rPr>
        <w:t xml:space="preserve">Drops scellés multi-gagnants pour l’horlogerie premium brand-direct</w:t>
      </w:r>
    </w:p>
    <w:p>
      <w:pPr>
        <w:pBdr>
          <w:bottom w:val="single" w:color="9A7B33" w:sz="12" w:space="10"/>
        </w:pBdr>
      </w:pPr>
    </w:p>
    <w:p>
      <w:pPr>
        <w:spacing w:after="60" w:before="360"/>
      </w:pPr>
      <w:r>
        <w:rPr>
          <w:b/>
          <w:bCs/>
          <w:color w:val="9A7B33"/>
          <w:sz w:val="32"/>
          <w:szCs w:val="32"/>
        </w:rPr>
        <w:t xml:space="preserve">Business plan et note de structuration</w:t>
      </w:r>
    </w:p>
    <w:p>
      <w:pPr>
        <w:spacing w:after="40"/>
      </w:pPr>
      <w:r>
        <w:rPr>
          <w:color w:val="6B655C"/>
          <w:sz w:val="22"/>
          <w:szCs w:val="22"/>
        </w:rPr>
        <w:t xml:space="preserve">Prévisionnel 3 ans et recommandation de structure juridique</w:t>
      </w:r>
    </w:p>
    <w:p>
      <w:pPr>
        <w:spacing w:after="40" w:before="2400"/>
      </w:pPr>
      <w:r>
        <w:rPr>
          <w:b/>
          <w:bCs/>
          <w:sz w:val="22"/>
          <w:szCs w:val="22"/>
        </w:rPr>
        <w:t xml:space="preserve">Veracruz SRL</w:t>
      </w:r>
    </w:p>
    <w:p>
      <w:pPr>
        <w:spacing w:after="140" w:line="276"/>
      </w:pPr>
      <w:r>
        <w:rPr>
          <w:color w:val="6B655C"/>
          <w:sz w:val="20"/>
          <w:szCs w:val="20"/>
        </w:rPr>
        <w:t xml:space="preserve">Route de Huy 134, 4287 Lincent, Belgique</w:t>
      </w:r>
    </w:p>
    <w:p>
      <w:pPr>
        <w:spacing w:after="140" w:line="276"/>
      </w:pPr>
      <w:r>
        <w:rPr>
          <w:color w:val="6B655C"/>
          <w:sz w:val="20"/>
          <w:szCs w:val="20"/>
        </w:rPr>
        <w:t xml:space="preserve">BCE BE 0799.209.229</w:t>
      </w:r>
    </w:p>
    <w:p>
      <w:pPr>
        <w:spacing w:after="140" w:line="276"/>
      </w:pPr>
      <w:r>
        <w:rPr>
          <w:color w:val="6B655C"/>
          <w:sz w:val="20"/>
          <w:szCs w:val="20"/>
        </w:rPr>
        <w:t xml:space="preserve">Raphaël Hombroeck, fondateur — raph@dropno.eu</w:t>
      </w:r>
    </w:p>
    <w:p>
      <w:pPr>
        <w:spacing w:before="200"/>
      </w:pPr>
      <w:r>
        <w:rPr>
          <w:i/>
          <w:iCs/>
          <w:color w:val="6B655C"/>
          <w:sz w:val="18"/>
          <w:szCs w:val="18"/>
        </w:rPr>
        <w:t xml:space="preserve">Version de travail — 18 juin 2026 — confidentiel</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40" w:line="276"/>
      </w:pPr>
      <w:r>
        <w:t xml:space="preserve">Drop No. est une plateforme de ventes événementielles pour montres premium, opérée en direct avec les maisons horlogères (brand-direct, sans revente entre particuliers). Chaque semaine, une maison ouvre un drop : un nombre limité N d’exemplaires d’une pièce, un prix plancher, et une fenêtre d’offres de cinq jours. Les acheteurs soumettent une offre cachée (sealed bid). À la révélation, le jeudi 18h, les N offres les plus hautes au-dessus du plancher l’emportent et toutes payent le même prix : la N-ième offre (clearing au prix uniforme).</w:t>
      </w:r>
    </w:p>
    <w:p>
      <w:pPr>
        <w:spacing w:after="140" w:line="276"/>
      </w:pPr>
      <w:r>
        <w:t xml:space="preserve">Le mécanisme supprime la guerre des enchères en temps réel et la surenchère émotionnelle, tout en laissant le marché révéler le juste prix. Il rassure la maison (maîtrise du plancher, pas de braderie, image préservée) comme l’acheteur (un prix unique et transparent, pas de remords du gagnant).</w:t>
      </w:r>
    </w:p>
    <w:p>
      <w:pPr>
        <w:spacing w:after="140" w:line="276"/>
      </w:pPr>
      <w:r>
        <w:rPr>
          <w:b/>
          <w:bCs/>
        </w:rPr>
        <w:t xml:space="preserve">Modèle économique. </w:t>
      </w:r>
      <w:r>
        <w:t xml:space="preserve">Commission vendeur de 12% plus 5 euros fixes par pièce, acheteur à 0%. Marge brute structurellement élevée (environ 88%) car les coûts variables se limitent au paiement et au KYC. Aucun stock : la maison expédie, Drop No. orchestre la transaction et la logistique assurée.</w:t>
      </w:r>
    </w:p>
    <w:p>
      <w:pPr>
        <w:spacing w:after="140" w:line="276"/>
      </w:pPr>
      <w:r>
        <w:rPr>
          <w:b/>
          <w:bCs/>
        </w:rPr>
        <w:t xml:space="preserve">Trajectoire (scénario central, prudent). </w:t>
      </w:r>
      <w:r>
        <w:t xml:space="preserve">Volume d’affaires (GMV) d’environ 0,34 M€ la première année (lancement sur six mois), 1,29 M€ en année 2, 2,57 M€ en année 3. Revenu plateforme de 41 k€, 156 k€ puis 311 k€. EBITDA légèrement positif dès l’année 1 et en croissance, sous réserve d’une maîtrise des charges de structure.</w:t>
      </w:r>
    </w:p>
    <w:p>
      <w:pPr>
        <w:spacing w:after="140" w:line="276"/>
      </w:pPr>
      <w:r>
        <w:rPr>
          <w:b/>
          <w:bCs/>
        </w:rPr>
        <w:t xml:space="preserve">Besoin de financement. </w:t>
      </w:r>
      <w:r>
        <w:t xml:space="preserve">De l’ordre de 50 k€ couvrant la constitution, un coussin de trésorerie et le marketing d’amorçage. Le modèle est peu capitalistique : pas de stock, marge brute élevée, point mort opérationnel atteint rapidement.</w:t>
      </w:r>
    </w:p>
    <w:p>
      <w:pPr>
        <w:spacing w:after="140" w:line="276"/>
      </w:pPr>
      <w:r>
        <w:rPr>
          <w:b/>
          <w:bCs/>
        </w:rPr>
        <w:t xml:space="preserve">Structure retenue. </w:t>
      </w:r>
      <w:r>
        <w:t xml:space="preserve">Une SRL dédiée (par exemple Drop No. SRL) détenue par Veracruz SRL en holding. C’est la décision arrêtée. Elle cloisonne le risque d’une activité qui manipule des paiements et du luxe, prépare une entrée d’investisseur ou une cession propre, et bénéficie du régime des revenus définitivement taxés (RDT) sur les dividendes et plus-values remontés vers Veracruz. La section 7 détaille l’analyse. La rédaction des statuts et le calibrage fiscal restent à valider avec un notaire et un expert-comptable.</w:t>
      </w:r>
    </w:p>
    <w:p>
      <w:r>
        <w:br w:type="page"/>
      </w:r>
    </w:p>
    <w:p>
      <w:pPr>
        <w:pStyle w:val="Heading1"/>
      </w:pPr>
      <w:r>
        <w:t xml:space="preserve">2. Le projet et le mécanisme</w:t>
      </w:r>
    </w:p>
    <w:p>
      <w:pPr>
        <w:pStyle w:val="Heading2"/>
      </w:pPr>
      <w:r>
        <w:t xml:space="preserve">2.1 Le constat</w:t>
      </w:r>
    </w:p>
    <w:p>
      <w:pPr>
        <w:spacing w:after="140" w:line="276"/>
      </w:pPr>
      <w:r>
        <w:t xml:space="preserve">L’horlogerie premium vit deux frustrations symétriques. Côté maisons indépendantes et ateliers, l’allocation des pièces rares se fait par listes d’attente opaques, au profit de revendeurs qui captent la prime sur le marché gris. Côté acheteurs, l’accès dépend des relations, et le prix de revente échappe à la maison. Les formats d’enchère ouverts (type enchère anglaise) créent une surenchère publique mal alignée avec une image de marque maîtrisée.</w:t>
      </w:r>
    </w:p>
    <w:p>
      <w:pPr>
        <w:pStyle w:val="Heading2"/>
      </w:pPr>
      <w:r>
        <w:t xml:space="preserve">2.2 La mécanique Drop No.</w:t>
      </w:r>
    </w:p>
    <w:p>
      <w:pPr>
        <w:spacing w:after="140" w:line="276"/>
      </w:pPr>
      <w:r>
        <w:t xml:space="preserve">Une maison ouvre un drop hebdomadaire. Paramètres : N exemplaires, prix plancher, fenêtre de cinq jours. Les acheteurs, identifiés (KYC dès la première offre), soumettent une offre cachée, modifiable jusqu’à une heure avant la révélation. À la révélation, le système classe les offres : les N plus hautes supérieures ou égales au plancher gagnent, et toutes payent le même prix, la N-ième offre. C’est un clearing au prix uniforme.</w:t>
      </w:r>
    </w:p>
    <w:p>
      <w:pPr>
        <w:spacing w:after="140" w:line="276"/>
      </w:pPr>
      <w:r>
        <w:t xml:space="preserve">Le rituel est ancré : un drop par semaine, révélation le jeudi 18h, heure de Bruxelles. La catégorie de lancement est la montre uniquement ; bijoux, art et vêtements sont reportés à une version ultérieure.</w:t>
      </w:r>
    </w:p>
    <w:p>
      <w:pPr>
        <w:pStyle w:val="Heading2"/>
      </w:pPr>
      <w:r>
        <w:t xml:space="preserve">2.3 Pourquoi le prix uniforme</w:t>
      </w:r>
    </w:p>
    <w:p>
      <w:pPr>
        <w:pStyle w:val="ListParagraph"/>
        <w:numPr>
          <w:ilvl w:val="0"/>
          <w:numId w:val="2"/>
        </w:numPr>
        <w:spacing w:after="80" w:line="270"/>
      </w:pPr>
      <w:r>
        <w:t xml:space="preserve">Pour la maison : le plancher protège la valeur, l’absence de surenchère publique préserve l’image, et la demande révélée informe les prochaines collections.</w:t>
      </w:r>
    </w:p>
    <w:p>
      <w:pPr>
        <w:pStyle w:val="ListParagraph"/>
        <w:numPr>
          <w:ilvl w:val="0"/>
          <w:numId w:val="2"/>
        </w:numPr>
        <w:spacing w:after="80" w:line="270"/>
      </w:pPr>
      <w:r>
        <w:t xml:space="preserve">Pour l’acheteur : un prix unique et transparent, pas de remords du gagnant, pas de course à la dernière seconde.</w:t>
      </w:r>
    </w:p>
    <w:p>
      <w:pPr>
        <w:pStyle w:val="ListParagraph"/>
        <w:numPr>
          <w:ilvl w:val="0"/>
          <w:numId w:val="2"/>
        </w:numPr>
        <w:spacing w:after="80" w:line="270"/>
      </w:pPr>
      <w:r>
        <w:t xml:space="preserve">Pour la plateforme : un événement net, sans contentieux de surenchère, qui se répète chaque semaine et construit une habitude.</w:t>
      </w:r>
    </w:p>
    <w:p>
      <w:pPr>
        <w:spacing w:after="140" w:line="276"/>
      </w:pPr>
      <w:r>
        <w:t xml:space="preserve">Le choix du clearing à la N-ième offre (et non Vickrey à la N+1-ième) est une décision verrouillée du produit. En cas de sous-souscription, la vente est partielle par défaut (les K offres au-dessus du plancher gagnent et payent la K-ième offre), avec une option tout ou rien activable à la création du drop.</w:t>
      </w:r>
    </w:p>
    <w:p>
      <w:r>
        <w:br w:type="page"/>
      </w:r>
    </w:p>
    <w:p>
      <w:pPr>
        <w:pStyle w:val="Heading1"/>
      </w:pPr>
      <w:r>
        <w:t xml:space="preserve">3. Marché et positionnement</w:t>
      </w:r>
    </w:p>
    <w:p>
      <w:pPr>
        <w:pStyle w:val="Heading2"/>
      </w:pPr>
      <w:r>
        <w:t xml:space="preserve">3.1 Le terrain</w:t>
      </w:r>
    </w:p>
    <w:p>
      <w:pPr>
        <w:spacing w:after="140" w:line="276"/>
      </w:pPr>
      <w:r>
        <w:t xml:space="preserve">Drop No. se positionne à l’intersection du drop culturel (l’habitude de la rareté programmée popularisée par le streetwear premium) et de la vente scellée haut de gamme (les ventes à offre cachée des maisons de vente). La cible initiale : les maisons horlogères indépendantes et de niche, qui produisent en petites séries, maîtrisent mal leur distribution secondaire et cherchent un canal direct, maîtrisé et premium.</w:t>
      </w:r>
    </w:p>
    <w:p>
      <w:pPr>
        <w:pStyle w:val="Heading2"/>
      </w:pPr>
      <w:r>
        <w:t xml:space="preserve">3.2 Positionnement</w:t>
      </w:r>
    </w:p>
    <w:p>
      <w:pPr>
        <w:spacing w:after="140" w:line="276"/>
      </w:pPr>
      <w:r>
        <w:t xml:space="preserve">Le modèle est strictement brand-direct et B2C : la maison est le vendeur, son certificat fait foi, il n’y a pas de revente entre particuliers. Cela écarte les problématiques d’authentification et de contrefaçon qui pèsent sur les places de marché d’occasion, et fait de Drop No. un partenaire de distribution plutôt qu’un concurrent du réseau.</w:t>
      </w:r>
    </w:p>
    <w:p>
      <w:pPr>
        <w:pStyle w:val="Heading2"/>
      </w:pPr>
      <w:r>
        <w:t xml:space="preserve">3.3 Avantages défendables</w:t>
      </w:r>
    </w:p>
    <w:p>
      <w:pPr>
        <w:pStyle w:val="ListParagraph"/>
        <w:numPr>
          <w:ilvl w:val="0"/>
          <w:numId w:val="2"/>
        </w:numPr>
        <w:spacing w:after="80" w:line="270"/>
      </w:pPr>
      <w:r>
        <w:t xml:space="preserve">Un mécanisme de prix propre, aligné avec l’image des maisons, difficile à répliquer sans rompre l’expérience.</w:t>
      </w:r>
    </w:p>
    <w:p>
      <w:pPr>
        <w:pStyle w:val="ListParagraph"/>
        <w:numPr>
          <w:ilvl w:val="0"/>
          <w:numId w:val="2"/>
        </w:numPr>
        <w:spacing w:after="80" w:line="270"/>
      </w:pPr>
      <w:r>
        <w:t xml:space="preserve">Un rituel hebdomadaire qui crée une audience récurrente et une donnée de demande précieuse pour les maisons.</w:t>
      </w:r>
    </w:p>
    <w:p>
      <w:pPr>
        <w:pStyle w:val="ListParagraph"/>
        <w:numPr>
          <w:ilvl w:val="0"/>
          <w:numId w:val="2"/>
        </w:numPr>
        <w:spacing w:after="80" w:line="270"/>
      </w:pPr>
      <w:r>
        <w:t xml:space="preserve">Une infrastructure de confiance déjà construite : KYC, paiement pré-autorisé, logistique assurée, back-office opérateur et espace maison.</w:t>
      </w:r>
    </w:p>
    <w:p>
      <w:pPr>
        <w:pStyle w:val="ListParagraph"/>
        <w:numPr>
          <w:ilvl w:val="0"/>
          <w:numId w:val="2"/>
        </w:numPr>
        <w:spacing w:after="80" w:line="270"/>
      </w:pPr>
      <w:r>
        <w:t xml:space="preserve">Une conformité pensée en amont (KYC dès 1 euro pour l’AML sur le luxe, rétractation 14 jours, sécurité des données).</w:t>
      </w:r>
    </w:p>
    <w:p>
      <w:r>
        <w:br w:type="page"/>
      </w:r>
    </w:p>
    <w:p>
      <w:pPr>
        <w:pStyle w:val="Heading1"/>
      </w:pPr>
      <w:r>
        <w:t xml:space="preserve">4. Modèle économique</w:t>
      </w:r>
    </w:p>
    <w:p>
      <w:pPr>
        <w:pStyle w:val="Heading2"/>
      </w:pPr>
      <w:r>
        <w:t xml:space="preserve">4.1 Sources de revenu</w:t>
      </w:r>
    </w:p>
    <w:p>
      <w:pPr>
        <w:spacing w:after="140" w:line="276"/>
      </w:pPr>
      <w:r>
        <w:t xml:space="preserve">Drop No. prélève une commission sur la maison de 12% du prix de clearing, plus 5 euros fixes par pièce vendue. L’acheteur ne paye aucun frais de plateforme. Une source de revenu complémentaire existe déjà : le Privilège No 001, une offre privée post-révélation au meilleur enchérisseur pour réserver le numéro de série 001, facturée en supplément. Elle n’est pas modélisée ici par prudence et constitue un levier additionnel.</w:t>
      </w:r>
    </w:p>
    <w:p>
      <w:pPr>
        <w:pStyle w:val="Heading2"/>
      </w:pPr>
      <w:r>
        <w:t xml:space="preserve">4.2 Unit economics par pièce</w:t>
      </w:r>
    </w:p>
    <w:p>
      <w:pPr>
        <w:spacing w:after="140" w:line="276"/>
      </w:pPr>
      <w:r>
        <w:t xml:space="preserve">L’illustration ci-dessous prend un prix de clearing de 5 000 euros, représentatif du scénario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Poste (par pièce vendue, clearing 5 000€)</w:t>
            </w:r>
          </w:p>
        </w:tc>
        <w:tc>
          <w:tcPr>
            <w:tcW w:type="dxa" w:w="38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Montant</w:t>
            </w:r>
          </w:p>
        </w:tc>
      </w:tr>
      <w:tr>
        <w:tc>
          <w:tcPr>
            <w:tcW w:type="dxa" w:w="5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Commission plateforme (12%)</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600 €</w:t>
            </w:r>
          </w:p>
        </w:tc>
      </w:tr>
      <w:tr>
        <w:tc>
          <w:tcPr>
            <w:tcW w:type="dxa" w:w="5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Frais fixe par transaction</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5 €</w:t>
            </w:r>
          </w:p>
        </w:tc>
      </w:tr>
      <w:tr>
        <w:tc>
          <w:tcPr>
            <w:tcW w:type="dxa" w:w="52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Revenu plateforme</w:t>
            </w:r>
          </w:p>
        </w:tc>
        <w:tc>
          <w:tcPr>
            <w:tcW w:type="dxa" w:w="3826"/>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605 €</w:t>
            </w:r>
          </w:p>
        </w:tc>
      </w:tr>
      <w:tr>
        <w:tc>
          <w:tcPr>
            <w:tcW w:type="dxa" w:w="5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Frais de paiement (≈1,4% + 0,25€)</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-70 €</w:t>
            </w:r>
          </w:p>
        </w:tc>
      </w:tr>
      <w:tr>
        <w:tc>
          <w:tcPr>
            <w:tcW w:type="dxa" w:w="5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KYC / vérification d’identité</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-2 €</w:t>
            </w:r>
          </w:p>
        </w:tc>
      </w:tr>
      <w:tr>
        <w:tc>
          <w:tcPr>
            <w:tcW w:type="dxa" w:w="5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Marge brute par pièce</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9A7B33"/>
                <w:sz w:val="20"/>
                <w:szCs w:val="20"/>
              </w:rPr>
              <w:t xml:space="preserve">≈ 533 € (88%)</w:t>
            </w:r>
          </w:p>
        </w:tc>
      </w:tr>
    </w:tbl>
    <w:p>
      <w:pPr>
        <w:spacing w:after="120"/>
      </w:pPr>
    </w:p>
    <w:p>
      <w:pPr>
        <w:spacing w:after="140" w:line="276"/>
      </w:pPr>
      <w:r>
        <w:t xml:space="preserve">La marge brute reste autour de 88% quel que soit le prix de clearing, parce que les seuls coûts variables sont proportionnellement faibles. C’est la signature économique d’une place de marché logicielle : le coût marginal d’un drop supplémentaire est quasi nul une fois la plateforme construite.</w:t>
      </w:r>
    </w:p>
    <w:p>
      <w:pPr>
        <w:pStyle w:val="Heading2"/>
      </w:pPr>
      <w:r>
        <w:t xml:space="preserve">4.3 Logistique et trésorerie</w:t>
      </w:r>
    </w:p>
    <w:p>
      <w:pPr>
        <w:spacing w:after="140" w:line="276"/>
      </w:pPr>
      <w:r>
        <w:t xml:space="preserve">La logistique est assurée selon la valeur : DHL Express assuré pour 3 à 10 k€, transport concierge en main propre au-delà. Elle est traitée comme un poste refacturé, sans risque de stock pour la plateforme. Côté trésorerie, le paiement acheteur est pré-autorisé puis capturé à la révélation ; la commission est retenue avant reversement à la maison. Le cycle est court et la plateforme ne porte pas le coût des marchandises.</w:t>
      </w:r>
    </w:p>
    <w:p>
      <w:r>
        <w:br w:type="page"/>
      </w:r>
    </w:p>
    <w:p>
      <w:pPr>
        <w:pStyle w:val="Heading1"/>
      </w:pPr>
      <w:r>
        <w:t xml:space="preserve">5. Prévisionnel financier sur trois ans</w:t>
      </w:r>
    </w:p>
    <w:p>
      <w:pPr>
        <w:spacing w:after="140" w:line="276"/>
      </w:pPr>
      <w:r>
        <w:t xml:space="preserve">Scénario central, volontairement prudent. Les hypothèses détaillées figurent en annexe. Montants en euros.</w:t>
      </w:r>
    </w:p>
    <w:p>
      <w:pPr>
        <w:pStyle w:val="Heading2"/>
      </w:pPr>
      <w:r>
        <w:t xml:space="preserve">5.1 Hypothèses d’activité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1</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2</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3</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Drops dans l’année</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24</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46</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Pièces offertes par drop</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6</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9</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Taux d’écoulement</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78%</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85%</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88%</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Prix de clearing moyen</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4 500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5 500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6 500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Pièces vendues</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75</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235</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396</w:t>
            </w:r>
          </w:p>
        </w:tc>
      </w:tr>
    </w:tbl>
    <w:p>
      <w:pPr>
        <w:spacing w:after="120"/>
      </w:pPr>
    </w:p>
    <w:p>
      <w:pPr>
        <w:pStyle w:val="Heading2"/>
      </w:pPr>
      <w:r>
        <w:t xml:space="preserve">5.2 Du drop au chiffre d’affaires</w:t>
      </w:r>
    </w:p>
    <w:p>
      <w:pPr>
        <w:spacing w:after="140" w:line="276"/>
      </w:pPr>
      <w:r>
        <w:t xml:space="preserve">Le revenu se construit en une chaîne simple. Chaque ligne ci-dessous découle de la précédente, sans hypothèse cachée.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c>
          <w:tcPr>
            <w:tcW w:type="dxa" w:w="36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Étape de calcul</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1</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2</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3</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Drops dans l’année</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24</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46</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50</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 pièces mises en vente par drop</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6</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9</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 pièces proposées sur l’année</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96</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276</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450</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 taux d’écoulement</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78%</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85%</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88%</w:t>
            </w:r>
          </w:p>
        </w:tc>
      </w:tr>
      <w:tr>
        <w:tc>
          <w:tcPr>
            <w:tcW w:type="dxa" w:w="3626"/>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 ventes réalisées</w:t>
            </w:r>
          </w:p>
        </w:tc>
        <w:tc>
          <w:tcPr>
            <w:tcW w:type="dxa" w:w="18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75</w:t>
            </w:r>
          </w:p>
        </w:tc>
        <w:tc>
          <w:tcPr>
            <w:tcW w:type="dxa" w:w="18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235</w:t>
            </w:r>
          </w:p>
        </w:tc>
        <w:tc>
          <w:tcPr>
            <w:tcW w:type="dxa" w:w="18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396</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 prix de clearing moyen</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4 500 €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5 500 €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6 500 €</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 volume d’affaires (GMV)</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337 500 €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1 292 500 €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2 574 000 €</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Commission 12% du GMV</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40 500 €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155 100 €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308 880 €</w:t>
            </w:r>
          </w:p>
        </w:tc>
      </w:tr>
      <w:tr>
        <w:tc>
          <w:tcPr>
            <w:tcW w:type="dxa" w:w="3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+ 5 € par vente</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375 €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1 175 €</w:t>
            </w:r>
          </w:p>
        </w:tc>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1 980 €</w:t>
            </w:r>
          </w:p>
        </w:tc>
      </w:tr>
      <w:tr>
        <w:tc>
          <w:tcPr>
            <w:tcW w:type="dxa" w:w="36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 revenu plateforme Drop No.</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40 875 €</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156 275 €</w:t>
            </w:r>
          </w:p>
        </w:tc>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310 860 €</w:t>
            </w:r>
          </w:p>
        </w:tc>
      </w:tr>
    </w:tbl>
    <w:p>
      <w:pPr>
        <w:spacing w:after="120"/>
      </w:pPr>
    </w:p>
    <w:p>
      <w:pPr>
        <w:spacing w:after="140" w:line="276"/>
      </w:pPr>
      <w:r>
        <w:rPr>
          <w:b/>
          <w:bCs/>
        </w:rPr>
        <w:t xml:space="preserve">Lecture d’un drop type (année 2). </w:t>
      </w:r>
      <w:r>
        <w:t xml:space="preserve">6 pièces proposées, prix de clearing moyen de 5 500 euros. Si les 6 trouvent preneur, le volume d’affaires du drop est de 33 000 euros et le revenu Drop No. est de 6 × 5 500 × 12% + 6 × 5 = 3 960 + 30 = 3 990 euros. À raison de 46 drops, on retrouve l’ordre de grandeur annuel.</w:t>
      </w:r>
    </w:p>
    <w:p>
      <w:pPr>
        <w:spacing w:after="140" w:line="276"/>
      </w:pPr>
      <w:r>
        <w:t xml:space="preserve">La progression d’une année à l’autre vient de trois leviers cumulés : plus de drops (la cadence hebdomadaire se met en place), plus de pièces par drop (les maisons proposent des séries plus larges à mesure que la confiance s’installe), et un prix de clearing moyen plus élevé (montée en gamme du catalogue et de l’audience). Le taux d’écoulement s’améliore aussi avec la liquidité de la demande.</w:t>
      </w:r>
    </w:p>
    <w:p>
      <w:pPr>
        <w:spacing w:after="120"/>
      </w:pPr>
    </w:p>
    <w:p>
      <w:pPr>
        <w:pStyle w:val="Heading2"/>
      </w:pPr>
      <w:r>
        <w:t xml:space="preserve">5.3 Compte de résultat simplifié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1</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2</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Année 3</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Volume d’affaires (GMV)</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337 500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1 292 500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2 574 000</w:t>
            </w:r>
          </w:p>
        </w:tc>
      </w:tr>
      <w:tr>
        <w:tc>
          <w:tcPr>
            <w:tcW w:type="dxa" w:w="3026"/>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Revenu plateforme</w:t>
            </w:r>
          </w:p>
        </w:tc>
        <w:tc>
          <w:tcPr>
            <w:tcW w:type="dxa" w:w="20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40 875</w:t>
            </w:r>
          </w:p>
        </w:tc>
        <w:tc>
          <w:tcPr>
            <w:tcW w:type="dxa" w:w="20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156 275</w:t>
            </w:r>
          </w:p>
        </w:tc>
        <w:tc>
          <w:tcPr>
            <w:tcW w:type="dxa" w:w="20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310 860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Coûts variables (paiement, KYC)</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-4 879</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-18 577</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-36 848</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Marge brute</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35 996</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137 698</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274 012</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Charges de personnel</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-48 000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-110 000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Marketing et acquisition</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-15 000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-40 000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-70 000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Infrastructure et outils</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-5 400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-8 400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-12 000</w:t>
            </w:r>
          </w:p>
        </w:tc>
      </w:tr>
      <w:tr>
        <w:tc>
          <w:tcPr>
            <w:tcW w:type="dxa" w:w="30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Autres charges (compta, juridique, assurance)</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-12 000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-22 000</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-32 000</w:t>
            </w:r>
          </w:p>
        </w:tc>
      </w:tr>
      <w:tr>
        <w:tc>
          <w:tcPr>
            <w:tcW w:type="dxa" w:w="30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EBITDA</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3 596</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19 298</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50 012</w:t>
            </w:r>
          </w:p>
        </w:tc>
      </w:tr>
    </w:tbl>
    <w:p>
      <w:pPr>
        <w:spacing w:after="120"/>
      </w:pPr>
    </w:p>
    <w:p>
      <w:pPr>
        <w:spacing w:after="140" w:line="276"/>
      </w:pPr>
      <w:r>
        <w:t xml:space="preserve">Lecture. L’année 1 atteint un quasi-équilibre opérationnel parce que le fondateur n’est pas rémunéré (apport en industrie) et que les charges restent légères. L’année 2 absorbe une première embauche opérationnelle et un effort marketing accru tout en restant positive. L’année 3 dégage un EBITDA d’environ 50 k€, la croissance du volume dépassant celle des charges de structure. Ces résultats s’entendent avant impôt et avant amortissements, et avant toute rémunération significative du dirigeant au-delà de l’année 2.</w:t>
      </w:r>
    </w:p>
    <w:p>
      <w:pPr>
        <w:pStyle w:val="Heading2"/>
      </w:pPr>
      <w:r>
        <w:t xml:space="preserve">5.4 Sensibilité</w:t>
      </w:r>
    </w:p>
    <w:p>
      <w:pPr>
        <w:spacing w:after="140" w:line="276"/>
      </w:pPr>
      <w:r>
        <w:t xml:space="preserve">Les deux variables qui pilotent le modèle sont le prix de clearing moyen et le nombre de pièces par drop. Le revenu évoluant linéairement avec le volume d’affaires et la marge brute restant autour de 88%, une hausse de 20% du clearing moyen ou du nombre de pièces se répercute presque intégralement en marge brute. Inversement, le scénario reste robuste à la baisse tant que les charges de structure sont pilotées au rythme réel de l’activité et non anticipées.</w:t>
      </w:r>
    </w:p>
    <w:p>
      <w:r>
        <w:br w:type="page"/>
      </w:r>
    </w:p>
    <w:p>
      <w:pPr>
        <w:pStyle w:val="Heading1"/>
      </w:pPr>
      <w:r>
        <w:t xml:space="preserve">6. Besoin de financement : pourquoi 50 000 euros</w:t>
      </w:r>
    </w:p>
    <w:p>
      <w:pPr>
        <w:spacing w:after="140" w:line="276"/>
      </w:pPr>
      <w:r>
        <w:t xml:space="preserve">Le projet est peu capitalistique : pas de stock à financer, marge brute élevée dès la première vente, cycle de trésorerie court. Le besoin de 50 000 euros n’est donc pas un coût d’exploitation à perte, mais une réserve d’amorçage qui couvre le temps avant que les revenus mensuels ne dépassent les charges mensuelles. Il se décompose en quatre postes.</w:t>
      </w:r>
    </w:p>
    <w:p>
      <w:pPr>
        <w:pStyle w:val="Heading2"/>
      </w:pPr>
      <w:r>
        <w:t xml:space="preserve">6.1 Décomposition du besoin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400"/>
        <w:gridCol w:w="2000"/>
      </w:tblGrid>
      <w:tr>
        <w:tc>
          <w:tcPr>
            <w:tcW w:type="dxa" w:w="46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Poste</w:t>
            </w:r>
          </w:p>
        </w:tc>
        <w:tc>
          <w:tcPr>
            <w:tcW w:type="dxa" w:w="24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Détail</w:t>
            </w:r>
          </w:p>
        </w:tc>
        <w:tc>
          <w:tcPr>
            <w:tcW w:type="dxa" w:w="20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Montant</w:t>
            </w:r>
          </w:p>
        </w:tc>
      </w:tr>
      <w:tr>
        <w:tc>
          <w:tcPr>
            <w:tcW w:type="dxa" w:w="4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Constitution et frais juridiques de lancement</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18"/>
                <w:szCs w:val="18"/>
              </w:rPr>
              <w:t xml:space="preserve">Notaire ≈ 1 500, BCE 112, Moniteur, plan financier, statuts</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3 500 €</w:t>
            </w:r>
          </w:p>
        </w:tc>
      </w:tr>
      <w:tr>
        <w:tc>
          <w:tcPr>
            <w:tcW w:type="dxa" w:w="4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Trésorerie de fonctionnement (12 mois)</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18"/>
                <w:szCs w:val="18"/>
              </w:rPr>
              <w:t xml:space="preserve">≈ 1 650 €/mois de charges fixes × 12</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20 000 €</w:t>
            </w:r>
          </w:p>
        </w:tc>
      </w:tr>
      <w:tr>
        <w:tc>
          <w:tcPr>
            <w:tcW w:type="dxa" w:w="4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Marketing et acquisition d’amorçage</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18"/>
                <w:szCs w:val="18"/>
              </w:rPr>
              <w:t xml:space="preserve">Année 1, signature des premières maisons</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15 000 €</w:t>
            </w:r>
          </w:p>
        </w:tc>
      </w:tr>
      <w:tr>
        <w:tc>
          <w:tcPr>
            <w:tcW w:type="dxa" w:w="4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20"/>
                <w:szCs w:val="20"/>
              </w:rPr>
              <w:t xml:space="preserve">Réserve de roulement et imprévus</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18"/>
                <w:szCs w:val="18"/>
              </w:rPr>
              <w:t xml:space="preserve">Avances de remboursement (rétractation 14 j) + sécurité</w:t>
            </w:r>
          </w:p>
        </w:tc>
        <w:tc>
          <w:tcPr>
            <w:tcW w:type="dxa" w:w="20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11 500 €</w:t>
            </w:r>
          </w:p>
        </w:tc>
      </w:tr>
      <w:tr>
        <w:tc>
          <w:tcPr>
            <w:tcW w:type="dxa" w:w="4626"/>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Total</w:t>
            </w:r>
          </w:p>
        </w:tc>
        <w:tc>
          <w:tcPr>
            <w:tcW w:type="dxa" w:w="24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val="false"/>
                <w:bCs w:val="false"/>
                <w:color w:val="26211C"/>
                <w:sz w:val="20"/>
                <w:szCs w:val="20"/>
              </w:rPr>
              <w:t xml:space="preserve"/>
            </w:r>
          </w:p>
        </w:tc>
        <w:tc>
          <w:tcPr>
            <w:tcW w:type="dxa" w:w="20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50 000 €</w:t>
            </w:r>
          </w:p>
        </w:tc>
      </w:tr>
    </w:tbl>
    <w:p>
      <w:pPr>
        <w:spacing w:after="120"/>
      </w:pPr>
    </w:p>
    <w:p>
      <w:pPr>
        <w:pStyle w:val="Heading2"/>
      </w:pPr>
      <w:r>
        <w:t xml:space="preserve">6.2 Le détail des 20 000 euros de trésorerie de fonctionnement</w:t>
      </w:r>
    </w:p>
    <w:p>
      <w:pPr>
        <w:spacing w:after="140" w:line="276"/>
      </w:pPr>
      <w:r>
        <w:t xml:space="preserve">C’est le poste le plus important, donc le plus explicité. En phase de lancement, le fondateur n’est pas rémunéré ; les seules charges fixes mensuelles sont les suivantes.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Charge fixe mensuelle (phase de lancement)</w:t>
            </w:r>
          </w:p>
        </w:tc>
        <w:tc>
          <w:tcPr>
            <w:tcW w:type="dxa" w:w="24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right"/>
            </w:pPr>
            <w:r>
              <w:rPr>
                <w:b/>
                <w:bCs/>
                <w:color w:val="FFFFFF"/>
                <w:sz w:val="20"/>
                <w:szCs w:val="20"/>
              </w:rPr>
              <w:t xml:space="preserve">Par mois</w:t>
            </w:r>
          </w:p>
        </w:tc>
      </w:tr>
      <w:tr>
        <w:tc>
          <w:tcPr>
            <w:tcW w:type="dxa" w:w="6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Infrastructure et outils (Supabase, Vercel, PostHog, Resend, Crisp, domaine)</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450 €</w:t>
            </w:r>
          </w:p>
        </w:tc>
      </w:tr>
      <w:tr>
        <w:tc>
          <w:tcPr>
            <w:tcW w:type="dxa" w:w="6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Comptabilité, juridique, assurance responsabilité civile professionnelle</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1 000 €</w:t>
            </w:r>
          </w:p>
        </w:tc>
      </w:tr>
      <w:tr>
        <w:tc>
          <w:tcPr>
            <w:tcW w:type="dxa" w:w="6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Frais bancaires, abonnements KYC, divers</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val="false"/>
                <w:bCs w:val="false"/>
                <w:color w:val="26211C"/>
                <w:sz w:val="20"/>
                <w:szCs w:val="20"/>
              </w:rPr>
              <w:t xml:space="preserve">200 €</w:t>
            </w:r>
          </w:p>
        </w:tc>
      </w:tr>
      <w:tr>
        <w:tc>
          <w:tcPr>
            <w:tcW w:type="dxa" w:w="6626"/>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Total charges fixes mensuelles</w:t>
            </w:r>
          </w:p>
        </w:tc>
        <w:tc>
          <w:tcPr>
            <w:tcW w:type="dxa" w:w="24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right"/>
            </w:pPr>
            <w:r>
              <w:rPr>
                <w:b/>
                <w:bCs/>
                <w:color w:val="26211C"/>
                <w:sz w:val="20"/>
                <w:szCs w:val="20"/>
              </w:rPr>
              <w:t xml:space="preserve">≈ 1 650 €</w:t>
            </w:r>
          </w:p>
        </w:tc>
      </w:tr>
      <w:tr>
        <w:tc>
          <w:tcPr>
            <w:tcW w:type="dxa" w:w="66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Sur 12 mois</w:t>
            </w:r>
          </w:p>
        </w:tc>
        <w:tc>
          <w:tcPr>
            <w:tcW w:type="dxa" w:w="2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right"/>
            </w:pPr>
            <w:r>
              <w:rPr>
                <w:b/>
                <w:bCs/>
                <w:color w:val="26211C"/>
                <w:sz w:val="20"/>
                <w:szCs w:val="20"/>
              </w:rPr>
              <w:t xml:space="preserve">≈ 20 000 €</w:t>
            </w:r>
          </w:p>
        </w:tc>
      </w:tr>
    </w:tbl>
    <w:p>
      <w:pPr>
        <w:spacing w:after="120"/>
      </w:pPr>
    </w:p>
    <w:p>
      <w:pPr>
        <w:spacing w:after="140" w:line="276"/>
      </w:pPr>
      <w:r>
        <w:t xml:space="preserve">Concrètement, le revenu de l’année 1 (environ 41 000 euros) couvre déjà l’ensemble des charges de l’année. La réserve de trésorerie sert donc à absorber le décalage : les charges courent dès le premier mois, alors que les revenus n’arrivent qu’à partir des premiers drops et montent progressivement. Sans cette réserve, un trimestre de démarrage lent suffirait à mettre la société en tension.</w:t>
      </w:r>
    </w:p>
    <w:p>
      <w:pPr>
        <w:pStyle w:val="Heading2"/>
      </w:pPr>
      <w:r>
        <w:t xml:space="preserve">6.3 La réserve de roulement (11 500 euros)</w:t>
      </w:r>
    </w:p>
    <w:p>
      <w:pPr>
        <w:spacing w:after="140" w:line="276"/>
      </w:pPr>
      <w:r>
        <w:t xml:space="preserve">Le droit de rétractation européen de 14 jours crée une exposition de trésorerie particulière : si un acheteur se rétracte, Drop No. peut devoir rembourser l’acheteur avant d’avoir récupéré sa part auprès de la maison. Avec un prix de clearing de plusieurs milliers d’euros par pièce, deux ou trois cas simultanés représentent une avance temporaire de l’ordre de 10 000 euros. Cette réserve couvre ce risque de calendrier ainsi que les imprévus de lancement.</w:t>
      </w:r>
    </w:p>
    <w:p>
      <w:pPr>
        <w:pStyle w:val="Heading2"/>
      </w:pPr>
      <w:r>
        <w:t xml:space="preserve">6.4 Sources de financement</w:t>
      </w:r>
    </w:p>
    <w:p>
      <w:pPr>
        <w:spacing w:after="140" w:line="276"/>
      </w:pPr>
      <w:r>
        <w:t xml:space="preserve">Ce besoin peut être couvert par apport des associés en capital et en compte courant (Veracruz comme actionnaire de la holding), le cas échéant complété par un crédit de lancement bancaire ou une aide régionale wallonne à l’amorçage. La structure de coûts permet d’atteindre l’autofinancement opérationnel dès l’année 1, ce qui limite fortement la dilution si une levée devait intervenir plus tard pour accélérer la croissance.</w:t>
      </w:r>
    </w:p>
    <w:p>
      <w:pPr>
        <w:spacing w:after="140" w:line="276"/>
      </w:pPr>
      <w:r>
        <w:rPr>
          <w:b/>
          <w:bCs/>
        </w:rPr>
        <w:t xml:space="preserve">Point d’attention opérationnel : </w:t>
      </w:r>
      <w:r>
        <w:t xml:space="preserve">la clé secrète Stripe (capture des paiements) doit être reposée côté backend avant tout drop réel, faute de quoi aucune capture ni remboursement ne fonctionne. Ce point technique conditionne le premier euro encaissé.</w:t>
      </w:r>
    </w:p>
    <w:p>
      <w:r>
        <w:br w:type="page"/>
      </w:r>
    </w:p>
    <w:p>
      <w:pPr>
        <w:pStyle w:val="Heading1"/>
      </w:pPr>
      <w:r>
        <w:t xml:space="preserve">7. Structure juridique : analyse et recommandation</w:t>
      </w:r>
    </w:p>
    <w:p>
      <w:pPr>
        <w:spacing w:after="140" w:line="276"/>
      </w:pPr>
      <w:r>
        <w:t xml:space="preserve">C’est la question centrale de cette note : faut-il loger Drop No. dans Veracruz SRL, le détenir en nom propre, ou créer une société dédiée, et dans ce dernier cas, qui en détient les parts ?</w:t>
      </w:r>
    </w:p>
    <w:p>
      <w:pPr>
        <w:pStyle w:val="Heading2"/>
      </w:pPr>
      <w:r>
        <w:t xml:space="preserve">7.1 Les trois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Option</w:t>
            </w:r>
          </w:p>
        </w:tc>
        <w:tc>
          <w:tcPr>
            <w:tcW w:type="dxa" w:w="3413"/>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Avantages</w:t>
            </w:r>
          </w:p>
        </w:tc>
        <w:tc>
          <w:tcPr>
            <w:tcW w:type="dxa" w:w="3413"/>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Limites</w:t>
            </w:r>
          </w:p>
        </w:tc>
      </w:tr>
      <w:tr>
        <w:tc>
          <w:tcPr>
            <w:tcW w:type="dxa" w:w="2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A. Activité dans Veracruz SRL</w:t>
            </w:r>
          </w:p>
        </w:tc>
        <w:tc>
          <w:tcPr>
            <w:tcW w:type="dxa" w:w="34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Aucun coût de constitution. Mise en route immédiate. Une seule comptabilité.</w:t>
            </w:r>
          </w:p>
        </w:tc>
        <w:tc>
          <w:tcPr>
            <w:tcW w:type="dxa" w:w="34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Aucun cloisonnement : un litige sur un paiement ou une montre expose tout Veracruz. Cap table illisible pour un investisseur. Cession future difficile.</w:t>
            </w:r>
          </w:p>
        </w:tc>
      </w:tr>
      <w:tr>
        <w:tc>
          <w:tcPr>
            <w:tcW w:type="dxa" w:w="22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B. SRL dédiée détenue en nom propre</w:t>
            </w:r>
          </w:p>
        </w:tc>
        <w:tc>
          <w:tcPr>
            <w:tcW w:type="dxa" w:w="34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Cloisonnement du risque. Cap table propre. Éligible au VVPRbis (précompte réduit sur dividendes) si apport en numéraire. Plus-value future : exonération sur le premier 1 M€ si participation ≥ 20%.</w:t>
            </w:r>
          </w:p>
        </w:tc>
        <w:tc>
          <w:tcPr>
            <w:tcW w:type="dxa" w:w="34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Pas de remontée intra-groupe en franchise vers Veracruz. Les liquidités sortent vers le particulier via dividende imposé. Moins souple pour réinvestir.</w:t>
            </w:r>
          </w:p>
        </w:tc>
      </w:tr>
      <w:tr>
        <w:tc>
          <w:tcPr>
            <w:tcW w:type="dxa" w:w="2200"/>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bCs/>
                <w:color w:val="26211C"/>
                <w:sz w:val="20"/>
                <w:szCs w:val="20"/>
              </w:rPr>
              <w:t xml:space="preserve">C. SRL dédiée détenue par Veracruz (holding)</w:t>
            </w:r>
          </w:p>
        </w:tc>
        <w:tc>
          <w:tcPr>
            <w:tcW w:type="dxa" w:w="3413"/>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val="false"/>
                <w:bCs w:val="false"/>
                <w:color w:val="26211C"/>
                <w:sz w:val="19"/>
                <w:szCs w:val="19"/>
              </w:rPr>
              <w:t xml:space="preserve">Cloisonnement du risque. Dividendes remontés à Veracruz quasi exonérés (RDT). Plus-value de cession future exonérée si conditions RDT. Réinvestissement intra-groupe aisé. Exit le plus propre.</w:t>
            </w:r>
          </w:p>
        </w:tc>
        <w:tc>
          <w:tcPr>
            <w:tcW w:type="dxa" w:w="3413"/>
            <w:tcBorders>
              <w:top w:val="single" w:color="CFC9BD" w:sz="1"/>
              <w:left w:val="single" w:color="CFC9BD" w:sz="1"/>
              <w:bottom w:val="single" w:color="CFC9BD" w:sz="1"/>
              <w:right w:val="single" w:color="CFC9BD" w:sz="1"/>
            </w:tcBorders>
            <w:shd w:fill="F2ECDD" w:val="clear"/>
            <w:tcMar>
              <w:top w:type="dxa" w:w="70"/>
              <w:left w:type="dxa" w:w="120"/>
              <w:bottom w:type="dxa" w:w="70"/>
              <w:right w:type="dxa" w:w="120"/>
            </w:tcMar>
            <w:vAlign w:val="center"/>
          </w:tcPr>
          <w:p>
            <w:pPr>
              <w:jc w:val="left"/>
            </w:pPr>
            <w:r>
              <w:rPr>
                <w:b w:val="false"/>
                <w:bCs w:val="false"/>
                <w:color w:val="26211C"/>
                <w:sz w:val="19"/>
                <w:szCs w:val="19"/>
              </w:rPr>
              <w:t xml:space="preserve">Double comptabilité. Pour sortir le cash vers le particulier, un dividende de Veracruz reste imposé. Mise en place à cadrer avec le conseil.</w:t>
            </w:r>
          </w:p>
        </w:tc>
      </w:tr>
    </w:tbl>
    <w:p>
      <w:pPr>
        <w:spacing w:after="120"/>
      </w:pPr>
    </w:p>
    <w:p>
      <w:pPr>
        <w:pStyle w:val="Heading2"/>
      </w:pPr>
      <w:r>
        <w:t xml:space="preserve">7.2 Éléments de droit belge à retenir</w:t>
      </w:r>
    </w:p>
    <w:p>
      <w:pPr>
        <w:pStyle w:val="ListParagraph"/>
        <w:numPr>
          <w:ilvl w:val="0"/>
          <w:numId w:val="2"/>
        </w:numPr>
        <w:spacing w:after="80" w:line="270"/>
      </w:pPr>
      <w:r>
        <w:t xml:space="preserve">Constitution d’une SRL : plus de capital minimum depuis le Code des sociétés et associations (2019), mais un plan financier sur deux ans est obligatoire pour justifier des fonds propres suffisants. Coût tout compris de l’ordre de 2 500 à 3 000 euros (notaire, BCE, Moniteur).</w:t>
      </w:r>
    </w:p>
    <w:p>
      <w:pPr>
        <w:pStyle w:val="ListParagraph"/>
        <w:numPr>
          <w:ilvl w:val="0"/>
          <w:numId w:val="2"/>
        </w:numPr>
        <w:spacing w:after="80" w:line="270"/>
      </w:pPr>
      <w:r>
        <w:t xml:space="preserve">RDT (revenus définitivement taxés), le régime mère-fille belge : les dividendes reçus par une société et les plus-values sur actions sont exonérés si trois conditions sont réunies : détention d’au moins un an, participation d’au moins 10% ou d’une valeur d’acquisition d’au moins 2,5 M€, et taxation normale de la filiale. Une holding détenant 100% de la filiale remplit aisément la condition de participation.</w:t>
      </w:r>
    </w:p>
    <w:p>
      <w:pPr>
        <w:pStyle w:val="ListParagraph"/>
        <w:numPr>
          <w:ilvl w:val="0"/>
          <w:numId w:val="2"/>
        </w:numPr>
        <w:spacing w:after="80" w:line="270"/>
      </w:pPr>
      <w:r>
        <w:t xml:space="preserve">VVPRbis : les petites sociétés peuvent distribuer des dividendes à précompte mobilier réduit si les parts résultent d’un apport en numéraire. Le taux historique de 15% passe à 18% pour les dividendes versés à partir du 1er juillet 2026. Ce levier bénéficie surtout à une détention en nom propre (option B).</w:t>
      </w:r>
    </w:p>
    <w:p>
      <w:pPr>
        <w:pStyle w:val="ListParagraph"/>
        <w:numPr>
          <w:ilvl w:val="0"/>
          <w:numId w:val="2"/>
        </w:numPr>
        <w:spacing w:after="80" w:line="270"/>
      </w:pPr>
      <w:r>
        <w:t xml:space="preserve">Nouvelle taxe sur les plus-values des actifs financiers (personnes physiques) depuis le 1er janvier 2026 : 10% en régime général, avec exonération du premier 1 M€ une fois tous les cinq ans pour une participation d’au moins 20%. Elle ne concerne pas les cessions réalisées par une société (couvertes par le RDT).</w:t>
      </w:r>
    </w:p>
    <w:p>
      <w:pPr>
        <w:pStyle w:val="Heading2"/>
      </w:pPr>
      <w:r>
        <w:t xml:space="preserve">7.3 Décision retenue</w:t>
      </w:r>
    </w:p>
    <w:p>
      <w:pPr>
        <w:spacing w:after="140" w:line="276"/>
      </w:pPr>
      <w:r>
        <w:rPr>
          <w:b/>
          <w:bCs/>
        </w:rPr>
        <w:t xml:space="preserve">L’option C est retenue : une SRL dédiée à Drop No., détenue par Veracruz SRL en holding. </w:t>
      </w:r>
      <w:r>
        <w:t xml:space="preserve">Trois raisons. D’abord le risque : une activité qui manipule des paiements, du KYC, de l’AML et des objets de valeur doit être isolée d’un patrimoine existant. Ensuite la lisibilité : une entité dédiée avec sa propre table de capitalisation est indispensable pour faire entrer un investisseur ou céder proprement. Enfin la fiscalité de groupe : le RDT permet de remonter dividendes et, le jour venu, plus-value de cession vers Veracruz en quasi-franchise, et de réinvestir au sein du groupe.</w:t>
      </w:r>
    </w:p>
    <w:p>
      <w:pPr>
        <w:spacing w:after="140" w:line="276"/>
      </w:pPr>
      <w:r>
        <w:t xml:space="preserve">La détention en nom propre (option B) reste un choix défendable si l’objectif premier est de sortir régulièrement des liquidités vers le particulier avec le précompte réduit VVPRbis, et si aucune levée ni cession n’est envisagée à moyen terme. Loger l’activité dans Veracruz (option A) n’est pas recommandé au-delà d’une phase de test très courte, en raison de l’absence de cloisonnement.</w:t>
      </w:r>
    </w:p>
    <w:p>
      <w:pPr>
        <w:spacing w:after="140" w:line="276"/>
      </w:pPr>
      <w:r>
        <w:rPr>
          <w:b/>
          <w:bCs/>
          <w:color w:val="9A7B33"/>
        </w:rPr>
        <w:t xml:space="preserve">À valider avec un notaire et un expert-comptable. </w:t>
      </w:r>
      <w:r>
        <w:t xml:space="preserve">Cette note n’est pas un conseil juridique ou fiscal. Le choix définitif, la rédaction des statuts, le plan financier obligatoire, le traitement TVA des commissions et le calibrage de l’apport (numéraire pour préserver le VVPRbis le cas échéant) doivent être arrêtés avec vos conseils.</w:t>
      </w:r>
    </w:p>
    <w:p>
      <w:r>
        <w:br w:type="page"/>
      </w:r>
    </w:p>
    <w:p>
      <w:pPr>
        <w:pStyle w:val="Heading1"/>
      </w:pPr>
      <w:r>
        <w:t xml:space="preserve">8. Feuille de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Horizon</w:t>
            </w:r>
          </w:p>
        </w:tc>
        <w:tc>
          <w:tcPr>
            <w:tcW w:type="dxa" w:w="3400"/>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Jalon</w:t>
            </w:r>
          </w:p>
        </w:tc>
        <w:tc>
          <w:tcPr>
            <w:tcW w:type="dxa" w:w="3826"/>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Indicateur de réussite</w:t>
            </w:r>
          </w:p>
        </w:tc>
      </w:tr>
      <w:tr>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T+0 à 3 mois</w:t>
            </w:r>
          </w:p>
        </w:tc>
        <w:tc>
          <w:tcPr>
            <w:tcW w:type="dxa" w:w="3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Constitution de la SRL, plan financier, secret Stripe en production, première maison signée</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Premier drop réel clos avec capture réussie</w:t>
            </w:r>
          </w:p>
        </w:tc>
      </w:tr>
      <w:tr>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T+3 à 9 mois</w:t>
            </w:r>
          </w:p>
        </w:tc>
        <w:tc>
          <w:tcPr>
            <w:tcW w:type="dxa" w:w="3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Cadence hebdomadaire stabilisée, 3 à 5 maisons actives</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24 drops, GMV ≈ 0,34 M€, équilibre opérationnel</w:t>
            </w:r>
          </w:p>
        </w:tc>
      </w:tr>
      <w:tr>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Année 2</w:t>
            </w:r>
          </w:p>
        </w:tc>
        <w:tc>
          <w:tcPr>
            <w:tcW w:type="dxa" w:w="3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Première embauche opérationnelle, montée d’audience, Privilège No 001 généralisé</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GMV ≈ 1,3 M€, EBITDA positif</w:t>
            </w:r>
          </w:p>
        </w:tc>
      </w:tr>
      <w:tr>
        <w:tc>
          <w:tcPr>
            <w:tcW w:type="dxa" w:w="18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Année 3</w:t>
            </w:r>
          </w:p>
        </w:tc>
        <w:tc>
          <w:tcPr>
            <w:tcW w:type="dxa" w:w="3400"/>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Élargissement du portefeuille de maisons, préparation v2 (catégories, EN)</w:t>
            </w:r>
          </w:p>
        </w:tc>
        <w:tc>
          <w:tcPr>
            <w:tcW w:type="dxa" w:w="3826"/>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GMV ≈ 2,6 M€, EBITDA ≈ 50 k€</w:t>
            </w:r>
          </w:p>
        </w:tc>
      </w:tr>
    </w:tbl>
    <w:p>
      <w:pPr>
        <w:spacing w:after="120"/>
      </w:pPr>
    </w:p>
    <w:p>
      <w:pPr>
        <w:pStyle w:val="Heading1"/>
      </w:pPr>
      <w:r>
        <w:t xml:space="preserve">9. Risques et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W w:type="dxa" w:w="3013"/>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Risque</w:t>
            </w:r>
          </w:p>
        </w:tc>
        <w:tc>
          <w:tcPr>
            <w:tcW w:type="dxa" w:w="6013"/>
            <w:tcBorders>
              <w:top w:val="single" w:color="CFC9BD" w:sz="1"/>
              <w:left w:val="single" w:color="CFC9BD" w:sz="1"/>
              <w:bottom w:val="single" w:color="CFC9BD" w:sz="1"/>
              <w:right w:val="single" w:color="CFC9BD" w:sz="1"/>
            </w:tcBorders>
            <w:shd w:fill="2B2622" w:val="clear"/>
            <w:tcMar>
              <w:top w:type="dxa" w:w="70"/>
              <w:left w:type="dxa" w:w="120"/>
              <w:bottom w:type="dxa" w:w="70"/>
              <w:right w:type="dxa" w:w="120"/>
            </w:tcMar>
            <w:vAlign w:val="center"/>
          </w:tcPr>
          <w:p>
            <w:pPr>
              <w:jc w:val="left"/>
            </w:pPr>
            <w:r>
              <w:rPr>
                <w:b/>
                <w:bCs/>
                <w:color w:val="FFFFFF"/>
                <w:sz w:val="20"/>
                <w:szCs w:val="20"/>
              </w:rPr>
              <w:t xml:space="preserve">Mitigation</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Acquisition des maisons (offre)</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Approche brand-direct ciblée sur les indépendants, démonstrations sur drops fictifs, premier partenaire ancré comme référence.</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Liquidité de la demande (sous-souscription)</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Vente partielle par défaut, option tout ou rien, plancher protégeant la maison, constitution patiente d’une audience.</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Conformité AML / KYC</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KYC via Stripe Identity dès la première offre, traçabilité des paiements, rétractation 14 jours conforme au droit européen.</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Dépendance technique (paiement)</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Secret Stripe à reposer avant production, persistance des clôtures, console de clôture et relance manuelle déjà en place.</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Défaut de paiement d’un gagnant</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Pré-autorisation à l’offre, clearing figé pour les autres gagnants, exemplaire remis en vente, pas de cascade.</w:t>
            </w:r>
          </w:p>
        </w:tc>
      </w:tr>
      <w:tr>
        <w:tc>
          <w:tcPr>
            <w:tcW w:type="dxa" w:w="3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bCs/>
                <w:color w:val="26211C"/>
                <w:sz w:val="20"/>
                <w:szCs w:val="20"/>
              </w:rPr>
              <w:t xml:space="preserve">Concentration sur le fondateur</w:t>
            </w:r>
          </w:p>
        </w:tc>
        <w:tc>
          <w:tcPr>
            <w:tcW w:type="dxa" w:w="6013"/>
            <w:tcBorders>
              <w:top w:val="single" w:color="CFC9BD" w:sz="1"/>
              <w:left w:val="single" w:color="CFC9BD" w:sz="1"/>
              <w:bottom w:val="single" w:color="CFC9BD" w:sz="1"/>
              <w:right w:val="single" w:color="CFC9BD" w:sz="1"/>
            </w:tcBorders>
            <w:tcMar>
              <w:top w:type="dxa" w:w="70"/>
              <w:left w:type="dxa" w:w="120"/>
              <w:bottom w:type="dxa" w:w="70"/>
              <w:right w:type="dxa" w:w="120"/>
            </w:tcMar>
            <w:vAlign w:val="center"/>
          </w:tcPr>
          <w:p>
            <w:pPr>
              <w:jc w:val="left"/>
            </w:pPr>
            <w:r>
              <w:rPr>
                <w:b w:val="false"/>
                <w:bCs w:val="false"/>
                <w:color w:val="26211C"/>
                <w:sz w:val="19"/>
                <w:szCs w:val="19"/>
              </w:rPr>
              <w:t xml:space="preserve">Documentation du back-office, première embauche en année 2, structure dédiée facilitant l’entrée d’associés.</w:t>
            </w:r>
          </w:p>
        </w:tc>
      </w:tr>
    </w:tbl>
    <w:p>
      <w:pPr>
        <w:spacing w:after="120"/>
      </w:pPr>
    </w:p>
    <w:p>
      <w:pPr>
        <w:pStyle w:val="Heading1"/>
      </w:pPr>
      <w:r>
        <w:t xml:space="preserve">10. Annexe : hypothèses du modèle</w:t>
      </w:r>
    </w:p>
    <w:p>
      <w:pPr>
        <w:pStyle w:val="ListParagraph"/>
        <w:numPr>
          <w:ilvl w:val="0"/>
          <w:numId w:val="2"/>
        </w:numPr>
        <w:spacing w:after="80" w:line="270"/>
      </w:pPr>
      <w:r>
        <w:t xml:space="preserve">Commission vendeur 12% du clearing, plus 5 euros fixes par pièce ; acheteur 0%.</w:t>
      </w:r>
    </w:p>
    <w:p>
      <w:pPr>
        <w:pStyle w:val="ListParagraph"/>
        <w:numPr>
          <w:ilvl w:val="0"/>
          <w:numId w:val="2"/>
        </w:numPr>
        <w:spacing w:after="80" w:line="270"/>
      </w:pPr>
      <w:r>
        <w:t xml:space="preserve">Frais de paiement estimés à environ 1,4% du volume plus 0,25 euro par transaction ; KYC à environ 1,8 euro par vente (incluant les vérifications sans achat).</w:t>
      </w:r>
    </w:p>
    <w:p>
      <w:pPr>
        <w:pStyle w:val="ListParagraph"/>
        <w:numPr>
          <w:ilvl w:val="0"/>
          <w:numId w:val="2"/>
        </w:numPr>
        <w:spacing w:after="80" w:line="270"/>
      </w:pPr>
      <w:r>
        <w:t xml:space="preserve">Année 1 sur six mois actifs, fondateur non rémunéré (apport en industrie).</w:t>
      </w:r>
    </w:p>
    <w:p>
      <w:pPr>
        <w:pStyle w:val="ListParagraph"/>
        <w:numPr>
          <w:ilvl w:val="0"/>
          <w:numId w:val="2"/>
        </w:numPr>
        <w:spacing w:after="80" w:line="270"/>
      </w:pPr>
      <w:r>
        <w:t xml:space="preserve">Charges de personnel : une embauche opérationnelle en année 2, deux à trois personnes en année 3, rémunération partielle du fondateur à partir de l’année 2.</w:t>
      </w:r>
    </w:p>
    <w:p>
      <w:pPr>
        <w:pStyle w:val="ListParagraph"/>
        <w:numPr>
          <w:ilvl w:val="0"/>
          <w:numId w:val="2"/>
        </w:numPr>
        <w:spacing w:after="80" w:line="270"/>
      </w:pPr>
      <w:r>
        <w:t xml:space="preserve">Résultats exprimés en EBITDA, avant impôt des sociétés, amortissements et charges financières.</w:t>
      </w:r>
    </w:p>
    <w:p>
      <w:pPr>
        <w:pStyle w:val="ListParagraph"/>
        <w:numPr>
          <w:ilvl w:val="0"/>
          <w:numId w:val="2"/>
        </w:numPr>
        <w:spacing w:after="80" w:line="270"/>
      </w:pPr>
      <w:r>
        <w:t xml:space="preserve">TVA : régime des commissions à confirmer avec l’expert-comptable ; TVA de 20% retenue par défaut sur les frais.</w:t>
      </w:r>
    </w:p>
    <w:p>
      <w:pPr>
        <w:spacing w:after="120"/>
      </w:pPr>
    </w:p>
    <w:p>
      <w:pPr>
        <w:pBdr>
          <w:top w:val="single" w:color="CFC9BD" w:sz="4" w:space="8"/>
        </w:pBdr>
        <w:spacing w:before="200"/>
      </w:pPr>
      <w:r>
        <w:rPr>
          <w:b/>
          <w:bCs/>
          <w:color w:val="6B655C"/>
          <w:sz w:val="18"/>
          <w:szCs w:val="18"/>
        </w:rPr>
        <w:t xml:space="preserve">Avertissement. </w:t>
      </w:r>
      <w:r>
        <w:rPr>
          <w:color w:val="6B655C"/>
          <w:sz w:val="18"/>
          <w:szCs w:val="18"/>
        </w:rPr>
        <w:t xml:space="preserve">Document de travail interne à vocation de pilotage et de présentation bancaire. Les projections sont des estimations fondées sur des hypothèses et ne constituent pas une garantie de résultat. Les développements juridiques et fiscaux sont indicatifs et doivent être validés par un notaire et un expert-comptable avant toute décision.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55C"/>
        <w:sz w:val="16"/>
        <w:szCs w:val="16"/>
      </w:rPr>
      <w:t xml:space="preserve">Veracruz SRL — 18 juin 2026</w:t>
    </w:r>
    <w:r>
      <w:rPr>
        <w:sz w:val="16"/>
        <w:szCs w:val="16"/>
      </w:rPr>
      <w:t xml:space="preserve">	</w:t>
    </w:r>
    <w:r>
      <w:rPr>
        <w:color w:val="6B655C"/>
        <w:sz w:val="16"/>
        <w:szCs w:val="16"/>
      </w:rPr>
      <w:t xml:space="preserve">Page </w:t>
    </w:r>
    <w:r>
      <w:rPr>
        <w:color w:val="6B65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9BD" w:sz="4" w:space="4"/>
      </w:pBdr>
      <w:jc w:val="right"/>
    </w:pPr>
    <w:r>
      <w:rPr>
        <w:color w:val="6B655C"/>
        <w:sz w:val="16"/>
        <w:szCs w:val="16"/>
      </w:rPr>
      <w:t xml:space="preserve">Drop Nº — Business plan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1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A7B33" w:sz="6" w:space="6"/>
      </w:pBdr>
      <w:spacing w:after="160" w:before="320"/>
      <w:outlineLvl w:val="0"/>
    </w:pPr>
    <w:rPr>
      <w:rFonts w:ascii="Calibri" w:cs="Calibri" w:eastAsia="Calibri" w:hAnsi="Calibri"/>
      <w:b/>
      <w:bCs/>
      <w:color w:val="26211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9A7B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 No. - Business Plan</dc:title>
  <dc:creator>Veracruz SRL</dc:creator>
  <cp:lastModifiedBy>Un-named</cp:lastModifiedBy>
  <cp:revision>1</cp:revision>
  <dcterms:created xsi:type="dcterms:W3CDTF">2026-06-18T07:12:59.621Z</dcterms:created>
  <dcterms:modified xsi:type="dcterms:W3CDTF">2026-06-18T07:12:59.622Z</dcterms:modified>
</cp:coreProperties>
</file>

<file path=docProps/custom.xml><?xml version="1.0" encoding="utf-8"?>
<Properties xmlns="http://schemas.openxmlformats.org/officeDocument/2006/custom-properties" xmlns:vt="http://schemas.openxmlformats.org/officeDocument/2006/docPropsVTypes"/>
</file>