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cfa1c0f8133029303ae06c85f75c1c05d2dbb"/>
      <w:r>
        <w:t xml:space="preserve">Drop № — Cible et audiences (décidé 2026-06-12)</w:t>
      </w:r>
      <w:bookmarkEnd w:id="20"/>
    </w:p>
    <w:p>
      <w:pPr>
        <w:pStyle w:val="FirstParagraph"/>
      </w:pPr>
      <w:r>
        <w:t xml:space="preserve">Document fondateur : à qui on parle. Toute caption, tout visuel, tout choix de plateforme se valide contre ce fichier. Complète</w:t>
      </w:r>
      <w:r>
        <w:t xml:space="preserve"> </w:t>
      </w:r>
      <w:r>
        <w:rPr>
          <w:rStyle w:val="VerbatimChar"/>
        </w:rPr>
        <w:t xml:space="preserve">ligne-editoriale.md</w:t>
      </w:r>
      <w:r>
        <w:t xml:space="preserve">.</w:t>
      </w:r>
    </w:p>
    <w:p>
      <w:pPr>
        <w:pStyle w:val="Heading2"/>
      </w:pPr>
      <w:bookmarkStart w:id="21" w:name="le-principe-trois-audiences-distinctes"/>
      <w:r>
        <w:t xml:space="preserve">Le principe : trois audiences distinctes</w:t>
      </w:r>
      <w:bookmarkEnd w:id="21"/>
    </w:p>
    <w:p>
      <w:pPr>
        <w:pStyle w:val="FirstParagraph"/>
      </w:pPr>
      <w:r>
        <w:t xml:space="preserve">On ne s’adresse pas à une seule personne. Trois cercles, trois canaux, trois objectifs. Ne jamais les confondre dans un même post.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L’acheteur</w:t>
      </w:r>
      <w:r>
        <w:t xml:space="preserve"> </w:t>
      </w:r>
      <w:r>
        <w:t xml:space="preserve">— celui qui bid. Cœur commercial. Tout converge vers lui.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 follower</w:t>
      </w:r>
      <w:r>
        <w:t xml:space="preserve"> </w:t>
      </w:r>
      <w:r>
        <w:t xml:space="preserve">— celui qu’on attire sur le feed en stealth. Entonnoir vers l’acheteur. Plus large, mais pas illimité : on attire le follower qui</w:t>
      </w:r>
      <w:r>
        <w:t xml:space="preserve"> </w:t>
      </w:r>
      <w:r>
        <w:rPr>
          <w:i/>
        </w:rPr>
        <w:t xml:space="preserve">peut devenir</w:t>
      </w:r>
      <w:r>
        <w:t xml:space="preserve"> </w:t>
      </w:r>
      <w:r>
        <w:t xml:space="preserve">acheteur, pas la planète.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 maison</w:t>
      </w:r>
      <w:r>
        <w:t xml:space="preserve"> </w:t>
      </w:r>
      <w:r>
        <w:t xml:space="preserve">— celle qu’on veut signer. B2B. Canal dédié : LinkedIn.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078cc7295bcb7e138c9fba268d94b26435c168"/>
      <w:r>
        <w:t xml:space="preserve">1. L’acheteur (persona primaire) — « l’exclu du système »</w:t>
      </w:r>
      <w:bookmarkEnd w:id="22"/>
    </w:p>
    <w:p>
      <w:pPr>
        <w:pStyle w:val="FirstParagraph"/>
      </w:pPr>
      <w:r>
        <w:t xml:space="preserve">Le client n’est ni le débutant, ni le collectionneur déjà servi. C’est celui qui a les moyens et le goût mais que le système traditionnel laisse à la porte.</w:t>
      </w:r>
    </w:p>
    <w:p>
      <w:pPr>
        <w:pStyle w:val="BodyText"/>
      </w:pPr>
      <w:r>
        <w:rPr>
          <w:b/>
        </w:rPr>
        <w:t xml:space="preserve">Profil</w:t>
      </w:r>
      <w:r>
        <w:t xml:space="preserve"> </w:t>
      </w:r>
      <w:r>
        <w:t xml:space="preserve">- 32-48 ans, urbain (Bruxelles, Genève, Paris, Lausanne, Anvers).</w:t>
      </w:r>
      <w:r>
        <w:t xml:space="preserve"> </w:t>
      </w:r>
      <w:r>
        <w:t xml:space="preserve">- Revenu confortable : cadre sup, entrepreneur, profession libérale, finance, tech. Souvent du « new money » qui n’a pas l’historique de relation boutique.</w:t>
      </w:r>
      <w:r>
        <w:t xml:space="preserve"> </w:t>
      </w:r>
      <w:r>
        <w:t xml:space="preserve">- Possède déjà 2 à 4 belles montres. Connaît la valeur des choses. Sait ce qu’est un calibre manufacture.</w:t>
      </w:r>
      <w:r>
        <w:t xml:space="preserve"> </w:t>
      </w:r>
      <w:r>
        <w:t xml:space="preserve">- Tech-à-l’aise : bid en ligne sans friction, passe le KYC sans s’inquiéter.</w:t>
      </w:r>
    </w:p>
    <w:p>
      <w:pPr>
        <w:pStyle w:val="BodyText"/>
      </w:pPr>
      <w:r>
        <w:rPr>
          <w:b/>
        </w:rPr>
        <w:t xml:space="preserve">Sa douleur (notre point d’entrée)</w:t>
      </w:r>
      <w:r>
        <w:t xml:space="preserve"> </w:t>
      </w:r>
      <w:r>
        <w:t xml:space="preserve">- Le mur des listes d’attente : la pièce qu’il veut, on refuse de l’inscrire, ou c’est huit ans.</w:t>
      </w:r>
      <w:r>
        <w:t xml:space="preserve"> </w:t>
      </w:r>
      <w:r>
        <w:t xml:space="preserve">- Le marché gris : il peut l’avoir tout de suite, mais 40 % au-dessus du tarif, sans papiers, sans relation.</w:t>
      </w:r>
      <w:r>
        <w:t xml:space="preserve"> </w:t>
      </w:r>
      <w:r>
        <w:t xml:space="preserve">- L’humiliation de l’allocation : le retail est devenu une audition qu’il échoue malgré son argent.</w:t>
      </w:r>
    </w:p>
    <w:p>
      <w:pPr>
        <w:pStyle w:val="BodyText"/>
      </w:pPr>
      <w:r>
        <w:rPr>
          <w:b/>
        </w:rPr>
        <w:t xml:space="preserve">Ce qu’il veut</w:t>
      </w:r>
      <w:r>
        <w:t xml:space="preserve"> </w:t>
      </w:r>
      <w:r>
        <w:t xml:space="preserve">- Un accès juste, pas un passe-droit. Une chance qu’il n’a pas aujourd’hui.</w:t>
      </w:r>
      <w:r>
        <w:t xml:space="preserve"> </w:t>
      </w:r>
      <w:r>
        <w:t xml:space="preserve">- De la transparence : connaître les règles du jeu à l’avance.</w:t>
      </w:r>
      <w:r>
        <w:t xml:space="preserve"> </w:t>
      </w:r>
      <w:r>
        <w:t xml:space="preserve">- Acheter en direct, pièce avec papiers, sans intermédiaire qui capte la marge.</w:t>
      </w:r>
    </w:p>
    <w:p>
      <w:pPr>
        <w:pStyle w:val="BodyText"/>
      </w:pPr>
      <w:r>
        <w:rPr>
          <w:b/>
        </w:rPr>
        <w:t xml:space="preserve">Ce qu’il rejette</w:t>
      </w:r>
      <w:r>
        <w:t xml:space="preserve"> </w:t>
      </w:r>
      <w:r>
        <w:t xml:space="preserve">- Le hype creux, le bling, le wristshot lifestyle.</w:t>
      </w:r>
      <w:r>
        <w:t xml:space="preserve"> </w:t>
      </w:r>
      <w:r>
        <w:t xml:space="preserve">- Qu’on lui parle comme à un débutant.</w:t>
      </w:r>
      <w:r>
        <w:t xml:space="preserve"> </w:t>
      </w:r>
      <w:r>
        <w:t xml:space="preserve">- Les mécaniques opaques.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messe-émotionnelle-accès-équité"/>
      <w:r>
        <w:t xml:space="preserve">2. Promesse émotionnelle : ACCÈS / ÉQUITÉ</w:t>
      </w:r>
      <w:bookmarkEnd w:id="23"/>
    </w:p>
    <w:p>
      <w:pPr>
        <w:pStyle w:val="FirstParagraph"/>
      </w:pPr>
      <w:r>
        <w:t xml:space="preserve">Le fil conducteur de toute la communication, du premier post stealth au reveal :</w:t>
      </w:r>
    </w:p>
    <w:p>
      <w:pPr>
        <w:pStyle w:val="BlockText"/>
      </w:pPr>
      <w:r>
        <w:t xml:space="preserve">On te donne la chance que la boutique te refuse. Offres scellées, un seul prix juste pour tous, zéro politique d’allocation.</w:t>
      </w:r>
    </w:p>
    <w:p>
      <w:pPr>
        <w:pStyle w:val="FirstParagraph"/>
      </w:pPr>
      <w:r>
        <w:t xml:space="preserve">C’est pour ça que le pilier</w:t>
      </w:r>
      <w:r>
        <w:t xml:space="preserve"> </w:t>
      </w:r>
      <w:r>
        <w:rPr>
          <w:b/>
        </w:rPr>
        <w:t xml:space="preserve">Provenance</w:t>
      </w:r>
      <w:r>
        <w:t xml:space="preserve"> </w:t>
      </w:r>
      <w:r>
        <w:t xml:space="preserve">(listes d’attente cassées, marché gris, ventes scellées, serial 001) est le cœur du seeding : chaque post sur l’injustice du système actuel prépare le soulagement qu’offrira Drop №. On ne vend pas le frisson du drop (énergie Supreme) ni seulement l’appartenance : on vend la</w:t>
      </w:r>
      <w:r>
        <w:t xml:space="preserve"> </w:t>
      </w:r>
      <w:r>
        <w:rPr>
          <w:b/>
        </w:rPr>
        <w:t xml:space="preserve">fin d’une frustration précise</w:t>
      </w:r>
      <w:r>
        <w:t xml:space="preserve">.</w:t>
      </w:r>
    </w:p>
    <w:p>
      <w:pPr>
        <w:pStyle w:val="BodyText"/>
      </w:pPr>
      <w:r>
        <w:t xml:space="preserve">Pour chaque post, test : « est-ce que ça parle à quelqu’un qui n’arrive pas à acheter la montre qu’il veut ? » Si le post ne touche ni le savoir, ni le goût, ni la douleur d’accès de l’exclu, il sort.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géographie-hyper-local-befrch-dabord"/>
      <w:r>
        <w:t xml:space="preserve">3. Géographie : hyper-local BE/FR/CH d’abord</w:t>
      </w:r>
      <w:bookmarkEnd w:id="24"/>
    </w:p>
    <w:p>
      <w:pPr>
        <w:pStyle w:val="FirstParagraph"/>
      </w:pPr>
      <w:r>
        <w:t xml:space="preserve">On prouve le modèle sur un noyau francophone resserré avant d’élargir.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Marché de lancement</w:t>
      </w:r>
      <w:r>
        <w:t xml:space="preserve"> </w:t>
      </w:r>
      <w:r>
        <w:t xml:space="preserve">: Belgique, France, Suisse romande. Proximité fondateur, maisons romandes accessibles, cadre réglementaire EU connu.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Conséquence majeure</w:t>
      </w:r>
      <w:r>
        <w:t xml:space="preserve"> </w:t>
      </w:r>
      <w:r>
        <w:t xml:space="preserve">: l’acheteur cible est francophone, mais le feed reste</w:t>
      </w:r>
      <w:r>
        <w:t xml:space="preserve"> </w:t>
      </w:r>
      <w:r>
        <w:rPr>
          <w:b/>
        </w:rPr>
        <w:t xml:space="preserve">en anglais</w:t>
      </w:r>
      <w:r>
        <w:t xml:space="preserve"> </w:t>
      </w:r>
      <w:r>
        <w:t xml:space="preserve">(décidé 2026-06-12). Raison : l’acheteur aisé francophone consomme le contenu horloger en EN (#watchfam = lingua franca), l’EN porte le premium international et bâtit l’audience plus vite. LinkedIn reste FR+EN (la maison, elle, se parle dans sa langue).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Expansion</w:t>
      </w:r>
      <w:r>
        <w:t xml:space="preserve"> </w:t>
      </w:r>
      <w:r>
        <w:t xml:space="preserve">: pan-EU anglophone en v2, une fois le modèle prouvé localement.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a-maison-audience-b2b-linkedin"/>
      <w:r>
        <w:t xml:space="preserve">4. La maison (audience B2B, LinkedIn)</w:t>
      </w:r>
      <w:bookmarkEnd w:id="25"/>
    </w:p>
    <w:p>
      <w:pPr>
        <w:pStyle w:val="FirstParagraph"/>
      </w:pPr>
      <w:r>
        <w:t xml:space="preserve">Cible : maisons indépendantes et horlogers de taille moyenne, prioritairement Suisse romande et France, qui souffrent de la perte de contrôle de leur distribution.</w:t>
      </w:r>
    </w:p>
    <w:p>
      <w:pPr>
        <w:numPr>
          <w:ilvl w:val="0"/>
          <w:numId w:val="1003"/>
        </w:numPr>
        <w:pStyle w:val="Compact"/>
      </w:pPr>
      <w:r>
        <w:t xml:space="preserve">Décideur visé : fondateur, directeur commercial, responsable retail/D2C.</w:t>
      </w:r>
    </w:p>
    <w:p>
      <w:pPr>
        <w:numPr>
          <w:ilvl w:val="0"/>
          <w:numId w:val="1003"/>
        </w:numPr>
        <w:pStyle w:val="Compact"/>
      </w:pPr>
      <w:r>
        <w:t xml:space="preserve">Sa douleur : voir la valeur de ses pièces fuir vers le marché gris, ne pas connaître son client final, dépendre d’un réseau de détaillants.</w:t>
      </w:r>
    </w:p>
    <w:p>
      <w:pPr>
        <w:numPr>
          <w:ilvl w:val="0"/>
          <w:numId w:val="1003"/>
        </w:numPr>
        <w:pStyle w:val="Compact"/>
      </w:pPr>
      <w:r>
        <w:t xml:space="preserve">Notre promesse B2B : reprendre le contrôle du lien atelier-poignet, vendre en direct, choisir qui reçoit la pièce rare, garder la donnée et la relation.</w:t>
      </w:r>
    </w:p>
    <w:p>
      <w:pPr>
        <w:numPr>
          <w:ilvl w:val="0"/>
          <w:numId w:val="1003"/>
        </w:numPr>
        <w:pStyle w:val="Compact"/>
      </w:pPr>
      <w:r>
        <w:t xml:space="preserve">Ton LinkedIn : analyse industrie, FR d’abord (cible romande/française), jamais consumer.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e-que-la-cible-ne-comprend-pas"/>
      <w:r>
        <w:t xml:space="preserve">Ce que la cible NE comprend PAS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Les ultra-riches déjà servis par les boutiques (ils n’ont pas la douleur).</w:t>
      </w:r>
    </w:p>
    <w:p>
      <w:pPr>
        <w:numPr>
          <w:ilvl w:val="0"/>
          <w:numId w:val="1004"/>
        </w:numPr>
        <w:pStyle w:val="Compact"/>
      </w:pPr>
      <w:r>
        <w:t xml:space="preserve">Les chasseurs de hype pur sans moyens (3 000 € de plancher les exclut).</w:t>
      </w:r>
    </w:p>
    <w:p>
      <w:pPr>
        <w:numPr>
          <w:ilvl w:val="0"/>
          <w:numId w:val="1004"/>
        </w:numPr>
        <w:pStyle w:val="Compact"/>
      </w:pPr>
      <w:r>
        <w:t xml:space="preserve">Les revendeurs / flippers (le KYC et le brand-direct B2C les découragent ; C2C hors scope).</w:t>
      </w:r>
    </w:p>
    <w:p>
      <w:pPr>
        <w:numPr>
          <w:ilvl w:val="0"/>
          <w:numId w:val="1004"/>
        </w:numPr>
        <w:pStyle w:val="Compact"/>
      </w:pPr>
      <w:r>
        <w:t xml:space="preserve">Le grand public horloger mondial anglophone tant qu’on est en phase hyper-locale.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2026-06-18T14:00:10Z</dcterms:created>
  <dcterms:modified xsi:type="dcterms:W3CDTF">2026-06-18T14:00:10Z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