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0"/>
        <w:jc w:val="center"/>
      </w:pPr>
      <w:r>
        <w:rPr>
          <w:rFonts w:ascii="Arial" w:hAnsi="Arial"/>
          <w:b/>
          <w:sz w:val="32"/>
        </w:rPr>
        <w:t>Techno-Economic Assessment of Co-Located PV and Battery Energy Storage Systems in Energy Communities</w:t>
      </w:r>
    </w:p>
    <w:p>
      <w:pPr>
        <w:jc w:val="center"/>
      </w:pPr>
      <w:r>
        <w:rPr>
          <w:rFonts w:ascii="Arial" w:hAnsi="Arial"/>
          <w:i/>
          <w:sz w:val="26"/>
        </w:rPr>
        <w:t>A Simulation-Based Analysis of Collective Self-Consumption in Seville, Spain</w:t>
      </w:r>
    </w:p>
    <w:p>
      <w:pPr>
        <w:spacing w:before="720"/>
        <w:jc w:val="center"/>
      </w:pPr>
      <w:r>
        <w:rPr>
          <w:rFonts w:ascii="Arial" w:hAnsi="Arial"/>
          <w:b/>
          <w:sz w:val="36"/>
        </w:rPr>
        <w:t>Thesis Table of Contents</w:t>
      </w:r>
    </w:p>
    <w:p>
      <w:pPr>
        <w:spacing w:before="240"/>
        <w:jc w:val="center"/>
      </w:pPr>
      <w:r>
        <w:rPr>
          <w:rFonts w:ascii="Arial" w:hAnsi="Arial"/>
          <w:sz w:val="24"/>
        </w:rPr>
        <w:t>Raphael Omonzokpia</w:t>
      </w:r>
    </w:p>
    <w:p>
      <w:pPr>
        <w:jc w:val="center"/>
      </w:pPr>
      <w:r>
        <w:rPr>
          <w:rFonts w:ascii="Arial" w:hAnsi="Arial"/>
          <w:sz w:val="22"/>
        </w:rPr>
        <w:t>Department of Energy Engineering</w:t>
        <w:br/>
        <w:t>Universitat Politècnica de Catalunya (UPC) BarcelonaTech</w:t>
      </w:r>
    </w:p>
    <w:p>
      <w:pPr>
        <w:spacing w:before="480"/>
        <w:jc w:val="center"/>
      </w:pPr>
      <w:r>
        <w:rPr>
          <w:rFonts w:ascii="Arial" w:hAnsi="Arial"/>
          <w:sz w:val="21"/>
        </w:rPr>
        <w:t>Prepared outline for thesis structure</w:t>
      </w:r>
    </w:p>
    <w:p>
      <w:r>
        <w:br w:type="page"/>
      </w:r>
    </w:p>
    <w:p>
      <w:pPr>
        <w:pStyle w:val="Heading1"/>
        <w:jc w:val="left"/>
      </w:pPr>
      <w:r>
        <w:t>Table of Contents Structure</w:t>
      </w:r>
    </w:p>
    <w:p>
      <w:pPr>
        <w:pStyle w:val="Heading1"/>
      </w:pPr>
      <w:r>
        <w:t>Front Matter</w:t>
      </w:r>
    </w:p>
    <w:p>
      <w:pPr>
        <w:spacing w:after="40"/>
        <w:ind w:left="283" w:firstLine="0"/>
      </w:pPr>
      <w:r>
        <w:rPr>
          <w:rFonts w:ascii="Arial" w:hAnsi="Arial"/>
          <w:sz w:val="21"/>
        </w:rPr>
        <w:t>Title Page</w:t>
      </w:r>
    </w:p>
    <w:p>
      <w:pPr>
        <w:spacing w:after="40"/>
        <w:ind w:left="283" w:firstLine="0"/>
      </w:pPr>
      <w:r>
        <w:rPr>
          <w:rFonts w:ascii="Arial" w:hAnsi="Arial"/>
          <w:sz w:val="21"/>
        </w:rPr>
        <w:t>Declaration</w:t>
      </w:r>
    </w:p>
    <w:p>
      <w:pPr>
        <w:spacing w:after="40"/>
        <w:ind w:left="283" w:firstLine="0"/>
      </w:pPr>
      <w:r>
        <w:rPr>
          <w:rFonts w:ascii="Arial" w:hAnsi="Arial"/>
          <w:sz w:val="21"/>
        </w:rPr>
        <w:t>Acknowledgements</w:t>
      </w:r>
    </w:p>
    <w:p>
      <w:pPr>
        <w:spacing w:after="40"/>
        <w:ind w:left="283" w:firstLine="0"/>
      </w:pPr>
      <w:r>
        <w:rPr>
          <w:rFonts w:ascii="Arial" w:hAnsi="Arial"/>
          <w:sz w:val="21"/>
        </w:rPr>
        <w:t>Abstract</w:t>
      </w:r>
    </w:p>
    <w:p>
      <w:pPr>
        <w:spacing w:after="40"/>
        <w:ind w:left="283" w:firstLine="0"/>
      </w:pPr>
      <w:r>
        <w:rPr>
          <w:rFonts w:ascii="Arial" w:hAnsi="Arial"/>
          <w:sz w:val="21"/>
        </w:rPr>
        <w:t>Keywords</w:t>
      </w:r>
    </w:p>
    <w:p>
      <w:pPr>
        <w:spacing w:after="40"/>
        <w:ind w:left="283" w:firstLine="0"/>
      </w:pPr>
      <w:r>
        <w:rPr>
          <w:rFonts w:ascii="Arial" w:hAnsi="Arial"/>
          <w:sz w:val="21"/>
        </w:rPr>
        <w:t>Table of Contents</w:t>
      </w:r>
    </w:p>
    <w:p>
      <w:pPr>
        <w:spacing w:after="40"/>
        <w:ind w:left="283" w:firstLine="0"/>
      </w:pPr>
      <w:r>
        <w:rPr>
          <w:rFonts w:ascii="Arial" w:hAnsi="Arial"/>
          <w:sz w:val="21"/>
        </w:rPr>
        <w:t>List of Figures</w:t>
      </w:r>
    </w:p>
    <w:p>
      <w:pPr>
        <w:spacing w:after="40"/>
        <w:ind w:left="283" w:firstLine="0"/>
      </w:pPr>
      <w:r>
        <w:rPr>
          <w:rFonts w:ascii="Arial" w:hAnsi="Arial"/>
          <w:sz w:val="21"/>
        </w:rPr>
        <w:t>List of Tables</w:t>
      </w:r>
    </w:p>
    <w:p>
      <w:pPr>
        <w:spacing w:after="40"/>
        <w:ind w:left="283" w:firstLine="0"/>
      </w:pPr>
      <w:r>
        <w:rPr>
          <w:rFonts w:ascii="Arial" w:hAnsi="Arial"/>
          <w:sz w:val="21"/>
        </w:rPr>
        <w:t>Abbreviations</w:t>
      </w:r>
    </w:p>
    <w:p>
      <w:pPr>
        <w:spacing w:after="40"/>
        <w:ind w:left="283" w:firstLine="0"/>
      </w:pPr>
      <w:r>
        <w:rPr>
          <w:rFonts w:ascii="Arial" w:hAnsi="Arial"/>
          <w:sz w:val="21"/>
        </w:rPr>
        <w:t>Nomenclature</w:t>
      </w:r>
    </w:p>
    <w:p>
      <w:pPr>
        <w:pStyle w:val="Heading1"/>
      </w:pPr>
      <w:r>
        <w:t>1. Introduction</w:t>
      </w:r>
    </w:p>
    <w:p>
      <w:pPr>
        <w:spacing w:after="40"/>
        <w:ind w:left="283" w:firstLine="0"/>
      </w:pPr>
      <w:r>
        <w:rPr>
          <w:rFonts w:ascii="Arial" w:hAnsi="Arial"/>
          <w:sz w:val="21"/>
        </w:rPr>
        <w:t>1.1 Background and Context</w:t>
      </w:r>
    </w:p>
    <w:p>
      <w:pPr>
        <w:spacing w:after="40"/>
        <w:ind w:left="283" w:firstLine="0"/>
      </w:pPr>
      <w:r>
        <w:rPr>
          <w:rFonts w:ascii="Arial" w:hAnsi="Arial"/>
          <w:sz w:val="21"/>
        </w:rPr>
        <w:t>1.2 Problem Definition and Research Gap</w:t>
      </w:r>
    </w:p>
    <w:p>
      <w:pPr>
        <w:spacing w:after="40"/>
        <w:ind w:left="283" w:firstLine="0"/>
      </w:pPr>
      <w:r>
        <w:rPr>
          <w:rFonts w:ascii="Arial" w:hAnsi="Arial"/>
          <w:sz w:val="21"/>
        </w:rPr>
        <w:t>1.3 Objectives and Research Questions</w:t>
      </w:r>
    </w:p>
    <w:p>
      <w:pPr>
        <w:spacing w:after="40"/>
        <w:ind w:left="283" w:firstLine="0"/>
      </w:pPr>
      <w:r>
        <w:rPr>
          <w:rFonts w:ascii="Arial" w:hAnsi="Arial"/>
          <w:sz w:val="21"/>
        </w:rPr>
        <w:t>1.4 Intended Contributions</w:t>
      </w:r>
    </w:p>
    <w:p>
      <w:pPr>
        <w:spacing w:after="40"/>
        <w:ind w:left="283" w:firstLine="0"/>
      </w:pPr>
      <w:r>
        <w:rPr>
          <w:rFonts w:ascii="Arial" w:hAnsi="Arial"/>
          <w:sz w:val="21"/>
        </w:rPr>
        <w:t>1.5 Scope and Assumptions</w:t>
      </w:r>
    </w:p>
    <w:p>
      <w:pPr>
        <w:spacing w:after="40"/>
        <w:ind w:left="283" w:firstLine="0"/>
      </w:pPr>
      <w:r>
        <w:rPr>
          <w:rFonts w:ascii="Arial" w:hAnsi="Arial"/>
          <w:sz w:val="21"/>
        </w:rPr>
        <w:t>1.6 Method Overview</w:t>
      </w:r>
    </w:p>
    <w:p>
      <w:pPr>
        <w:spacing w:after="40"/>
        <w:ind w:left="283" w:firstLine="0"/>
      </w:pPr>
      <w:r>
        <w:rPr>
          <w:rFonts w:ascii="Arial" w:hAnsi="Arial"/>
          <w:sz w:val="21"/>
        </w:rPr>
        <w:t>1.7 Thesis Roadmap</w:t>
      </w:r>
    </w:p>
    <w:p>
      <w:pPr>
        <w:spacing w:after="40"/>
        <w:ind w:left="283" w:firstLine="0"/>
      </w:pPr>
      <w:r>
        <w:rPr>
          <w:rFonts w:ascii="Arial" w:hAnsi="Arial"/>
          <w:sz w:val="21"/>
        </w:rPr>
        <w:t>1.8 Definitions and Notation</w:t>
      </w:r>
    </w:p>
    <w:p>
      <w:pPr>
        <w:pStyle w:val="Heading1"/>
      </w:pPr>
      <w:r>
        <w:t>2. Literature Review and Research Gap</w:t>
      </w:r>
    </w:p>
    <w:p>
      <w:pPr>
        <w:spacing w:after="40"/>
        <w:ind w:left="283" w:firstLine="0"/>
      </w:pPr>
      <w:r>
        <w:rPr>
          <w:rFonts w:ascii="Arial" w:hAnsi="Arial"/>
          <w:sz w:val="21"/>
        </w:rPr>
        <w:t>2.1 Techno-Economic Assessment of PV–Battery Systems</w:t>
      </w:r>
    </w:p>
    <w:p>
      <w:pPr>
        <w:spacing w:after="40"/>
        <w:ind w:left="283" w:firstLine="0"/>
      </w:pPr>
      <w:r>
        <w:rPr>
          <w:rFonts w:ascii="Arial" w:hAnsi="Arial"/>
          <w:sz w:val="21"/>
        </w:rPr>
        <w:t>2.2 Value Streams of Battery Energy Storage</w:t>
      </w:r>
    </w:p>
    <w:p>
      <w:pPr>
        <w:spacing w:after="40"/>
        <w:ind w:left="283" w:firstLine="0"/>
      </w:pPr>
      <w:r>
        <w:rPr>
          <w:rFonts w:ascii="Arial" w:hAnsi="Arial"/>
          <w:sz w:val="21"/>
        </w:rPr>
        <w:t>2.3 Co-Located PV and Battery Systems in Energy Communities</w:t>
      </w:r>
    </w:p>
    <w:p>
      <w:pPr>
        <w:spacing w:after="40"/>
        <w:ind w:left="283" w:firstLine="0"/>
      </w:pPr>
      <w:r>
        <w:rPr>
          <w:rFonts w:ascii="Arial" w:hAnsi="Arial"/>
          <w:sz w:val="21"/>
        </w:rPr>
        <w:t>2.4 Electricity Tariffs and Market Structures</w:t>
      </w:r>
    </w:p>
    <w:p>
      <w:pPr>
        <w:spacing w:after="40"/>
        <w:ind w:left="283" w:firstLine="0"/>
      </w:pPr>
      <w:r>
        <w:rPr>
          <w:rFonts w:ascii="Arial" w:hAnsi="Arial"/>
          <w:sz w:val="21"/>
        </w:rPr>
        <w:t>2.5 Renewable Energy Communities</w:t>
      </w:r>
    </w:p>
    <w:p>
      <w:pPr>
        <w:spacing w:after="40"/>
        <w:ind w:left="283" w:firstLine="0"/>
      </w:pPr>
      <w:r>
        <w:rPr>
          <w:rFonts w:ascii="Arial" w:hAnsi="Arial"/>
          <w:sz w:val="21"/>
        </w:rPr>
        <w:t>2.6 Sensitivity and Uncertainty in PV–BESS Studies</w:t>
      </w:r>
    </w:p>
    <w:p>
      <w:pPr>
        <w:spacing w:after="40"/>
        <w:ind w:left="283" w:firstLine="0"/>
      </w:pPr>
      <w:r>
        <w:rPr>
          <w:rFonts w:ascii="Arial" w:hAnsi="Arial"/>
          <w:sz w:val="21"/>
        </w:rPr>
        <w:t>2.7 Literature Synthesis and Research Gap</w:t>
      </w:r>
    </w:p>
    <w:p>
      <w:pPr>
        <w:pStyle w:val="Heading1"/>
      </w:pPr>
      <w:r>
        <w:t>3. Case Study and Data Architecture</w:t>
      </w:r>
    </w:p>
    <w:p>
      <w:pPr>
        <w:spacing w:after="40"/>
        <w:ind w:left="283" w:firstLine="0"/>
      </w:pPr>
      <w:r>
        <w:rPr>
          <w:rFonts w:ascii="Arial" w:hAnsi="Arial"/>
          <w:sz w:val="21"/>
        </w:rPr>
        <w:t>3.1 Case Study Definition: Seville Energy Community</w:t>
      </w:r>
    </w:p>
    <w:p>
      <w:pPr>
        <w:spacing w:after="40"/>
        <w:ind w:left="283" w:firstLine="0"/>
      </w:pPr>
      <w:r>
        <w:rPr>
          <w:rFonts w:ascii="Arial" w:hAnsi="Arial"/>
          <w:sz w:val="21"/>
        </w:rPr>
        <w:t>3.2 Community Composition and Load Profiles</w:t>
      </w:r>
    </w:p>
    <w:p>
      <w:pPr>
        <w:spacing w:after="40"/>
        <w:ind w:left="283" w:firstLine="0"/>
      </w:pPr>
      <w:r>
        <w:rPr>
          <w:rFonts w:ascii="Arial" w:hAnsi="Arial"/>
          <w:sz w:val="21"/>
        </w:rPr>
        <w:t>3.3 PV Generation and Weather Data</w:t>
      </w:r>
    </w:p>
    <w:p>
      <w:pPr>
        <w:spacing w:after="40"/>
        <w:ind w:left="283" w:firstLine="0"/>
      </w:pPr>
      <w:r>
        <w:rPr>
          <w:rFonts w:ascii="Arial" w:hAnsi="Arial"/>
          <w:sz w:val="21"/>
        </w:rPr>
        <w:t>3.4 Electricity Price and Tariff Data</w:t>
      </w:r>
    </w:p>
    <w:p>
      <w:pPr>
        <w:spacing w:after="40"/>
        <w:ind w:left="283" w:firstLine="0"/>
      </w:pPr>
      <w:r>
        <w:rPr>
          <w:rFonts w:ascii="Arial" w:hAnsi="Arial"/>
          <w:sz w:val="21"/>
        </w:rPr>
        <w:t>3.5 Technology and Economic Parameters</w:t>
      </w:r>
    </w:p>
    <w:p>
      <w:pPr>
        <w:spacing w:after="40"/>
        <w:ind w:left="283" w:firstLine="0"/>
      </w:pPr>
      <w:r>
        <w:rPr>
          <w:rFonts w:ascii="Arial" w:hAnsi="Arial"/>
          <w:sz w:val="21"/>
        </w:rPr>
        <w:t>3.6 Data Processing Architecture</w:t>
      </w:r>
    </w:p>
    <w:p>
      <w:pPr>
        <w:spacing w:after="40"/>
        <w:ind w:left="283" w:firstLine="0"/>
      </w:pPr>
      <w:r>
        <w:rPr>
          <w:rFonts w:ascii="Arial" w:hAnsi="Arial"/>
          <w:sz w:val="21"/>
        </w:rPr>
        <w:t>3.7 Data Quality, Assumptions, and Limitations</w:t>
      </w:r>
    </w:p>
    <w:p>
      <w:pPr>
        <w:pStyle w:val="Heading1"/>
      </w:pPr>
      <w:r>
        <w:t>4. Model Formulation and Methodology</w:t>
      </w:r>
    </w:p>
    <w:p>
      <w:pPr>
        <w:spacing w:after="40"/>
        <w:ind w:left="283" w:firstLine="0"/>
      </w:pPr>
      <w:r>
        <w:rPr>
          <w:rFonts w:ascii="Arial" w:hAnsi="Arial"/>
          <w:sz w:val="21"/>
        </w:rPr>
        <w:t>4.1 Modelling Framework</w:t>
      </w:r>
    </w:p>
    <w:p>
      <w:pPr>
        <w:spacing w:after="40"/>
        <w:ind w:left="283" w:firstLine="0"/>
      </w:pPr>
      <w:r>
        <w:rPr>
          <w:rFonts w:ascii="Arial" w:hAnsi="Arial"/>
          <w:sz w:val="21"/>
        </w:rPr>
        <w:t>4.2 No-DER Baseline Model</w:t>
      </w:r>
    </w:p>
    <w:p>
      <w:pPr>
        <w:spacing w:after="40"/>
        <w:ind w:left="283" w:firstLine="0"/>
      </w:pPr>
      <w:r>
        <w:rPr>
          <w:rFonts w:ascii="Arial" w:hAnsi="Arial"/>
          <w:sz w:val="21"/>
        </w:rPr>
        <w:t>4.3 PV-Only Model</w:t>
      </w:r>
    </w:p>
    <w:p>
      <w:pPr>
        <w:spacing w:after="40"/>
        <w:ind w:left="283" w:firstLine="0"/>
      </w:pPr>
      <w:r>
        <w:rPr>
          <w:rFonts w:ascii="Arial" w:hAnsi="Arial"/>
          <w:sz w:val="21"/>
        </w:rPr>
        <w:t>4.4 PV–BESS Model</w:t>
      </w:r>
    </w:p>
    <w:p>
      <w:pPr>
        <w:spacing w:after="40"/>
        <w:ind w:left="283" w:firstLine="0"/>
      </w:pPr>
      <w:r>
        <w:rPr>
          <w:rFonts w:ascii="Arial" w:hAnsi="Arial"/>
          <w:sz w:val="21"/>
        </w:rPr>
        <w:t>4.5 Battery Dispatch Logic</w:t>
      </w:r>
    </w:p>
    <w:p>
      <w:pPr>
        <w:spacing w:after="40"/>
        <w:ind w:left="283" w:firstLine="0"/>
      </w:pPr>
      <w:r>
        <w:rPr>
          <w:rFonts w:ascii="Arial" w:hAnsi="Arial"/>
          <w:sz w:val="21"/>
        </w:rPr>
        <w:t>4.6 Energy Balance Equations</w:t>
      </w:r>
    </w:p>
    <w:p>
      <w:pPr>
        <w:spacing w:after="40"/>
        <w:ind w:left="283" w:firstLine="0"/>
      </w:pPr>
      <w:r>
        <w:rPr>
          <w:rFonts w:ascii="Arial" w:hAnsi="Arial"/>
          <w:sz w:val="21"/>
        </w:rPr>
        <w:t>4.7 Spanish Settlement Implementation</w:t>
      </w:r>
    </w:p>
    <w:p>
      <w:pPr>
        <w:spacing w:after="40"/>
        <w:ind w:left="283" w:firstLine="0"/>
      </w:pPr>
      <w:r>
        <w:rPr>
          <w:rFonts w:ascii="Arial" w:hAnsi="Arial"/>
          <w:sz w:val="21"/>
        </w:rPr>
        <w:t>4.8 Model Assumptions and Boundary Conditions</w:t>
      </w:r>
    </w:p>
    <w:p>
      <w:pPr>
        <w:pStyle w:val="Heading1"/>
      </w:pPr>
      <w:r>
        <w:t>5. Economic and Allocation Framework</w:t>
      </w:r>
    </w:p>
    <w:p>
      <w:pPr>
        <w:spacing w:after="40"/>
        <w:ind w:left="283" w:firstLine="0"/>
      </w:pPr>
      <w:r>
        <w:rPr>
          <w:rFonts w:ascii="Arial" w:hAnsi="Arial"/>
          <w:sz w:val="21"/>
        </w:rPr>
        <w:t>5.1 Economic Evaluation Metrics</w:t>
      </w:r>
    </w:p>
    <w:p>
      <w:pPr>
        <w:spacing w:after="40"/>
        <w:ind w:left="283" w:firstLine="0"/>
      </w:pPr>
      <w:r>
        <w:rPr>
          <w:rFonts w:ascii="Arial" w:hAnsi="Arial"/>
          <w:sz w:val="21"/>
        </w:rPr>
        <w:t>5.2 Bill Savings Calculation</w:t>
      </w:r>
    </w:p>
    <w:p>
      <w:pPr>
        <w:spacing w:after="40"/>
        <w:ind w:left="283" w:firstLine="0"/>
      </w:pPr>
      <w:r>
        <w:rPr>
          <w:rFonts w:ascii="Arial" w:hAnsi="Arial"/>
          <w:sz w:val="21"/>
        </w:rPr>
        <w:t>5.3 Net Present Value and Payback</w:t>
      </w:r>
    </w:p>
    <w:p>
      <w:pPr>
        <w:spacing w:after="40"/>
        <w:ind w:left="283" w:firstLine="0"/>
      </w:pPr>
      <w:r>
        <w:rPr>
          <w:rFonts w:ascii="Arial" w:hAnsi="Arial"/>
          <w:sz w:val="21"/>
        </w:rPr>
        <w:t>5.4 Battery-Specific Value Decomposition</w:t>
      </w:r>
    </w:p>
    <w:p>
      <w:pPr>
        <w:spacing w:after="40"/>
        <w:ind w:left="283" w:firstLine="0"/>
      </w:pPr>
      <w:r>
        <w:rPr>
          <w:rFonts w:ascii="Arial" w:hAnsi="Arial"/>
          <w:sz w:val="21"/>
        </w:rPr>
        <w:t>5.5 Static Allocation Coefficients</w:t>
      </w:r>
    </w:p>
    <w:p>
      <w:pPr>
        <w:spacing w:after="40"/>
        <w:ind w:left="283" w:firstLine="0"/>
      </w:pPr>
      <w:r>
        <w:rPr>
          <w:rFonts w:ascii="Arial" w:hAnsi="Arial"/>
          <w:sz w:val="21"/>
        </w:rPr>
        <w:t>5.6 Member-Level Benefit Allocation</w:t>
      </w:r>
    </w:p>
    <w:p>
      <w:pPr>
        <w:spacing w:after="40"/>
        <w:ind w:left="283" w:firstLine="0"/>
      </w:pPr>
      <w:r>
        <w:rPr>
          <w:rFonts w:ascii="Arial" w:hAnsi="Arial"/>
          <w:sz w:val="21"/>
        </w:rPr>
        <w:t>5.7 Fairness and Cross-Subsidization Metrics</w:t>
      </w:r>
    </w:p>
    <w:p>
      <w:pPr>
        <w:pStyle w:val="Heading1"/>
      </w:pPr>
      <w:r>
        <w:t>6. Experimental Design, Sensitivity, and Validation</w:t>
      </w:r>
    </w:p>
    <w:p>
      <w:pPr>
        <w:spacing w:after="40"/>
        <w:ind w:left="283" w:firstLine="0"/>
      </w:pPr>
      <w:r>
        <w:rPr>
          <w:rFonts w:ascii="Arial" w:hAnsi="Arial"/>
          <w:sz w:val="21"/>
        </w:rPr>
        <w:t>6.1 Scenario Design</w:t>
      </w:r>
    </w:p>
    <w:p>
      <w:pPr>
        <w:spacing w:after="40"/>
        <w:ind w:left="283" w:firstLine="0"/>
      </w:pPr>
      <w:r>
        <w:rPr>
          <w:rFonts w:ascii="Arial" w:hAnsi="Arial"/>
          <w:sz w:val="21"/>
        </w:rPr>
        <w:t>6.2 PV Penetration Scenarios</w:t>
      </w:r>
    </w:p>
    <w:p>
      <w:pPr>
        <w:spacing w:after="40"/>
        <w:ind w:left="283" w:firstLine="0"/>
      </w:pPr>
      <w:r>
        <w:rPr>
          <w:rFonts w:ascii="Arial" w:hAnsi="Arial"/>
          <w:sz w:val="21"/>
        </w:rPr>
        <w:t>6.3 Battery CAPEX Scenarios</w:t>
      </w:r>
    </w:p>
    <w:p>
      <w:pPr>
        <w:spacing w:after="40"/>
        <w:ind w:left="283" w:firstLine="0"/>
      </w:pPr>
      <w:r>
        <w:rPr>
          <w:rFonts w:ascii="Arial" w:hAnsi="Arial"/>
          <w:sz w:val="21"/>
        </w:rPr>
        <w:t>6.4 Electricity Price Sensitivity</w:t>
      </w:r>
    </w:p>
    <w:p>
      <w:pPr>
        <w:spacing w:after="40"/>
        <w:ind w:left="283" w:firstLine="0"/>
      </w:pPr>
      <w:r>
        <w:rPr>
          <w:rFonts w:ascii="Arial" w:hAnsi="Arial"/>
          <w:sz w:val="21"/>
        </w:rPr>
        <w:t>6.5 Community Composition Sensitivity</w:t>
      </w:r>
    </w:p>
    <w:p>
      <w:pPr>
        <w:spacing w:after="40"/>
        <w:ind w:left="283" w:firstLine="0"/>
      </w:pPr>
      <w:r>
        <w:rPr>
          <w:rFonts w:ascii="Arial" w:hAnsi="Arial"/>
          <w:sz w:val="21"/>
        </w:rPr>
        <w:t>6.6 Validation and Quality Checks</w:t>
      </w:r>
    </w:p>
    <w:p>
      <w:pPr>
        <w:spacing w:after="40"/>
        <w:ind w:left="283" w:firstLine="0"/>
      </w:pPr>
      <w:r>
        <w:rPr>
          <w:rFonts w:ascii="Arial" w:hAnsi="Arial"/>
          <w:sz w:val="21"/>
        </w:rPr>
        <w:t>6.7 Robustness Assessment</w:t>
      </w:r>
    </w:p>
    <w:p>
      <w:pPr>
        <w:pStyle w:val="Heading1"/>
      </w:pPr>
      <w:r>
        <w:t>7. Results</w:t>
      </w:r>
    </w:p>
    <w:p>
      <w:pPr>
        <w:spacing w:after="40"/>
        <w:ind w:left="283" w:firstLine="0"/>
      </w:pPr>
      <w:r>
        <w:rPr>
          <w:rFonts w:ascii="Arial" w:hAnsi="Arial"/>
          <w:sz w:val="21"/>
        </w:rPr>
        <w:t>7.1 Baseline No-DER Results</w:t>
      </w:r>
    </w:p>
    <w:p>
      <w:pPr>
        <w:spacing w:after="40"/>
        <w:ind w:left="283" w:firstLine="0"/>
      </w:pPr>
      <w:r>
        <w:rPr>
          <w:rFonts w:ascii="Arial" w:hAnsi="Arial"/>
          <w:sz w:val="21"/>
        </w:rPr>
        <w:t>7.2 PV-Only Results</w:t>
      </w:r>
    </w:p>
    <w:p>
      <w:pPr>
        <w:spacing w:after="40"/>
        <w:ind w:left="283" w:firstLine="0"/>
      </w:pPr>
      <w:r>
        <w:rPr>
          <w:rFonts w:ascii="Arial" w:hAnsi="Arial"/>
          <w:sz w:val="21"/>
        </w:rPr>
        <w:t>7.3 PV–BESS Results</w:t>
      </w:r>
    </w:p>
    <w:p>
      <w:pPr>
        <w:spacing w:after="40"/>
        <w:ind w:left="283" w:firstLine="0"/>
      </w:pPr>
      <w:r>
        <w:rPr>
          <w:rFonts w:ascii="Arial" w:hAnsi="Arial"/>
          <w:sz w:val="21"/>
        </w:rPr>
        <w:t>7.4 Battery-Specific Value Results</w:t>
      </w:r>
    </w:p>
    <w:p>
      <w:pPr>
        <w:spacing w:after="40"/>
        <w:ind w:left="283" w:firstLine="0"/>
      </w:pPr>
      <w:r>
        <w:rPr>
          <w:rFonts w:ascii="Arial" w:hAnsi="Arial"/>
          <w:sz w:val="21"/>
        </w:rPr>
        <w:t>7.5 Allocation Results</w:t>
      </w:r>
    </w:p>
    <w:p>
      <w:pPr>
        <w:spacing w:after="40"/>
        <w:ind w:left="283" w:firstLine="0"/>
      </w:pPr>
      <w:r>
        <w:rPr>
          <w:rFonts w:ascii="Arial" w:hAnsi="Arial"/>
          <w:sz w:val="21"/>
        </w:rPr>
        <w:t>7.6 Sensitivity Results</w:t>
      </w:r>
    </w:p>
    <w:p>
      <w:pPr>
        <w:spacing w:after="40"/>
        <w:ind w:left="283" w:firstLine="0"/>
      </w:pPr>
      <w:r>
        <w:rPr>
          <w:rFonts w:ascii="Arial" w:hAnsi="Arial"/>
          <w:sz w:val="21"/>
        </w:rPr>
        <w:t>7.7 Summary of Key Results</w:t>
      </w:r>
    </w:p>
    <w:p>
      <w:pPr>
        <w:pStyle w:val="Heading1"/>
      </w:pPr>
      <w:r>
        <w:t>8. Discussion</w:t>
      </w:r>
    </w:p>
    <w:p>
      <w:pPr>
        <w:spacing w:after="40"/>
        <w:ind w:left="283" w:firstLine="0"/>
      </w:pPr>
      <w:r>
        <w:rPr>
          <w:rFonts w:ascii="Arial" w:hAnsi="Arial"/>
          <w:sz w:val="21"/>
        </w:rPr>
        <w:t>8.1 Interpretation of Economic Viability</w:t>
      </w:r>
    </w:p>
    <w:p>
      <w:pPr>
        <w:spacing w:after="40"/>
        <w:ind w:left="283" w:firstLine="0"/>
      </w:pPr>
      <w:r>
        <w:rPr>
          <w:rFonts w:ascii="Arial" w:hAnsi="Arial"/>
          <w:sz w:val="21"/>
        </w:rPr>
        <w:t>8.2 Interpretation of Battery-Specific Value</w:t>
      </w:r>
    </w:p>
    <w:p>
      <w:pPr>
        <w:spacing w:after="40"/>
        <w:ind w:left="283" w:firstLine="0"/>
      </w:pPr>
      <w:r>
        <w:rPr>
          <w:rFonts w:ascii="Arial" w:hAnsi="Arial"/>
          <w:sz w:val="21"/>
        </w:rPr>
        <w:t>8.3 Effect of Spanish Settlement Rules</w:t>
      </w:r>
    </w:p>
    <w:p>
      <w:pPr>
        <w:spacing w:after="40"/>
        <w:ind w:left="283" w:firstLine="0"/>
      </w:pPr>
      <w:r>
        <w:rPr>
          <w:rFonts w:ascii="Arial" w:hAnsi="Arial"/>
          <w:sz w:val="21"/>
        </w:rPr>
        <w:t>8.4 Implications for Energy Communities</w:t>
      </w:r>
    </w:p>
    <w:p>
      <w:pPr>
        <w:spacing w:after="40"/>
        <w:ind w:left="283" w:firstLine="0"/>
      </w:pPr>
      <w:r>
        <w:rPr>
          <w:rFonts w:ascii="Arial" w:hAnsi="Arial"/>
          <w:sz w:val="21"/>
        </w:rPr>
        <w:t>8.5 Limitations of the Study</w:t>
      </w:r>
    </w:p>
    <w:p>
      <w:pPr>
        <w:spacing w:after="40"/>
        <w:ind w:left="283" w:firstLine="0"/>
      </w:pPr>
      <w:r>
        <w:rPr>
          <w:rFonts w:ascii="Arial" w:hAnsi="Arial"/>
          <w:sz w:val="21"/>
        </w:rPr>
        <w:t>8.6 Comparison with Literature</w:t>
      </w:r>
    </w:p>
    <w:p>
      <w:pPr>
        <w:pStyle w:val="Heading1"/>
      </w:pPr>
      <w:r>
        <w:t>9. Conclusions and Future Work</w:t>
      </w:r>
    </w:p>
    <w:p>
      <w:pPr>
        <w:spacing w:after="40"/>
        <w:ind w:left="283" w:firstLine="0"/>
      </w:pPr>
      <w:r>
        <w:rPr>
          <w:rFonts w:ascii="Arial" w:hAnsi="Arial"/>
          <w:sz w:val="21"/>
        </w:rPr>
        <w:t>9.1 Summary of Findings</w:t>
      </w:r>
    </w:p>
    <w:p>
      <w:pPr>
        <w:spacing w:after="40"/>
        <w:ind w:left="283" w:firstLine="0"/>
      </w:pPr>
      <w:r>
        <w:rPr>
          <w:rFonts w:ascii="Arial" w:hAnsi="Arial"/>
          <w:sz w:val="21"/>
        </w:rPr>
        <w:t>9.2 Answers to Research Questions</w:t>
      </w:r>
    </w:p>
    <w:p>
      <w:pPr>
        <w:spacing w:after="40"/>
        <w:ind w:left="283" w:firstLine="0"/>
      </w:pPr>
      <w:r>
        <w:rPr>
          <w:rFonts w:ascii="Arial" w:hAnsi="Arial"/>
          <w:sz w:val="21"/>
        </w:rPr>
        <w:t>9.3 Main Contributions</w:t>
      </w:r>
    </w:p>
    <w:p>
      <w:pPr>
        <w:spacing w:after="40"/>
        <w:ind w:left="283" w:firstLine="0"/>
      </w:pPr>
      <w:r>
        <w:rPr>
          <w:rFonts w:ascii="Arial" w:hAnsi="Arial"/>
          <w:sz w:val="21"/>
        </w:rPr>
        <w:t>9.4 Practical and Policy Implications</w:t>
      </w:r>
    </w:p>
    <w:p>
      <w:pPr>
        <w:spacing w:after="40"/>
        <w:ind w:left="283" w:firstLine="0"/>
      </w:pPr>
      <w:r>
        <w:rPr>
          <w:rFonts w:ascii="Arial" w:hAnsi="Arial"/>
          <w:sz w:val="21"/>
        </w:rPr>
        <w:t>9.5 Limitations</w:t>
      </w:r>
    </w:p>
    <w:p>
      <w:pPr>
        <w:spacing w:after="40"/>
        <w:ind w:left="283" w:firstLine="0"/>
      </w:pPr>
      <w:r>
        <w:rPr>
          <w:rFonts w:ascii="Arial" w:hAnsi="Arial"/>
          <w:sz w:val="21"/>
        </w:rPr>
        <w:t>9.6 Future Work</w:t>
      </w:r>
    </w:p>
    <w:p>
      <w:pPr>
        <w:pStyle w:val="Heading1"/>
      </w:pPr>
      <w:r>
        <w:t>References</w:t>
      </w:r>
    </w:p>
    <w:p>
      <w:pPr>
        <w:pStyle w:val="Heading1"/>
      </w:pPr>
      <w:r>
        <w:t>Appendices</w:t>
      </w:r>
    </w:p>
    <w:p>
      <w:pPr>
        <w:spacing w:after="40"/>
        <w:ind w:left="283" w:firstLine="0"/>
      </w:pPr>
      <w:r>
        <w:rPr>
          <w:rFonts w:ascii="Arial" w:hAnsi="Arial"/>
          <w:sz w:val="21"/>
        </w:rPr>
        <w:t>Appendix A: Nomenclature and Abbreviations</w:t>
      </w:r>
    </w:p>
    <w:p>
      <w:pPr>
        <w:spacing w:after="40"/>
        <w:ind w:left="283" w:firstLine="0"/>
      </w:pPr>
      <w:r>
        <w:rPr>
          <w:rFonts w:ascii="Arial" w:hAnsi="Arial"/>
          <w:sz w:val="21"/>
        </w:rPr>
        <w:t>Appendix B: Data Sources</w:t>
      </w:r>
    </w:p>
    <w:p>
      <w:pPr>
        <w:spacing w:after="40"/>
        <w:ind w:left="283" w:firstLine="0"/>
      </w:pPr>
      <w:r>
        <w:rPr>
          <w:rFonts w:ascii="Arial" w:hAnsi="Arial"/>
          <w:sz w:val="21"/>
        </w:rPr>
        <w:t>Appendix C: Model Parameters</w:t>
      </w:r>
    </w:p>
    <w:p>
      <w:pPr>
        <w:spacing w:after="40"/>
        <w:ind w:left="283" w:firstLine="0"/>
      </w:pPr>
      <w:r>
        <w:rPr>
          <w:rFonts w:ascii="Arial" w:hAnsi="Arial"/>
          <w:sz w:val="21"/>
        </w:rPr>
        <w:t>Appendix D: Additional Results</w:t>
      </w:r>
    </w:p>
    <w:p>
      <w:pPr>
        <w:spacing w:after="40"/>
        <w:ind w:left="283" w:firstLine="0"/>
      </w:pPr>
      <w:r>
        <w:rPr>
          <w:rFonts w:ascii="Arial" w:hAnsi="Arial"/>
          <w:sz w:val="21"/>
        </w:rPr>
        <w:t>Appendix E: Code and Reproducibility Notes</w:t>
      </w:r>
    </w:p>
    <w:sectPr w:rsidR="00FC693F" w:rsidRPr="0006063C" w:rsidSect="00034616">
      <w:footerReference w:type="default" r:id="rId9"/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6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b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