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vgduddbvb5vh" w:id="0"/>
      <w:bookmarkEnd w:id="0"/>
      <w:r w:rsidDel="00000000" w:rsidR="00000000" w:rsidRPr="00000000">
        <w:rPr>
          <w:b w:val="1"/>
          <w:bCs w:val="1"/>
          <w:sz w:val="46"/>
          <w:szCs w:val="46"/>
          <w:rtl w:val="0"/>
        </w:rPr>
        <w:t xml:space="preserve">Chapter 1: Introduction (1st Draft)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1ss503xkwqte" w:id="1"/>
      <w:bookmarkEnd w:id="1"/>
      <w:r w:rsidDel="00000000" w:rsidR="00000000" w:rsidRPr="00000000">
        <w:rPr>
          <w:b w:val="1"/>
          <w:bCs w:val="1"/>
          <w:sz w:val="34"/>
          <w:szCs w:val="34"/>
          <w:rtl w:val="0"/>
        </w:rPr>
        <w:t xml:space="preserve">1.1 Motivation</w:t>
      </w:r>
    </w:p>
    <w:p w:rsidR="00000000" w:rsidDel="00000000" w:rsidP="00000000" w:rsidRDefault="00000000" w:rsidRPr="00000000" w14:paraId="00000003">
      <w:pPr>
        <w:spacing w:after="240" w:before="240" w:lineRule="auto"/>
        <w:rPr/>
      </w:pPr>
      <w:r w:rsidDel="00000000" w:rsidR="00000000" w:rsidRPr="00000000">
        <w:rPr>
          <w:rtl w:val="0"/>
        </w:rPr>
        <w:t xml:space="preserve">The transition toward decentralized energy systems has positioned Energy Communities (ECs) and Collective Self-Consumption (CSC) as central pillars of the European energy strategy. In Spain, the regulatory framework established by Royal Decree (RD) 244/2019 has catalyzed the adoption of shared Photovoltaic (PV) installations among residential prosumers. While early community deployments have largely focused on maximizing the immediate use of on-site solar generation, integrating Community Battery Energy Storage Systems (CBESS) provides a clear pathway to further increase self-sufficiency and improve economic performance.</w:t>
      </w:r>
    </w:p>
    <w:p w:rsidR="00000000" w:rsidDel="00000000" w:rsidP="00000000" w:rsidRDefault="00000000" w:rsidRPr="00000000" w14:paraId="00000004">
      <w:pPr>
        <w:spacing w:after="240" w:before="240" w:lineRule="auto"/>
        <w:rPr/>
      </w:pPr>
      <w:r w:rsidDel="00000000" w:rsidR="00000000" w:rsidRPr="00000000">
        <w:rPr>
          <w:rtl w:val="0"/>
        </w:rPr>
        <w:t xml:space="preserve">The economic viability of community PV–BESS systems depends on the interaction between retail settlement prices and wholesale market outcomes. In Spain, import valuation is commonly represented through the </w:t>
      </w:r>
      <w:r w:rsidDel="00000000" w:rsidR="00000000" w:rsidRPr="00000000">
        <w:rPr>
          <w:i w:val="1"/>
          <w:iCs w:val="1"/>
          <w:rtl w:val="0"/>
        </w:rPr>
        <w:t xml:space="preserve">Precio Voluntario para el Pequeño Consumidor</w:t>
      </w:r>
      <w:r w:rsidDel="00000000" w:rsidR="00000000" w:rsidRPr="00000000">
        <w:rPr>
          <w:rtl w:val="0"/>
        </w:rPr>
        <w:t xml:space="preserve"> (PVPC), an indexed retail price that includes regulated components in addition to an energy-related component linked to wholesale market evolution. Wholesale energy price signals are provided by the OMIE day-ahead market, which has operated with a 15-minute Market Time Unit (MTU15) since October 2025. From January 1, 2026, PVPC “final energy price” publication/calculation is available at quarter-hourly resolution.</w:t>
        <w:br w:type="textWrapping"/>
        <w:br w:type="textWrapping"/>
        <w:t xml:space="preserve">Accordingly, this thesis stores pricing inputs at their native resolution when available and aggregates to an hourly time-step to match a transparent and tractable simulation backbone. The motivation is to quantify when shared storage meaningfully improves community economics under these Spanish-specific settlement and price dynamics, and when it does not.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eading=h.vueyffdt9paj" w:id="2"/>
      <w:bookmarkEnd w:id="2"/>
      <w:r w:rsidDel="00000000" w:rsidR="00000000" w:rsidRPr="00000000">
        <w:rPr>
          <w:b w:val="1"/>
          <w:bCs w:val="1"/>
          <w:sz w:val="34"/>
          <w:szCs w:val="34"/>
          <w:rtl w:val="0"/>
        </w:rPr>
        <w:t xml:space="preserve">1.2 Problem Statement</w:t>
      </w:r>
    </w:p>
    <w:p w:rsidR="00000000" w:rsidDel="00000000" w:rsidP="00000000" w:rsidRDefault="00000000" w:rsidRPr="00000000" w14:paraId="00000006">
      <w:pPr>
        <w:spacing w:after="240" w:before="240" w:lineRule="auto"/>
        <w:rPr>
          <w:i w:val="1"/>
          <w:iCs w:val="1"/>
        </w:rPr>
      </w:pPr>
      <w:r w:rsidDel="00000000" w:rsidR="00000000" w:rsidRPr="00000000">
        <w:rPr>
          <w:rtl w:val="0"/>
        </w:rPr>
        <w:t xml:space="preserve">Despite the proliferation of techno-economic analysis of PV and BESS in Spain, a significant gap remains in </w:t>
      </w:r>
      <w:r w:rsidDel="00000000" w:rsidR="00000000" w:rsidRPr="00000000">
        <w:rPr>
          <w:b w:val="1"/>
          <w:bCs w:val="1"/>
          <w:rtl w:val="0"/>
        </w:rPr>
        <w:t xml:space="preserve">explicitly modeling the simplified export compensation mechanism</w:t>
      </w:r>
      <w:r w:rsidDel="00000000" w:rsidR="00000000" w:rsidRPr="00000000">
        <w:rPr>
          <w:rtl w:val="0"/>
        </w:rPr>
        <w:t xml:space="preserve"> and quantifying </w:t>
      </w:r>
      <w:r w:rsidDel="00000000" w:rsidR="00000000" w:rsidRPr="00000000">
        <w:rPr>
          <w:b w:val="1"/>
          <w:bCs w:val="1"/>
          <w:rtl w:val="0"/>
        </w:rPr>
        <w:t xml:space="preserve">battery-specific value</w:t>
      </w:r>
      <w:r w:rsidDel="00000000" w:rsidR="00000000" w:rsidRPr="00000000">
        <w:rPr>
          <w:rtl w:val="0"/>
        </w:rPr>
        <w:t xml:space="preserve"> relative to a PV-only baseline. Codina et al. (2023) evaluate the profitability of domestic PV–battery systems but do not provide a granular decomposition of the battery’s incremental value over PV-only outcomes [1]. Fuster-Palop et al. (2023) provide a detailed assessment of urban PV potential under RD 244/2019 but exclude storage due to CAPEX assumptions [2]. Together, this leaves a practical question unanswered for community decision-makers: </w:t>
      </w:r>
      <w:r w:rsidDel="00000000" w:rsidR="00000000" w:rsidRPr="00000000">
        <w:rPr>
          <w:i w:val="1"/>
          <w:iCs w:val="1"/>
          <w:rtl w:val="0"/>
        </w:rPr>
        <w:t xml:space="preserve">when does adding a CBESS become economically superior to PV-only collective self-consumption under Spanish settlement rules?</w:t>
      </w:r>
    </w:p>
    <w:p w:rsidR="00000000" w:rsidDel="00000000" w:rsidP="00000000" w:rsidRDefault="00000000" w:rsidRPr="00000000" w14:paraId="00000007">
      <w:pPr>
        <w:spacing w:after="240" w:before="240" w:lineRule="auto"/>
        <w:rPr/>
      </w:pPr>
      <w:r w:rsidDel="00000000" w:rsidR="00000000" w:rsidRPr="00000000">
        <w:rPr>
          <w:rtl w:val="0"/>
        </w:rPr>
        <w:t xml:space="preserve">A central reason this question is non-trivial is that RD 244/2019 “simplified compensation” (</w:t>
      </w:r>
      <w:r w:rsidDel="00000000" w:rsidR="00000000" w:rsidRPr="00000000">
        <w:rPr>
          <w:i w:val="1"/>
          <w:iCs w:val="1"/>
          <w:rtl w:val="0"/>
        </w:rPr>
        <w:t xml:space="preserve">compensación simplificada</w:t>
      </w:r>
      <w:r w:rsidDel="00000000" w:rsidR="00000000" w:rsidRPr="00000000">
        <w:rPr>
          <w:rtl w:val="0"/>
        </w:rPr>
        <w:t xml:space="preserve">) introduces a </w:t>
      </w:r>
      <w:r w:rsidDel="00000000" w:rsidR="00000000" w:rsidRPr="00000000">
        <w:rPr>
          <w:b w:val="1"/>
          <w:bCs w:val="1"/>
          <w:rtl w:val="0"/>
        </w:rPr>
        <w:t xml:space="preserve">monthly export-credit cap</w:t>
      </w:r>
      <w:r w:rsidDel="00000000" w:rsidR="00000000" w:rsidRPr="00000000">
        <w:rPr>
          <w:rtl w:val="0"/>
        </w:rPr>
        <w:t xml:space="preserve"> and </w:t>
      </w:r>
      <w:r w:rsidDel="00000000" w:rsidR="00000000" w:rsidRPr="00000000">
        <w:rPr>
          <w:b w:val="1"/>
          <w:bCs w:val="1"/>
          <w:rtl w:val="0"/>
        </w:rPr>
        <w:t xml:space="preserve">no carry-over</w:t>
      </w:r>
      <w:r w:rsidDel="00000000" w:rsidR="00000000" w:rsidRPr="00000000">
        <w:rPr>
          <w:rtl w:val="0"/>
        </w:rPr>
        <w:t xml:space="preserve"> logic: the monetary value credited for exported surplus energy cannot exceed the cost of energy imported from the grid within the same billing period (which cannot exceed one month), and any remaining surplus credit is not transferred to subsequent months. In addition, exports are valued via an export-credit series (commonly referenced as the PVPC “excedentaria” valuation), which is typically lower than the import valuation basis, making surplus monetization structurally less attractive than direct self-consumption.</w:t>
      </w:r>
    </w:p>
    <w:p w:rsidR="00000000" w:rsidDel="00000000" w:rsidP="00000000" w:rsidRDefault="00000000" w:rsidRPr="00000000" w14:paraId="00000008">
      <w:pPr>
        <w:spacing w:after="240" w:before="240" w:lineRule="auto"/>
        <w:rPr/>
      </w:pPr>
      <w:r w:rsidDel="00000000" w:rsidR="00000000" w:rsidRPr="00000000">
        <w:rPr>
          <w:rtl w:val="0"/>
        </w:rPr>
        <w:t xml:space="preserve">Many models still approximate export settlement using generalized net-billing or net-metering assumptions and therefore do not enforce the “use-it-or-lose-it” monthly ceiling. This can systematically overstate storage value (by assuming surplus can always be monetized) or misidentify sizing thresholds. The missing quantitative link is the </w:t>
      </w:r>
      <w:r w:rsidDel="00000000" w:rsidR="00000000" w:rsidRPr="00000000">
        <w:rPr>
          <w:b w:val="1"/>
          <w:bCs w:val="1"/>
          <w:rtl w:val="0"/>
        </w:rPr>
        <w:t xml:space="preserve">battery-specific value</w:t>
      </w:r>
      <w:r w:rsidDel="00000000" w:rsidR="00000000" w:rsidRPr="00000000">
        <w:rPr>
          <w:rtl w:val="0"/>
        </w:rPr>
        <w:t xml:space="preserve">: how much of total benefit is truly attributable to the battery (CBESS) rather than the PV system itself, once Spanish import/export valuation and the monthly cap are implemented as they operate in practice. Without this, community organizers, investors, and policymakers lack decision-grade guidance on viable CAPEX ranges, PV penetration regimes, and community compositions for shared storage adoption.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czm4okss3sxl" w:id="3"/>
      <w:bookmarkEnd w:id="3"/>
      <w:r w:rsidDel="00000000" w:rsidR="00000000" w:rsidRPr="00000000">
        <w:rPr>
          <w:b w:val="1"/>
          <w:bCs w:val="1"/>
          <w:sz w:val="34"/>
          <w:szCs w:val="34"/>
          <w:rtl w:val="0"/>
        </w:rPr>
        <w:t xml:space="preserve">1.3 Research Questions</w:t>
      </w:r>
    </w:p>
    <w:p w:rsidR="00000000" w:rsidDel="00000000" w:rsidP="00000000" w:rsidRDefault="00000000" w:rsidRPr="00000000" w14:paraId="0000000A">
      <w:pPr>
        <w:spacing w:after="240" w:before="240" w:lineRule="auto"/>
        <w:rPr/>
      </w:pPr>
      <w:r w:rsidDel="00000000" w:rsidR="00000000" w:rsidRPr="00000000">
        <w:rPr>
          <w:rtl w:val="0"/>
        </w:rPr>
        <w:t xml:space="preserve">This thesis addresses the identified gaps by answering:</w:t>
      </w:r>
    </w:p>
    <w:p w:rsidR="00000000" w:rsidDel="00000000" w:rsidP="00000000" w:rsidRDefault="00000000" w:rsidRPr="00000000" w14:paraId="0000000B">
      <w:pPr>
        <w:numPr>
          <w:ilvl w:val="0"/>
          <w:numId w:val="12"/>
        </w:numPr>
        <w:spacing w:after="0" w:before="240" w:lineRule="auto"/>
        <w:ind w:left="720" w:hanging="360"/>
        <w:rPr/>
      </w:pPr>
      <w:r w:rsidDel="00000000" w:rsidR="00000000" w:rsidRPr="00000000">
        <w:rPr>
          <w:b w:val="1"/>
          <w:bCs w:val="1"/>
          <w:rtl w:val="0"/>
        </w:rPr>
        <w:t xml:space="preserve">RQ1:</w:t>
      </w:r>
      <w:r w:rsidDel="00000000" w:rsidR="00000000" w:rsidRPr="00000000">
        <w:rPr>
          <w:rtl w:val="0"/>
        </w:rPr>
        <w:t xml:space="preserve"> Under what economic and configuration conditions does adding a community BESS (PV-BESS joint system) provide incremental value over a PV-only collective self-consumption baseline in Spain?</w:t>
        <w:br w:type="textWrapping"/>
      </w:r>
    </w:p>
    <w:p w:rsidR="00000000" w:rsidDel="00000000" w:rsidP="00000000" w:rsidRDefault="00000000" w:rsidRPr="00000000" w14:paraId="0000000C">
      <w:pPr>
        <w:numPr>
          <w:ilvl w:val="0"/>
          <w:numId w:val="12"/>
        </w:numPr>
        <w:spacing w:after="0" w:before="0" w:lineRule="auto"/>
        <w:ind w:left="720" w:hanging="360"/>
        <w:rPr/>
      </w:pPr>
      <w:r w:rsidDel="00000000" w:rsidR="00000000" w:rsidRPr="00000000">
        <w:rPr>
          <w:b w:val="1"/>
          <w:bCs w:val="1"/>
          <w:rtl w:val="0"/>
        </w:rPr>
        <w:t xml:space="preserve">RQ2:</w:t>
      </w:r>
      <w:r w:rsidDel="00000000" w:rsidR="00000000" w:rsidRPr="00000000">
        <w:rPr>
          <w:rtl w:val="0"/>
        </w:rPr>
        <w:t xml:space="preserve"> How much of total economic benefit is attributable to the battery (relative to PV-only), and how is that battery-specific value affected by the simplified compensation cap under RD 244/2019?</w:t>
        <w:br w:type="textWrapping"/>
      </w:r>
    </w:p>
    <w:p w:rsidR="00000000" w:rsidDel="00000000" w:rsidP="00000000" w:rsidRDefault="00000000" w:rsidRPr="00000000" w14:paraId="0000000D">
      <w:pPr>
        <w:numPr>
          <w:ilvl w:val="0"/>
          <w:numId w:val="12"/>
        </w:numPr>
        <w:spacing w:after="240" w:before="0" w:lineRule="auto"/>
        <w:ind w:left="720" w:hanging="360"/>
        <w:rPr/>
      </w:pPr>
      <w:r w:rsidDel="00000000" w:rsidR="00000000" w:rsidRPr="00000000">
        <w:rPr>
          <w:b w:val="1"/>
          <w:bCs w:val="1"/>
          <w:rtl w:val="0"/>
        </w:rPr>
        <w:t xml:space="preserve">RQ3:</w:t>
      </w:r>
      <w:r w:rsidDel="00000000" w:rsidR="00000000" w:rsidRPr="00000000">
        <w:rPr>
          <w:rtl w:val="0"/>
        </w:rPr>
        <w:t xml:space="preserve"> How sensitive are PV–BESS outcomes to community composition (10–50 households), PV penetration, and battery CAPEX?</w:t>
        <w:br w:type="textWrapping"/>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8djpanfkzp3c" w:id="4"/>
      <w:bookmarkEnd w:id="4"/>
      <w:r w:rsidDel="00000000" w:rsidR="00000000" w:rsidRPr="00000000">
        <w:rPr>
          <w:b w:val="1"/>
          <w:bCs w:val="1"/>
          <w:sz w:val="34"/>
          <w:szCs w:val="34"/>
          <w:rtl w:val="0"/>
        </w:rPr>
        <w:t xml:space="preserve">1.4 Contributions</w:t>
      </w:r>
    </w:p>
    <w:p w:rsidR="00000000" w:rsidDel="00000000" w:rsidP="00000000" w:rsidRDefault="00000000" w:rsidRPr="00000000" w14:paraId="0000000F">
      <w:pPr>
        <w:spacing w:after="240" w:before="240" w:lineRule="auto"/>
        <w:rPr/>
      </w:pPr>
      <w:r w:rsidDel="00000000" w:rsidR="00000000" w:rsidRPr="00000000">
        <w:rPr>
          <w:rtl w:val="0"/>
        </w:rPr>
        <w:t xml:space="preserve">The primary contributions of this work lie in the technical credibility of the settlement implementation and the transparency of the economic attribution:</w:t>
      </w:r>
    </w:p>
    <w:p w:rsidR="00000000" w:rsidDel="00000000" w:rsidP="00000000" w:rsidRDefault="00000000" w:rsidRPr="00000000" w14:paraId="00000010">
      <w:pPr>
        <w:numPr>
          <w:ilvl w:val="0"/>
          <w:numId w:val="9"/>
        </w:numPr>
        <w:spacing w:after="0" w:before="240" w:lineRule="auto"/>
        <w:ind w:left="720" w:hanging="360"/>
        <w:rPr/>
      </w:pPr>
      <w:r w:rsidDel="00000000" w:rsidR="00000000" w:rsidRPr="00000000">
        <w:rPr>
          <w:b w:val="1"/>
          <w:bCs w:val="1"/>
          <w:rtl w:val="0"/>
        </w:rPr>
        <w:t xml:space="preserve">Explicit settlement implementation (Spain-specific):</w:t>
      </w:r>
      <w:r w:rsidDel="00000000" w:rsidR="00000000" w:rsidRPr="00000000">
        <w:rPr>
          <w:rtl w:val="0"/>
        </w:rPr>
        <w:t xml:space="preserve"> An auditable implementation of the RD 244/2019 monthly export-credit cap and no-carry-over rule within a techno-economic simulation of collective self-consumption.</w:t>
        <w:br w:type="textWrapping"/>
      </w:r>
    </w:p>
    <w:p w:rsidR="00000000" w:rsidDel="00000000" w:rsidP="00000000" w:rsidRDefault="00000000" w:rsidRPr="00000000" w14:paraId="00000011">
      <w:pPr>
        <w:numPr>
          <w:ilvl w:val="0"/>
          <w:numId w:val="9"/>
        </w:numPr>
        <w:spacing w:after="0" w:before="0" w:lineRule="auto"/>
        <w:ind w:left="720" w:hanging="360"/>
        <w:rPr/>
      </w:pPr>
      <w:r w:rsidDel="00000000" w:rsidR="00000000" w:rsidRPr="00000000">
        <w:rPr>
          <w:b w:val="1"/>
          <w:bCs w:val="1"/>
          <w:rtl w:val="0"/>
        </w:rPr>
        <w:t xml:space="preserve">Value decomposition of storage benefits:</w:t>
      </w:r>
      <w:r w:rsidDel="00000000" w:rsidR="00000000" w:rsidRPr="00000000">
        <w:rPr>
          <w:rtl w:val="0"/>
        </w:rPr>
        <w:t xml:space="preserve"> A transparent framework to quantify </w:t>
      </w:r>
      <w:r w:rsidDel="00000000" w:rsidR="00000000" w:rsidRPr="00000000">
        <w:rPr>
          <w:b w:val="1"/>
          <w:bCs w:val="1"/>
          <w:rtl w:val="0"/>
        </w:rPr>
        <w:t xml:space="preserve">battery-specific value</w:t>
      </w:r>
      <w:r w:rsidDel="00000000" w:rsidR="00000000" w:rsidRPr="00000000">
        <w:rPr>
          <w:rtl w:val="0"/>
        </w:rPr>
        <w:t xml:space="preserve"> relative to a PV-only baseline, defined primarily as incremental economic value (e.g., ΔAnnual Bill and/or ΔNPV). This is supported by explanatory technical indicators such as the change in Self-Consumption Ratio (ΔSCR) and the measured volume/value of avoided “lost export credits” when the monthly cap would otherwise bind.</w:t>
        <w:br w:type="textWrapping"/>
      </w:r>
    </w:p>
    <w:p w:rsidR="00000000" w:rsidDel="00000000" w:rsidP="00000000" w:rsidRDefault="00000000" w:rsidRPr="00000000" w14:paraId="00000012">
      <w:pPr>
        <w:numPr>
          <w:ilvl w:val="0"/>
          <w:numId w:val="9"/>
        </w:numPr>
        <w:spacing w:after="240" w:before="0" w:lineRule="auto"/>
        <w:ind w:left="720" w:hanging="360"/>
        <w:rPr/>
      </w:pPr>
      <w:r w:rsidDel="00000000" w:rsidR="00000000" w:rsidRPr="00000000">
        <w:rPr>
          <w:b w:val="1"/>
          <w:bCs w:val="1"/>
          <w:rtl w:val="0"/>
        </w:rPr>
        <w:t xml:space="preserve">Robustness and threshold insights:</w:t>
      </w:r>
      <w:r w:rsidDel="00000000" w:rsidR="00000000" w:rsidRPr="00000000">
        <w:rPr>
          <w:rtl w:val="0"/>
        </w:rPr>
        <w:t xml:space="preserve"> A structured sensitivity analysis to identify viability envelopes and break-even conditions across battery CAPEX, PV penetration, and heterogeneous community composition (10–50 households), under Spanish pricing inputs and settlement constraints.</w:t>
        <w:br w:type="textWrapp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ynechgofyme0" w:id="5"/>
      <w:bookmarkEnd w:id="5"/>
      <w:r w:rsidDel="00000000" w:rsidR="00000000" w:rsidRPr="00000000">
        <w:rPr>
          <w:b w:val="1"/>
          <w:bCs w:val="1"/>
          <w:sz w:val="34"/>
          <w:szCs w:val="34"/>
          <w:rtl w:val="0"/>
        </w:rPr>
        <w:t xml:space="preserve">1.5 Scope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1.5 Scope</w:t>
        <w:br w:type="textWrapping"/>
      </w:r>
      <w:r w:rsidDel="00000000" w:rsidR="00000000" w:rsidRPr="00000000">
        <w:rPr>
          <w:rtl w:val="0"/>
        </w:rPr>
        <w:t xml:space="preserve"> The scope of this research is defined by the following boundaries:</w:t>
      </w:r>
    </w:p>
    <w:p w:rsidR="00000000" w:rsidDel="00000000" w:rsidP="00000000" w:rsidRDefault="00000000" w:rsidRPr="00000000" w14:paraId="00000015">
      <w:pPr>
        <w:numPr>
          <w:ilvl w:val="0"/>
          <w:numId w:val="4"/>
        </w:numPr>
        <w:spacing w:after="0" w:before="240" w:lineRule="auto"/>
        <w:ind w:left="720" w:hanging="360"/>
        <w:rPr/>
      </w:pPr>
      <w:r w:rsidDel="00000000" w:rsidR="00000000" w:rsidRPr="00000000">
        <w:rPr>
          <w:b w:val="1"/>
          <w:bCs w:val="1"/>
          <w:rtl w:val="0"/>
        </w:rPr>
        <w:t xml:space="preserve">Valuation basis (retail settlement):</w:t>
      </w:r>
      <w:r w:rsidDel="00000000" w:rsidR="00000000" w:rsidRPr="00000000">
        <w:rPr>
          <w:rtl w:val="0"/>
        </w:rPr>
        <w:t xml:space="preserve"> Grid </w:t>
      </w:r>
      <w:r w:rsidDel="00000000" w:rsidR="00000000" w:rsidRPr="00000000">
        <w:rPr>
          <w:b w:val="1"/>
          <w:bCs w:val="1"/>
          <w:rtl w:val="0"/>
        </w:rPr>
        <w:t xml:space="preserve">imports</w:t>
      </w:r>
      <w:r w:rsidDel="00000000" w:rsidR="00000000" w:rsidRPr="00000000">
        <w:rPr>
          <w:rtl w:val="0"/>
        </w:rPr>
        <w:t xml:space="preserve"> are valued using the Spanish regulated </w:t>
      </w:r>
      <w:r w:rsidDel="00000000" w:rsidR="00000000" w:rsidRPr="00000000">
        <w:rPr>
          <w:b w:val="1"/>
          <w:bCs w:val="1"/>
          <w:rtl w:val="0"/>
        </w:rPr>
        <w:t xml:space="preserve">PVPC</w:t>
      </w:r>
      <w:r w:rsidDel="00000000" w:rsidR="00000000" w:rsidRPr="00000000">
        <w:rPr>
          <w:rtl w:val="0"/>
        </w:rPr>
        <w:t xml:space="preserve"> retail price series; </w:t>
      </w:r>
      <w:r w:rsidDel="00000000" w:rsidR="00000000" w:rsidRPr="00000000">
        <w:rPr>
          <w:b w:val="1"/>
          <w:bCs w:val="1"/>
          <w:rtl w:val="0"/>
        </w:rPr>
        <w:t xml:space="preserve">exports</w:t>
      </w:r>
      <w:r w:rsidDel="00000000" w:rsidR="00000000" w:rsidRPr="00000000">
        <w:rPr>
          <w:rtl w:val="0"/>
        </w:rPr>
        <w:t xml:space="preserve"> are valued using the simplified-compensation export credit series (subject to the applicable compensation logic). Fixed-price retail contracts and alternative retail offerings are out of scope.</w:t>
        <w:br w:type="textWrapping"/>
      </w:r>
    </w:p>
    <w:p w:rsidR="00000000" w:rsidDel="00000000" w:rsidP="00000000" w:rsidRDefault="00000000" w:rsidRPr="00000000" w14:paraId="00000016">
      <w:pPr>
        <w:numPr>
          <w:ilvl w:val="0"/>
          <w:numId w:val="4"/>
        </w:numPr>
        <w:spacing w:after="0" w:before="0" w:lineRule="auto"/>
        <w:ind w:left="720" w:hanging="360"/>
        <w:rPr/>
      </w:pPr>
      <w:r w:rsidDel="00000000" w:rsidR="00000000" w:rsidRPr="00000000">
        <w:rPr>
          <w:b w:val="1"/>
          <w:bCs w:val="1"/>
          <w:rtl w:val="0"/>
        </w:rPr>
        <w:t xml:space="preserve">Dispatch price signal:</w:t>
      </w:r>
      <w:r w:rsidDel="00000000" w:rsidR="00000000" w:rsidRPr="00000000">
        <w:rPr>
          <w:rtl w:val="0"/>
        </w:rPr>
        <w:t xml:space="preserve"> Battery dispatch decisions use the </w:t>
      </w:r>
      <w:r w:rsidDel="00000000" w:rsidR="00000000" w:rsidRPr="00000000">
        <w:rPr>
          <w:b w:val="1"/>
          <w:bCs w:val="1"/>
          <w:rtl w:val="0"/>
        </w:rPr>
        <w:t xml:space="preserve">OMIE day-ahead wholesale price signal</w:t>
      </w:r>
      <w:r w:rsidDel="00000000" w:rsidR="00000000" w:rsidRPr="00000000">
        <w:rPr>
          <w:rtl w:val="0"/>
        </w:rPr>
        <w:t xml:space="preserve"> (MTU15).</w:t>
        <w:br w:type="textWrapping"/>
      </w:r>
    </w:p>
    <w:p w:rsidR="00000000" w:rsidDel="00000000" w:rsidP="00000000" w:rsidRDefault="00000000" w:rsidRPr="00000000" w14:paraId="00000017">
      <w:pPr>
        <w:numPr>
          <w:ilvl w:val="0"/>
          <w:numId w:val="4"/>
        </w:numPr>
        <w:spacing w:after="0" w:before="0" w:lineRule="auto"/>
        <w:ind w:left="720" w:hanging="360"/>
        <w:rPr/>
      </w:pPr>
      <w:r w:rsidDel="00000000" w:rsidR="00000000" w:rsidRPr="00000000">
        <w:rPr>
          <w:b w:val="1"/>
          <w:bCs w:val="1"/>
          <w:rtl w:val="0"/>
        </w:rPr>
        <w:t xml:space="preserve">Billing boundary (to be finalized after Chapter 2):</w:t>
      </w:r>
      <w:r w:rsidDel="00000000" w:rsidR="00000000" w:rsidRPr="00000000">
        <w:rPr>
          <w:rtl w:val="0"/>
        </w:rPr>
        <w:t xml:space="preserve"> The economic settlement boundary will be selected based on the literature review and data availability. The baseline analysis will report </w:t>
      </w:r>
      <w:r w:rsidDel="00000000" w:rsidR="00000000" w:rsidRPr="00000000">
        <w:rPr>
          <w:b w:val="1"/>
          <w:bCs w:val="1"/>
          <w:rtl w:val="0"/>
        </w:rPr>
        <w:t xml:space="preserve">energy-term cashflows</w:t>
      </w:r>
      <w:r w:rsidDel="00000000" w:rsidR="00000000" w:rsidRPr="00000000">
        <w:rPr>
          <w:rtl w:val="0"/>
        </w:rPr>
        <w:t xml:space="preserve"> (imports and exports valued under PVPC and simplified-compensation rules). Inclusion of </w:t>
      </w:r>
      <w:r w:rsidDel="00000000" w:rsidR="00000000" w:rsidRPr="00000000">
        <w:rPr>
          <w:b w:val="1"/>
          <w:bCs w:val="1"/>
          <w:rtl w:val="0"/>
        </w:rPr>
        <w:t xml:space="preserve">fixed power-term charges and taxes</w:t>
      </w:r>
      <w:r w:rsidDel="00000000" w:rsidR="00000000" w:rsidRPr="00000000">
        <w:rPr>
          <w:rtl w:val="0"/>
        </w:rPr>
        <w:t xml:space="preserve"> will be considered as an extended case where feasible and documented explicitly in the methodology chapter.</w:t>
        <w:br w:type="textWrapping"/>
      </w:r>
    </w:p>
    <w:p w:rsidR="00000000" w:rsidDel="00000000" w:rsidP="00000000" w:rsidRDefault="00000000" w:rsidRPr="00000000" w14:paraId="00000018">
      <w:pPr>
        <w:numPr>
          <w:ilvl w:val="0"/>
          <w:numId w:val="4"/>
        </w:numPr>
        <w:spacing w:after="0" w:before="0" w:lineRule="auto"/>
        <w:ind w:left="720" w:hanging="360"/>
        <w:rPr/>
      </w:pPr>
      <w:r w:rsidDel="00000000" w:rsidR="00000000" w:rsidRPr="00000000">
        <w:rPr>
          <w:b w:val="1"/>
          <w:bCs w:val="1"/>
          <w:rtl w:val="0"/>
        </w:rPr>
        <w:t xml:space="preserve">Technological focus:</w:t>
      </w:r>
      <w:r w:rsidDel="00000000" w:rsidR="00000000" w:rsidRPr="00000000">
        <w:rPr>
          <w:rtl w:val="0"/>
        </w:rPr>
        <w:t xml:space="preserve"> Shared PV + community battery energy storage (CBESS). Standalone batteries and vehicle-to-grid (V2G) are excluded.</w:t>
        <w:br w:type="textWrapping"/>
      </w:r>
    </w:p>
    <w:p w:rsidR="00000000" w:rsidDel="00000000" w:rsidP="00000000" w:rsidRDefault="00000000" w:rsidRPr="00000000" w14:paraId="00000019">
      <w:pPr>
        <w:numPr>
          <w:ilvl w:val="0"/>
          <w:numId w:val="4"/>
        </w:numPr>
        <w:spacing w:after="0" w:before="0" w:lineRule="auto"/>
        <w:ind w:left="720" w:hanging="360"/>
        <w:rPr/>
      </w:pPr>
      <w:r w:rsidDel="00000000" w:rsidR="00000000" w:rsidRPr="00000000">
        <w:rPr>
          <w:b w:val="1"/>
          <w:bCs w:val="1"/>
          <w:rtl w:val="0"/>
        </w:rPr>
        <w:t xml:space="preserve">Community setting:</w:t>
      </w:r>
      <w:r w:rsidDel="00000000" w:rsidR="00000000" w:rsidRPr="00000000">
        <w:rPr>
          <w:rtl w:val="0"/>
        </w:rPr>
        <w:t xml:space="preserve"> A residential energy community of approximately 10–50 households in the urban context of Seville, Spain.</w:t>
        <w:br w:type="textWrapping"/>
      </w:r>
    </w:p>
    <w:p w:rsidR="00000000" w:rsidDel="00000000" w:rsidP="00000000" w:rsidRDefault="00000000" w:rsidRPr="00000000" w14:paraId="0000001A">
      <w:pPr>
        <w:numPr>
          <w:ilvl w:val="0"/>
          <w:numId w:val="4"/>
        </w:numPr>
        <w:spacing w:after="0" w:before="0" w:lineRule="auto"/>
        <w:ind w:left="720" w:hanging="360"/>
        <w:rPr/>
      </w:pPr>
      <w:r w:rsidDel="00000000" w:rsidR="00000000" w:rsidRPr="00000000">
        <w:rPr>
          <w:b w:val="1"/>
          <w:bCs w:val="1"/>
          <w:rtl w:val="0"/>
        </w:rPr>
        <w:t xml:space="preserve">Time resolution:</w:t>
      </w:r>
      <w:r w:rsidDel="00000000" w:rsidR="00000000" w:rsidRPr="00000000">
        <w:rPr>
          <w:rtl w:val="0"/>
        </w:rPr>
        <w:t xml:space="preserve"> OMIE day-ahead prices are handled at </w:t>
      </w:r>
      <w:r w:rsidDel="00000000" w:rsidR="00000000" w:rsidRPr="00000000">
        <w:rPr>
          <w:b w:val="1"/>
          <w:bCs w:val="1"/>
          <w:rtl w:val="0"/>
        </w:rPr>
        <w:t xml:space="preserve">MTU15</w:t>
      </w:r>
      <w:r w:rsidDel="00000000" w:rsidR="00000000" w:rsidRPr="00000000">
        <w:rPr>
          <w:rtl w:val="0"/>
        </w:rPr>
        <w:t xml:space="preserve"> and PVPC final energy prices at </w:t>
      </w:r>
      <w:r w:rsidDel="00000000" w:rsidR="00000000" w:rsidRPr="00000000">
        <w:rPr>
          <w:b w:val="1"/>
          <w:bCs w:val="1"/>
          <w:rtl w:val="0"/>
        </w:rPr>
        <w:t xml:space="preserve">quarter-hourly</w:t>
      </w:r>
      <w:r w:rsidDel="00000000" w:rsidR="00000000" w:rsidRPr="00000000">
        <w:rPr>
          <w:rtl w:val="0"/>
        </w:rPr>
        <w:t xml:space="preserve"> resolution (from 2026); inputs are stored at native resolution and aggregated hourly to match the simulation time-step.</w:t>
        <w:br w:type="textWrapping"/>
      </w:r>
    </w:p>
    <w:p w:rsidR="00000000" w:rsidDel="00000000" w:rsidP="00000000" w:rsidRDefault="00000000" w:rsidRPr="00000000" w14:paraId="0000001B">
      <w:pPr>
        <w:numPr>
          <w:ilvl w:val="0"/>
          <w:numId w:val="4"/>
        </w:numPr>
        <w:spacing w:after="240" w:before="0" w:lineRule="auto"/>
        <w:ind w:left="720" w:hanging="360"/>
        <w:rPr/>
      </w:pPr>
      <w:r w:rsidDel="00000000" w:rsidR="00000000" w:rsidRPr="00000000">
        <w:rPr>
          <w:b w:val="1"/>
          <w:bCs w:val="1"/>
          <w:rtl w:val="0"/>
        </w:rPr>
        <w:t xml:space="preserve">Battery degradation:</w:t>
      </w:r>
      <w:r w:rsidDel="00000000" w:rsidR="00000000" w:rsidRPr="00000000">
        <w:rPr>
          <w:rtl w:val="0"/>
        </w:rPr>
        <w:t xml:space="preserve"> Battery degradation is not modeled (no capacity fade / resistance growth / replacement scheduling). The battery is represented with fixed usable capacity and fixed round-trip efficiency. This choice keeps the thesis focused on pricing, dispatch logic, and allocation impacts. Degradation is treated as a limitation and recommended for future work.</w:t>
        <w:br w:type="textWrapping"/>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eading=h.3z2un1sh26k" w:id="6"/>
      <w:bookmarkEnd w:id="6"/>
      <w:r w:rsidDel="00000000" w:rsidR="00000000" w:rsidRPr="00000000">
        <w:rPr>
          <w:b w:val="1"/>
          <w:bCs w:val="1"/>
          <w:sz w:val="34"/>
          <w:szCs w:val="34"/>
          <w:rtl w:val="0"/>
        </w:rPr>
        <w:t xml:space="preserve">1.6 Thesis Structure</w:t>
      </w:r>
    </w:p>
    <w:p w:rsidR="00000000" w:rsidDel="00000000" w:rsidP="00000000" w:rsidRDefault="00000000" w:rsidRPr="00000000" w14:paraId="0000001E">
      <w:pPr>
        <w:spacing w:after="240" w:before="240" w:lineRule="auto"/>
        <w:rPr/>
      </w:pPr>
      <w:r w:rsidDel="00000000" w:rsidR="00000000" w:rsidRPr="00000000">
        <w:rPr>
          <w:rtl w:val="0"/>
        </w:rPr>
        <w:t xml:space="preserve">The remainder of this thesis is organized as follows:</w:t>
      </w:r>
    </w:p>
    <w:p w:rsidR="00000000" w:rsidDel="00000000" w:rsidP="00000000" w:rsidRDefault="00000000" w:rsidRPr="00000000" w14:paraId="0000001F">
      <w:pPr>
        <w:numPr>
          <w:ilvl w:val="0"/>
          <w:numId w:val="8"/>
        </w:numPr>
        <w:spacing w:after="0" w:before="240" w:lineRule="auto"/>
        <w:ind w:left="720" w:hanging="360"/>
        <w:rPr/>
      </w:pPr>
      <w:r w:rsidDel="00000000" w:rsidR="00000000" w:rsidRPr="00000000">
        <w:rPr>
          <w:b w:val="1"/>
          <w:bCs w:val="1"/>
          <w:rtl w:val="0"/>
        </w:rPr>
        <w:t xml:space="preserve">Literature Review</w:t>
      </w:r>
      <w:r w:rsidDel="00000000" w:rsidR="00000000" w:rsidRPr="00000000">
        <w:rPr>
          <w:rtl w:val="0"/>
        </w:rPr>
        <w:t xml:space="preserve"> – Provides a focused, RQ-driven review of Spanish self-consumption settlement, community storage studies, and techno-economic PV–BESS evaluation methods relevant to RQ1–RQ3.</w:t>
        <w:br w:type="textWrapping"/>
      </w:r>
    </w:p>
    <w:p w:rsidR="00000000" w:rsidDel="00000000" w:rsidP="00000000" w:rsidRDefault="00000000" w:rsidRPr="00000000" w14:paraId="00000020">
      <w:pPr>
        <w:numPr>
          <w:ilvl w:val="0"/>
          <w:numId w:val="8"/>
        </w:numPr>
        <w:spacing w:after="0" w:before="0" w:lineRule="auto"/>
        <w:ind w:left="720" w:hanging="360"/>
        <w:rPr/>
      </w:pPr>
      <w:r w:rsidDel="00000000" w:rsidR="00000000" w:rsidRPr="00000000">
        <w:rPr>
          <w:b w:val="1"/>
          <w:bCs w:val="1"/>
          <w:rtl w:val="0"/>
        </w:rPr>
        <w:t xml:space="preserve">Methodology</w:t>
      </w:r>
      <w:r w:rsidDel="00000000" w:rsidR="00000000" w:rsidRPr="00000000">
        <w:rPr>
          <w:rtl w:val="0"/>
        </w:rPr>
        <w:t xml:space="preserve"> – Details the simulation environment, the implementation of RD 244/2019 settlement logic, and Seville load (using London’s load data) and PV generation modeling assumptions.</w:t>
        <w:br w:type="textWrapping"/>
      </w:r>
    </w:p>
    <w:p w:rsidR="00000000" w:rsidDel="00000000" w:rsidP="00000000" w:rsidRDefault="00000000" w:rsidRPr="00000000" w14:paraId="00000021">
      <w:pPr>
        <w:numPr>
          <w:ilvl w:val="0"/>
          <w:numId w:val="8"/>
        </w:numPr>
        <w:spacing w:after="0" w:before="0" w:lineRule="auto"/>
        <w:ind w:left="720" w:hanging="360"/>
        <w:rPr/>
      </w:pPr>
      <w:r w:rsidDel="00000000" w:rsidR="00000000" w:rsidRPr="00000000">
        <w:rPr>
          <w:b w:val="1"/>
          <w:bCs w:val="1"/>
          <w:rtl w:val="0"/>
        </w:rPr>
        <w:t xml:space="preserve">Results and Discussion</w:t>
      </w:r>
      <w:r w:rsidDel="00000000" w:rsidR="00000000" w:rsidRPr="00000000">
        <w:rPr>
          <w:rtl w:val="0"/>
        </w:rPr>
        <w:t xml:space="preserve"> – Presents battery-specific value decomposition results and interprets when/why the monthly cap binds and erodes returns.</w:t>
        <w:br w:type="textWrapping"/>
      </w:r>
    </w:p>
    <w:p w:rsidR="00000000" w:rsidDel="00000000" w:rsidP="00000000" w:rsidRDefault="00000000" w:rsidRPr="00000000" w14:paraId="00000022">
      <w:pPr>
        <w:numPr>
          <w:ilvl w:val="0"/>
          <w:numId w:val="8"/>
        </w:numPr>
        <w:spacing w:after="240" w:before="0" w:lineRule="auto"/>
        <w:ind w:left="720" w:hanging="360"/>
        <w:rPr/>
      </w:pPr>
      <w:r w:rsidDel="00000000" w:rsidR="00000000" w:rsidRPr="00000000">
        <w:rPr>
          <w:b w:val="1"/>
          <w:bCs w:val="1"/>
          <w:rtl w:val="0"/>
        </w:rPr>
        <w:t xml:space="preserve">Conclusion and Future Work</w:t>
      </w:r>
      <w:r w:rsidDel="00000000" w:rsidR="00000000" w:rsidRPr="00000000">
        <w:rPr>
          <w:rtl w:val="0"/>
        </w:rPr>
        <w:t xml:space="preserve"> – Summarizes findings, discusses implications for Spanish energy communities, and outlines extensions (e.g., dynamic coefficients or additional flexibility services) as future work.</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srudd55zo3pv" w:id="7"/>
      <w:bookmarkEnd w:id="7"/>
      <w:r w:rsidDel="00000000" w:rsidR="00000000" w:rsidRPr="00000000">
        <w:rPr>
          <w:b w:val="1"/>
          <w:bCs w:val="1"/>
          <w:sz w:val="34"/>
          <w:szCs w:val="34"/>
          <w:rtl w:val="0"/>
        </w:rPr>
        <w:t xml:space="preserve">1.7 Definition of terms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erklosxcokre" w:id="8"/>
      <w:bookmarkEnd w:id="8"/>
      <w:r w:rsidDel="00000000" w:rsidR="00000000" w:rsidRPr="00000000">
        <w:rPr>
          <w:b w:val="1"/>
          <w:bCs w:val="1"/>
          <w:color w:val="000000"/>
          <w:sz w:val="26"/>
          <w:szCs w:val="26"/>
          <w:rtl w:val="0"/>
        </w:rPr>
        <w:t xml:space="preserve">Notation (used throughout the thesis)</w:t>
      </w:r>
    </w:p>
    <w:p w:rsidR="00000000" w:rsidDel="00000000" w:rsidP="00000000" w:rsidRDefault="00000000" w:rsidRPr="00000000" w14:paraId="00000025">
      <w:pPr>
        <w:numPr>
          <w:ilvl w:val="0"/>
          <w:numId w:val="7"/>
        </w:numPr>
        <w:spacing w:after="0" w:before="240" w:lineRule="auto"/>
        <w:ind w:left="720" w:hanging="360"/>
        <w:rPr/>
      </w:pPr>
      <w:sdt>
        <w:sdtPr>
          <w:id w:val="780451600"/>
          <w:tag w:val="goog_rdk_0"/>
        </w:sdtPr>
        <w:sdtContent>
          <w:r w:rsidDel="00000000" w:rsidR="00000000" w:rsidRPr="00000000">
            <w:rPr>
              <w:rFonts w:ascii="Arial Unicode MS" w:cs="Arial Unicode MS" w:eastAsia="Arial Unicode MS" w:hAnsi="Arial Unicode MS"/>
              <w:rtl w:val="0"/>
            </w:rPr>
            <w:t xml:space="preserve">i∈{1,…,N}i: index for community members/households.</w:t>
            <w:br w:type="textWrapping"/>
          </w:r>
        </w:sdtContent>
      </w:sdt>
      <w:r w:rsidDel="00000000" w:rsidR="00000000" w:rsidRPr="00000000">
        <w:rPr>
          <w:rtl w:val="0"/>
        </w:rPr>
      </w:r>
    </w:p>
    <w:p w:rsidR="00000000" w:rsidDel="00000000" w:rsidP="00000000" w:rsidRDefault="00000000" w:rsidRPr="00000000" w14:paraId="00000026">
      <w:pPr>
        <w:numPr>
          <w:ilvl w:val="0"/>
          <w:numId w:val="7"/>
        </w:numPr>
        <w:spacing w:after="0" w:before="0" w:lineRule="auto"/>
        <w:ind w:left="720" w:hanging="360"/>
        <w:rPr/>
      </w:pPr>
      <w:sdt>
        <w:sdtPr>
          <w:id w:val="-1753133297"/>
          <w:tag w:val="goog_rdk_1"/>
        </w:sdtPr>
        <w:sdtContent>
          <w:r w:rsidDel="00000000" w:rsidR="00000000" w:rsidRPr="00000000">
            <w:rPr>
              <w:rFonts w:ascii="Arial Unicode MS" w:cs="Arial Unicode MS" w:eastAsia="Arial Unicode MS" w:hAnsi="Arial Unicode MS"/>
              <w:rtl w:val="0"/>
            </w:rPr>
            <w:t xml:space="preserve">t∈{1,…,T}t: index for discrete time steps (hourly unless otherwise stated).</w:t>
            <w:br w:type="textWrapping"/>
          </w:r>
        </w:sdtContent>
      </w:sdt>
      <w:r w:rsidDel="00000000" w:rsidR="00000000" w:rsidRPr="00000000">
        <w:rPr>
          <w:rtl w:val="0"/>
        </w:rPr>
      </w:r>
    </w:p>
    <w:p w:rsidR="00000000" w:rsidDel="00000000" w:rsidP="00000000" w:rsidRDefault="00000000" w:rsidRPr="00000000" w14:paraId="00000027">
      <w:pPr>
        <w:numPr>
          <w:ilvl w:val="0"/>
          <w:numId w:val="7"/>
        </w:numPr>
        <w:spacing w:after="0" w:before="0" w:lineRule="auto"/>
        <w:ind w:left="720" w:hanging="360"/>
        <w:rPr/>
      </w:pPr>
      <w:r w:rsidDel="00000000" w:rsidR="00000000" w:rsidRPr="00000000">
        <w:rPr>
          <w:rtl w:val="0"/>
        </w:rPr>
        <w:t xml:space="preserve">x(t): value of variable x at time step t.</w:t>
        <w:br w:type="textWrapping"/>
      </w:r>
    </w:p>
    <w:p w:rsidR="00000000" w:rsidDel="00000000" w:rsidP="00000000" w:rsidRDefault="00000000" w:rsidRPr="00000000" w14:paraId="00000028">
      <w:pPr>
        <w:numPr>
          <w:ilvl w:val="0"/>
          <w:numId w:val="7"/>
        </w:numPr>
        <w:spacing w:after="240" w:before="0" w:lineRule="auto"/>
        <w:ind w:left="720" w:hanging="360"/>
        <w:rPr/>
      </w:pPr>
      <w:r w:rsidDel="00000000" w:rsidR="00000000" w:rsidRPr="00000000">
        <w:rPr>
          <w:rtl w:val="0"/>
        </w:rPr>
        <w:t xml:space="preserve">All energies are expressed in kWh per time step; power may be expressed in kW.</w:t>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8lmdbr56j6eb" w:id="9"/>
      <w:bookmarkEnd w:id="9"/>
      <w:r w:rsidDel="00000000" w:rsidR="00000000" w:rsidRPr="00000000">
        <w:rPr>
          <w:b w:val="1"/>
          <w:bCs w:val="1"/>
          <w:color w:val="000000"/>
          <w:sz w:val="26"/>
          <w:szCs w:val="26"/>
          <w:rtl w:val="0"/>
        </w:rPr>
        <w:t xml:space="preserve">System and community concepts</w:t>
      </w:r>
    </w:p>
    <w:p w:rsidR="00000000" w:rsidDel="00000000" w:rsidP="00000000" w:rsidRDefault="00000000" w:rsidRPr="00000000" w14:paraId="0000002A">
      <w:pPr>
        <w:numPr>
          <w:ilvl w:val="0"/>
          <w:numId w:val="6"/>
        </w:numPr>
        <w:spacing w:after="0" w:before="240" w:lineRule="auto"/>
        <w:ind w:left="720" w:hanging="360"/>
        <w:rPr/>
      </w:pPr>
      <w:r w:rsidDel="00000000" w:rsidR="00000000" w:rsidRPr="00000000">
        <w:rPr>
          <w:b w:val="1"/>
          <w:bCs w:val="1"/>
          <w:rtl w:val="0"/>
        </w:rPr>
        <w:t xml:space="preserve">Renewable Energy Community (REC) / Energy community</w:t>
      </w:r>
      <w:r w:rsidDel="00000000" w:rsidR="00000000" w:rsidRPr="00000000">
        <w:rPr>
          <w:rtl w:val="0"/>
        </w:rPr>
        <w:t xml:space="preserve">: A group of participants who collectively generate, consume, and potentially share renewable electricity under an organizational arrangement that enables joint operation and benefit sharing.</w:t>
        <w:br w:type="textWrapping"/>
      </w:r>
    </w:p>
    <w:p w:rsidR="00000000" w:rsidDel="00000000" w:rsidP="00000000" w:rsidRDefault="00000000" w:rsidRPr="00000000" w14:paraId="0000002B">
      <w:pPr>
        <w:numPr>
          <w:ilvl w:val="0"/>
          <w:numId w:val="6"/>
        </w:numPr>
        <w:spacing w:after="0" w:before="0" w:lineRule="auto"/>
        <w:ind w:left="720" w:hanging="360"/>
        <w:rPr/>
      </w:pPr>
      <w:r w:rsidDel="00000000" w:rsidR="00000000" w:rsidRPr="00000000">
        <w:rPr>
          <w:b w:val="1"/>
          <w:bCs w:val="1"/>
          <w:rtl w:val="0"/>
        </w:rPr>
        <w:t xml:space="preserve">Prosumer</w:t>
      </w:r>
      <w:r w:rsidDel="00000000" w:rsidR="00000000" w:rsidRPr="00000000">
        <w:rPr>
          <w:rtl w:val="0"/>
        </w:rPr>
        <w:t xml:space="preserve">: A participant who both consumes electricity and produces electricity (here via PV).</w:t>
        <w:br w:type="textWrapping"/>
      </w:r>
    </w:p>
    <w:p w:rsidR="00000000" w:rsidDel="00000000" w:rsidP="00000000" w:rsidRDefault="00000000" w:rsidRPr="00000000" w14:paraId="0000002C">
      <w:pPr>
        <w:numPr>
          <w:ilvl w:val="0"/>
          <w:numId w:val="6"/>
        </w:numPr>
        <w:spacing w:after="0" w:before="0" w:lineRule="auto"/>
        <w:ind w:left="720" w:hanging="360"/>
        <w:rPr/>
      </w:pPr>
      <w:r w:rsidDel="00000000" w:rsidR="00000000" w:rsidRPr="00000000">
        <w:rPr>
          <w:b w:val="1"/>
          <w:bCs w:val="1"/>
          <w:rtl w:val="0"/>
        </w:rPr>
        <w:t xml:space="preserve">Behind-the-meter (BTM)</w:t>
      </w:r>
      <w:r w:rsidDel="00000000" w:rsidR="00000000" w:rsidRPr="00000000">
        <w:rPr>
          <w:rtl w:val="0"/>
        </w:rPr>
        <w:t xml:space="preserve">: Electricity generation/storage located “on the customer side” of the meter, primarily used to offset local consumption before any export to the grid.</w:t>
        <w:br w:type="textWrapping"/>
      </w:r>
    </w:p>
    <w:p w:rsidR="00000000" w:rsidDel="00000000" w:rsidP="00000000" w:rsidRDefault="00000000" w:rsidRPr="00000000" w14:paraId="0000002D">
      <w:pPr>
        <w:numPr>
          <w:ilvl w:val="0"/>
          <w:numId w:val="6"/>
        </w:numPr>
        <w:spacing w:after="240" w:before="0" w:lineRule="auto"/>
        <w:ind w:left="720" w:hanging="360"/>
        <w:rPr/>
      </w:pPr>
      <w:r w:rsidDel="00000000" w:rsidR="00000000" w:rsidRPr="00000000">
        <w:rPr>
          <w:b w:val="1"/>
          <w:bCs w:val="1"/>
          <w:rtl w:val="0"/>
        </w:rPr>
        <w:t xml:space="preserve">Community PV–BESS (co-located)</w:t>
      </w:r>
      <w:r w:rsidDel="00000000" w:rsidR="00000000" w:rsidRPr="00000000">
        <w:rPr>
          <w:rtl w:val="0"/>
        </w:rPr>
        <w:t xml:space="preserve">: A PV plant and battery energy storage system operated as a coordinated asset serving a group of loads within a community context.</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ybtmasj1gy9v" w:id="10"/>
      <w:bookmarkEnd w:id="10"/>
      <w:r w:rsidDel="00000000" w:rsidR="00000000" w:rsidRPr="00000000">
        <w:rPr>
          <w:b w:val="1"/>
          <w:bCs w:val="1"/>
          <w:color w:val="000000"/>
          <w:sz w:val="26"/>
          <w:szCs w:val="26"/>
          <w:rtl w:val="0"/>
        </w:rPr>
        <w:t xml:space="preserve">Energy quantities and flows</w:t>
      </w:r>
    </w:p>
    <w:p w:rsidR="00000000" w:rsidDel="00000000" w:rsidP="00000000" w:rsidRDefault="00000000" w:rsidRPr="00000000" w14:paraId="0000002F">
      <w:pPr>
        <w:numPr>
          <w:ilvl w:val="0"/>
          <w:numId w:val="11"/>
        </w:numPr>
        <w:spacing w:after="0" w:before="240" w:lineRule="auto"/>
        <w:ind w:left="720" w:hanging="360"/>
        <w:rPr/>
      </w:pPr>
      <w:r w:rsidDel="00000000" w:rsidR="00000000" w:rsidRPr="00000000">
        <w:rPr>
          <w:b w:val="1"/>
          <w:bCs w:val="1"/>
          <w:rtl w:val="0"/>
        </w:rPr>
        <w:t xml:space="preserve">Load / demand (Li(t),(L_i(t))</w:t>
      </w:r>
      <w:r w:rsidDel="00000000" w:rsidR="00000000" w:rsidRPr="00000000">
        <w:rPr>
          <w:rtl w:val="0"/>
        </w:rPr>
        <w:t xml:space="preserve">: Electricity consumption of member </w:t>
      </w:r>
      <w:r w:rsidDel="00000000" w:rsidR="00000000" w:rsidRPr="00000000">
        <w:rPr>
          <w:b w:val="1"/>
          <w:bCs w:val="1"/>
          <w:rtl w:val="0"/>
        </w:rPr>
        <w:t xml:space="preserve">i</w:t>
      </w:r>
      <w:r w:rsidDel="00000000" w:rsidR="00000000" w:rsidRPr="00000000">
        <w:rPr>
          <w:rtl w:val="0"/>
        </w:rPr>
        <w:t xml:space="preserve"> at time </w:t>
      </w:r>
      <w:r w:rsidDel="00000000" w:rsidR="00000000" w:rsidRPr="00000000">
        <w:rPr>
          <w:b w:val="1"/>
          <w:bCs w:val="1"/>
          <w:rtl w:val="0"/>
        </w:rPr>
        <w:t xml:space="preserve">t</w:t>
      </w:r>
      <w:r w:rsidDel="00000000" w:rsidR="00000000" w:rsidRPr="00000000">
        <w:rPr>
          <w:rtl w:val="0"/>
        </w:rPr>
        <w:t xml:space="preserve">.</w:t>
        <w:br w:type="textWrapping"/>
      </w:r>
    </w:p>
    <w:p w:rsidR="00000000" w:rsidDel="00000000" w:rsidP="00000000" w:rsidRDefault="00000000" w:rsidRPr="00000000" w14:paraId="00000030">
      <w:pPr>
        <w:numPr>
          <w:ilvl w:val="0"/>
          <w:numId w:val="11"/>
        </w:numPr>
        <w:spacing w:after="0" w:before="0" w:lineRule="auto"/>
        <w:ind w:left="720" w:hanging="360"/>
        <w:rPr/>
      </w:pPr>
      <w:r w:rsidDel="00000000" w:rsidR="00000000" w:rsidRPr="00000000">
        <w:rPr>
          <w:b w:val="1"/>
          <w:bCs w:val="1"/>
          <w:rtl w:val="0"/>
        </w:rPr>
        <w:t xml:space="preserve">PV generation (G(t))</w:t>
      </w:r>
      <w:r w:rsidDel="00000000" w:rsidR="00000000" w:rsidRPr="00000000">
        <w:rPr>
          <w:rtl w:val="0"/>
        </w:rPr>
        <w:t xml:space="preserve">: Electricity produced by the PV system at time ttt (community-level unless otherwise specified).</w:t>
        <w:br w:type="textWrapping"/>
      </w:r>
    </w:p>
    <w:p w:rsidR="00000000" w:rsidDel="00000000" w:rsidP="00000000" w:rsidRDefault="00000000" w:rsidRPr="00000000" w14:paraId="00000031">
      <w:pPr>
        <w:numPr>
          <w:ilvl w:val="0"/>
          <w:numId w:val="11"/>
        </w:numPr>
        <w:spacing w:after="0" w:before="0" w:lineRule="auto"/>
        <w:ind w:left="720" w:hanging="360"/>
        <w:rPr/>
      </w:pPr>
      <w:r w:rsidDel="00000000" w:rsidR="00000000" w:rsidRPr="00000000">
        <w:rPr>
          <w:b w:val="1"/>
          <w:bCs w:val="1"/>
          <w:rtl w:val="0"/>
        </w:rPr>
        <w:t xml:space="preserve">Self-consumption</w:t>
      </w:r>
      <w:r w:rsidDel="00000000" w:rsidR="00000000" w:rsidRPr="00000000">
        <w:rPr>
          <w:rtl w:val="0"/>
        </w:rPr>
        <w:t xml:space="preserve">: Portion of PV generation used to directly supply load (instantaneously or via storage discharge) instead of being exported.</w:t>
        <w:br w:type="textWrapping"/>
      </w:r>
    </w:p>
    <w:p w:rsidR="00000000" w:rsidDel="00000000" w:rsidP="00000000" w:rsidRDefault="00000000" w:rsidRPr="00000000" w14:paraId="00000032">
      <w:pPr>
        <w:numPr>
          <w:ilvl w:val="0"/>
          <w:numId w:val="11"/>
        </w:numPr>
        <w:spacing w:after="0" w:before="0" w:lineRule="auto"/>
        <w:ind w:left="720" w:hanging="360"/>
        <w:rPr/>
      </w:pPr>
      <w:r w:rsidDel="00000000" w:rsidR="00000000" w:rsidRPr="00000000">
        <w:rPr>
          <w:b w:val="1"/>
          <w:bCs w:val="1"/>
          <w:rtl w:val="0"/>
        </w:rPr>
        <w:t xml:space="preserve">Grid import (I(t))</w:t>
      </w:r>
      <w:r w:rsidDel="00000000" w:rsidR="00000000" w:rsidRPr="00000000">
        <w:rPr>
          <w:rtl w:val="0"/>
        </w:rPr>
        <w:t xml:space="preserve">: Electricity drawn from the grid to meet residual load after PV and battery discharge.</w:t>
        <w:br w:type="textWrapping"/>
      </w:r>
    </w:p>
    <w:p w:rsidR="00000000" w:rsidDel="00000000" w:rsidP="00000000" w:rsidRDefault="00000000" w:rsidRPr="00000000" w14:paraId="00000033">
      <w:pPr>
        <w:numPr>
          <w:ilvl w:val="0"/>
          <w:numId w:val="11"/>
        </w:numPr>
        <w:spacing w:after="240" w:before="0" w:lineRule="auto"/>
        <w:ind w:left="720" w:hanging="360"/>
        <w:rPr/>
      </w:pPr>
      <w:r w:rsidDel="00000000" w:rsidR="00000000" w:rsidRPr="00000000">
        <w:rPr>
          <w:b w:val="1"/>
          <w:bCs w:val="1"/>
          <w:rtl w:val="0"/>
        </w:rPr>
        <w:t xml:space="preserve">Grid export (E(t))</w:t>
      </w:r>
      <w:r w:rsidDel="00000000" w:rsidR="00000000" w:rsidRPr="00000000">
        <w:rPr>
          <w:rtl w:val="0"/>
        </w:rPr>
        <w:t xml:space="preserve">: Surplus electricity injected to the grid when PV (and/or battery discharge) exceeds the served load, according to the modeled settlement rules.</w:t>
        <w:br w:type="textWrapping"/>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9ntpzqpcwzet" w:id="11"/>
      <w:bookmarkEnd w:id="11"/>
      <w:r w:rsidDel="00000000" w:rsidR="00000000" w:rsidRPr="00000000">
        <w:rPr>
          <w:b w:val="1"/>
          <w:bCs w:val="1"/>
          <w:color w:val="000000"/>
          <w:sz w:val="26"/>
          <w:szCs w:val="26"/>
          <w:rtl w:val="0"/>
        </w:rPr>
        <w:t xml:space="preserve">Battery and dispatch concepts</w:t>
      </w:r>
    </w:p>
    <w:p w:rsidR="00000000" w:rsidDel="00000000" w:rsidP="00000000" w:rsidRDefault="00000000" w:rsidRPr="00000000" w14:paraId="00000035">
      <w:pPr>
        <w:numPr>
          <w:ilvl w:val="0"/>
          <w:numId w:val="2"/>
        </w:numPr>
        <w:spacing w:after="0" w:before="240" w:lineRule="auto"/>
        <w:ind w:left="720" w:hanging="360"/>
        <w:rPr/>
      </w:pPr>
      <w:r w:rsidDel="00000000" w:rsidR="00000000" w:rsidRPr="00000000">
        <w:rPr>
          <w:b w:val="1"/>
          <w:bCs w:val="1"/>
          <w:rtl w:val="0"/>
        </w:rPr>
        <w:t xml:space="preserve">Battery Energy Storage System (BESS)</w:t>
      </w:r>
      <w:r w:rsidDel="00000000" w:rsidR="00000000" w:rsidRPr="00000000">
        <w:rPr>
          <w:rtl w:val="0"/>
        </w:rPr>
        <w:t xml:space="preserve">: An electrochemical storage device characterized by usable energy capacity Sˉ(kWh), charge/discharge power limits Pˉch,Pˉdis(kW), and efficiencies ηch,ηdis​.</w:t>
        <w:br w:type="textWrapping"/>
      </w:r>
    </w:p>
    <w:p w:rsidR="00000000" w:rsidDel="00000000" w:rsidP="00000000" w:rsidRDefault="00000000" w:rsidRPr="00000000" w14:paraId="00000036">
      <w:pPr>
        <w:numPr>
          <w:ilvl w:val="0"/>
          <w:numId w:val="2"/>
        </w:numPr>
        <w:spacing w:after="0" w:before="0" w:lineRule="auto"/>
        <w:ind w:left="720" w:hanging="360"/>
        <w:rPr/>
      </w:pPr>
      <w:r w:rsidDel="00000000" w:rsidR="00000000" w:rsidRPr="00000000">
        <w:rPr>
          <w:b w:val="1"/>
          <w:bCs w:val="1"/>
          <w:rtl w:val="0"/>
        </w:rPr>
        <w:t xml:space="preserve">State of charge (SOC)</w:t>
      </w:r>
      <w:sdt>
        <w:sdtPr>
          <w:id w:val="784067778"/>
          <w:tag w:val="goog_rdk_2"/>
        </w:sdtPr>
        <w:sdtContent>
          <w:r w:rsidDel="00000000" w:rsidR="00000000" w:rsidRPr="00000000">
            <w:rPr>
              <w:rFonts w:ascii="Arial Unicode MS" w:cs="Arial Unicode MS" w:eastAsia="Arial Unicode MS" w:hAnsi="Arial Unicode MS"/>
              <w:rtl w:val="0"/>
            </w:rPr>
            <w:t xml:space="preserve">: The stored energy level in the battery at time t, denoted S(t), bounded by Smin ⁡≤ S(t) ≤ Smax⁡​.</w:t>
            <w:br w:type="textWrapping"/>
          </w:r>
        </w:sdtContent>
      </w:sdt>
      <w:r w:rsidDel="00000000" w:rsidR="00000000" w:rsidRPr="00000000">
        <w:rPr>
          <w:rtl w:val="0"/>
        </w:rPr>
      </w:r>
    </w:p>
    <w:p w:rsidR="00000000" w:rsidDel="00000000" w:rsidP="00000000" w:rsidRDefault="00000000" w:rsidRPr="00000000" w14:paraId="00000037">
      <w:pPr>
        <w:numPr>
          <w:ilvl w:val="0"/>
          <w:numId w:val="2"/>
        </w:numPr>
        <w:spacing w:after="0" w:before="0" w:lineRule="auto"/>
        <w:ind w:left="720" w:hanging="360"/>
        <w:rPr/>
      </w:pPr>
      <w:r w:rsidDel="00000000" w:rsidR="00000000" w:rsidRPr="00000000">
        <w:rPr>
          <w:b w:val="1"/>
          <w:bCs w:val="1"/>
          <w:rtl w:val="0"/>
        </w:rPr>
        <w:t xml:space="preserve">Dispatch strategy (battery control policy)</w:t>
      </w:r>
      <w:r w:rsidDel="00000000" w:rsidR="00000000" w:rsidRPr="00000000">
        <w:rPr>
          <w:rtl w:val="0"/>
        </w:rPr>
        <w:t xml:space="preserve">: The rule that determines battery charging/discharging actions over time based on available information (e.g., load, PV, prices, SOC constraints).</w:t>
        <w:br w:type="textWrapping"/>
      </w:r>
    </w:p>
    <w:p w:rsidR="00000000" w:rsidDel="00000000" w:rsidP="00000000" w:rsidRDefault="00000000" w:rsidRPr="00000000" w14:paraId="00000038">
      <w:pPr>
        <w:numPr>
          <w:ilvl w:val="0"/>
          <w:numId w:val="2"/>
        </w:numPr>
        <w:spacing w:after="0" w:before="0" w:lineRule="auto"/>
        <w:ind w:left="720" w:hanging="360"/>
        <w:rPr/>
      </w:pPr>
      <w:r w:rsidDel="00000000" w:rsidR="00000000" w:rsidRPr="00000000">
        <w:rPr>
          <w:b w:val="1"/>
          <w:bCs w:val="1"/>
          <w:rtl w:val="0"/>
        </w:rPr>
        <w:t xml:space="preserve">Rule-based dispatch</w:t>
      </w:r>
      <w:r w:rsidDel="00000000" w:rsidR="00000000" w:rsidRPr="00000000">
        <w:rPr>
          <w:rtl w:val="0"/>
        </w:rPr>
        <w:t xml:space="preserve">: A transparent, pre-defined set of operational rules (rather than an optimization solver) used to decide when the battery charges/discharges. The rules are designed to be interpretable and consistent across scenarios.</w:t>
        <w:br w:type="textWrapping"/>
      </w:r>
    </w:p>
    <w:p w:rsidR="00000000" w:rsidDel="00000000" w:rsidP="00000000" w:rsidRDefault="00000000" w:rsidRPr="00000000" w14:paraId="00000039">
      <w:pPr>
        <w:numPr>
          <w:ilvl w:val="0"/>
          <w:numId w:val="2"/>
        </w:numPr>
        <w:spacing w:after="240" w:before="0" w:lineRule="auto"/>
        <w:ind w:left="720" w:hanging="360"/>
        <w:rPr/>
      </w:pPr>
      <w:r w:rsidDel="00000000" w:rsidR="00000000" w:rsidRPr="00000000">
        <w:rPr>
          <w:b w:val="1"/>
          <w:bCs w:val="1"/>
          <w:rtl w:val="0"/>
        </w:rPr>
        <w:t xml:space="preserve">Perfect foresight</w:t>
      </w:r>
      <w:r w:rsidDel="00000000" w:rsidR="00000000" w:rsidRPr="00000000">
        <w:rPr>
          <w:rtl w:val="0"/>
        </w:rPr>
        <w:t xml:space="preserve">: An assumption that future prices and/or loads are known with certainty over the decision horizon when making dispatch decisions. In this thesis it is used (if adopted) as a modeling benchmark/upper bound and is stated explicitly as an assumption.</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eading=h.x6xukfwtql4z" w:id="12"/>
      <w:bookmarkEnd w:id="12"/>
      <w:r w:rsidDel="00000000" w:rsidR="00000000" w:rsidRPr="00000000">
        <w:rPr>
          <w:b w:val="1"/>
          <w:bCs w:val="1"/>
          <w:color w:val="000000"/>
          <w:sz w:val="26"/>
          <w:szCs w:val="26"/>
          <w:rtl w:val="0"/>
        </w:rPr>
        <w:t xml:space="preserve">Pricing and settlement terms (Spain-specific)</w:t>
      </w:r>
    </w:p>
    <w:p w:rsidR="00000000" w:rsidDel="00000000" w:rsidP="00000000" w:rsidRDefault="00000000" w:rsidRPr="00000000" w14:paraId="0000003B">
      <w:pPr>
        <w:numPr>
          <w:ilvl w:val="0"/>
          <w:numId w:val="13"/>
        </w:numPr>
        <w:spacing w:after="0" w:before="240" w:lineRule="auto"/>
        <w:ind w:left="720" w:hanging="360"/>
        <w:rPr/>
      </w:pPr>
      <w:r w:rsidDel="00000000" w:rsidR="00000000" w:rsidRPr="00000000">
        <w:rPr>
          <w:b w:val="1"/>
          <w:bCs w:val="1"/>
          <w:rtl w:val="0"/>
        </w:rPr>
        <w:t xml:space="preserve">Wholesale day-ahead price (OMIE)</w:t>
      </w:r>
      <w:r w:rsidDel="00000000" w:rsidR="00000000" w:rsidRPr="00000000">
        <w:rPr>
          <w:rtl w:val="0"/>
        </w:rPr>
        <w:t xml:space="preserve">: The market-clearing electricity price from Spain’s day-ahead market used as a wholesale price signal in the model.</w:t>
        <w:br w:type="textWrapping"/>
      </w:r>
    </w:p>
    <w:p w:rsidR="00000000" w:rsidDel="00000000" w:rsidP="00000000" w:rsidRDefault="00000000" w:rsidRPr="00000000" w14:paraId="0000003C">
      <w:pPr>
        <w:numPr>
          <w:ilvl w:val="0"/>
          <w:numId w:val="13"/>
        </w:numPr>
        <w:spacing w:after="0" w:before="0" w:lineRule="auto"/>
        <w:ind w:left="720" w:hanging="360"/>
        <w:rPr/>
      </w:pPr>
      <w:r w:rsidDel="00000000" w:rsidR="00000000" w:rsidRPr="00000000">
        <w:rPr>
          <w:b w:val="1"/>
          <w:bCs w:val="1"/>
          <w:rtl w:val="0"/>
        </w:rPr>
        <w:t xml:space="preserve">Retail import price (PVPC import)</w:t>
      </w:r>
      <w:r w:rsidDel="00000000" w:rsidR="00000000" w:rsidRPr="00000000">
        <w:rPr>
          <w:rtl w:val="0"/>
        </w:rPr>
        <w:t xml:space="preserve">: The regulated retail price series used to value electricity imported from the grid under the chosen retail settlement representation.</w:t>
        <w:br w:type="textWrapping"/>
      </w:r>
    </w:p>
    <w:p w:rsidR="00000000" w:rsidDel="00000000" w:rsidP="00000000" w:rsidRDefault="00000000" w:rsidRPr="00000000" w14:paraId="0000003D">
      <w:pPr>
        <w:numPr>
          <w:ilvl w:val="0"/>
          <w:numId w:val="13"/>
        </w:numPr>
        <w:spacing w:after="0" w:before="0" w:lineRule="auto"/>
        <w:ind w:left="720" w:hanging="360"/>
        <w:rPr/>
      </w:pPr>
      <w:r w:rsidDel="00000000" w:rsidR="00000000" w:rsidRPr="00000000">
        <w:rPr>
          <w:b w:val="1"/>
          <w:bCs w:val="1"/>
          <w:rtl w:val="0"/>
        </w:rPr>
        <w:t xml:space="preserve">Export credit / surplus compensation</w:t>
      </w:r>
      <w:r w:rsidDel="00000000" w:rsidR="00000000" w:rsidRPr="00000000">
        <w:rPr>
          <w:rtl w:val="0"/>
        </w:rPr>
        <w:t xml:space="preserve">: The price series or rule used to value exported electricity (surplus), consistent with the modeled compensation scheme.</w:t>
        <w:br w:type="textWrapping"/>
      </w:r>
    </w:p>
    <w:p w:rsidR="00000000" w:rsidDel="00000000" w:rsidP="00000000" w:rsidRDefault="00000000" w:rsidRPr="00000000" w14:paraId="0000003E">
      <w:pPr>
        <w:numPr>
          <w:ilvl w:val="0"/>
          <w:numId w:val="13"/>
        </w:numPr>
        <w:spacing w:after="240" w:before="0" w:lineRule="auto"/>
        <w:ind w:left="720" w:hanging="360"/>
        <w:rPr/>
      </w:pPr>
      <w:r w:rsidDel="00000000" w:rsidR="00000000" w:rsidRPr="00000000">
        <w:rPr>
          <w:b w:val="1"/>
          <w:bCs w:val="1"/>
          <w:rtl w:val="0"/>
        </w:rPr>
        <w:t xml:space="preserve">Monthly compensation cap (if applied)</w:t>
      </w:r>
      <w:r w:rsidDel="00000000" w:rsidR="00000000" w:rsidRPr="00000000">
        <w:rPr>
          <w:rtl w:val="0"/>
        </w:rPr>
        <w:t xml:space="preserve">: A settlement constraint where export credits cannot exceed the cost of imported energy within the billing period (no negative bill from energy term).</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xxsdx5hjqpld" w:id="13"/>
      <w:bookmarkEnd w:id="13"/>
      <w:r w:rsidDel="00000000" w:rsidR="00000000" w:rsidRPr="00000000">
        <w:rPr>
          <w:b w:val="1"/>
          <w:bCs w:val="1"/>
          <w:color w:val="000000"/>
          <w:sz w:val="26"/>
          <w:szCs w:val="26"/>
          <w:rtl w:val="0"/>
        </w:rPr>
        <w:t xml:space="preserve">Value streams and “battery-specific value”</w:t>
      </w:r>
    </w:p>
    <w:p w:rsidR="00000000" w:rsidDel="00000000" w:rsidP="00000000" w:rsidRDefault="00000000" w:rsidRPr="00000000" w14:paraId="00000040">
      <w:pPr>
        <w:numPr>
          <w:ilvl w:val="0"/>
          <w:numId w:val="1"/>
        </w:numPr>
        <w:spacing w:after="0" w:before="240" w:lineRule="auto"/>
        <w:ind w:left="720" w:hanging="360"/>
        <w:rPr/>
      </w:pPr>
      <w:r w:rsidDel="00000000" w:rsidR="00000000" w:rsidRPr="00000000">
        <w:rPr>
          <w:b w:val="1"/>
          <w:bCs w:val="1"/>
          <w:rtl w:val="0"/>
        </w:rPr>
        <w:t xml:space="preserve">Value stream</w:t>
      </w:r>
      <w:r w:rsidDel="00000000" w:rsidR="00000000" w:rsidRPr="00000000">
        <w:rPr>
          <w:rtl w:val="0"/>
        </w:rPr>
        <w:t xml:space="preserve">: A component of economic benefit attributable to a specific mechanism (e.g., arbitrage, peak reduction, self-consumption increase).</w:t>
        <w:br w:type="textWrapping"/>
      </w:r>
    </w:p>
    <w:p w:rsidR="00000000" w:rsidDel="00000000" w:rsidP="00000000" w:rsidRDefault="00000000" w:rsidRPr="00000000" w14:paraId="00000041">
      <w:pPr>
        <w:numPr>
          <w:ilvl w:val="0"/>
          <w:numId w:val="1"/>
        </w:numPr>
        <w:spacing w:after="0" w:before="0" w:lineRule="auto"/>
        <w:ind w:left="720" w:hanging="360"/>
        <w:rPr/>
      </w:pPr>
      <w:r w:rsidDel="00000000" w:rsidR="00000000" w:rsidRPr="00000000">
        <w:rPr>
          <w:b w:val="1"/>
          <w:bCs w:val="1"/>
          <w:rtl w:val="0"/>
        </w:rPr>
        <w:t xml:space="preserve">Energy arbitrage value</w:t>
      </w:r>
      <w:r w:rsidDel="00000000" w:rsidR="00000000" w:rsidRPr="00000000">
        <w:rPr>
          <w:rtl w:val="0"/>
        </w:rPr>
        <w:t xml:space="preserve">: Benefit from charging the battery when electricity valuation is low and discharging when valuation is high, creating savings/revenue from price spreads.</w:t>
        <w:br w:type="textWrapping"/>
      </w:r>
    </w:p>
    <w:p w:rsidR="00000000" w:rsidDel="00000000" w:rsidP="00000000" w:rsidRDefault="00000000" w:rsidRPr="00000000" w14:paraId="00000042">
      <w:pPr>
        <w:numPr>
          <w:ilvl w:val="0"/>
          <w:numId w:val="1"/>
        </w:numPr>
        <w:spacing w:after="0" w:before="0" w:lineRule="auto"/>
        <w:ind w:left="720" w:hanging="360"/>
        <w:rPr/>
      </w:pPr>
      <w:r w:rsidDel="00000000" w:rsidR="00000000" w:rsidRPr="00000000">
        <w:rPr>
          <w:b w:val="1"/>
          <w:bCs w:val="1"/>
          <w:rtl w:val="0"/>
        </w:rPr>
        <w:t xml:space="preserve">Peak shaving / peak reduction value</w:t>
      </w:r>
      <w:r w:rsidDel="00000000" w:rsidR="00000000" w:rsidRPr="00000000">
        <w:rPr>
          <w:rtl w:val="0"/>
        </w:rPr>
        <w:t xml:space="preserve">: Benefit from reducing high-cost grid imports during peak tariff periods or peak demand intervals, lowering energy charges and/or peak-related charges if modeled.</w:t>
        <w:br w:type="textWrapping"/>
      </w:r>
    </w:p>
    <w:p w:rsidR="00000000" w:rsidDel="00000000" w:rsidP="00000000" w:rsidRDefault="00000000" w:rsidRPr="00000000" w14:paraId="00000043">
      <w:pPr>
        <w:numPr>
          <w:ilvl w:val="0"/>
          <w:numId w:val="1"/>
        </w:numPr>
        <w:spacing w:after="0" w:before="0" w:lineRule="auto"/>
        <w:ind w:left="720" w:hanging="360"/>
        <w:rPr/>
      </w:pPr>
      <w:r w:rsidDel="00000000" w:rsidR="00000000" w:rsidRPr="00000000">
        <w:rPr>
          <w:b w:val="1"/>
          <w:bCs w:val="1"/>
          <w:rtl w:val="0"/>
        </w:rPr>
        <w:t xml:space="preserve">Self-consumption enhancement value</w:t>
      </w:r>
      <w:r w:rsidDel="00000000" w:rsidR="00000000" w:rsidRPr="00000000">
        <w:rPr>
          <w:rtl w:val="0"/>
        </w:rPr>
        <w:t xml:space="preserve">: Benefit from using storage to shift PV energy from times of surplus generation to times of demand, reducing imports and/or increasing utilization of local PV.</w:t>
        <w:br w:type="textWrapping"/>
      </w:r>
    </w:p>
    <w:p w:rsidR="00000000" w:rsidDel="00000000" w:rsidP="00000000" w:rsidRDefault="00000000" w:rsidRPr="00000000" w14:paraId="00000044">
      <w:pPr>
        <w:numPr>
          <w:ilvl w:val="0"/>
          <w:numId w:val="1"/>
        </w:numPr>
        <w:spacing w:after="240" w:before="0" w:lineRule="auto"/>
        <w:ind w:left="720" w:hanging="360"/>
        <w:rPr/>
      </w:pPr>
      <w:r w:rsidDel="00000000" w:rsidR="00000000" w:rsidRPr="00000000">
        <w:rPr>
          <w:b w:val="1"/>
          <w:bCs w:val="1"/>
          <w:rtl w:val="0"/>
        </w:rPr>
        <w:t xml:space="preserve">Battery-specific value streams</w:t>
      </w:r>
      <w:r w:rsidDel="00000000" w:rsidR="00000000" w:rsidRPr="00000000">
        <w:rPr>
          <w:rtl w:val="0"/>
        </w:rPr>
        <w:t xml:space="preserve">: The </w:t>
      </w:r>
      <w:r w:rsidDel="00000000" w:rsidR="00000000" w:rsidRPr="00000000">
        <w:rPr>
          <w:i w:val="1"/>
          <w:iCs w:val="1"/>
          <w:rtl w:val="0"/>
        </w:rPr>
        <w:t xml:space="preserve">incremental</w:t>
      </w:r>
      <w:r w:rsidDel="00000000" w:rsidR="00000000" w:rsidRPr="00000000">
        <w:rPr>
          <w:rtl w:val="0"/>
        </w:rPr>
        <w:t xml:space="preserve"> contribution of the battery, quantified relative to a </w:t>
      </w:r>
      <w:r w:rsidDel="00000000" w:rsidR="00000000" w:rsidRPr="00000000">
        <w:rPr>
          <w:b w:val="1"/>
          <w:bCs w:val="1"/>
          <w:rtl w:val="0"/>
        </w:rPr>
        <w:t xml:space="preserve">PV-only baseline</w:t>
      </w:r>
      <w:r w:rsidDel="00000000" w:rsidR="00000000" w:rsidRPr="00000000">
        <w:rPr>
          <w:rtl w:val="0"/>
        </w:rPr>
        <w:t xml:space="preserve"> under identical inputs (same load, PV, tariff, and settlement rules). Formally, battery-specific impacts are computed as differences between a PV+BESS case and the PV-only counterfactual.</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q8elh0ct8gal" w:id="14"/>
      <w:bookmarkEnd w:id="14"/>
      <w:r w:rsidDel="00000000" w:rsidR="00000000" w:rsidRPr="00000000">
        <w:rPr>
          <w:b w:val="1"/>
          <w:bCs w:val="1"/>
          <w:color w:val="000000"/>
          <w:sz w:val="26"/>
          <w:szCs w:val="26"/>
          <w:rtl w:val="0"/>
        </w:rPr>
        <w:t xml:space="preserve">Allocation and sharing concepts</w:t>
      </w:r>
    </w:p>
    <w:p w:rsidR="00000000" w:rsidDel="00000000" w:rsidP="00000000" w:rsidRDefault="00000000" w:rsidRPr="00000000" w14:paraId="00000046">
      <w:pPr>
        <w:numPr>
          <w:ilvl w:val="0"/>
          <w:numId w:val="5"/>
        </w:numPr>
        <w:spacing w:after="0" w:before="240" w:lineRule="auto"/>
        <w:ind w:left="720" w:hanging="360"/>
        <w:rPr/>
      </w:pPr>
      <w:r w:rsidDel="00000000" w:rsidR="00000000" w:rsidRPr="00000000">
        <w:rPr>
          <w:b w:val="1"/>
          <w:bCs w:val="1"/>
          <w:rtl w:val="0"/>
        </w:rPr>
        <w:t xml:space="preserve">Allocation mechanism</w:t>
      </w:r>
      <w:r w:rsidDel="00000000" w:rsidR="00000000" w:rsidRPr="00000000">
        <w:rPr>
          <w:rtl w:val="0"/>
        </w:rPr>
        <w:t xml:space="preserve">: The rule that splits community-level benefits/costs among members </w:t>
      </w:r>
      <w:r w:rsidDel="00000000" w:rsidR="00000000" w:rsidRPr="00000000">
        <w:rPr>
          <w:b w:val="1"/>
          <w:bCs w:val="1"/>
          <w:rtl w:val="0"/>
        </w:rPr>
        <w:t xml:space="preserve">i</w:t>
      </w:r>
      <w:r w:rsidDel="00000000" w:rsidR="00000000" w:rsidRPr="00000000">
        <w:rPr>
          <w:rtl w:val="0"/>
        </w:rPr>
        <w:t xml:space="preserve">.</w:t>
        <w:br w:type="textWrapping"/>
      </w:r>
    </w:p>
    <w:p w:rsidR="00000000" w:rsidDel="00000000" w:rsidP="00000000" w:rsidRDefault="00000000" w:rsidRPr="00000000" w14:paraId="00000047">
      <w:pPr>
        <w:numPr>
          <w:ilvl w:val="0"/>
          <w:numId w:val="5"/>
        </w:numPr>
        <w:spacing w:after="0" w:before="0" w:lineRule="auto"/>
        <w:ind w:left="720" w:hanging="360"/>
        <w:rPr/>
      </w:pPr>
      <w:r w:rsidDel="00000000" w:rsidR="00000000" w:rsidRPr="00000000">
        <w:rPr>
          <w:b w:val="1"/>
          <w:bCs w:val="1"/>
          <w:rtl w:val="0"/>
        </w:rPr>
        <w:t xml:space="preserve">Sharing coefficient (αi)</w:t>
      </w:r>
      <w:r w:rsidDel="00000000" w:rsidR="00000000" w:rsidRPr="00000000">
        <w:rPr>
          <w:rtl w:val="0"/>
        </w:rPr>
        <w:t xml:space="preserve">: A weight assigned to members </w:t>
      </w:r>
      <w:r w:rsidDel="00000000" w:rsidR="00000000" w:rsidRPr="00000000">
        <w:rPr>
          <w:b w:val="1"/>
          <w:bCs w:val="1"/>
          <w:rtl w:val="0"/>
        </w:rPr>
        <w:t xml:space="preserve">i, </w:t>
      </w:r>
      <w:r w:rsidDel="00000000" w:rsidR="00000000" w:rsidRPr="00000000">
        <w:rPr>
          <w:rtl w:val="0"/>
        </w:rPr>
        <w:t xml:space="preserve">used to allocate a share of community energy flows or economic outcomes.</w:t>
        <w:br w:type="textWrapping"/>
      </w:r>
    </w:p>
    <w:p w:rsidR="00000000" w:rsidDel="00000000" w:rsidP="00000000" w:rsidRDefault="00000000" w:rsidRPr="00000000" w14:paraId="00000048">
      <w:pPr>
        <w:numPr>
          <w:ilvl w:val="0"/>
          <w:numId w:val="5"/>
        </w:numPr>
        <w:spacing w:after="0" w:before="0" w:lineRule="auto"/>
        <w:ind w:left="720" w:hanging="360"/>
        <w:rPr/>
      </w:pPr>
      <w:r w:rsidDel="00000000" w:rsidR="00000000" w:rsidRPr="00000000">
        <w:rPr>
          <w:b w:val="1"/>
          <w:bCs w:val="1"/>
          <w:rtl w:val="0"/>
        </w:rPr>
        <w:t xml:space="preserve">Static sharing coefficients (αi)</w:t>
      </w:r>
      <w:sdt>
        <w:sdtPr>
          <w:id w:val="-2113138090"/>
          <w:tag w:val="goog_rdk_3"/>
        </w:sdtPr>
        <w:sdtContent>
          <w:r w:rsidDel="00000000" w:rsidR="00000000" w:rsidRPr="00000000">
            <w:rPr>
              <w:rFonts w:ascii="Arial Unicode MS" w:cs="Arial Unicode MS" w:eastAsia="Arial Unicode MS" w:hAnsi="Arial Unicode MS"/>
              <w:rtl w:val="0"/>
            </w:rPr>
            <w:t xml:space="preserve">: Coefficients constant over time with ∑iαi=1\sum_i, used to allocate shared energy/benefits in a fixed proportion.</w:t>
            <w:br w:type="textWrapping"/>
          </w:r>
        </w:sdtContent>
      </w:sdt>
      <w:r w:rsidDel="00000000" w:rsidR="00000000" w:rsidRPr="00000000">
        <w:rPr>
          <w:rtl w:val="0"/>
        </w:rPr>
      </w:r>
    </w:p>
    <w:p w:rsidR="00000000" w:rsidDel="00000000" w:rsidP="00000000" w:rsidRDefault="00000000" w:rsidRPr="00000000" w14:paraId="00000049">
      <w:pPr>
        <w:numPr>
          <w:ilvl w:val="0"/>
          <w:numId w:val="5"/>
        </w:numPr>
        <w:spacing w:after="240" w:before="0" w:lineRule="auto"/>
        <w:ind w:left="720" w:hanging="360"/>
        <w:rPr/>
      </w:pPr>
      <w:r w:rsidDel="00000000" w:rsidR="00000000" w:rsidRPr="00000000">
        <w:rPr>
          <w:b w:val="1"/>
          <w:bCs w:val="1"/>
          <w:rtl w:val="0"/>
        </w:rPr>
        <w:t xml:space="preserve">Transparency (in allocation)</w:t>
      </w:r>
      <w:r w:rsidDel="00000000" w:rsidR="00000000" w:rsidRPr="00000000">
        <w:rPr>
          <w:rtl w:val="0"/>
        </w:rPr>
        <w:t xml:space="preserve">: The property that allocation rules are explicitly stated, reproducible, and interpretable; no “black-box” mechanism determines benefit splits.</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eading=h.racdv299t8sh" w:id="15"/>
      <w:bookmarkEnd w:id="15"/>
      <w:r w:rsidDel="00000000" w:rsidR="00000000" w:rsidRPr="00000000">
        <w:rPr>
          <w:b w:val="1"/>
          <w:bCs w:val="1"/>
          <w:color w:val="000000"/>
          <w:sz w:val="26"/>
          <w:szCs w:val="26"/>
          <w:rtl w:val="0"/>
        </w:rPr>
        <w:t xml:space="preserve">Economic metrics</w:t>
      </w:r>
    </w:p>
    <w:p w:rsidR="00000000" w:rsidDel="00000000" w:rsidP="00000000" w:rsidRDefault="00000000" w:rsidRPr="00000000" w14:paraId="0000004B">
      <w:pPr>
        <w:numPr>
          <w:ilvl w:val="0"/>
          <w:numId w:val="10"/>
        </w:numPr>
        <w:spacing w:after="0" w:before="240" w:lineRule="auto"/>
        <w:ind w:left="720" w:hanging="360"/>
        <w:rPr/>
      </w:pPr>
      <w:r w:rsidDel="00000000" w:rsidR="00000000" w:rsidRPr="00000000">
        <w:rPr>
          <w:b w:val="1"/>
          <w:bCs w:val="1"/>
          <w:rtl w:val="0"/>
        </w:rPr>
        <w:t xml:space="preserve">Net Present Value (NPV)</w:t>
      </w:r>
      <w:r w:rsidDel="00000000" w:rsidR="00000000" w:rsidRPr="00000000">
        <w:rPr>
          <w:rtl w:val="0"/>
        </w:rPr>
        <w:t xml:space="preserve">: The discounted sum of cash flows over the project lifetime, used as the primary profitability metric.</w:t>
        <w:br w:type="textWrapping"/>
      </w:r>
    </w:p>
    <w:p w:rsidR="00000000" w:rsidDel="00000000" w:rsidP="00000000" w:rsidRDefault="00000000" w:rsidRPr="00000000" w14:paraId="0000004C">
      <w:pPr>
        <w:numPr>
          <w:ilvl w:val="0"/>
          <w:numId w:val="10"/>
        </w:numPr>
        <w:spacing w:after="0" w:before="0" w:lineRule="auto"/>
        <w:ind w:left="720" w:hanging="360"/>
        <w:rPr/>
      </w:pPr>
      <w:r w:rsidDel="00000000" w:rsidR="00000000" w:rsidRPr="00000000">
        <w:rPr>
          <w:b w:val="1"/>
          <w:bCs w:val="1"/>
          <w:rtl w:val="0"/>
        </w:rPr>
        <w:t xml:space="preserve">Levelized Cost of Energy (LCOE)</w:t>
      </w:r>
      <w:r w:rsidDel="00000000" w:rsidR="00000000" w:rsidRPr="00000000">
        <w:rPr>
          <w:rtl w:val="0"/>
        </w:rPr>
        <w:t xml:space="preserve">: A discounted cost-per-unit metric that expresses lifetime costs per unit of energy delivered/served, used for comparison across configurations.</w:t>
        <w:br w:type="textWrapping"/>
      </w:r>
    </w:p>
    <w:p w:rsidR="00000000" w:rsidDel="00000000" w:rsidP="00000000" w:rsidRDefault="00000000" w:rsidRPr="00000000" w14:paraId="0000004D">
      <w:pPr>
        <w:numPr>
          <w:ilvl w:val="0"/>
          <w:numId w:val="10"/>
        </w:numPr>
        <w:spacing w:after="0" w:before="0" w:lineRule="auto"/>
        <w:ind w:left="720" w:hanging="360"/>
        <w:rPr/>
      </w:pPr>
      <w:r w:rsidDel="00000000" w:rsidR="00000000" w:rsidRPr="00000000">
        <w:rPr>
          <w:b w:val="1"/>
          <w:bCs w:val="1"/>
          <w:rtl w:val="0"/>
        </w:rPr>
        <w:t xml:space="preserve">Payback period</w:t>
      </w:r>
      <w:r w:rsidDel="00000000" w:rsidR="00000000" w:rsidRPr="00000000">
        <w:rPr>
          <w:rtl w:val="0"/>
        </w:rPr>
        <w:t xml:space="preserve">: The time required for cumulative benefits to recover upfront investment (simple or discounted, specified explicitly).</w:t>
        <w:br w:type="textWrapping"/>
      </w:r>
    </w:p>
    <w:p w:rsidR="00000000" w:rsidDel="00000000" w:rsidP="00000000" w:rsidRDefault="00000000" w:rsidRPr="00000000" w14:paraId="0000004E">
      <w:pPr>
        <w:numPr>
          <w:ilvl w:val="0"/>
          <w:numId w:val="10"/>
        </w:numPr>
        <w:spacing w:after="240" w:before="0" w:lineRule="auto"/>
        <w:ind w:left="720" w:hanging="360"/>
        <w:rPr/>
      </w:pPr>
      <w:r w:rsidDel="00000000" w:rsidR="00000000" w:rsidRPr="00000000">
        <w:rPr>
          <w:b w:val="1"/>
          <w:bCs w:val="1"/>
          <w:rtl w:val="0"/>
        </w:rPr>
        <w:t xml:space="preserve">Discount rate</w:t>
      </w:r>
      <w:r w:rsidDel="00000000" w:rsidR="00000000" w:rsidRPr="00000000">
        <w:rPr>
          <w:rtl w:val="0"/>
        </w:rPr>
        <w:t xml:space="preserve">: The rate used to discount future cash flows, representing time value of money and investment risk.</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eading=h.5ssw9yd6cfht" w:id="16"/>
      <w:bookmarkEnd w:id="16"/>
      <w:r w:rsidDel="00000000" w:rsidR="00000000" w:rsidRPr="00000000">
        <w:rPr>
          <w:b w:val="1"/>
          <w:bCs w:val="1"/>
          <w:color w:val="000000"/>
          <w:sz w:val="26"/>
          <w:szCs w:val="26"/>
          <w:rtl w:val="0"/>
        </w:rPr>
        <w:t xml:space="preserve">Scenario and uncertainty terms</w:t>
      </w:r>
    </w:p>
    <w:p w:rsidR="00000000" w:rsidDel="00000000" w:rsidP="00000000" w:rsidRDefault="00000000" w:rsidRPr="00000000" w14:paraId="00000050">
      <w:pPr>
        <w:numPr>
          <w:ilvl w:val="0"/>
          <w:numId w:val="3"/>
        </w:numPr>
        <w:spacing w:after="0" w:before="240" w:lineRule="auto"/>
        <w:ind w:left="720" w:hanging="360"/>
        <w:rPr/>
      </w:pPr>
      <w:r w:rsidDel="00000000" w:rsidR="00000000" w:rsidRPr="00000000">
        <w:rPr>
          <w:b w:val="1"/>
          <w:bCs w:val="1"/>
          <w:rtl w:val="0"/>
        </w:rPr>
        <w:t xml:space="preserve">Scenario</w:t>
      </w:r>
      <w:r w:rsidDel="00000000" w:rsidR="00000000" w:rsidRPr="00000000">
        <w:rPr>
          <w:rtl w:val="0"/>
        </w:rPr>
        <w:t xml:space="preserve">: A defined combination of assumptions/inputs (tariff structure, battery cost, PV penetration, community composition, etc.) used for comparative analysis.</w:t>
        <w:br w:type="textWrapping"/>
      </w:r>
    </w:p>
    <w:p w:rsidR="00000000" w:rsidDel="00000000" w:rsidP="00000000" w:rsidRDefault="00000000" w:rsidRPr="00000000" w14:paraId="00000051">
      <w:pPr>
        <w:numPr>
          <w:ilvl w:val="0"/>
          <w:numId w:val="3"/>
        </w:numPr>
        <w:spacing w:after="240" w:before="0" w:lineRule="auto"/>
        <w:ind w:left="720" w:hanging="360"/>
        <w:rPr/>
      </w:pPr>
      <w:r w:rsidDel="00000000" w:rsidR="00000000" w:rsidRPr="00000000">
        <w:rPr>
          <w:b w:val="1"/>
          <w:bCs w:val="1"/>
          <w:rtl w:val="0"/>
        </w:rPr>
        <w:t xml:space="preserve">Sensitivity analysis</w:t>
      </w:r>
      <w:r w:rsidDel="00000000" w:rsidR="00000000" w:rsidRPr="00000000">
        <w:rPr>
          <w:rtl w:val="0"/>
        </w:rPr>
        <w:t xml:space="preserve">: A systematic variation of key parameters to quantify how results (NPV, value streams, allocation outcomes) respond to uncertainty.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pPr>
      <w:bookmarkStart w:colFirst="0" w:colLast="0" w:name="_heading=h.iu3h7eqlz0a4" w:id="17"/>
      <w:bookmarkEnd w:id="17"/>
      <w:r w:rsidDel="00000000" w:rsidR="00000000" w:rsidRPr="00000000">
        <w:rPr>
          <w:b w:val="1"/>
          <w:bCs w:val="1"/>
          <w:sz w:val="34"/>
          <w:szCs w:val="34"/>
          <w:rtl w:val="0"/>
        </w:rPr>
        <w:t xml:space="preserve">References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J. Codina, J. de la Hoz, H. Martín, and J. Matas, “Is switching to solar energy a feasible investment? A techno-economic analysis of domestic consumers in Spain,” Energy Policy, vol. 182, p. 113834, 2023. doi: 10.1016/j.enpol.2023.113834.</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J. Fuster-Palop, A. P. Martínez-Lao, J. L. Casas-Aranda, and J. M. Galán-Bernal, “Techno-Economic Potential of Urban Photovoltaics: Comparison of Net Billing and Net Metering in a Mediterranean Municipality,” Energies, vol. 16, no. 8, p. 3564, 2023. doi: 10.3390/en16083564.</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Boletín Oficial del Estado (BOE), “Real Decreto 244/2019, de 5 de abril, por el que se regulan las condiciones administrativas, técnicas y económicas del autoconsumo de energía eléctrica (BOE-A-2019-5089),” 2019. Available: https://www.boe.es/eli/es/rd/2019/04/05/244/con.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ESIOS / Red Eléctrica de España (REE), “PVPC — Precio Voluntario para el Pequeño Consumidor (portal de datos),” Available: https://www.esios.ree.es/es/pvpc.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ESIOS / Red Eléctrica de España (REE), “Final energy price in quarter-hourly resolution,” Operation headline, 2026. Available: https://www.esios.ree.es/en/operation-headlines/final-energy-price-in-quarter-hourly-resolution.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 OMIE (Grupo OMI), “OMIE successfully implements trading in 15-minute intervals in the day-ahead market (MTU15),” Press Release, Oct. 1, 2025. Available: https://www.omip.pt/sites/default/files/2025-10/2501001_go_live_mtu15_md_en_vf.pdf.</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lsLkHgHXE88wvcB3DoHzAQjJQ==">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