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41F63" w14:textId="77777777" w:rsidR="00C15557" w:rsidRPr="00D03B06" w:rsidRDefault="00000000">
      <w:pPr>
        <w:jc w:val="center"/>
        <w:rPr>
          <w:rFonts w:ascii="Times New Roman" w:hAnsi="Times New Roman" w:cs="Times New Roman"/>
          <w:color w:val="000000" w:themeColor="text1"/>
        </w:rPr>
      </w:pPr>
      <w:r w:rsidRPr="00D03B06">
        <w:rPr>
          <w:rFonts w:ascii="Times New Roman" w:hAnsi="Times New Roman" w:cs="Times New Roman"/>
          <w:b/>
          <w:color w:val="000000" w:themeColor="text1"/>
          <w:sz w:val="36"/>
        </w:rPr>
        <w:t>Chapter 4: Model Formulation and Methodology</w:t>
      </w:r>
    </w:p>
    <w:p w14:paraId="6904F25A" w14:textId="77777777" w:rsidR="00C15557" w:rsidRPr="00D03B06" w:rsidRDefault="00000000">
      <w:pPr>
        <w:pStyle w:val="Heading1"/>
        <w:rPr>
          <w:rFonts w:ascii="Times New Roman" w:hAnsi="Times New Roman" w:cs="Times New Roman"/>
          <w:color w:val="000000" w:themeColor="text1"/>
        </w:rPr>
      </w:pPr>
      <w:r w:rsidRPr="00D03B06">
        <w:rPr>
          <w:rFonts w:ascii="Times New Roman" w:hAnsi="Times New Roman" w:cs="Times New Roman"/>
          <w:color w:val="000000" w:themeColor="text1"/>
        </w:rPr>
        <w:t>Chapter Overview</w:t>
      </w:r>
    </w:p>
    <w:p w14:paraId="7DD25B48"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This chapter defines the mathematical and computational engine used to generate the thesis results. It is written as a reproducible model manual: a reader should be able to reconstruct the simulation logic, energy balance equations, dispatch rules, Spanish settlement calculations, and main assumptions without access to the Python implementation.</w:t>
      </w:r>
    </w:p>
    <w:p w14:paraId="0A04CB47"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chapter answers one central question: given hourly household load profiles, PV generation, electricity price series, and battery parameters, how does the model calculate energy flows, battery operation, grid imports and exports, member-level bills, and battery-specific value for each scenario?</w:t>
      </w:r>
    </w:p>
    <w:p w14:paraId="74F7087B"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model is developed for a grid-connected residential collective self-consumption community in Seville, Spain. The baseline community contains 30 households, shared PV, and a centralized 150 kWh LFP battery in the PV-BESS case. Static allocation coefficients are used throughout the baseline model, and the simplified compensation mechanism under RD 244/2019 is implemented with a monthly cap and no carry-over.</w:t>
      </w:r>
    </w:p>
    <w:p w14:paraId="440D3E89" w14:textId="77777777" w:rsidR="00C15557" w:rsidRPr="00D03B06" w:rsidRDefault="00000000">
      <w:pPr>
        <w:pStyle w:val="Heading1"/>
        <w:rPr>
          <w:rFonts w:ascii="Times New Roman" w:hAnsi="Times New Roman" w:cs="Times New Roman"/>
          <w:color w:val="000000" w:themeColor="text1"/>
        </w:rPr>
      </w:pPr>
      <w:r w:rsidRPr="00D03B06">
        <w:rPr>
          <w:rFonts w:ascii="Times New Roman" w:hAnsi="Times New Roman" w:cs="Times New Roman"/>
          <w:color w:val="000000" w:themeColor="text1"/>
        </w:rPr>
        <w:t>4.1 Modelling Framework</w:t>
      </w:r>
    </w:p>
    <w:p w14:paraId="4B24DE51"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4.1.1 Overall Approach</w:t>
      </w:r>
    </w:p>
    <w:p w14:paraId="6071AD61"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study uses a deterministic hourly time-series simulation model. The model is deterministic because all inputs - household demand, PV generation, electricity prices, and technical parameters - are specified as fixed time series for one representative year. No stochastic process, probabilistic forecast, or optimization solver is used in the baseline. This choice supports the thesis objective of evaluating community battery value under transparent, reproducible, and auditable conditions directly linked to Spanish settlement rules.</w:t>
      </w:r>
    </w:p>
    <w:p w14:paraId="041547EC"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model is formulated for a general hourly simulation horizon T. In the baseline annual analysis, T = 8,760, corresponding to one complete representative calendar year selected from the aligned load and PVGIS datasets. Longer aligned datasets may be retained for data validation or sensitivity checks, but the main techno-economic indicators are reported on an annual basis. Three configurations are simulated under identical inputs:</w:t>
      </w:r>
    </w:p>
    <w:p w14:paraId="3F74C881"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1.</w:t>
      </w:r>
      <w:r w:rsidRPr="00D03B06">
        <w:rPr>
          <w:rFonts w:ascii="Times New Roman" w:hAnsi="Times New Roman" w:cs="Times New Roman"/>
          <w:color w:val="000000" w:themeColor="text1"/>
        </w:rPr>
        <w:tab/>
        <w:t>No-DER baseline: no shared PV and no battery; all household demand is served from the grid.</w:t>
      </w:r>
    </w:p>
    <w:p w14:paraId="7E3CD74C"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2.</w:t>
      </w:r>
      <w:r w:rsidRPr="00D03B06">
        <w:rPr>
          <w:rFonts w:ascii="Times New Roman" w:hAnsi="Times New Roman" w:cs="Times New Roman"/>
          <w:color w:val="000000" w:themeColor="text1"/>
        </w:rPr>
        <w:tab/>
        <w:t>PV-only scenario: shared community PV is introduced; surplus PV is exported to the grid.</w:t>
      </w:r>
    </w:p>
    <w:p w14:paraId="7F1C8806"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3.</w:t>
      </w:r>
      <w:r w:rsidRPr="00D03B06">
        <w:rPr>
          <w:rFonts w:ascii="Times New Roman" w:hAnsi="Times New Roman" w:cs="Times New Roman"/>
          <w:color w:val="000000" w:themeColor="text1"/>
        </w:rPr>
        <w:tab/>
        <w:t>PV-BESS scenario: shared community PV is combined with a centralized community battery; surplus PV charges the battery before export.</w:t>
      </w:r>
    </w:p>
    <w:p w14:paraId="049B537B"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Battery-specific value is not calculated in isolation. It is defined as the incremental difference between the PV-BESS result and the PV-only result under the same load profiles, PV generation, price series, tariff rules, and allocation coefficients:</w:t>
      </w:r>
    </w:p>
    <w:p w14:paraId="55DE4E8E"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Delta X_BESS = X_PV-BESS - X_PV-only    (4.1)</w:t>
      </w:r>
    </w:p>
    <w:p w14:paraId="4C787241"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where X may represent annual bill savings, NPV, self-consumption ratio, self-sufficiency ratio, or any other defined performance indicator. This counterfactual comparison ensures that the measured difference is attributable to the battery rather than to the PV system or to changes in input assumptions.</w:t>
      </w:r>
    </w:p>
    <w:p w14:paraId="43C40B31"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4.1.2 Model Flow</w:t>
      </w:r>
    </w:p>
    <w:tbl>
      <w:tblPr>
        <w:tblStyle w:val="TableGrid"/>
        <w:tblW w:w="0" w:type="auto"/>
        <w:jc w:val="center"/>
        <w:tblLook w:val="04A0" w:firstRow="1" w:lastRow="0" w:firstColumn="1" w:lastColumn="0" w:noHBand="0" w:noVBand="1"/>
      </w:tblPr>
      <w:tblGrid>
        <w:gridCol w:w="2197"/>
        <w:gridCol w:w="7811"/>
      </w:tblGrid>
      <w:tr w:rsidR="00D03B06" w:rsidRPr="00D03B06" w14:paraId="19809D3A" w14:textId="77777777">
        <w:trPr>
          <w:jc w:val="center"/>
        </w:trPr>
        <w:tc>
          <w:tcPr>
            <w:tcW w:w="2304" w:type="dxa"/>
            <w:shd w:val="clear" w:color="auto" w:fill="D9EAF7"/>
            <w:vAlign w:val="center"/>
          </w:tcPr>
          <w:p w14:paraId="52EE400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b/>
                <w:color w:val="000000" w:themeColor="text1"/>
                <w:sz w:val="17"/>
              </w:rPr>
              <w:t>Layer</w:t>
            </w:r>
          </w:p>
        </w:tc>
        <w:tc>
          <w:tcPr>
            <w:tcW w:w="8352" w:type="dxa"/>
            <w:shd w:val="clear" w:color="auto" w:fill="D9EAF7"/>
            <w:vAlign w:val="center"/>
          </w:tcPr>
          <w:p w14:paraId="191A1ABE"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b/>
                <w:color w:val="000000" w:themeColor="text1"/>
                <w:sz w:val="17"/>
              </w:rPr>
              <w:t>Description</w:t>
            </w:r>
          </w:p>
        </w:tc>
      </w:tr>
      <w:tr w:rsidR="00D03B06" w:rsidRPr="00D03B06" w14:paraId="3CF300A7" w14:textId="77777777">
        <w:trPr>
          <w:jc w:val="center"/>
        </w:trPr>
        <w:tc>
          <w:tcPr>
            <w:tcW w:w="2304" w:type="dxa"/>
          </w:tcPr>
          <w:p w14:paraId="761C885E"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7"/>
              </w:rPr>
              <w:t>Input layer</w:t>
            </w:r>
          </w:p>
        </w:tc>
        <w:tc>
          <w:tcPr>
            <w:tcW w:w="8352" w:type="dxa"/>
          </w:tcPr>
          <w:p w14:paraId="3FA8773C"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Household load profiles L_{i,t} [7]; PV generation G_t [5], [6]; PVPC import price p_t^imp; PVPC excedentaria export credit p_t^exp [4]; OMIE dispatch signal p_t^W [3]; static allocation coefficients beta_i; battery and economic parameters [8]-[10].</w:t>
            </w:r>
          </w:p>
        </w:tc>
      </w:tr>
      <w:tr w:rsidR="00D03B06" w:rsidRPr="00D03B06" w14:paraId="5649C01E" w14:textId="77777777">
        <w:trPr>
          <w:jc w:val="center"/>
        </w:trPr>
        <w:tc>
          <w:tcPr>
            <w:tcW w:w="2304" w:type="dxa"/>
          </w:tcPr>
          <w:p w14:paraId="516CE7E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7"/>
              </w:rPr>
              <w:t>Hourly simulation engine</w:t>
            </w:r>
          </w:p>
        </w:tc>
        <w:tc>
          <w:tcPr>
            <w:tcW w:w="8352" w:type="dxa"/>
          </w:tcPr>
          <w:p w14:paraId="5A0A4018"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7"/>
              </w:rPr>
              <w:t xml:space="preserve">For each hour t, calculate load, PV generation, PV allocation, direct self-consumption, battery </w:t>
            </w:r>
            <w:r w:rsidRPr="00D03B06">
              <w:rPr>
                <w:rFonts w:ascii="Times New Roman" w:hAnsi="Times New Roman" w:cs="Times New Roman"/>
                <w:color w:val="000000" w:themeColor="text1"/>
                <w:sz w:val="17"/>
              </w:rPr>
              <w:lastRenderedPageBreak/>
              <w:t>charge/discharge, SOC, grid import, and grid export for the No-DER, PV-only, and PV-BESS configurations.</w:t>
            </w:r>
          </w:p>
        </w:tc>
      </w:tr>
      <w:tr w:rsidR="00D03B06" w:rsidRPr="00D03B06" w14:paraId="4DEF2518" w14:textId="77777777">
        <w:trPr>
          <w:jc w:val="center"/>
        </w:trPr>
        <w:tc>
          <w:tcPr>
            <w:tcW w:w="2304" w:type="dxa"/>
          </w:tcPr>
          <w:p w14:paraId="665C3236"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7"/>
              </w:rPr>
              <w:lastRenderedPageBreak/>
              <w:t>Monthly settlement layer</w:t>
            </w:r>
          </w:p>
        </w:tc>
        <w:tc>
          <w:tcPr>
            <w:tcW w:w="8352" w:type="dxa"/>
          </w:tcPr>
          <w:p w14:paraId="79FF305C"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7"/>
              </w:rPr>
              <w:t>For each member and month, calculate import cost, raw export compensation, applied export compensation after the RD 244/2019 cap, and net monthly energy bill.</w:t>
            </w:r>
          </w:p>
        </w:tc>
      </w:tr>
      <w:tr w:rsidR="00D03B06" w:rsidRPr="00D03B06" w14:paraId="2656EE0F" w14:textId="77777777">
        <w:trPr>
          <w:jc w:val="center"/>
        </w:trPr>
        <w:tc>
          <w:tcPr>
            <w:tcW w:w="2304" w:type="dxa"/>
          </w:tcPr>
          <w:p w14:paraId="6A6EE44E"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7"/>
              </w:rPr>
              <w:t>Annual and scenario outputs</w:t>
            </w:r>
          </w:p>
        </w:tc>
        <w:tc>
          <w:tcPr>
            <w:tcW w:w="8352" w:type="dxa"/>
          </w:tcPr>
          <w:p w14:paraId="3B397554"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7"/>
              </w:rPr>
              <w:t>Aggregate annual bills, savings, self-consumption ratio, self-sufficiency ratio, battery cycles, SOC trajectory, NPV/payback inputs, and battery-specific incremental value.</w:t>
            </w:r>
          </w:p>
        </w:tc>
      </w:tr>
    </w:tbl>
    <w:p w14:paraId="6FF7876B" w14:textId="77777777" w:rsidR="00C15557" w:rsidRPr="00D03B06" w:rsidRDefault="00000000">
      <w:pPr>
        <w:pStyle w:val="CaptionCustom"/>
        <w:rPr>
          <w:rFonts w:ascii="Times New Roman" w:hAnsi="Times New Roman" w:cs="Times New Roman"/>
          <w:color w:val="000000" w:themeColor="text1"/>
        </w:rPr>
      </w:pPr>
      <w:r w:rsidRPr="00D03B06">
        <w:rPr>
          <w:rFonts w:ascii="Times New Roman" w:hAnsi="Times New Roman" w:cs="Times New Roman"/>
          <w:color w:val="000000" w:themeColor="text1"/>
        </w:rPr>
        <w:t>Figure 4.1: Model flow from input data to hourly simulation, monthly settlement, and annual outputs.</w:t>
      </w:r>
    </w:p>
    <w:p w14:paraId="06130923"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4.1.3 Regulatory Context</w:t>
      </w:r>
    </w:p>
    <w:p w14:paraId="23524188"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model represents collective self-consumption under the Spanish regulatory framework established by Real Decreto 244/2019 (RD 244/2019) [1]. The decree regulates the administrative, technical, and economic conditions for self-consumption in Spain and permits configurations where several consumers share a generation installation through allocation coefficients.</w:t>
      </w:r>
    </w:p>
    <w:p w14:paraId="25A8D2A1"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Real Decreto-ley 7/2026 (RDL 7/2026) modifies RD 244/2019 and expands the maximum permitted distance for certain collective self-consumption installations to 5,000 m for PV or wind installations up to 5 MW [2]. The case-study community is modelled within a 2 km radius in Seville. This remains valid under the current 5 km condition and is retained as a conservative modelling boundary consistent with the case-study definition.</w:t>
      </w:r>
    </w:p>
    <w:p w14:paraId="58A52442"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thesis adopts the simplified compensation mechanism (mecanismo de compensación simplificada). Under this mechanism, surplus energy exported to the grid is credited at the PVPC excedentaria price and applied as a discount on the monthly electricity bill. The compensation is capped: the economic value of surplus energy credited in a billing period cannot exceed the economic value of grid energy consumed in that same billing period, and unused credit is not carried forward [1].</w:t>
      </w:r>
    </w:p>
    <w:p w14:paraId="526CD38A"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Static allocation coefficients are used in the baseline. These coefficients remain fixed over the simulation year and are applied uniformly to shared PV generation and to the allocation of battery-related benefits, as detailed in Sections 4.3 and 4.4. Dynamic allocation is excluded from the baseline to maintain methodological focus and feasibility.</w:t>
      </w:r>
    </w:p>
    <w:p w14:paraId="33FC2DA0"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4.1.4 Notation and Indices</w:t>
      </w:r>
    </w:p>
    <w:p w14:paraId="6C6F1A74"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main indices are: i = 1,...,N for households, t = 1,...,T for hourly time steps, and m = 1,...,12 for billing months in the annual baseline case. Energies are expressed in kWh per hourly time step, while power limits are expressed in kW. Since the model uses one-hour time steps, hourly energy and average power over the hour are numerically equivalent, but the distinction is retained in the notation.</w:t>
      </w:r>
    </w:p>
    <w:tbl>
      <w:tblPr>
        <w:tblStyle w:val="TableGrid"/>
        <w:tblW w:w="0" w:type="auto"/>
        <w:jc w:val="center"/>
        <w:tblLook w:val="04A0" w:firstRow="1" w:lastRow="0" w:firstColumn="1" w:lastColumn="0" w:noHBand="0" w:noVBand="1"/>
      </w:tblPr>
      <w:tblGrid>
        <w:gridCol w:w="2342"/>
        <w:gridCol w:w="6157"/>
        <w:gridCol w:w="1509"/>
      </w:tblGrid>
      <w:tr w:rsidR="00D03B06" w:rsidRPr="00D03B06" w14:paraId="2DA8E2F9" w14:textId="77777777">
        <w:trPr>
          <w:jc w:val="center"/>
        </w:trPr>
        <w:tc>
          <w:tcPr>
            <w:tcW w:w="2448" w:type="dxa"/>
            <w:shd w:val="clear" w:color="auto" w:fill="D9EAF7"/>
            <w:vAlign w:val="center"/>
          </w:tcPr>
          <w:p w14:paraId="7D56D158"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b/>
                <w:color w:val="000000" w:themeColor="text1"/>
                <w:sz w:val="16"/>
              </w:rPr>
              <w:t>Symbol</w:t>
            </w:r>
          </w:p>
        </w:tc>
        <w:tc>
          <w:tcPr>
            <w:tcW w:w="6768" w:type="dxa"/>
            <w:shd w:val="clear" w:color="auto" w:fill="D9EAF7"/>
            <w:vAlign w:val="center"/>
          </w:tcPr>
          <w:p w14:paraId="06AA0AE4"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b/>
                <w:color w:val="000000" w:themeColor="text1"/>
                <w:sz w:val="16"/>
              </w:rPr>
              <w:t>Description</w:t>
            </w:r>
          </w:p>
        </w:tc>
        <w:tc>
          <w:tcPr>
            <w:tcW w:w="1584" w:type="dxa"/>
            <w:shd w:val="clear" w:color="auto" w:fill="D9EAF7"/>
            <w:vAlign w:val="center"/>
          </w:tcPr>
          <w:p w14:paraId="4470924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b/>
                <w:color w:val="000000" w:themeColor="text1"/>
                <w:sz w:val="16"/>
              </w:rPr>
              <w:t>Unit</w:t>
            </w:r>
          </w:p>
        </w:tc>
      </w:tr>
      <w:tr w:rsidR="00D03B06" w:rsidRPr="00D03B06" w14:paraId="3A9EBEC3" w14:textId="77777777">
        <w:trPr>
          <w:jc w:val="center"/>
        </w:trPr>
        <w:tc>
          <w:tcPr>
            <w:tcW w:w="2448" w:type="dxa"/>
          </w:tcPr>
          <w:p w14:paraId="431825E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N</w:t>
            </w:r>
          </w:p>
        </w:tc>
        <w:tc>
          <w:tcPr>
            <w:tcW w:w="6768" w:type="dxa"/>
          </w:tcPr>
          <w:p w14:paraId="1071DDC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Number of households in the community</w:t>
            </w:r>
          </w:p>
        </w:tc>
        <w:tc>
          <w:tcPr>
            <w:tcW w:w="1584" w:type="dxa"/>
          </w:tcPr>
          <w:p w14:paraId="7B5658EF"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w:t>
            </w:r>
          </w:p>
        </w:tc>
      </w:tr>
      <w:tr w:rsidR="00D03B06" w:rsidRPr="00D03B06" w14:paraId="25C35D02" w14:textId="77777777">
        <w:trPr>
          <w:jc w:val="center"/>
        </w:trPr>
        <w:tc>
          <w:tcPr>
            <w:tcW w:w="2448" w:type="dxa"/>
          </w:tcPr>
          <w:p w14:paraId="77091514"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L_{i,t}</w:t>
            </w:r>
          </w:p>
        </w:tc>
        <w:tc>
          <w:tcPr>
            <w:tcW w:w="6768" w:type="dxa"/>
          </w:tcPr>
          <w:p w14:paraId="327AA317"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Load of household i at hour t</w:t>
            </w:r>
          </w:p>
        </w:tc>
        <w:tc>
          <w:tcPr>
            <w:tcW w:w="1584" w:type="dxa"/>
          </w:tcPr>
          <w:p w14:paraId="25CF88E4"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kWh</w:t>
            </w:r>
          </w:p>
        </w:tc>
      </w:tr>
      <w:tr w:rsidR="00D03B06" w:rsidRPr="00D03B06" w14:paraId="1F28FF2F" w14:textId="77777777">
        <w:trPr>
          <w:jc w:val="center"/>
        </w:trPr>
        <w:tc>
          <w:tcPr>
            <w:tcW w:w="2448" w:type="dxa"/>
          </w:tcPr>
          <w:p w14:paraId="52D3E8D2"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L_t</w:t>
            </w:r>
          </w:p>
        </w:tc>
        <w:tc>
          <w:tcPr>
            <w:tcW w:w="6768" w:type="dxa"/>
          </w:tcPr>
          <w:p w14:paraId="2697AAF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Community aggregate load at hour t</w:t>
            </w:r>
          </w:p>
        </w:tc>
        <w:tc>
          <w:tcPr>
            <w:tcW w:w="1584" w:type="dxa"/>
          </w:tcPr>
          <w:p w14:paraId="2387789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kWh</w:t>
            </w:r>
          </w:p>
        </w:tc>
      </w:tr>
      <w:tr w:rsidR="00D03B06" w:rsidRPr="00D03B06" w14:paraId="2A3DDF3A" w14:textId="77777777">
        <w:trPr>
          <w:jc w:val="center"/>
        </w:trPr>
        <w:tc>
          <w:tcPr>
            <w:tcW w:w="2448" w:type="dxa"/>
          </w:tcPr>
          <w:p w14:paraId="02D283DF"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G_t</w:t>
            </w:r>
          </w:p>
        </w:tc>
        <w:tc>
          <w:tcPr>
            <w:tcW w:w="6768" w:type="dxa"/>
          </w:tcPr>
          <w:p w14:paraId="6119B4A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Community PV generation at hour t</w:t>
            </w:r>
          </w:p>
        </w:tc>
        <w:tc>
          <w:tcPr>
            <w:tcW w:w="1584" w:type="dxa"/>
          </w:tcPr>
          <w:p w14:paraId="3234AF82"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kWh</w:t>
            </w:r>
          </w:p>
        </w:tc>
      </w:tr>
      <w:tr w:rsidR="00D03B06" w:rsidRPr="00D03B06" w14:paraId="19BA560A" w14:textId="77777777">
        <w:trPr>
          <w:jc w:val="center"/>
        </w:trPr>
        <w:tc>
          <w:tcPr>
            <w:tcW w:w="2448" w:type="dxa"/>
          </w:tcPr>
          <w:p w14:paraId="22A9751C"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G_{i,t}^{alloc}</w:t>
            </w:r>
          </w:p>
        </w:tc>
        <w:tc>
          <w:tcPr>
            <w:tcW w:w="6768" w:type="dxa"/>
          </w:tcPr>
          <w:p w14:paraId="59FE801F"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PV generation allocated to household i</w:t>
            </w:r>
          </w:p>
        </w:tc>
        <w:tc>
          <w:tcPr>
            <w:tcW w:w="1584" w:type="dxa"/>
          </w:tcPr>
          <w:p w14:paraId="13861402"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kWh</w:t>
            </w:r>
          </w:p>
        </w:tc>
      </w:tr>
      <w:tr w:rsidR="00D03B06" w:rsidRPr="00D03B06" w14:paraId="3CDF231F" w14:textId="77777777">
        <w:trPr>
          <w:jc w:val="center"/>
        </w:trPr>
        <w:tc>
          <w:tcPr>
            <w:tcW w:w="2448" w:type="dxa"/>
          </w:tcPr>
          <w:p w14:paraId="1C8371C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beta_i</w:t>
            </w:r>
          </w:p>
        </w:tc>
        <w:tc>
          <w:tcPr>
            <w:tcW w:w="6768" w:type="dxa"/>
          </w:tcPr>
          <w:p w14:paraId="79B0EFA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Static allocation coefficient of household i</w:t>
            </w:r>
          </w:p>
        </w:tc>
        <w:tc>
          <w:tcPr>
            <w:tcW w:w="1584" w:type="dxa"/>
          </w:tcPr>
          <w:p w14:paraId="13E7C0E1"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w:t>
            </w:r>
          </w:p>
        </w:tc>
      </w:tr>
      <w:tr w:rsidR="00D03B06" w:rsidRPr="00D03B06" w14:paraId="7B6EDBBF" w14:textId="77777777">
        <w:trPr>
          <w:jc w:val="center"/>
        </w:trPr>
        <w:tc>
          <w:tcPr>
            <w:tcW w:w="2448" w:type="dxa"/>
          </w:tcPr>
          <w:p w14:paraId="57533C9E"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SC_{i,t}</w:t>
            </w:r>
          </w:p>
        </w:tc>
        <w:tc>
          <w:tcPr>
            <w:tcW w:w="6768" w:type="dxa"/>
          </w:tcPr>
          <w:p w14:paraId="2F4969DE"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Self-consumed energy of household i</w:t>
            </w:r>
          </w:p>
        </w:tc>
        <w:tc>
          <w:tcPr>
            <w:tcW w:w="1584" w:type="dxa"/>
          </w:tcPr>
          <w:p w14:paraId="2E6F35C7"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kWh</w:t>
            </w:r>
          </w:p>
        </w:tc>
      </w:tr>
      <w:tr w:rsidR="00D03B06" w:rsidRPr="00D03B06" w14:paraId="47563BA1" w14:textId="77777777">
        <w:trPr>
          <w:jc w:val="center"/>
        </w:trPr>
        <w:tc>
          <w:tcPr>
            <w:tcW w:w="2448" w:type="dxa"/>
          </w:tcPr>
          <w:p w14:paraId="66F12106"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I_{i,t}</w:t>
            </w:r>
          </w:p>
        </w:tc>
        <w:tc>
          <w:tcPr>
            <w:tcW w:w="6768" w:type="dxa"/>
          </w:tcPr>
          <w:p w14:paraId="4B8CE016"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Grid import of household i</w:t>
            </w:r>
          </w:p>
        </w:tc>
        <w:tc>
          <w:tcPr>
            <w:tcW w:w="1584" w:type="dxa"/>
          </w:tcPr>
          <w:p w14:paraId="767D7DF6"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kWh</w:t>
            </w:r>
          </w:p>
        </w:tc>
      </w:tr>
      <w:tr w:rsidR="00D03B06" w:rsidRPr="00D03B06" w14:paraId="1AFA263A" w14:textId="77777777">
        <w:trPr>
          <w:jc w:val="center"/>
        </w:trPr>
        <w:tc>
          <w:tcPr>
            <w:tcW w:w="2448" w:type="dxa"/>
          </w:tcPr>
          <w:p w14:paraId="523A73AB"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E_{i,t}</w:t>
            </w:r>
          </w:p>
        </w:tc>
        <w:tc>
          <w:tcPr>
            <w:tcW w:w="6768" w:type="dxa"/>
          </w:tcPr>
          <w:p w14:paraId="27743B58"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Grid export of household i</w:t>
            </w:r>
          </w:p>
        </w:tc>
        <w:tc>
          <w:tcPr>
            <w:tcW w:w="1584" w:type="dxa"/>
          </w:tcPr>
          <w:p w14:paraId="311558B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kWh</w:t>
            </w:r>
          </w:p>
        </w:tc>
      </w:tr>
      <w:tr w:rsidR="00D03B06" w:rsidRPr="00D03B06" w14:paraId="33AEF4B0" w14:textId="77777777">
        <w:trPr>
          <w:jc w:val="center"/>
        </w:trPr>
        <w:tc>
          <w:tcPr>
            <w:tcW w:w="2448" w:type="dxa"/>
          </w:tcPr>
          <w:p w14:paraId="09993133"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P_t^{ch}</w:t>
            </w:r>
          </w:p>
        </w:tc>
        <w:tc>
          <w:tcPr>
            <w:tcW w:w="6768" w:type="dxa"/>
          </w:tcPr>
          <w:p w14:paraId="550138DC"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Battery charging energy/power during hour t</w:t>
            </w:r>
          </w:p>
        </w:tc>
        <w:tc>
          <w:tcPr>
            <w:tcW w:w="1584" w:type="dxa"/>
          </w:tcPr>
          <w:p w14:paraId="2AEF26C4"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kWh or kW</w:t>
            </w:r>
          </w:p>
        </w:tc>
      </w:tr>
      <w:tr w:rsidR="00D03B06" w:rsidRPr="00D03B06" w14:paraId="55005E46" w14:textId="77777777">
        <w:trPr>
          <w:jc w:val="center"/>
        </w:trPr>
        <w:tc>
          <w:tcPr>
            <w:tcW w:w="2448" w:type="dxa"/>
          </w:tcPr>
          <w:p w14:paraId="59EDC25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P_t^{dis}</w:t>
            </w:r>
          </w:p>
        </w:tc>
        <w:tc>
          <w:tcPr>
            <w:tcW w:w="6768" w:type="dxa"/>
          </w:tcPr>
          <w:p w14:paraId="1145DC4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Battery discharge delivered to community bus</w:t>
            </w:r>
          </w:p>
        </w:tc>
        <w:tc>
          <w:tcPr>
            <w:tcW w:w="1584" w:type="dxa"/>
          </w:tcPr>
          <w:p w14:paraId="40213523"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kWh or kW</w:t>
            </w:r>
          </w:p>
        </w:tc>
      </w:tr>
      <w:tr w:rsidR="00D03B06" w:rsidRPr="00D03B06" w14:paraId="13FA8DE1" w14:textId="77777777">
        <w:trPr>
          <w:jc w:val="center"/>
        </w:trPr>
        <w:tc>
          <w:tcPr>
            <w:tcW w:w="2448" w:type="dxa"/>
          </w:tcPr>
          <w:p w14:paraId="0A2D861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S_t</w:t>
            </w:r>
          </w:p>
        </w:tc>
        <w:tc>
          <w:tcPr>
            <w:tcW w:w="6768" w:type="dxa"/>
          </w:tcPr>
          <w:p w14:paraId="0F7EC27B"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Battery state of charge at end of hour t</w:t>
            </w:r>
          </w:p>
        </w:tc>
        <w:tc>
          <w:tcPr>
            <w:tcW w:w="1584" w:type="dxa"/>
          </w:tcPr>
          <w:p w14:paraId="0CF7A827"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kWh</w:t>
            </w:r>
          </w:p>
        </w:tc>
      </w:tr>
      <w:tr w:rsidR="00D03B06" w:rsidRPr="00D03B06" w14:paraId="020D73FF" w14:textId="77777777">
        <w:trPr>
          <w:jc w:val="center"/>
        </w:trPr>
        <w:tc>
          <w:tcPr>
            <w:tcW w:w="2448" w:type="dxa"/>
          </w:tcPr>
          <w:p w14:paraId="0E219C93"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S^{min}, S^{max}</w:t>
            </w:r>
          </w:p>
        </w:tc>
        <w:tc>
          <w:tcPr>
            <w:tcW w:w="6768" w:type="dxa"/>
          </w:tcPr>
          <w:p w14:paraId="3A8070D8"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Minimum and maximum usable SOC bounds</w:t>
            </w:r>
          </w:p>
        </w:tc>
        <w:tc>
          <w:tcPr>
            <w:tcW w:w="1584" w:type="dxa"/>
          </w:tcPr>
          <w:p w14:paraId="6C75E635"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kWh</w:t>
            </w:r>
          </w:p>
        </w:tc>
      </w:tr>
      <w:tr w:rsidR="00D03B06" w:rsidRPr="00D03B06" w14:paraId="70ABD176" w14:textId="77777777">
        <w:trPr>
          <w:jc w:val="center"/>
        </w:trPr>
        <w:tc>
          <w:tcPr>
            <w:tcW w:w="2448" w:type="dxa"/>
          </w:tcPr>
          <w:p w14:paraId="5927B11C"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eta^{ch}, eta^{dis}</w:t>
            </w:r>
          </w:p>
        </w:tc>
        <w:tc>
          <w:tcPr>
            <w:tcW w:w="6768" w:type="dxa"/>
          </w:tcPr>
          <w:p w14:paraId="62C27735"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One-way charge and discharge efficiencies</w:t>
            </w:r>
          </w:p>
        </w:tc>
        <w:tc>
          <w:tcPr>
            <w:tcW w:w="1584" w:type="dxa"/>
          </w:tcPr>
          <w:p w14:paraId="59641CA5"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w:t>
            </w:r>
          </w:p>
        </w:tc>
      </w:tr>
      <w:tr w:rsidR="00D03B06" w:rsidRPr="00D03B06" w14:paraId="4C88B7D8" w14:textId="77777777">
        <w:trPr>
          <w:jc w:val="center"/>
        </w:trPr>
        <w:tc>
          <w:tcPr>
            <w:tcW w:w="2448" w:type="dxa"/>
          </w:tcPr>
          <w:p w14:paraId="0A8F8ED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p_t^{imp}</w:t>
            </w:r>
          </w:p>
        </w:tc>
        <w:tc>
          <w:tcPr>
            <w:tcW w:w="6768" w:type="dxa"/>
          </w:tcPr>
          <w:p w14:paraId="4066674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PVPC import price, energy-term billing boundary</w:t>
            </w:r>
          </w:p>
        </w:tc>
        <w:tc>
          <w:tcPr>
            <w:tcW w:w="1584" w:type="dxa"/>
          </w:tcPr>
          <w:p w14:paraId="3393EA1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EUR/kWh</w:t>
            </w:r>
          </w:p>
        </w:tc>
      </w:tr>
      <w:tr w:rsidR="00D03B06" w:rsidRPr="00D03B06" w14:paraId="043479CE" w14:textId="77777777">
        <w:trPr>
          <w:jc w:val="center"/>
        </w:trPr>
        <w:tc>
          <w:tcPr>
            <w:tcW w:w="2448" w:type="dxa"/>
          </w:tcPr>
          <w:p w14:paraId="3401AF7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p_t^{exp}</w:t>
            </w:r>
          </w:p>
        </w:tc>
        <w:tc>
          <w:tcPr>
            <w:tcW w:w="6768" w:type="dxa"/>
          </w:tcPr>
          <w:p w14:paraId="3FB615F8"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PVPC excedentaria export-credit price</w:t>
            </w:r>
          </w:p>
        </w:tc>
        <w:tc>
          <w:tcPr>
            <w:tcW w:w="1584" w:type="dxa"/>
          </w:tcPr>
          <w:p w14:paraId="4775907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EUR/kWh</w:t>
            </w:r>
          </w:p>
        </w:tc>
      </w:tr>
      <w:tr w:rsidR="00D03B06" w:rsidRPr="00D03B06" w14:paraId="7ECCB0AD" w14:textId="77777777">
        <w:trPr>
          <w:jc w:val="center"/>
        </w:trPr>
        <w:tc>
          <w:tcPr>
            <w:tcW w:w="2448" w:type="dxa"/>
          </w:tcPr>
          <w:p w14:paraId="6C31935F"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p_t^W</w:t>
            </w:r>
          </w:p>
        </w:tc>
        <w:tc>
          <w:tcPr>
            <w:tcW w:w="6768" w:type="dxa"/>
          </w:tcPr>
          <w:p w14:paraId="44EFA4E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OMIE day-ahead wholesale price used as dispatch signal</w:t>
            </w:r>
          </w:p>
        </w:tc>
        <w:tc>
          <w:tcPr>
            <w:tcW w:w="1584" w:type="dxa"/>
          </w:tcPr>
          <w:p w14:paraId="3896732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EUR/kWh</w:t>
            </w:r>
          </w:p>
        </w:tc>
      </w:tr>
      <w:tr w:rsidR="00D03B06" w:rsidRPr="00D03B06" w14:paraId="664A6462" w14:textId="77777777">
        <w:trPr>
          <w:jc w:val="center"/>
        </w:trPr>
        <w:tc>
          <w:tcPr>
            <w:tcW w:w="2448" w:type="dxa"/>
          </w:tcPr>
          <w:p w14:paraId="0DA2D35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C_{i,m}^{imp}</w:t>
            </w:r>
          </w:p>
        </w:tc>
        <w:tc>
          <w:tcPr>
            <w:tcW w:w="6768" w:type="dxa"/>
          </w:tcPr>
          <w:p w14:paraId="3A915E48"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Monthly import cost of household i</w:t>
            </w:r>
          </w:p>
        </w:tc>
        <w:tc>
          <w:tcPr>
            <w:tcW w:w="1584" w:type="dxa"/>
          </w:tcPr>
          <w:p w14:paraId="75DACF2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EUR</w:t>
            </w:r>
          </w:p>
        </w:tc>
      </w:tr>
      <w:tr w:rsidR="00D03B06" w:rsidRPr="00D03B06" w14:paraId="366E92D4" w14:textId="77777777">
        <w:trPr>
          <w:jc w:val="center"/>
        </w:trPr>
        <w:tc>
          <w:tcPr>
            <w:tcW w:w="2448" w:type="dxa"/>
          </w:tcPr>
          <w:p w14:paraId="4EF9F39E"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R_{i,m}^{raw}</w:t>
            </w:r>
          </w:p>
        </w:tc>
        <w:tc>
          <w:tcPr>
            <w:tcW w:w="6768" w:type="dxa"/>
          </w:tcPr>
          <w:p w14:paraId="6603E371"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Raw monthly export compensation of household i</w:t>
            </w:r>
          </w:p>
        </w:tc>
        <w:tc>
          <w:tcPr>
            <w:tcW w:w="1584" w:type="dxa"/>
          </w:tcPr>
          <w:p w14:paraId="3E39473C"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EUR</w:t>
            </w:r>
          </w:p>
        </w:tc>
      </w:tr>
      <w:tr w:rsidR="00D03B06" w:rsidRPr="00D03B06" w14:paraId="0B6527EB" w14:textId="77777777">
        <w:trPr>
          <w:jc w:val="center"/>
        </w:trPr>
        <w:tc>
          <w:tcPr>
            <w:tcW w:w="2448" w:type="dxa"/>
          </w:tcPr>
          <w:p w14:paraId="4B03942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R_{i,m}^{applied}</w:t>
            </w:r>
          </w:p>
        </w:tc>
        <w:tc>
          <w:tcPr>
            <w:tcW w:w="6768" w:type="dxa"/>
          </w:tcPr>
          <w:p w14:paraId="63584EEC"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Applied monthly export compensation after cap</w:t>
            </w:r>
          </w:p>
        </w:tc>
        <w:tc>
          <w:tcPr>
            <w:tcW w:w="1584" w:type="dxa"/>
          </w:tcPr>
          <w:p w14:paraId="4DD8A60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EUR</w:t>
            </w:r>
          </w:p>
        </w:tc>
      </w:tr>
      <w:tr w:rsidR="00D03B06" w:rsidRPr="00D03B06" w14:paraId="35F22D98" w14:textId="77777777">
        <w:trPr>
          <w:jc w:val="center"/>
        </w:trPr>
        <w:tc>
          <w:tcPr>
            <w:tcW w:w="2448" w:type="dxa"/>
          </w:tcPr>
          <w:p w14:paraId="42B914A6"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B_{i,m}</w:t>
            </w:r>
          </w:p>
        </w:tc>
        <w:tc>
          <w:tcPr>
            <w:tcW w:w="6768" w:type="dxa"/>
          </w:tcPr>
          <w:p w14:paraId="5159F993"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Net monthly energy bill of household i</w:t>
            </w:r>
          </w:p>
        </w:tc>
        <w:tc>
          <w:tcPr>
            <w:tcW w:w="1584" w:type="dxa"/>
          </w:tcPr>
          <w:p w14:paraId="03C84B02"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EUR</w:t>
            </w:r>
          </w:p>
        </w:tc>
      </w:tr>
    </w:tbl>
    <w:p w14:paraId="26CBFDF5" w14:textId="77777777" w:rsidR="00C15557" w:rsidRPr="00D03B06" w:rsidRDefault="00000000">
      <w:pPr>
        <w:pStyle w:val="CaptionCustom"/>
        <w:rPr>
          <w:rFonts w:ascii="Times New Roman" w:hAnsi="Times New Roman" w:cs="Times New Roman"/>
          <w:color w:val="000000" w:themeColor="text1"/>
        </w:rPr>
      </w:pPr>
      <w:r w:rsidRPr="00D03B06">
        <w:rPr>
          <w:rFonts w:ascii="Times New Roman" w:hAnsi="Times New Roman" w:cs="Times New Roman"/>
          <w:color w:val="000000" w:themeColor="text1"/>
        </w:rPr>
        <w:t>Table 4.1: Main notation used in Chapter 4.</w:t>
      </w:r>
    </w:p>
    <w:p w14:paraId="7ADA5C65" w14:textId="77777777" w:rsidR="00C15557" w:rsidRPr="00D03B06" w:rsidRDefault="00000000">
      <w:pPr>
        <w:pStyle w:val="Heading1"/>
        <w:rPr>
          <w:rFonts w:ascii="Times New Roman" w:hAnsi="Times New Roman" w:cs="Times New Roman"/>
          <w:color w:val="000000" w:themeColor="text1"/>
        </w:rPr>
      </w:pPr>
      <w:r w:rsidRPr="00D03B06">
        <w:rPr>
          <w:rFonts w:ascii="Times New Roman" w:hAnsi="Times New Roman" w:cs="Times New Roman"/>
          <w:color w:val="000000" w:themeColor="text1"/>
        </w:rPr>
        <w:lastRenderedPageBreak/>
        <w:t>4.2 No-DER Baseline Scenario</w:t>
      </w:r>
    </w:p>
    <w:p w14:paraId="261777F8"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No-DER baseline represents the counterfactual case in which the community has no shared PV system and no battery. All household demand is supplied by the grid. This scenario establishes the reference electricity bill against which PV-only and PV-BESS savings are measured.</w:t>
      </w:r>
    </w:p>
    <w:p w14:paraId="6D622082"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4.2.1 Energy Balance</w:t>
      </w:r>
    </w:p>
    <w:p w14:paraId="68861D00"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L_t = sum_{i=1}^{N} L_{i,t}    (4.2)</w:t>
      </w:r>
    </w:p>
    <w:p w14:paraId="7C1379EA"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I_{i,t}^{0} = L_{i,t}    (4.3)</w:t>
      </w:r>
    </w:p>
    <w:p w14:paraId="1238FBF3"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E_{i,t}^{0} = 0,    SC_{i,t}^{0} = 0    (4.4)</w:t>
      </w:r>
    </w:p>
    <w:p w14:paraId="2F264928"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I_t^{0} = sum_{i=1}^{N} I_{i,t}^{0} = L_t    (4.5)</w:t>
      </w:r>
    </w:p>
    <w:p w14:paraId="6AD15FFE"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4.2.2 Billing</w:t>
      </w:r>
    </w:p>
    <w:p w14:paraId="7D5C72A7"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C_{i,m}^{0} = sum_{t in m} I_{i,t}^{0} p_t^{imp}    (4.6)</w:t>
      </w:r>
    </w:p>
    <w:p w14:paraId="5EA779B6"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B_i^{0} = sum_{m=1}^{12} C_{i,m}^{0}    (4.7)</w:t>
      </w:r>
    </w:p>
    <w:p w14:paraId="59F51D7F"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B_{community}^{0} = sum_{i=1}^{N} B_i^{0}    (4.8)</w:t>
      </w:r>
    </w:p>
    <w:p w14:paraId="2B797DEF"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Since there is no export in the No-DER case, no export compensation or monthly compensation cap is applied. The annual No-DER bill is the reference for calculating absolute and percentage savings in the PV-only and PV-BESS scenarios.</w:t>
      </w:r>
    </w:p>
    <w:p w14:paraId="6EE109C5" w14:textId="77777777" w:rsidR="00C15557" w:rsidRPr="00D03B06" w:rsidRDefault="00000000">
      <w:pPr>
        <w:pStyle w:val="Heading1"/>
        <w:rPr>
          <w:rFonts w:ascii="Times New Roman" w:hAnsi="Times New Roman" w:cs="Times New Roman"/>
          <w:color w:val="000000" w:themeColor="text1"/>
        </w:rPr>
      </w:pPr>
      <w:r w:rsidRPr="00D03B06">
        <w:rPr>
          <w:rFonts w:ascii="Times New Roman" w:hAnsi="Times New Roman" w:cs="Times New Roman"/>
          <w:color w:val="000000" w:themeColor="text1"/>
        </w:rPr>
        <w:t>4.3 PV-Only Scenario</w:t>
      </w:r>
    </w:p>
    <w:p w14:paraId="4A40C380"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PV-only scenario introduces a shared community PV system but no battery. PV generation is allocated to members using static coefficients. Each member first uses its allocated PV generation to offset its own hourly demand; any residual demand is imported from the grid, and any surplus allocated PV is exported.</w:t>
      </w:r>
    </w:p>
    <w:p w14:paraId="3198E5EF"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4.3.1 Static Member-Level Allocation</w:t>
      </w:r>
    </w:p>
    <w:p w14:paraId="51B9D2E5"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beta_i &gt;= 0,    sum_{i=1}^{N} beta_i = 1    (4.9)</w:t>
      </w:r>
    </w:p>
    <w:p w14:paraId="60DC898F"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G_{i,t}^{alloc} = beta_i G_t    (4.10)</w:t>
      </w:r>
    </w:p>
    <w:p w14:paraId="07962226"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In the baseline, the static coefficients are proportional to annual household demand:</w:t>
      </w:r>
    </w:p>
    <w:p w14:paraId="25A8AE33"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beta_i = (sum_t L_{i,t}) / (sum_i sum_t L_{i,t})    (4.11)</w:t>
      </w:r>
    </w:p>
    <w:p w14:paraId="532F9C50"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This proportional rule assigns larger shares of shared PV to members with larger annual demand, while preserving a transparent and reproducible allocation mechanism.</w:t>
      </w:r>
    </w:p>
    <w:p w14:paraId="648C9555"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4.3.2 Member-Level Energy Flows</w:t>
      </w:r>
    </w:p>
    <w:p w14:paraId="0049C9C8"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SC_{i,t}^{PV} = min(L_{i,t}, G_{i,t}^{alloc})    (4.12)</w:t>
      </w:r>
    </w:p>
    <w:p w14:paraId="29CEA05A"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I_{i,t}^{PV} = max(L_{i,t} - G_{i,t}^{alloc}, 0)    (4.13)</w:t>
      </w:r>
    </w:p>
    <w:p w14:paraId="76EA53FE"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E_{i,t}^{PV} = max(G_{i,t}^{alloc} - L_{i,t}, 0)    (4.14)</w:t>
      </w:r>
    </w:p>
    <w:p w14:paraId="16A52173"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SC_t^{PV} = sum_i SC_{i,t}^{PV},    I_t^{PV} = sum_i I_{i,t}^{PV},    E_t^{PV} = sum_i E_{i,t}^{PV}    (4.15)</w:t>
      </w:r>
    </w:p>
    <w:p w14:paraId="5800FB16"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This individualized hourly calculation is preferred to aggregate community netting because aggregate netting can overestimate self-consumption. For example, one member may export surplus allocated PV while another imports grid energy in the same hour. Static allocation therefore requires member-level flow calculation before aggregation.</w:t>
      </w:r>
    </w:p>
    <w:p w14:paraId="38AD71AE"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4.3.3 Energy Conservation and Performance Indicators</w:t>
      </w:r>
    </w:p>
    <w:p w14:paraId="70EEEF42"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L_{i,t} + E_{i,t}^{PV} = G_{i,t}^{alloc} + I_{i,t}^{PV}    (4.16)</w:t>
      </w:r>
    </w:p>
    <w:p w14:paraId="195DA905"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L_t + E_t^{PV} = G_t + I_t^{PV}    (4.17)</w:t>
      </w:r>
    </w:p>
    <w:p w14:paraId="3929E9FA"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lastRenderedPageBreak/>
        <w:t>SCR^{PV} = (sum_t SC_t^{PV}) / (sum_t G_t)    (4.18)</w:t>
      </w:r>
    </w:p>
    <w:p w14:paraId="1801E866"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SSR^{PV} = (sum_t SC_t^{PV}) / (sum_t L_t)    (4.19)</w:t>
      </w:r>
    </w:p>
    <w:p w14:paraId="1C3D5CF6"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self-consumption ratio (SCR) measures the share of PV generation consumed locally, while the self-sufficiency ratio (SSR) measures the share of community demand served by local PV generation.</w:t>
      </w:r>
    </w:p>
    <w:p w14:paraId="7923FCEA" w14:textId="77777777" w:rsidR="00C15557" w:rsidRPr="00D03B06" w:rsidRDefault="00000000">
      <w:pPr>
        <w:pStyle w:val="Heading1"/>
        <w:rPr>
          <w:rFonts w:ascii="Times New Roman" w:hAnsi="Times New Roman" w:cs="Times New Roman"/>
          <w:color w:val="000000" w:themeColor="text1"/>
        </w:rPr>
      </w:pPr>
      <w:r w:rsidRPr="00D03B06">
        <w:rPr>
          <w:rFonts w:ascii="Times New Roman" w:hAnsi="Times New Roman" w:cs="Times New Roman"/>
          <w:color w:val="000000" w:themeColor="text1"/>
        </w:rPr>
        <w:t>4.4 PV-BESS Scenario</w:t>
      </w:r>
    </w:p>
    <w:p w14:paraId="74AA9C02"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PV-BESS scenario adds a centralized community battery to the PV-only configuration. The baseline battery is a 150 kWh LFP system with 90% round-trip efficiency and a 0.5C charge/discharge rate. The battery charges only from surplus PV and discharges to serve community demand during high-value hours. Grid charging is excluded in the baseline so that battery-specific value remains attributable to PV surplus shifting and simplified-compensation effects.</w:t>
      </w:r>
    </w:p>
    <w:p w14:paraId="502FF46F"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4.4.1 Community Energy Balance</w:t>
      </w:r>
    </w:p>
    <w:p w14:paraId="5AC11BF7"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G_t + I_t^{BESS} + P_t^{dis} = L_t + E_t^{BESS} + P_t^{ch}    (4.20)</w:t>
      </w:r>
    </w:p>
    <w:p w14:paraId="3D5AC42C"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Battery losses are not included as a separate term in the external community energy balance. They are captured internally through the state-of-charge equation. This avoids double-counting losses.</w:t>
      </w:r>
    </w:p>
    <w:p w14:paraId="5E24A5F9"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S_t = S_{t-1} + eta^{ch} P_t^{ch} - P_t^{dis}/eta^{dis}    (4.21)</w:t>
      </w:r>
    </w:p>
    <w:p w14:paraId="3F002111"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In this convention, P_t^{ch} is the energy drawn from PV surplus into the battery charger terminal, and P_t^{dis} is the energy delivered from the battery to the community bus. The charging and discharging losses appear as differences between bus-side and stored energy in the SOC equation.</w:t>
      </w:r>
    </w:p>
    <w:p w14:paraId="03015A54"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4.4.2 Battery Operating Bounds</w:t>
      </w:r>
    </w:p>
    <w:p w14:paraId="65F2F120"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S^{min} &lt;= S_t &lt;= S^{max}    (4.22)</w:t>
      </w:r>
    </w:p>
    <w:p w14:paraId="341943B3"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0 &lt;= P_t^{ch} &lt;= P^{ch,max},    0 &lt;= P_t^{dis} &lt;= P^{dis,max}    (4.23)</w:t>
      </w:r>
    </w:p>
    <w:p w14:paraId="48470A29"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P_t^{ch} P_t^{dis} = 0    (4.24)</w:t>
      </w:r>
    </w:p>
    <w:p w14:paraId="685DA274"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For the baseline 150 kWh battery with a 0.5C rate, the maximum charge and discharge powers are 75 kW. With a 90% depth-of-discharge reserve, the minimum SOC is 15 kWh and the usable operating range is 15-150 kWh. The initial SOC is set to 50% of maximum capacity:</w:t>
      </w:r>
    </w:p>
    <w:p w14:paraId="6B2E3AFE"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S_0 = 0.5 S^{max}    (4.25)</w:t>
      </w:r>
    </w:p>
    <w:p w14:paraId="679A0FF7"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4.4.3 Community Surplus, Import, Export, and Self-Consumption</w:t>
      </w:r>
    </w:p>
    <w:p w14:paraId="1C6373F0"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Surplus_t = max(G_t - L_t, 0)    (4.26)</w:t>
      </w:r>
    </w:p>
    <w:p w14:paraId="2E6385AC"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E_t^{BESS} = max(Surplus_t - P_t^{ch}, 0)    (4.27)</w:t>
      </w:r>
    </w:p>
    <w:p w14:paraId="3B0BD5E6"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I_t^{BESS} = max(L_t - G_t - P_t^{dis}, 0)    (4.28)</w:t>
      </w:r>
    </w:p>
    <w:p w14:paraId="5019BE28"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SC_t^{BESS} = G_t - E_t^{BESS}    (4.29)</w:t>
      </w:r>
    </w:p>
    <w:p w14:paraId="06A0EA10"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Equation (4.27) subtracts P_t^{ch}, not eta^{ch}P_t^{ch}, because P_t^{ch} is already the PV surplus energy entering the battery charger. Multiplying by charging efficiency in the export equation would incorrectly leave part of the charged energy available for export.</w:t>
      </w:r>
    </w:p>
    <w:p w14:paraId="66402002"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4.4.4 Member-Level Allocation of PV-BESS Flows</w:t>
      </w:r>
    </w:p>
    <w:p w14:paraId="4518CF68"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Because Spanish collective self-consumption settlement is ultimately calculated at the individual consumer level, the PV-BESS scenario must also define member-level imports and exports. The baseline uses the same static allocation coefficients beta_i for PV allocation and for battery-related benefits. This is consistent with the thesis scope, avoids dynamic allocation, and keeps the benefit allocation method transparent.</w:t>
      </w:r>
    </w:p>
    <w:p w14:paraId="63D9AB16"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First, each member receives its allocated PV generation as in the PV-only case:</w:t>
      </w:r>
    </w:p>
    <w:p w14:paraId="308550D2"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lastRenderedPageBreak/>
        <w:t>G_{i,t}^{alloc} = beta_i G_t    (4.30)</w:t>
      </w:r>
    </w:p>
    <w:p w14:paraId="057A5C5D"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Battery charging is allocated to members in proportion to their allocated PV surplus. Let the pre-battery surplus of member i be:</w:t>
      </w:r>
    </w:p>
    <w:p w14:paraId="4236079E"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Surplus_{i,t}^{PV} = max(G_{i,t}^{alloc} - L_{i,t}, 0)    (4.31)</w:t>
      </w:r>
    </w:p>
    <w:p w14:paraId="2DCF1C34"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If total allocated surplus is positive, the battery charge assigned to member i is:</w:t>
      </w:r>
    </w:p>
    <w:p w14:paraId="7D79CEA1"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P_{i,t}^{ch,alloc} = P_t^{ch} * Surplus_{i,t}^{PV} / sum_j Surplus_{j,t}^{PV}    (4.32)</w:t>
      </w:r>
    </w:p>
    <w:p w14:paraId="44F8EB3A"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If total allocated surplus is zero, P_{i,t}^{ch,alloc} is set to zero for all members. This rule attributes battery charging to the members whose allocated PV surplus physically creates the storage opportunity.</w:t>
      </w:r>
    </w:p>
    <w:p w14:paraId="1C64E9E9"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Battery discharge is allocated in proportion to each member’s residual demand after allocated PV generation. This ensures that stored energy is assigned only to members who still have unmet load in that hour, while the overall model remains rule-based and transparent.</w:t>
      </w:r>
    </w:p>
    <w:p w14:paraId="666E6150"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Deficit_{i,t}^{PV} = max(L_{i,t} - G_{i,t}^{alloc}, 0)    (4.33a)</w:t>
      </w:r>
    </w:p>
    <w:p w14:paraId="339839D1"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If sum_j Deficit_{j,t}^{PV} &gt; 0, then:</w:t>
      </w:r>
    </w:p>
    <w:p w14:paraId="71EED526"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P_{i,t}^{dis,alloc} = P_t^{dis} * Deficit_{i,t}^{PV} / sum_j Deficit_{j,t}^{PV}    (4.33b)</w:t>
      </w:r>
    </w:p>
    <w:p w14:paraId="727404EB"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If sum_j Deficit_{j,t}^{PV} = 0, then P_{i,t}^{dis,alloc} = 0 for all members.    (4.33c)</w:t>
      </w:r>
    </w:p>
    <w:p w14:paraId="67ED9DC9"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member-level PV-BESS import and export equations are then:</w:t>
      </w:r>
    </w:p>
    <w:p w14:paraId="21CB0FF2"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I_{i,t}^{BESS} = max(L_{i,t} - G_{i,t}^{alloc} - P_{i,t}^{dis,alloc}, 0)    (4.34)</w:t>
      </w:r>
    </w:p>
    <w:p w14:paraId="062F8E49"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E_{i,t}^{BESS} = max(G_{i,t}^{alloc} - L_{i,t} - P_{i,t}^{ch,alloc}, 0)    (4.35)</w:t>
      </w:r>
    </w:p>
    <w:p w14:paraId="6972320D"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SC_{i,t}^{BESS} = L_{i,t} - I_{i,t}^{BESS}    (4.36)</w:t>
      </w:r>
    </w:p>
    <w:p w14:paraId="5CF70B04"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This formulation keeps member-level settlement explicit and reproducible. It also allows the model to apply the simplified-compensation cap individually to each member in Section 4.7. As a validation check, member-level flows are aggregated and compared with the community-level flows at every hour.</w:t>
      </w:r>
    </w:p>
    <w:p w14:paraId="0C6E80AF" w14:textId="77777777" w:rsidR="00C15557" w:rsidRPr="00D03B06" w:rsidRDefault="00000000">
      <w:pPr>
        <w:pStyle w:val="Heading1"/>
        <w:rPr>
          <w:rFonts w:ascii="Times New Roman" w:hAnsi="Times New Roman" w:cs="Times New Roman"/>
          <w:color w:val="000000" w:themeColor="text1"/>
        </w:rPr>
      </w:pPr>
      <w:r w:rsidRPr="00D03B06">
        <w:rPr>
          <w:rFonts w:ascii="Times New Roman" w:hAnsi="Times New Roman" w:cs="Times New Roman"/>
          <w:color w:val="000000" w:themeColor="text1"/>
        </w:rPr>
        <w:t>4.5 Battery Dispatch Logic</w:t>
      </w:r>
    </w:p>
    <w:p w14:paraId="064B6017"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battery dispatch strategy is a rule-based heuristic. It is designed to be transparent, reproducible, and computationally efficient rather than mathematically optimal. The dispatch operates at community level using aggregate load, aggregate PV generation, SOC, and the OMIE day-ahead price signal [3].</w:t>
      </w:r>
    </w:p>
    <w:p w14:paraId="14B213C5"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4.5.1 Charging Logic</w:t>
      </w:r>
    </w:p>
    <w:p w14:paraId="0EAD3600"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battery charges only from PV surplus. At hour t, charging is calculated as:</w:t>
      </w:r>
    </w:p>
    <w:p w14:paraId="25FD51C7"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P_t^{ch} = min(Surplus_t, P^{ch,max}, (S^{max} - S_{t-1})/eta^{ch})    (4.37)</w:t>
      </w:r>
    </w:p>
    <w:p w14:paraId="0237067B"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This ensures that charging does not exceed available PV surplus, the battery power limit, or the remaining SOC headroom.</w:t>
      </w:r>
    </w:p>
    <w:p w14:paraId="14003F3B"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4.5.2 Discharging Logic</w:t>
      </w:r>
    </w:p>
    <w:p w14:paraId="688663CB"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battery discharges only when PV generation is insufficient to meet community load and the OMIE day-ahead price is above a discharge threshold. In the baseline, this threshold is set to the 75th percentile of the annual OMIE price distribution, targeting high-value hours such as evening peaks [3]. The threshold can be varied in sensitivity analysis.</w:t>
      </w:r>
    </w:p>
    <w:p w14:paraId="06AF5DC8"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If G_t &lt; L_t and p_t^W &gt;= p^{threshold}:    (4.38a)</w:t>
      </w:r>
    </w:p>
    <w:p w14:paraId="10AD7EE0"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P_t^{dis} = min(L_t - G_t, P^{dis,max}, eta^{dis}(S_t^{after ch} - S^{min}))    (4.38b)</w:t>
      </w:r>
    </w:p>
    <w:p w14:paraId="6AE91A35"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Otherwise: P_t^{dis} = 0    (4.38c)</w:t>
      </w:r>
    </w:p>
    <w:p w14:paraId="0B9F645C"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lastRenderedPageBreak/>
        <w:t>4.5.3 State-of-Charge Update</w:t>
      </w:r>
    </w:p>
    <w:p w14:paraId="7CD9CFB2"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S_t^{after ch} = S_{t-1} + eta^{ch} P_t^{ch}    (4.39)</w:t>
      </w:r>
    </w:p>
    <w:p w14:paraId="4B01DB4C"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S_t = S_t^{after ch} - P_t^{dis}/eta^{dis}    (4.40)</w:t>
      </w:r>
    </w:p>
    <w:p w14:paraId="2146C15C"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model enforces the SOC bounds in Equation (4.22). If a dispatch decision violates the bounds, the simulation flags an error rather than silently correcting the result.</w:t>
      </w:r>
    </w:p>
    <w:p w14:paraId="3274BC97"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4.5.4 Dispatch Pseudocode</w:t>
      </w:r>
    </w:p>
    <w:p w14:paraId="4373C259" w14:textId="77777777" w:rsidR="00C15557" w:rsidRPr="00D03B06" w:rsidRDefault="00000000">
      <w:pPr>
        <w:pStyle w:val="EquationBlock"/>
        <w:jc w:val="left"/>
        <w:rPr>
          <w:rFonts w:ascii="Times New Roman" w:hAnsi="Times New Roman" w:cs="Times New Roman"/>
          <w:color w:val="000000" w:themeColor="text1"/>
        </w:rPr>
      </w:pPr>
      <w:r w:rsidRPr="00D03B06">
        <w:rPr>
          <w:rFonts w:ascii="Times New Roman" w:hAnsi="Times New Roman" w:cs="Times New Roman"/>
          <w:color w:val="000000" w:themeColor="text1"/>
          <w:sz w:val="17"/>
        </w:rPr>
        <w:t>FOR each hour t = 1 to T:</w:t>
      </w:r>
      <w:r w:rsidRPr="00D03B06">
        <w:rPr>
          <w:rFonts w:ascii="Times New Roman" w:hAnsi="Times New Roman" w:cs="Times New Roman"/>
          <w:color w:val="000000" w:themeColor="text1"/>
          <w:sz w:val="17"/>
        </w:rPr>
        <w:br/>
        <w:t xml:space="preserve">    L_t = sum_i L_{i,t}</w:t>
      </w:r>
      <w:r w:rsidRPr="00D03B06">
        <w:rPr>
          <w:rFonts w:ascii="Times New Roman" w:hAnsi="Times New Roman" w:cs="Times New Roman"/>
          <w:color w:val="000000" w:themeColor="text1"/>
          <w:sz w:val="17"/>
        </w:rPr>
        <w:br/>
        <w:t xml:space="preserve">    Surplus_t = max(G_t - L_t, 0)</w:t>
      </w:r>
      <w:r w:rsidRPr="00D03B06">
        <w:rPr>
          <w:rFonts w:ascii="Times New Roman" w:hAnsi="Times New Roman" w:cs="Times New Roman"/>
          <w:color w:val="000000" w:themeColor="text1"/>
          <w:sz w:val="17"/>
        </w:rPr>
        <w:br/>
        <w:t xml:space="preserve">    IF Surplus_t &gt; 0:</w:t>
      </w:r>
      <w:r w:rsidRPr="00D03B06">
        <w:rPr>
          <w:rFonts w:ascii="Times New Roman" w:hAnsi="Times New Roman" w:cs="Times New Roman"/>
          <w:color w:val="000000" w:themeColor="text1"/>
          <w:sz w:val="17"/>
        </w:rPr>
        <w:br/>
        <w:t xml:space="preserve">        P_ch_t = min(Surplus_t, P_ch_max, (S_max - S_{t-1}) / eta_ch)</w:t>
      </w:r>
      <w:r w:rsidRPr="00D03B06">
        <w:rPr>
          <w:rFonts w:ascii="Times New Roman" w:hAnsi="Times New Roman" w:cs="Times New Roman"/>
          <w:color w:val="000000" w:themeColor="text1"/>
          <w:sz w:val="17"/>
        </w:rPr>
        <w:br/>
        <w:t xml:space="preserve">    ELSE:</w:t>
      </w:r>
      <w:r w:rsidRPr="00D03B06">
        <w:rPr>
          <w:rFonts w:ascii="Times New Roman" w:hAnsi="Times New Roman" w:cs="Times New Roman"/>
          <w:color w:val="000000" w:themeColor="text1"/>
          <w:sz w:val="17"/>
        </w:rPr>
        <w:br/>
        <w:t xml:space="preserve">        P_ch_t = 0</w:t>
      </w:r>
      <w:r w:rsidRPr="00D03B06">
        <w:rPr>
          <w:rFonts w:ascii="Times New Roman" w:hAnsi="Times New Roman" w:cs="Times New Roman"/>
          <w:color w:val="000000" w:themeColor="text1"/>
          <w:sz w:val="17"/>
        </w:rPr>
        <w:br/>
        <w:t xml:space="preserve">    S_after_ch = S_{t-1} + eta_ch * P_ch_t</w:t>
      </w:r>
      <w:r w:rsidRPr="00D03B06">
        <w:rPr>
          <w:rFonts w:ascii="Times New Roman" w:hAnsi="Times New Roman" w:cs="Times New Roman"/>
          <w:color w:val="000000" w:themeColor="text1"/>
          <w:sz w:val="17"/>
        </w:rPr>
        <w:br/>
        <w:t xml:space="preserve">    IF (G_t &lt; L_t) AND (p_W_t &gt;= p_threshold):</w:t>
      </w:r>
      <w:r w:rsidRPr="00D03B06">
        <w:rPr>
          <w:rFonts w:ascii="Times New Roman" w:hAnsi="Times New Roman" w:cs="Times New Roman"/>
          <w:color w:val="000000" w:themeColor="text1"/>
          <w:sz w:val="17"/>
        </w:rPr>
        <w:br/>
        <w:t xml:space="preserve">        P_dis_t = min(L_t - G_t, P_dis_max, eta_dis * (S_after_ch - S_min))</w:t>
      </w:r>
      <w:r w:rsidRPr="00D03B06">
        <w:rPr>
          <w:rFonts w:ascii="Times New Roman" w:hAnsi="Times New Roman" w:cs="Times New Roman"/>
          <w:color w:val="000000" w:themeColor="text1"/>
          <w:sz w:val="17"/>
        </w:rPr>
        <w:br/>
        <w:t xml:space="preserve">    ELSE:</w:t>
      </w:r>
      <w:r w:rsidRPr="00D03B06">
        <w:rPr>
          <w:rFonts w:ascii="Times New Roman" w:hAnsi="Times New Roman" w:cs="Times New Roman"/>
          <w:color w:val="000000" w:themeColor="text1"/>
          <w:sz w:val="17"/>
        </w:rPr>
        <w:br/>
        <w:t xml:space="preserve">        P_dis_t = 0</w:t>
      </w:r>
      <w:r w:rsidRPr="00D03B06">
        <w:rPr>
          <w:rFonts w:ascii="Times New Roman" w:hAnsi="Times New Roman" w:cs="Times New Roman"/>
          <w:color w:val="000000" w:themeColor="text1"/>
          <w:sz w:val="17"/>
        </w:rPr>
        <w:br/>
        <w:t xml:space="preserve">    S_t = S_after_ch - P_dis_t / eta_dis</w:t>
      </w:r>
      <w:r w:rsidRPr="00D03B06">
        <w:rPr>
          <w:rFonts w:ascii="Times New Roman" w:hAnsi="Times New Roman" w:cs="Times New Roman"/>
          <w:color w:val="000000" w:themeColor="text1"/>
          <w:sz w:val="17"/>
        </w:rPr>
        <w:br/>
        <w:t xml:space="preserve">    E_t = max(max(G_t - L_t, 0) - P_ch_t, 0)</w:t>
      </w:r>
      <w:r w:rsidRPr="00D03B06">
        <w:rPr>
          <w:rFonts w:ascii="Times New Roman" w:hAnsi="Times New Roman" w:cs="Times New Roman"/>
          <w:color w:val="000000" w:themeColor="text1"/>
          <w:sz w:val="17"/>
        </w:rPr>
        <w:br/>
        <w:t xml:space="preserve">    I_t = max(L_t - G_t - P_dis_t, 0)</w:t>
      </w:r>
      <w:r w:rsidRPr="00D03B06">
        <w:rPr>
          <w:rFonts w:ascii="Times New Roman" w:hAnsi="Times New Roman" w:cs="Times New Roman"/>
          <w:color w:val="000000" w:themeColor="text1"/>
          <w:sz w:val="17"/>
        </w:rPr>
        <w:br/>
        <w:t xml:space="preserve">    Allocate PV, battery charge, battery discharge, import, and export to members</w:t>
      </w:r>
      <w:r w:rsidRPr="00D03B06">
        <w:rPr>
          <w:rFonts w:ascii="Times New Roman" w:hAnsi="Times New Roman" w:cs="Times New Roman"/>
          <w:color w:val="000000" w:themeColor="text1"/>
          <w:sz w:val="17"/>
        </w:rPr>
        <w:br/>
        <w:t xml:space="preserve">    Validate SOC bounds, non-negativity, and energy balance</w:t>
      </w:r>
      <w:r w:rsidRPr="00D03B06">
        <w:rPr>
          <w:rFonts w:ascii="Times New Roman" w:hAnsi="Times New Roman" w:cs="Times New Roman"/>
          <w:color w:val="000000" w:themeColor="text1"/>
          <w:sz w:val="17"/>
        </w:rPr>
        <w:br/>
      </w:r>
    </w:p>
    <w:p w14:paraId="4AF3B3D6" w14:textId="77777777" w:rsidR="00C15557" w:rsidRPr="00D03B06" w:rsidRDefault="00000000">
      <w:pPr>
        <w:pStyle w:val="CaptionCustom"/>
        <w:rPr>
          <w:rFonts w:ascii="Times New Roman" w:hAnsi="Times New Roman" w:cs="Times New Roman"/>
          <w:color w:val="000000" w:themeColor="text1"/>
        </w:rPr>
      </w:pPr>
      <w:r w:rsidRPr="00D03B06">
        <w:rPr>
          <w:rFonts w:ascii="Times New Roman" w:hAnsi="Times New Roman" w:cs="Times New Roman"/>
          <w:color w:val="000000" w:themeColor="text1"/>
        </w:rPr>
        <w:t>Figure 4.2: Rule-based PV-BESS battery dispatch pseudocode.</w:t>
      </w:r>
    </w:p>
    <w:p w14:paraId="0246FAFA"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4.5.5 Rationale and Limitations</w:t>
      </w:r>
    </w:p>
    <w:p w14:paraId="78170150"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rule-based dispatch is chosen because it can be fully stated in the methodology chapter and audited hour by hour. It avoids hidden optimization assumptions and keeps the battery-specific value directly tied to PV surplus shifting, avoided imports, and the Spanish simplified-compensation cap. Its main limitation is that it does not anticipate future PV, load, or price patterns beyond the selected threshold rule; therefore, it should be interpreted as a transparent operational heuristic rather than as an upper-bound optimization result.</w:t>
      </w:r>
    </w:p>
    <w:p w14:paraId="259A589F" w14:textId="77777777" w:rsidR="00C15557" w:rsidRPr="00D03B06" w:rsidRDefault="00000000">
      <w:pPr>
        <w:pStyle w:val="Heading1"/>
        <w:rPr>
          <w:rFonts w:ascii="Times New Roman" w:hAnsi="Times New Roman" w:cs="Times New Roman"/>
          <w:color w:val="000000" w:themeColor="text1"/>
        </w:rPr>
      </w:pPr>
      <w:r w:rsidRPr="00D03B06">
        <w:rPr>
          <w:rFonts w:ascii="Times New Roman" w:hAnsi="Times New Roman" w:cs="Times New Roman"/>
          <w:color w:val="000000" w:themeColor="text1"/>
        </w:rPr>
        <w:t>4.6 Community Energy Balance and Validation</w:t>
      </w:r>
    </w:p>
    <w:p w14:paraId="2D468E39"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4.6.1 Complete Energy Balance</w:t>
      </w:r>
    </w:p>
    <w:p w14:paraId="06CAFEF8"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G_t + I_t^{BESS} + P_t^{dis} = L_t + E_t^{BESS} + P_t^{ch}    (4.41)</w:t>
      </w:r>
    </w:p>
    <w:p w14:paraId="34A436E7"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same formulation reduces to the PV-only balance when the battery is disabled, P_t^{ch} = P_t^{dis} = 0. It reduces to the No-DER balance when both PV and battery are disabled.</w:t>
      </w:r>
    </w:p>
    <w:p w14:paraId="1ADB0859"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PV-only:    G_t + I_t^{PV} = L_t + E_t^{PV}    (4.42)</w:t>
      </w:r>
    </w:p>
    <w:p w14:paraId="5FDBFC4C"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No-DER:     I_t^{0} = L_t    (4.43)</w:t>
      </w:r>
    </w:p>
    <w:p w14:paraId="156AD1C5"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4.6.2 Annual Accounting</w:t>
      </w:r>
    </w:p>
    <w:p w14:paraId="3DFE2418"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E_{PV,total} = sum_t G_t    (4.44)</w:t>
      </w:r>
    </w:p>
    <w:p w14:paraId="59BB8907"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E_{import,total} = sum_t I_t    (4.45)</w:t>
      </w:r>
    </w:p>
    <w:p w14:paraId="0A84C95B"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E_{export,total} = sum_t E_t    (4.46)</w:t>
      </w:r>
    </w:p>
    <w:p w14:paraId="232D6C8C"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SCR = (sum_t SC_t) / (sum_t G_t)    (4.47)</w:t>
      </w:r>
    </w:p>
    <w:p w14:paraId="20A9EB16"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SSR = (sum_t SC_t) / (sum_t L_t)    (4.48)</w:t>
      </w:r>
    </w:p>
    <w:p w14:paraId="31AC759F"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lastRenderedPageBreak/>
        <w:t>Delta SCR_BESS = SCR^{PV-BESS} - SCR^{PV-only}    (4.49)</w:t>
      </w:r>
    </w:p>
    <w:p w14:paraId="40292B4E"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4.6.3 Validation Checks</w:t>
      </w:r>
    </w:p>
    <w:tbl>
      <w:tblPr>
        <w:tblStyle w:val="TableGrid"/>
        <w:tblW w:w="0" w:type="auto"/>
        <w:jc w:val="center"/>
        <w:tblLook w:val="04A0" w:firstRow="1" w:lastRow="0" w:firstColumn="1" w:lastColumn="0" w:noHBand="0" w:noVBand="1"/>
      </w:tblPr>
      <w:tblGrid>
        <w:gridCol w:w="4060"/>
        <w:gridCol w:w="5948"/>
      </w:tblGrid>
      <w:tr w:rsidR="00D03B06" w:rsidRPr="00D03B06" w14:paraId="5333ABAF" w14:textId="77777777">
        <w:trPr>
          <w:jc w:val="center"/>
        </w:trPr>
        <w:tc>
          <w:tcPr>
            <w:tcW w:w="3312" w:type="dxa"/>
            <w:shd w:val="clear" w:color="auto" w:fill="D9EAF7"/>
            <w:vAlign w:val="center"/>
          </w:tcPr>
          <w:p w14:paraId="066F215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b/>
                <w:color w:val="000000" w:themeColor="text1"/>
                <w:sz w:val="16"/>
              </w:rPr>
              <w:t>Check</w:t>
            </w:r>
          </w:p>
        </w:tc>
        <w:tc>
          <w:tcPr>
            <w:tcW w:w="7200" w:type="dxa"/>
            <w:shd w:val="clear" w:color="auto" w:fill="D9EAF7"/>
            <w:vAlign w:val="center"/>
          </w:tcPr>
          <w:p w14:paraId="705DA29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b/>
                <w:color w:val="000000" w:themeColor="text1"/>
                <w:sz w:val="16"/>
              </w:rPr>
              <w:t>Condition</w:t>
            </w:r>
          </w:p>
        </w:tc>
      </w:tr>
      <w:tr w:rsidR="00D03B06" w:rsidRPr="00D03B06" w14:paraId="2C26AE7E" w14:textId="77777777">
        <w:trPr>
          <w:jc w:val="center"/>
        </w:trPr>
        <w:tc>
          <w:tcPr>
            <w:tcW w:w="3312" w:type="dxa"/>
          </w:tcPr>
          <w:p w14:paraId="004E4C31"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Hourly energy balance</w:t>
            </w:r>
          </w:p>
        </w:tc>
        <w:tc>
          <w:tcPr>
            <w:tcW w:w="7200" w:type="dxa"/>
          </w:tcPr>
          <w:p w14:paraId="56CDB1B1"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|G_t + I_t + P_t^{dis} - L_t - E_t - P_t^{ch}| &lt;= tolerance</w:t>
            </w:r>
          </w:p>
        </w:tc>
      </w:tr>
      <w:tr w:rsidR="00D03B06" w:rsidRPr="00D03B06" w14:paraId="3F0BCBF6" w14:textId="77777777">
        <w:trPr>
          <w:jc w:val="center"/>
        </w:trPr>
        <w:tc>
          <w:tcPr>
            <w:tcW w:w="3312" w:type="dxa"/>
          </w:tcPr>
          <w:p w14:paraId="6300DBCE"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SOC bounds</w:t>
            </w:r>
          </w:p>
        </w:tc>
        <w:tc>
          <w:tcPr>
            <w:tcW w:w="7200" w:type="dxa"/>
          </w:tcPr>
          <w:p w14:paraId="32FD6B58"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S^{min} &lt;= S_t &lt;= S^{max}</w:t>
            </w:r>
          </w:p>
        </w:tc>
      </w:tr>
      <w:tr w:rsidR="00D03B06" w:rsidRPr="00D03B06" w14:paraId="0022E195" w14:textId="77777777">
        <w:trPr>
          <w:jc w:val="center"/>
        </w:trPr>
        <w:tc>
          <w:tcPr>
            <w:tcW w:w="3312" w:type="dxa"/>
          </w:tcPr>
          <w:p w14:paraId="429C70A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Non-negativity</w:t>
            </w:r>
          </w:p>
        </w:tc>
        <w:tc>
          <w:tcPr>
            <w:tcW w:w="7200" w:type="dxa"/>
          </w:tcPr>
          <w:p w14:paraId="069AEA8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L_{i,t}, G_t, I_{i,t}, E_{i,t}, P_t^{ch}, P_t^{dis} &gt;= 0</w:t>
            </w:r>
          </w:p>
        </w:tc>
      </w:tr>
      <w:tr w:rsidR="00D03B06" w:rsidRPr="00D03B06" w14:paraId="4E7B0761" w14:textId="77777777">
        <w:trPr>
          <w:jc w:val="center"/>
        </w:trPr>
        <w:tc>
          <w:tcPr>
            <w:tcW w:w="3312" w:type="dxa"/>
          </w:tcPr>
          <w:p w14:paraId="5534C3A1"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No simultaneous member import/export</w:t>
            </w:r>
          </w:p>
        </w:tc>
        <w:tc>
          <w:tcPr>
            <w:tcW w:w="7200" w:type="dxa"/>
          </w:tcPr>
          <w:p w14:paraId="6441E1A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I_{i,t} * E_{i,t} = 0 for each member and hour</w:t>
            </w:r>
          </w:p>
        </w:tc>
      </w:tr>
      <w:tr w:rsidR="00D03B06" w:rsidRPr="00D03B06" w14:paraId="47FC8DA6" w14:textId="77777777">
        <w:trPr>
          <w:jc w:val="center"/>
        </w:trPr>
        <w:tc>
          <w:tcPr>
            <w:tcW w:w="3312" w:type="dxa"/>
          </w:tcPr>
          <w:p w14:paraId="60D6FF2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No simultaneous battery charge/discharge</w:t>
            </w:r>
          </w:p>
        </w:tc>
        <w:tc>
          <w:tcPr>
            <w:tcW w:w="7200" w:type="dxa"/>
          </w:tcPr>
          <w:p w14:paraId="3307A974"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P_t^{ch} * P_t^{dis} = 0</w:t>
            </w:r>
          </w:p>
        </w:tc>
      </w:tr>
      <w:tr w:rsidR="00D03B06" w:rsidRPr="00D03B06" w14:paraId="3BD8A430" w14:textId="77777777">
        <w:trPr>
          <w:jc w:val="center"/>
        </w:trPr>
        <w:tc>
          <w:tcPr>
            <w:tcW w:w="3312" w:type="dxa"/>
          </w:tcPr>
          <w:p w14:paraId="3ED2F03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Allocation coefficients</w:t>
            </w:r>
          </w:p>
        </w:tc>
        <w:tc>
          <w:tcPr>
            <w:tcW w:w="7200" w:type="dxa"/>
          </w:tcPr>
          <w:p w14:paraId="3D568928"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sum_i beta_i = 1 and beta_i &gt;= 0</w:t>
            </w:r>
          </w:p>
        </w:tc>
      </w:tr>
      <w:tr w:rsidR="00D03B06" w:rsidRPr="00D03B06" w14:paraId="11C808E9" w14:textId="77777777">
        <w:trPr>
          <w:jc w:val="center"/>
        </w:trPr>
        <w:tc>
          <w:tcPr>
            <w:tcW w:w="3312" w:type="dxa"/>
          </w:tcPr>
          <w:p w14:paraId="011FAB6B"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Flow aggregation</w:t>
            </w:r>
          </w:p>
        </w:tc>
        <w:tc>
          <w:tcPr>
            <w:tcW w:w="7200" w:type="dxa"/>
          </w:tcPr>
          <w:p w14:paraId="36FFE384"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sum_i I_{i,t} = I_t and sum_i E_{i,t} = E_t within tolerance</w:t>
            </w:r>
          </w:p>
        </w:tc>
      </w:tr>
      <w:tr w:rsidR="00D03B06" w:rsidRPr="00D03B06" w14:paraId="22A82DDA" w14:textId="77777777">
        <w:trPr>
          <w:jc w:val="center"/>
        </w:trPr>
        <w:tc>
          <w:tcPr>
            <w:tcW w:w="3312" w:type="dxa"/>
          </w:tcPr>
          <w:p w14:paraId="420A9C4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Monthly cap</w:t>
            </w:r>
          </w:p>
        </w:tc>
        <w:tc>
          <w:tcPr>
            <w:tcW w:w="7200" w:type="dxa"/>
          </w:tcPr>
          <w:p w14:paraId="2C1AFEA8"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R_{i,m}^{applied} &lt;= C_{i,m}^{imp} for every member and month</w:t>
            </w:r>
          </w:p>
        </w:tc>
      </w:tr>
      <w:tr w:rsidR="00D03B06" w:rsidRPr="00D03B06" w14:paraId="79E84002" w14:textId="77777777">
        <w:trPr>
          <w:jc w:val="center"/>
        </w:trPr>
        <w:tc>
          <w:tcPr>
            <w:tcW w:w="3312" w:type="dxa"/>
          </w:tcPr>
          <w:p w14:paraId="28F3CE3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Zero-battery consistency</w:t>
            </w:r>
          </w:p>
        </w:tc>
        <w:tc>
          <w:tcPr>
            <w:tcW w:w="7200" w:type="dxa"/>
          </w:tcPr>
          <w:p w14:paraId="2C3B4C3B"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6"/>
              </w:rPr>
              <w:t>PV-BESS equals PV-only when S^{max} = 0</w:t>
            </w:r>
          </w:p>
        </w:tc>
      </w:tr>
      <w:tr w:rsidR="00D03B06" w:rsidRPr="00D03B06" w14:paraId="6506D9F2" w14:textId="77777777">
        <w:trPr>
          <w:jc w:val="center"/>
        </w:trPr>
        <w:tc>
          <w:tcPr>
            <w:tcW w:w="4896" w:type="dxa"/>
          </w:tcPr>
          <w:p w14:paraId="5DEC7EFE"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Battery charge allocation closure</w:t>
            </w:r>
          </w:p>
        </w:tc>
        <w:tc>
          <w:tcPr>
            <w:tcW w:w="4896" w:type="dxa"/>
          </w:tcPr>
          <w:p w14:paraId="54D0B043"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sum_i P_{i,t}^{ch,alloc} = P_t^{ch} within tolerance</w:t>
            </w:r>
          </w:p>
        </w:tc>
      </w:tr>
      <w:tr w:rsidR="00D03B06" w:rsidRPr="00D03B06" w14:paraId="2CF1701D" w14:textId="77777777">
        <w:trPr>
          <w:jc w:val="center"/>
        </w:trPr>
        <w:tc>
          <w:tcPr>
            <w:tcW w:w="4896" w:type="dxa"/>
          </w:tcPr>
          <w:p w14:paraId="52E4106D"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Battery discharge allocation closure</w:t>
            </w:r>
          </w:p>
        </w:tc>
        <w:tc>
          <w:tcPr>
            <w:tcW w:w="4896" w:type="dxa"/>
          </w:tcPr>
          <w:p w14:paraId="1256F493"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sum_i P_{i,t}^{dis,alloc} = P_t^{dis} within tolerance</w:t>
            </w:r>
          </w:p>
        </w:tc>
      </w:tr>
    </w:tbl>
    <w:p w14:paraId="4566D1AA" w14:textId="77777777" w:rsidR="00C15557" w:rsidRPr="00D03B06" w:rsidRDefault="00000000">
      <w:pPr>
        <w:pStyle w:val="CaptionCustom"/>
        <w:rPr>
          <w:rFonts w:ascii="Times New Roman" w:hAnsi="Times New Roman" w:cs="Times New Roman"/>
          <w:color w:val="000000" w:themeColor="text1"/>
        </w:rPr>
      </w:pPr>
      <w:r w:rsidRPr="00D03B06">
        <w:rPr>
          <w:rFonts w:ascii="Times New Roman" w:hAnsi="Times New Roman" w:cs="Times New Roman"/>
          <w:color w:val="000000" w:themeColor="text1"/>
        </w:rPr>
        <w:t>Table 4.2: Model validation checks.</w:t>
      </w:r>
    </w:p>
    <w:p w14:paraId="14864B64"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no-simultaneous-import/export check is applied at member level. At aggregate community level, some members may import while others export in the same hour under static allocation; therefore, the aggregate community may show both positive import and positive export after summing member-level bills.</w:t>
      </w:r>
    </w:p>
    <w:p w14:paraId="7F06ECA1" w14:textId="77777777" w:rsidR="00C15557" w:rsidRPr="00D03B06" w:rsidRDefault="00000000">
      <w:pPr>
        <w:pStyle w:val="Heading1"/>
        <w:rPr>
          <w:rFonts w:ascii="Times New Roman" w:hAnsi="Times New Roman" w:cs="Times New Roman"/>
          <w:color w:val="000000" w:themeColor="text1"/>
        </w:rPr>
      </w:pPr>
      <w:r w:rsidRPr="00D03B06">
        <w:rPr>
          <w:rFonts w:ascii="Times New Roman" w:hAnsi="Times New Roman" w:cs="Times New Roman"/>
          <w:color w:val="000000" w:themeColor="text1"/>
        </w:rPr>
        <w:t>4.7 Spanish Settlement and Billing Model</w:t>
      </w:r>
    </w:p>
    <w:p w14:paraId="47B0CA42"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This section converts hourly member-level energy flows into monthly and annual bills under the Spanish PVPC tariff and the RD 244/2019 simplified compensation mechanism. OMIE is used only as a battery dispatch signal [3]; it is not used to value PVPC baseline imports or exports.</w:t>
      </w:r>
    </w:p>
    <w:p w14:paraId="644C23DC"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4.7.1 PVPC Import Price and Billing Boundary</w:t>
      </w:r>
    </w:p>
    <w:p w14:paraId="58089F9D"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baseline billing boundary includes only energy-term cashflows. Grid imports are valued using the selected PVPC hourly energy-term import price, p_t^{imp}. Fixed power charges, meter rental, distribution charges not varying with self-consumed energy, VAT, and electricity taxes are excluded from the baseline. This isolates the marginal economic effect of PV generation and battery storage on the variable energy component of the bill.</w:t>
      </w:r>
    </w:p>
    <w:p w14:paraId="5DE02B11"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This boundary must be stated clearly because full retail bills include fixed and tax components that are not avoided by self-consumption. If those components are added in an extension, they should be reported separately from the baseline energy-term results.</w:t>
      </w:r>
    </w:p>
    <w:p w14:paraId="7BE10DA1"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4.7.2 PVPC Excedentaria Export Credit</w:t>
      </w:r>
    </w:p>
    <w:p w14:paraId="03D4CD42"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Surplus exports are valued using the PVPC excedentaria export-credit price, p_t^{exp}, published by REE/ESIOS [4]. This export credit is generally lower than the import price because it does not include the full retail components avoided through self-consumption. Therefore, direct self-consumption and battery-enabled surplus shifting are typically more valuable than exporting surplus energy.</w:t>
      </w:r>
    </w:p>
    <w:p w14:paraId="15D30285"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4.7.3 Member-Level Monthly Compensation Cap</w:t>
      </w:r>
    </w:p>
    <w:p w14:paraId="5B145BDE"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For each household i and month m, the model calculates import cost, raw export compensation, applied export compensation, and net monthly energy bill as follows:</w:t>
      </w:r>
    </w:p>
    <w:p w14:paraId="37152C4A"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C_{i,m}^{imp} = sum_{t in m} I_{i,t} p_t^{imp}    (4.50)</w:t>
      </w:r>
    </w:p>
    <w:p w14:paraId="4250E827"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R_{i,m}^{raw} = sum_{t in m} E_{i,t} p_t^{exp}    (4.51)</w:t>
      </w:r>
    </w:p>
    <w:p w14:paraId="34E6EEC5"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R_{i,m}^{applied} = min(R_{i,m}^{raw}, C_{i,m}^{imp})    (4.52)</w:t>
      </w:r>
    </w:p>
    <w:p w14:paraId="1A62C3CD"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B_{i,m} = C_{i,m}^{imp} - R_{i,m}^{applied}    (4.53)</w:t>
      </w:r>
    </w:p>
    <w:p w14:paraId="59FE46D8"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B_m^{community} = sum_i B_{i,m}    (4.54)</w:t>
      </w:r>
    </w:p>
    <w:p w14:paraId="0AF0AF3A"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B^{annual} = sum_{m=1}^{12} B_m^{community}    (4.55)</w:t>
      </w:r>
    </w:p>
    <w:p w14:paraId="4E7F06FB"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lastRenderedPageBreak/>
        <w:t>The cap is applied at member level because each participant has an individual billing relationship. A member with high export credit and low import cost cannot transfer unused compensation to another member. This prevents hidden cross-subsidization and makes the member-level benefit analysis consistent with the settlement boundary.</w:t>
      </w:r>
    </w:p>
    <w:p w14:paraId="7A3BACE3"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4.7.4 Forfeited Compensation and Cap-Binding Events</w:t>
      </w:r>
    </w:p>
    <w:p w14:paraId="5E647B45"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Lost_{i,m} = R_{i,m}^{raw} - R_{i,m}^{applied}    (4.56)</w:t>
      </w:r>
    </w:p>
    <w:p w14:paraId="4FD9FB2E"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CapBind_{i,m} = 1 if R_{i,m}^{raw} &gt; C_{i,m}^{imp}; otherwise 0    (4.57)</w:t>
      </w:r>
    </w:p>
    <w:p w14:paraId="7885E9E0"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Lost^{annual} = sum_i sum_m Lost_{i,m}    (4.58)</w:t>
      </w:r>
    </w:p>
    <w:p w14:paraId="446A323B"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These quantities identify months and members for which the simplified compensation cap binds. They are important for RQ2 because one battery-specific value mechanism is the reduction of forfeited export compensation: surplus PV that would otherwise be exported and partly forfeited can instead be stored and used later to avoid imports.</w:t>
      </w:r>
    </w:p>
    <w:p w14:paraId="3915E504"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4.7.5 Bill Savings and Battery-Specific Bill Savings</w:t>
      </w:r>
    </w:p>
    <w:p w14:paraId="17FF8D4B"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Saving^{scenario} = B^{No-DER} - B^{scenario}    (4.59)</w:t>
      </w:r>
    </w:p>
    <w:p w14:paraId="41DC2A9F"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SavingPct^{scenario} = Saving^{scenario} / B^{No-DER}    (4.60)</w:t>
      </w:r>
    </w:p>
    <w:p w14:paraId="365BEE54" w14:textId="77777777" w:rsidR="00C15557" w:rsidRPr="00D03B06" w:rsidRDefault="00000000">
      <w:pPr>
        <w:pStyle w:val="EquationBlock"/>
        <w:rPr>
          <w:rFonts w:ascii="Times New Roman" w:hAnsi="Times New Roman" w:cs="Times New Roman"/>
          <w:color w:val="000000" w:themeColor="text1"/>
        </w:rPr>
      </w:pPr>
      <w:r w:rsidRPr="00D03B06">
        <w:rPr>
          <w:rFonts w:ascii="Times New Roman" w:hAnsi="Times New Roman" w:cs="Times New Roman"/>
          <w:color w:val="000000" w:themeColor="text1"/>
        </w:rPr>
        <w:t>Saving^{BESS-specific} = B^{PV-only} - B^{PV-BESS}    (4.61)</w:t>
      </w:r>
    </w:p>
    <w:p w14:paraId="7FD2DAD0"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Equation (4.61) is the core bill-based measure of battery-specific value. Economic metrics such as NPV and payback period are developed in Chapter 5 using these annual savings and the investment-cost assumptions.</w:t>
      </w:r>
    </w:p>
    <w:p w14:paraId="572156A5" w14:textId="77777777" w:rsidR="00C15557" w:rsidRPr="00D03B06" w:rsidRDefault="00000000">
      <w:pPr>
        <w:pStyle w:val="Heading1"/>
        <w:rPr>
          <w:rFonts w:ascii="Times New Roman" w:hAnsi="Times New Roman" w:cs="Times New Roman"/>
          <w:color w:val="000000" w:themeColor="text1"/>
        </w:rPr>
      </w:pPr>
      <w:r w:rsidRPr="00D03B06">
        <w:rPr>
          <w:rFonts w:ascii="Times New Roman" w:hAnsi="Times New Roman" w:cs="Times New Roman"/>
          <w:color w:val="000000" w:themeColor="text1"/>
        </w:rPr>
        <w:t>4.8 Model Assumptions and Boundary Conditions</w:t>
      </w:r>
    </w:p>
    <w:p w14:paraId="3505E629"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This section summarizes the assumptions and boundaries that define the validity of the results. These boundaries are intentionally explicit so that the conclusions are not over-generalized beyond the modelled conditions.</w:t>
      </w:r>
    </w:p>
    <w:p w14:paraId="3E5B9427"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4.8.1 Baseline Case-Study Parameters</w:t>
      </w:r>
    </w:p>
    <w:tbl>
      <w:tblPr>
        <w:tblStyle w:val="TableGrid"/>
        <w:tblW w:w="0" w:type="auto"/>
        <w:jc w:val="center"/>
        <w:tblLook w:val="04A0" w:firstRow="1" w:lastRow="0" w:firstColumn="1" w:lastColumn="0" w:noHBand="0" w:noVBand="1"/>
      </w:tblPr>
      <w:tblGrid>
        <w:gridCol w:w="2725"/>
        <w:gridCol w:w="2987"/>
        <w:gridCol w:w="4296"/>
      </w:tblGrid>
      <w:tr w:rsidR="00D03B06" w:rsidRPr="00D03B06" w14:paraId="046521B7" w14:textId="77777777">
        <w:trPr>
          <w:jc w:val="center"/>
        </w:trPr>
        <w:tc>
          <w:tcPr>
            <w:tcW w:w="2880" w:type="dxa"/>
            <w:shd w:val="clear" w:color="auto" w:fill="D9EAF7"/>
            <w:vAlign w:val="center"/>
          </w:tcPr>
          <w:p w14:paraId="5A4F6D2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b/>
                <w:color w:val="000000" w:themeColor="text1"/>
                <w:sz w:val="15"/>
              </w:rPr>
              <w:t>Category / parameter</w:t>
            </w:r>
          </w:p>
        </w:tc>
        <w:tc>
          <w:tcPr>
            <w:tcW w:w="3168" w:type="dxa"/>
            <w:shd w:val="clear" w:color="auto" w:fill="D9EAF7"/>
            <w:vAlign w:val="center"/>
          </w:tcPr>
          <w:p w14:paraId="341BCBA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b/>
                <w:color w:val="000000" w:themeColor="text1"/>
                <w:sz w:val="15"/>
              </w:rPr>
              <w:t>Baseline value</w:t>
            </w:r>
          </w:p>
        </w:tc>
        <w:tc>
          <w:tcPr>
            <w:tcW w:w="4608" w:type="dxa"/>
            <w:shd w:val="clear" w:color="auto" w:fill="D9EAF7"/>
            <w:vAlign w:val="center"/>
          </w:tcPr>
          <w:p w14:paraId="2960DF5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b/>
                <w:color w:val="000000" w:themeColor="text1"/>
                <w:sz w:val="15"/>
              </w:rPr>
              <w:t>Comment / sensitivity</w:t>
            </w:r>
          </w:p>
        </w:tc>
      </w:tr>
      <w:tr w:rsidR="00D03B06" w:rsidRPr="00D03B06" w14:paraId="01A5C4A6" w14:textId="77777777">
        <w:trPr>
          <w:jc w:val="center"/>
        </w:trPr>
        <w:tc>
          <w:tcPr>
            <w:tcW w:w="2880" w:type="dxa"/>
          </w:tcPr>
          <w:p w14:paraId="36CB2EC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Location</w:t>
            </w:r>
          </w:p>
        </w:tc>
        <w:tc>
          <w:tcPr>
            <w:tcW w:w="3168" w:type="dxa"/>
          </w:tcPr>
          <w:p w14:paraId="2BCED5E6"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Seville, Spain</w:t>
            </w:r>
          </w:p>
        </w:tc>
        <w:tc>
          <w:tcPr>
            <w:tcW w:w="4608" w:type="dxa"/>
          </w:tcPr>
          <w:p w14:paraId="38F09C37"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Fixed baseline; selected for high solar potential and Spanish CSC relevance</w:t>
            </w:r>
          </w:p>
        </w:tc>
      </w:tr>
      <w:tr w:rsidR="00D03B06" w:rsidRPr="00D03B06" w14:paraId="0853B86B" w14:textId="77777777">
        <w:trPr>
          <w:jc w:val="center"/>
        </w:trPr>
        <w:tc>
          <w:tcPr>
            <w:tcW w:w="2880" w:type="dxa"/>
          </w:tcPr>
          <w:p w14:paraId="4F75BF8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Community size</w:t>
            </w:r>
          </w:p>
        </w:tc>
        <w:tc>
          <w:tcPr>
            <w:tcW w:w="3168" w:type="dxa"/>
          </w:tcPr>
          <w:p w14:paraId="7341E38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30 households</w:t>
            </w:r>
          </w:p>
        </w:tc>
        <w:tc>
          <w:tcPr>
            <w:tcW w:w="4608" w:type="dxa"/>
          </w:tcPr>
          <w:p w14:paraId="41C39C65"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Sensitivity: 10, 20, 30, 40, 50 households</w:t>
            </w:r>
          </w:p>
        </w:tc>
      </w:tr>
      <w:tr w:rsidR="00D03B06" w:rsidRPr="00D03B06" w14:paraId="27A1F7F5" w14:textId="77777777">
        <w:trPr>
          <w:jc w:val="center"/>
        </w:trPr>
        <w:tc>
          <w:tcPr>
            <w:tcW w:w="2880" w:type="dxa"/>
          </w:tcPr>
          <w:p w14:paraId="0ED69FA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Household composition</w:t>
            </w:r>
          </w:p>
        </w:tc>
        <w:tc>
          <w:tcPr>
            <w:tcW w:w="3168" w:type="dxa"/>
          </w:tcPr>
          <w:p w14:paraId="5AB7F87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40% low, 40% medium, 20% high consumption</w:t>
            </w:r>
          </w:p>
        </w:tc>
        <w:tc>
          <w:tcPr>
            <w:tcW w:w="4608" w:type="dxa"/>
          </w:tcPr>
          <w:p w14:paraId="5EC4313E"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Cluster shares varied in sensitivity</w:t>
            </w:r>
          </w:p>
        </w:tc>
      </w:tr>
      <w:tr w:rsidR="00D03B06" w:rsidRPr="00D03B06" w14:paraId="7D10CF18" w14:textId="77777777">
        <w:trPr>
          <w:jc w:val="center"/>
        </w:trPr>
        <w:tc>
          <w:tcPr>
            <w:tcW w:w="2880" w:type="dxa"/>
          </w:tcPr>
          <w:p w14:paraId="0BB24314"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Temporal resolution</w:t>
            </w:r>
          </w:p>
        </w:tc>
        <w:tc>
          <w:tcPr>
            <w:tcW w:w="3168" w:type="dxa"/>
          </w:tcPr>
          <w:p w14:paraId="50C41E45"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Hourly; T = 8,760 in the baseline annual simulation</w:t>
            </w:r>
          </w:p>
        </w:tc>
        <w:tc>
          <w:tcPr>
            <w:tcW w:w="4608" w:type="dxa"/>
          </w:tcPr>
          <w:p w14:paraId="0ECA2C43"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Longer aligned datasets retained for validation or sensitivity checks</w:t>
            </w:r>
          </w:p>
        </w:tc>
      </w:tr>
      <w:tr w:rsidR="00D03B06" w:rsidRPr="00D03B06" w14:paraId="675ADA0D" w14:textId="77777777">
        <w:trPr>
          <w:jc w:val="center"/>
        </w:trPr>
        <w:tc>
          <w:tcPr>
            <w:tcW w:w="2880" w:type="dxa"/>
          </w:tcPr>
          <w:p w14:paraId="08E5B3DF"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Reference year</w:t>
            </w:r>
          </w:p>
        </w:tc>
        <w:tc>
          <w:tcPr>
            <w:tcW w:w="3168" w:type="dxa"/>
          </w:tcPr>
          <w:p w14:paraId="6F323811"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2026 regulatory-economic framework</w:t>
            </w:r>
          </w:p>
        </w:tc>
        <w:tc>
          <w:tcPr>
            <w:tcW w:w="4608" w:type="dxa"/>
          </w:tcPr>
          <w:p w14:paraId="749DDE02"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The selected complete data year is documented consistently in Chapters 3 and 5</w:t>
            </w:r>
          </w:p>
        </w:tc>
      </w:tr>
      <w:tr w:rsidR="00D03B06" w:rsidRPr="00D03B06" w14:paraId="28C766B3" w14:textId="77777777">
        <w:trPr>
          <w:jc w:val="center"/>
        </w:trPr>
        <w:tc>
          <w:tcPr>
            <w:tcW w:w="2880" w:type="dxa"/>
          </w:tcPr>
          <w:p w14:paraId="236C1125"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PV generation source</w:t>
            </w:r>
          </w:p>
        </w:tc>
        <w:tc>
          <w:tcPr>
            <w:tcW w:w="3168" w:type="dxa"/>
          </w:tcPr>
          <w:p w14:paraId="03DA8BEA"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Seville PV profile generated using PVGIS-SARAH3 through the PVGIS seriescalc API [5], [6]</w:t>
            </w:r>
          </w:p>
        </w:tc>
        <w:tc>
          <w:tcPr>
            <w:tcW w:w="4608" w:type="dxa"/>
          </w:tcPr>
          <w:p w14:paraId="723650D1"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Long-term GHI/DNI and Open-Meteo datasets retained only for validation and diagnostic checks</w:t>
            </w:r>
          </w:p>
        </w:tc>
      </w:tr>
      <w:tr w:rsidR="00D03B06" w:rsidRPr="00D03B06" w14:paraId="248A0426" w14:textId="77777777">
        <w:trPr>
          <w:jc w:val="center"/>
        </w:trPr>
        <w:tc>
          <w:tcPr>
            <w:tcW w:w="2880" w:type="dxa"/>
          </w:tcPr>
          <w:p w14:paraId="04BBB5C6"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PV orientation</w:t>
            </w:r>
          </w:p>
        </w:tc>
        <w:tc>
          <w:tcPr>
            <w:tcW w:w="3168" w:type="dxa"/>
          </w:tcPr>
          <w:p w14:paraId="3039311E"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South-facing, 30 degrees tilt</w:t>
            </w:r>
          </w:p>
        </w:tc>
        <w:tc>
          <w:tcPr>
            <w:tcW w:w="4608" w:type="dxa"/>
          </w:tcPr>
          <w:p w14:paraId="1D1E0A9E"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Fixed baseline</w:t>
            </w:r>
          </w:p>
        </w:tc>
      </w:tr>
      <w:tr w:rsidR="00D03B06" w:rsidRPr="00D03B06" w14:paraId="38D714D9" w14:textId="77777777">
        <w:trPr>
          <w:jc w:val="center"/>
        </w:trPr>
        <w:tc>
          <w:tcPr>
            <w:tcW w:w="2880" w:type="dxa"/>
          </w:tcPr>
          <w:p w14:paraId="5DCDFAD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PV system losses</w:t>
            </w:r>
          </w:p>
        </w:tc>
        <w:tc>
          <w:tcPr>
            <w:tcW w:w="3168" w:type="dxa"/>
          </w:tcPr>
          <w:p w14:paraId="421D36E4"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14%</w:t>
            </w:r>
          </w:p>
        </w:tc>
        <w:tc>
          <w:tcPr>
            <w:tcW w:w="4608" w:type="dxa"/>
          </w:tcPr>
          <w:p w14:paraId="75CF9D6B"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Fixed baseline unless sensitivity is added</w:t>
            </w:r>
          </w:p>
        </w:tc>
      </w:tr>
      <w:tr w:rsidR="00D03B06" w:rsidRPr="00D03B06" w14:paraId="194ED5DD" w14:textId="77777777">
        <w:trPr>
          <w:jc w:val="center"/>
        </w:trPr>
        <w:tc>
          <w:tcPr>
            <w:tcW w:w="2880" w:type="dxa"/>
          </w:tcPr>
          <w:p w14:paraId="2E478FCA"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Battery chemistry</w:t>
            </w:r>
          </w:p>
        </w:tc>
        <w:tc>
          <w:tcPr>
            <w:tcW w:w="3168" w:type="dxa"/>
          </w:tcPr>
          <w:p w14:paraId="0A6412C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LFP lithium-ion</w:t>
            </w:r>
          </w:p>
        </w:tc>
        <w:tc>
          <w:tcPr>
            <w:tcW w:w="4608" w:type="dxa"/>
          </w:tcPr>
          <w:p w14:paraId="3C30057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Fixed baseline</w:t>
            </w:r>
          </w:p>
        </w:tc>
      </w:tr>
      <w:tr w:rsidR="00D03B06" w:rsidRPr="00D03B06" w14:paraId="3F956C5C" w14:textId="77777777">
        <w:trPr>
          <w:jc w:val="center"/>
        </w:trPr>
        <w:tc>
          <w:tcPr>
            <w:tcW w:w="2880" w:type="dxa"/>
          </w:tcPr>
          <w:p w14:paraId="006F5023"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Battery capacity</w:t>
            </w:r>
          </w:p>
        </w:tc>
        <w:tc>
          <w:tcPr>
            <w:tcW w:w="3168" w:type="dxa"/>
          </w:tcPr>
          <w:p w14:paraId="496201D1"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150 kWh</w:t>
            </w:r>
          </w:p>
        </w:tc>
        <w:tc>
          <w:tcPr>
            <w:tcW w:w="4608" w:type="dxa"/>
          </w:tcPr>
          <w:p w14:paraId="4FEC841F"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Sensitivity may vary capacity or CAPEX</w:t>
            </w:r>
          </w:p>
        </w:tc>
      </w:tr>
      <w:tr w:rsidR="00D03B06" w:rsidRPr="00D03B06" w14:paraId="365B05B7" w14:textId="77777777">
        <w:trPr>
          <w:jc w:val="center"/>
        </w:trPr>
        <w:tc>
          <w:tcPr>
            <w:tcW w:w="2880" w:type="dxa"/>
          </w:tcPr>
          <w:p w14:paraId="626AC9C1"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Charge/discharge power</w:t>
            </w:r>
          </w:p>
        </w:tc>
        <w:tc>
          <w:tcPr>
            <w:tcW w:w="3168" w:type="dxa"/>
          </w:tcPr>
          <w:p w14:paraId="35CAE421"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75 kW / 75 kW</w:t>
            </w:r>
          </w:p>
        </w:tc>
        <w:tc>
          <w:tcPr>
            <w:tcW w:w="4608" w:type="dxa"/>
          </w:tcPr>
          <w:p w14:paraId="439E98DC"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0.5C rate for 150 kWh battery</w:t>
            </w:r>
          </w:p>
        </w:tc>
      </w:tr>
      <w:tr w:rsidR="00D03B06" w:rsidRPr="00D03B06" w14:paraId="1D874DF9" w14:textId="77777777">
        <w:trPr>
          <w:jc w:val="center"/>
        </w:trPr>
        <w:tc>
          <w:tcPr>
            <w:tcW w:w="2880" w:type="dxa"/>
          </w:tcPr>
          <w:p w14:paraId="5CF7167E"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SOC reserve</w:t>
            </w:r>
          </w:p>
        </w:tc>
        <w:tc>
          <w:tcPr>
            <w:tcW w:w="3168" w:type="dxa"/>
          </w:tcPr>
          <w:p w14:paraId="0E26D7E3"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10% minimum SOC</w:t>
            </w:r>
          </w:p>
        </w:tc>
        <w:tc>
          <w:tcPr>
            <w:tcW w:w="4608" w:type="dxa"/>
          </w:tcPr>
          <w:p w14:paraId="0334D977"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S^{min} = 15 kWh</w:t>
            </w:r>
          </w:p>
        </w:tc>
      </w:tr>
      <w:tr w:rsidR="00D03B06" w:rsidRPr="00D03B06" w14:paraId="0A31B33B" w14:textId="77777777">
        <w:trPr>
          <w:jc w:val="center"/>
        </w:trPr>
        <w:tc>
          <w:tcPr>
            <w:tcW w:w="2880" w:type="dxa"/>
          </w:tcPr>
          <w:p w14:paraId="6AC71596"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One-way efficiencies</w:t>
            </w:r>
          </w:p>
        </w:tc>
        <w:tc>
          <w:tcPr>
            <w:tcW w:w="3168" w:type="dxa"/>
          </w:tcPr>
          <w:p w14:paraId="7293FAF3"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eta^{ch} = eta^{dis} ≈ 0.949</w:t>
            </w:r>
          </w:p>
        </w:tc>
        <w:tc>
          <w:tcPr>
            <w:tcW w:w="4608" w:type="dxa"/>
          </w:tcPr>
          <w:p w14:paraId="320F2601"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Equivalent to 90% round-trip efficiency</w:t>
            </w:r>
          </w:p>
        </w:tc>
      </w:tr>
      <w:tr w:rsidR="00D03B06" w:rsidRPr="00D03B06" w14:paraId="6B45B64F" w14:textId="77777777">
        <w:trPr>
          <w:jc w:val="center"/>
        </w:trPr>
        <w:tc>
          <w:tcPr>
            <w:tcW w:w="2880" w:type="dxa"/>
          </w:tcPr>
          <w:p w14:paraId="2FB5A11F"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Battery charging source</w:t>
            </w:r>
          </w:p>
        </w:tc>
        <w:tc>
          <w:tcPr>
            <w:tcW w:w="3168" w:type="dxa"/>
          </w:tcPr>
          <w:p w14:paraId="65F2EF1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PV surplus only</w:t>
            </w:r>
          </w:p>
        </w:tc>
        <w:tc>
          <w:tcPr>
            <w:tcW w:w="4608" w:type="dxa"/>
          </w:tcPr>
          <w:p w14:paraId="33CA199F"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No grid charging in baseline</w:t>
            </w:r>
          </w:p>
        </w:tc>
      </w:tr>
      <w:tr w:rsidR="00D03B06" w:rsidRPr="00D03B06" w14:paraId="7359DF8F" w14:textId="77777777">
        <w:trPr>
          <w:jc w:val="center"/>
        </w:trPr>
        <w:tc>
          <w:tcPr>
            <w:tcW w:w="2880" w:type="dxa"/>
          </w:tcPr>
          <w:p w14:paraId="6C6FF4D3"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Battery degradation</w:t>
            </w:r>
          </w:p>
        </w:tc>
        <w:tc>
          <w:tcPr>
            <w:tcW w:w="3168" w:type="dxa"/>
          </w:tcPr>
          <w:p w14:paraId="1E1033DF"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Not modelled</w:t>
            </w:r>
          </w:p>
        </w:tc>
        <w:tc>
          <w:tcPr>
            <w:tcW w:w="4608" w:type="dxa"/>
          </w:tcPr>
          <w:p w14:paraId="6EA2B72B"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Limitation; may overestimate long-term performance</w:t>
            </w:r>
          </w:p>
        </w:tc>
      </w:tr>
      <w:tr w:rsidR="00D03B06" w:rsidRPr="00D03B06" w14:paraId="2691ADF2" w14:textId="77777777">
        <w:trPr>
          <w:jc w:val="center"/>
        </w:trPr>
        <w:tc>
          <w:tcPr>
            <w:tcW w:w="2880" w:type="dxa"/>
          </w:tcPr>
          <w:p w14:paraId="59E2635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Project horizon</w:t>
            </w:r>
          </w:p>
        </w:tc>
        <w:tc>
          <w:tcPr>
            <w:tcW w:w="3168" w:type="dxa"/>
          </w:tcPr>
          <w:p w14:paraId="5D0ACEB6"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15 years for PV-BESS and PV-only comparison</w:t>
            </w:r>
          </w:p>
        </w:tc>
        <w:tc>
          <w:tcPr>
            <w:tcW w:w="4608" w:type="dxa"/>
          </w:tcPr>
          <w:p w14:paraId="02A8F37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Avoids battery replacement within baseline horizon</w:t>
            </w:r>
          </w:p>
        </w:tc>
      </w:tr>
      <w:tr w:rsidR="00D03B06" w:rsidRPr="00D03B06" w14:paraId="332FF158" w14:textId="77777777">
        <w:trPr>
          <w:jc w:val="center"/>
        </w:trPr>
        <w:tc>
          <w:tcPr>
            <w:tcW w:w="2880" w:type="dxa"/>
          </w:tcPr>
          <w:p w14:paraId="3DCAE4D9"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Allocation coefficients</w:t>
            </w:r>
          </w:p>
        </w:tc>
        <w:tc>
          <w:tcPr>
            <w:tcW w:w="3168" w:type="dxa"/>
          </w:tcPr>
          <w:p w14:paraId="2BBA31B3"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Static proportional coefficients beta_i</w:t>
            </w:r>
          </w:p>
        </w:tc>
        <w:tc>
          <w:tcPr>
            <w:tcW w:w="4608" w:type="dxa"/>
          </w:tcPr>
          <w:p w14:paraId="211163D7"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No dynamic allocation in baseline</w:t>
            </w:r>
          </w:p>
        </w:tc>
      </w:tr>
      <w:tr w:rsidR="00D03B06" w:rsidRPr="00D03B06" w14:paraId="5D7BF908" w14:textId="77777777">
        <w:trPr>
          <w:jc w:val="center"/>
        </w:trPr>
        <w:tc>
          <w:tcPr>
            <w:tcW w:w="2880" w:type="dxa"/>
          </w:tcPr>
          <w:p w14:paraId="514A8653"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Import valuation</w:t>
            </w:r>
          </w:p>
        </w:tc>
        <w:tc>
          <w:tcPr>
            <w:tcW w:w="3168" w:type="dxa"/>
          </w:tcPr>
          <w:p w14:paraId="330FF153"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PVPC energy-term import price</w:t>
            </w:r>
          </w:p>
        </w:tc>
        <w:tc>
          <w:tcPr>
            <w:tcW w:w="4608" w:type="dxa"/>
          </w:tcPr>
          <w:p w14:paraId="05A9C876"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Fixed charges/taxes excluded from baseline</w:t>
            </w:r>
          </w:p>
        </w:tc>
      </w:tr>
      <w:tr w:rsidR="00D03B06" w:rsidRPr="00D03B06" w14:paraId="16A5920C" w14:textId="77777777">
        <w:trPr>
          <w:jc w:val="center"/>
        </w:trPr>
        <w:tc>
          <w:tcPr>
            <w:tcW w:w="2880" w:type="dxa"/>
          </w:tcPr>
          <w:p w14:paraId="780DA183"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lastRenderedPageBreak/>
              <w:t>Export valuation</w:t>
            </w:r>
          </w:p>
        </w:tc>
        <w:tc>
          <w:tcPr>
            <w:tcW w:w="3168" w:type="dxa"/>
          </w:tcPr>
          <w:p w14:paraId="3DFA173A"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PVPC excedentaria export-credit price [4]</w:t>
            </w:r>
          </w:p>
        </w:tc>
        <w:tc>
          <w:tcPr>
            <w:tcW w:w="4608" w:type="dxa"/>
          </w:tcPr>
          <w:p w14:paraId="3E59D0A1"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Monthly cap applied per member</w:t>
            </w:r>
          </w:p>
        </w:tc>
      </w:tr>
      <w:tr w:rsidR="00D03B06" w:rsidRPr="00D03B06" w14:paraId="3758B049" w14:textId="77777777">
        <w:trPr>
          <w:jc w:val="center"/>
        </w:trPr>
        <w:tc>
          <w:tcPr>
            <w:tcW w:w="2880" w:type="dxa"/>
          </w:tcPr>
          <w:p w14:paraId="68E09CDD"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Grid constraints</w:t>
            </w:r>
          </w:p>
        </w:tc>
        <w:tc>
          <w:tcPr>
            <w:tcW w:w="3168" w:type="dxa"/>
          </w:tcPr>
          <w:p w14:paraId="0BEEC792"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Not modelled</w:t>
            </w:r>
          </w:p>
        </w:tc>
        <w:tc>
          <w:tcPr>
            <w:tcW w:w="4608" w:type="dxa"/>
          </w:tcPr>
          <w:p w14:paraId="626AD420"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Economic coordination study, not grid-feasibility study</w:t>
            </w:r>
          </w:p>
        </w:tc>
      </w:tr>
      <w:tr w:rsidR="00D03B06" w:rsidRPr="00D03B06" w14:paraId="6972186D" w14:textId="77777777">
        <w:trPr>
          <w:jc w:val="center"/>
        </w:trPr>
        <w:tc>
          <w:tcPr>
            <w:tcW w:w="2880" w:type="dxa"/>
          </w:tcPr>
          <w:p w14:paraId="606FA022"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Ancillary services</w:t>
            </w:r>
          </w:p>
        </w:tc>
        <w:tc>
          <w:tcPr>
            <w:tcW w:w="3168" w:type="dxa"/>
          </w:tcPr>
          <w:p w14:paraId="355F1A5C"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Excluded</w:t>
            </w:r>
          </w:p>
        </w:tc>
        <w:tc>
          <w:tcPr>
            <w:tcW w:w="4608" w:type="dxa"/>
          </w:tcPr>
          <w:p w14:paraId="1C830561" w14:textId="77777777" w:rsidR="00C15557" w:rsidRPr="00D03B06" w:rsidRDefault="00000000">
            <w:pPr>
              <w:spacing w:after="0"/>
              <w:rPr>
                <w:rFonts w:ascii="Times New Roman" w:hAnsi="Times New Roman" w:cs="Times New Roman"/>
                <w:color w:val="000000" w:themeColor="text1"/>
              </w:rPr>
            </w:pPr>
            <w:r w:rsidRPr="00D03B06">
              <w:rPr>
                <w:rFonts w:ascii="Times New Roman" w:hAnsi="Times New Roman" w:cs="Times New Roman"/>
                <w:color w:val="000000" w:themeColor="text1"/>
                <w:sz w:val="15"/>
              </w:rPr>
              <w:t>Future extension</w:t>
            </w:r>
          </w:p>
        </w:tc>
      </w:tr>
    </w:tbl>
    <w:p w14:paraId="592004A8" w14:textId="77777777" w:rsidR="00C15557" w:rsidRPr="00D03B06" w:rsidRDefault="00000000">
      <w:pPr>
        <w:pStyle w:val="CaptionCustom"/>
        <w:rPr>
          <w:rFonts w:ascii="Times New Roman" w:hAnsi="Times New Roman" w:cs="Times New Roman"/>
          <w:color w:val="000000" w:themeColor="text1"/>
        </w:rPr>
      </w:pPr>
      <w:r w:rsidRPr="00D03B06">
        <w:rPr>
          <w:rFonts w:ascii="Times New Roman" w:hAnsi="Times New Roman" w:cs="Times New Roman"/>
          <w:color w:val="000000" w:themeColor="text1"/>
        </w:rPr>
        <w:t>Table 4.3: Corrected baseline parameters and boundary conditions.</w:t>
      </w:r>
    </w:p>
    <w:p w14:paraId="3C5F92EC"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4.8.2 Economic Assumptions</w:t>
      </w:r>
    </w:p>
    <w:p w14:paraId="3994452C"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baseline economic assumptions used for Chapter 5 are: real discount rate of 4% per year, 15-year project horizon, PV CAPEX in the range of 1,000-1,200 EUR/kWp, battery CAPEX varied as a key sensitivity parameter, and annual OPEX represented as a percentage of CAPEX [8]-[10]. The exact numerical values used for each scenario are reported in Chapter 5 so that the methodology and results remain traceable.</w:t>
      </w:r>
    </w:p>
    <w:p w14:paraId="082E6FDF"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15-year horizon is selected to align the economic evaluation with the assumed battery technical lifetime. This avoids the inconsistency of modelling a 25-year PV-BESS cashflow without including battery replacement. A 25-year horizon with replacement in year 15 is identified as a possible extension.</w:t>
      </w:r>
    </w:p>
    <w:p w14:paraId="78866B0A" w14:textId="77777777" w:rsidR="00C15557" w:rsidRPr="00D03B06" w:rsidRDefault="00000000">
      <w:pPr>
        <w:pStyle w:val="Heading2"/>
        <w:rPr>
          <w:rFonts w:ascii="Times New Roman" w:hAnsi="Times New Roman" w:cs="Times New Roman"/>
          <w:color w:val="000000" w:themeColor="text1"/>
        </w:rPr>
      </w:pPr>
      <w:r w:rsidRPr="00D03B06">
        <w:rPr>
          <w:rFonts w:ascii="Times New Roman" w:hAnsi="Times New Roman" w:cs="Times New Roman"/>
          <w:color w:val="000000" w:themeColor="text1"/>
        </w:rPr>
        <w:t>4.8.3 Exclusions and Limitations</w:t>
      </w:r>
    </w:p>
    <w:p w14:paraId="57C56534"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1.</w:t>
      </w:r>
      <w:r w:rsidRPr="00D03B06">
        <w:rPr>
          <w:rFonts w:ascii="Times New Roman" w:hAnsi="Times New Roman" w:cs="Times New Roman"/>
          <w:color w:val="000000" w:themeColor="text1"/>
        </w:rPr>
        <w:tab/>
        <w:t>Battery degradation is not modelled. The battery is represented with fixed usable capacity and constant efficiency over the project horizon. This simplifies the model but may overestimate long-term battery performance; results should therefore be interpreted as simplified estimates rather than degradation-aware forecasts.</w:t>
      </w:r>
    </w:p>
    <w:p w14:paraId="4AC85E6C"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2.</w:t>
      </w:r>
      <w:r w:rsidRPr="00D03B06">
        <w:rPr>
          <w:rFonts w:ascii="Times New Roman" w:hAnsi="Times New Roman" w:cs="Times New Roman"/>
          <w:color w:val="000000" w:themeColor="text1"/>
        </w:rPr>
        <w:tab/>
        <w:t>PV degradation is not modelled in the baseline. Constant PV output simplifies the scenario comparison but may slightly overstate long-term generation in NPV calculations.</w:t>
      </w:r>
    </w:p>
    <w:p w14:paraId="03DB299C"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3.</w:t>
      </w:r>
      <w:r w:rsidRPr="00D03B06">
        <w:rPr>
          <w:rFonts w:ascii="Times New Roman" w:hAnsi="Times New Roman" w:cs="Times New Roman"/>
          <w:color w:val="000000" w:themeColor="text1"/>
        </w:rPr>
        <w:tab/>
        <w:t>Electrical network constraints are not modelled. The thesis evaluates economic coordination and settlement effects, not voltage limits, thermal constraints, transformer capacity, or power quality.</w:t>
      </w:r>
    </w:p>
    <w:p w14:paraId="09D7E705"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4.</w:t>
      </w:r>
      <w:r w:rsidRPr="00D03B06">
        <w:rPr>
          <w:rFonts w:ascii="Times New Roman" w:hAnsi="Times New Roman" w:cs="Times New Roman"/>
          <w:color w:val="000000" w:themeColor="text1"/>
        </w:rPr>
        <w:tab/>
        <w:t>Dynamic allocation is excluded. Static coefficients are used throughout the baseline because they are transparent and aligned with the defined research scope.</w:t>
      </w:r>
    </w:p>
    <w:p w14:paraId="3AC657C6"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5.</w:t>
      </w:r>
      <w:r w:rsidRPr="00D03B06">
        <w:rPr>
          <w:rFonts w:ascii="Times New Roman" w:hAnsi="Times New Roman" w:cs="Times New Roman"/>
          <w:color w:val="000000" w:themeColor="text1"/>
        </w:rPr>
        <w:tab/>
        <w:t>Ancillary-service revenues are excluded. The battery is used only for community self-consumption and import reduction, not frequency response, voltage support, or balancing markets.</w:t>
      </w:r>
    </w:p>
    <w:p w14:paraId="6622202B"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6.</w:t>
      </w:r>
      <w:r w:rsidRPr="00D03B06">
        <w:rPr>
          <w:rFonts w:ascii="Times New Roman" w:hAnsi="Times New Roman" w:cs="Times New Roman"/>
          <w:color w:val="000000" w:themeColor="text1"/>
        </w:rPr>
        <w:tab/>
        <w:t>Demand response is excluded. Household load profiles are fixed and do not change in response to prices or battery operation.</w:t>
      </w:r>
    </w:p>
    <w:p w14:paraId="4638F846"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7.</w:t>
      </w:r>
      <w:r w:rsidRPr="00D03B06">
        <w:rPr>
          <w:rFonts w:ascii="Times New Roman" w:hAnsi="Times New Roman" w:cs="Times New Roman"/>
          <w:color w:val="000000" w:themeColor="text1"/>
        </w:rPr>
        <w:tab/>
        <w:t>Only energy-term billing is modelled in the baseline. Fixed power charges, meter rental, and taxes are excluded unless explicitly added as an extension.</w:t>
      </w:r>
    </w:p>
    <w:p w14:paraId="1299696D"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8.</w:t>
      </w:r>
      <w:r w:rsidRPr="00D03B06">
        <w:rPr>
          <w:rFonts w:ascii="Times New Roman" w:hAnsi="Times New Roman" w:cs="Times New Roman"/>
          <w:color w:val="000000" w:themeColor="text1"/>
        </w:rPr>
        <w:tab/>
        <w:t>The community is not modelled as an islanded microgrid. It remains grid-connected at all times.</w:t>
      </w:r>
    </w:p>
    <w:p w14:paraId="226E45D4" w14:textId="77777777" w:rsidR="00C15557" w:rsidRPr="00D03B06" w:rsidRDefault="00000000">
      <w:pPr>
        <w:pStyle w:val="Heading1"/>
        <w:rPr>
          <w:rFonts w:ascii="Times New Roman" w:hAnsi="Times New Roman" w:cs="Times New Roman"/>
          <w:color w:val="000000" w:themeColor="text1"/>
        </w:rPr>
      </w:pPr>
      <w:r w:rsidRPr="00D03B06">
        <w:rPr>
          <w:rFonts w:ascii="Times New Roman" w:hAnsi="Times New Roman" w:cs="Times New Roman"/>
          <w:color w:val="000000" w:themeColor="text1"/>
        </w:rPr>
        <w:t>Chapter Summary</w:t>
      </w:r>
    </w:p>
    <w:p w14:paraId="7B799793"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This chapter has defined the corrected mathematical and computational framework used in the thesis simulation. The model compares No-DER, PV-only, and PV-BESS scenarios using identical inputs so that battery-specific value can be attributed to the incremental effect of storage. It uses individualized static allocation for PV-only and PV-BESS settlement, models a 30-household Seville community with a 150 kWh LFP battery, captures battery losses through the SOC equation rather than double-counting them in the external energy balance, and applies the RD 244/2019 simplified-compensation cap at member level.</w:t>
      </w:r>
    </w:p>
    <w:p w14:paraId="02B8E023"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The chapter also defines explicit PV-BESS member-level allocation equations for battery charging, battery discharge, imports, and exports. This makes the billing model reproducible and ensures that the monthly compensation cap is applied to properly defined member-level energy flows. Chapter 5 builds on this model to calculate economic metrics, battery-specific value decomposition, NPV, and payback period.</w:t>
      </w:r>
    </w:p>
    <w:p w14:paraId="097B4A67" w14:textId="77777777" w:rsidR="00C15557" w:rsidRPr="00D03B06" w:rsidRDefault="00000000">
      <w:pPr>
        <w:pStyle w:val="Heading1"/>
        <w:rPr>
          <w:rFonts w:ascii="Times New Roman" w:hAnsi="Times New Roman" w:cs="Times New Roman"/>
          <w:color w:val="000000" w:themeColor="text1"/>
        </w:rPr>
      </w:pPr>
      <w:r w:rsidRPr="00D03B06">
        <w:rPr>
          <w:rFonts w:ascii="Times New Roman" w:hAnsi="Times New Roman" w:cs="Times New Roman"/>
          <w:color w:val="000000" w:themeColor="text1"/>
        </w:rPr>
        <w:lastRenderedPageBreak/>
        <w:t>References</w:t>
      </w:r>
    </w:p>
    <w:p w14:paraId="59E200EC"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[1] Boletín Oficial del Estado (BOE), Real Decreto 244/2019, de 5 de abril, por el que se regulan las condiciones administrativas, técnicas y económicas del autoconsumo de energía eléctrica, BOE-A-2019-5089, 2019. Available: https://www.boe.es/eli/es/rd/2019/04/05/244/con. Accessed: 15 Jun. 2026.</w:t>
      </w:r>
    </w:p>
    <w:p w14:paraId="4E4A54B6"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[2] Boletín Oficial del Estado (BOE), Real Decreto-ley 7/2026, de 20 de marzo, BOE-A-2026-6544, 2026. Available: https://www.boe.es/buscar/doc.php?id=BOE-A-2026-6544. Accessed: 15 Jun. 2026.</w:t>
      </w:r>
    </w:p>
    <w:p w14:paraId="14A0A5C2"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[3] OMIE (Grupo OMI), “OMIE successfully implements trading in 15-minute intervals in the day-ahead market (MTU15),” Press Release, Oct. 1, 2025. Available: https://www.omip.pt/sites/default/files/2025-10/2501001_go_live_mtu15_md_en_vf.pdf. Accessed: 15 Jun. 2026.</w:t>
      </w:r>
    </w:p>
    <w:p w14:paraId="7203BC92"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[4] Red Eléctrica de España (REE) / ESIOS, “Precio de la energía excedentaria del autoconsumo para el mecanismo de compensación simplificada (PVPC), Indicator 1739.” Available: https://www.esios.ree.es. Accessed: 15 Jun. 2026.</w:t>
      </w:r>
    </w:p>
    <w:p w14:paraId="1466169E"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[5] European Commission, Joint Research Centre (JRC), “Photovoltaic Geographical Information System (PVGIS).” Available: https://joint-research-centre.ec.europa.eu/photovoltaic-geographical-information-system-pvgis_en. Accessed: 15 Jun. 2026.</w:t>
      </w:r>
    </w:p>
    <w:p w14:paraId="2B7E5C54"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[6] European Commission, Joint Research Centre (JRC), “PVGIS API non-interactive service documentation.” Available: https://joint-research-centre.ec.europa.eu/photovoltaic-geographical-information-system-pvgis/using-pvgis-5/api-non-interactive-service_en. Accessed: 15 Jun. 2026.</w:t>
      </w:r>
    </w:p>
    <w:p w14:paraId="29A8CD72"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[7] F. McLoughlin, A. Duffy, and M. Conlon, “A clustering approach to domestic electricity load profile characterisation using smart metering data,” Applied Energy, vol. 141, pp. 190-199, 2015, doi: 10.1016/j.apenergy.2014.12.039.</w:t>
      </w:r>
    </w:p>
    <w:p w14:paraId="4BDE5A77" w14:textId="77777777" w:rsidR="00C15557" w:rsidRPr="00D03B06" w:rsidRDefault="00000000">
      <w:pPr>
        <w:ind w:left="360" w:hanging="360"/>
        <w:rPr>
          <w:rFonts w:ascii="Times New Roman" w:hAnsi="Times New Roman" w:cs="Times New Roman"/>
          <w:color w:val="000000" w:themeColor="text1"/>
        </w:rPr>
      </w:pPr>
      <w:r w:rsidRPr="00D03B06">
        <w:rPr>
          <w:rFonts w:ascii="Times New Roman" w:hAnsi="Times New Roman" w:cs="Times New Roman"/>
          <w:color w:val="000000" w:themeColor="text1"/>
        </w:rPr>
        <w:t>[8] International Energy Agency (IEA), Batteries and Secure Energy Transitions, Paris: IEA, 2024. Available: https://www.iea.org/reports/batteries-and-secure-energy-transitions. Accessed: 15 Jun. 2026.</w:t>
      </w:r>
    </w:p>
    <w:p w14:paraId="2C416F15"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[9] National Renewable Energy Laboratory (NREL), “2024 Annual Technology Baseline: Residential Battery Storage.” Available: https://atb.nrel.gov. Accessed: 15 Jun. 2026.</w:t>
      </w:r>
    </w:p>
    <w:p w14:paraId="654F4906" w14:textId="77777777" w:rsidR="00C15557" w:rsidRPr="00D03B06" w:rsidRDefault="00000000">
      <w:pPr>
        <w:rPr>
          <w:rFonts w:ascii="Times New Roman" w:hAnsi="Times New Roman" w:cs="Times New Roman"/>
          <w:color w:val="000000" w:themeColor="text1"/>
        </w:rPr>
      </w:pPr>
      <w:r w:rsidRPr="00D03B06">
        <w:rPr>
          <w:rFonts w:ascii="Times New Roman" w:hAnsi="Times New Roman" w:cs="Times New Roman"/>
          <w:color w:val="000000" w:themeColor="text1"/>
        </w:rPr>
        <w:t>[10] International Renewable Energy Agency (IRENA), Renewable Power Generation Costs in 2024, Abu Dhabi: IRENA, 2025.</w:t>
      </w:r>
    </w:p>
    <w:sectPr w:rsidR="00C15557" w:rsidRPr="00D03B06" w:rsidSect="00034616">
      <w:footerReference w:type="default" r:id="rId8"/>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42BF2E" w14:textId="77777777" w:rsidR="001A4F25" w:rsidRDefault="001A4F25">
      <w:pPr>
        <w:spacing w:after="0" w:line="240" w:lineRule="auto"/>
      </w:pPr>
      <w:r>
        <w:separator/>
      </w:r>
    </w:p>
  </w:endnote>
  <w:endnote w:type="continuationSeparator" w:id="0">
    <w:p w14:paraId="2D4B749C" w14:textId="77777777" w:rsidR="001A4F25" w:rsidRDefault="001A4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6E3748" w14:textId="77777777" w:rsidR="00C15557" w:rsidRDefault="00000000">
    <w:pPr>
      <w:pStyle w:val="Footer"/>
      <w:jc w:val="center"/>
    </w:pPr>
    <w:r>
      <w:t xml:space="preserve">Page </w:t>
    </w:r>
    <w:r>
      <w:fldChar w:fldCharType="begin"/>
    </w:r>
    <w:r>
      <w:instrText>PAGE</w:instrText>
    </w:r>
    <w:r w:rsidR="00D03B06">
      <w:fldChar w:fldCharType="separate"/>
    </w:r>
    <w:r w:rsidR="00D03B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A1267" w14:textId="77777777" w:rsidR="001A4F25" w:rsidRDefault="001A4F25">
      <w:pPr>
        <w:spacing w:after="0" w:line="240" w:lineRule="auto"/>
      </w:pPr>
      <w:r>
        <w:separator/>
      </w:r>
    </w:p>
  </w:footnote>
  <w:footnote w:type="continuationSeparator" w:id="0">
    <w:p w14:paraId="5FB5EDE8" w14:textId="77777777" w:rsidR="001A4F25" w:rsidRDefault="001A4F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984835">
    <w:abstractNumId w:val="8"/>
  </w:num>
  <w:num w:numId="2" w16cid:durableId="1271661516">
    <w:abstractNumId w:val="6"/>
  </w:num>
  <w:num w:numId="3" w16cid:durableId="1747536296">
    <w:abstractNumId w:val="5"/>
  </w:num>
  <w:num w:numId="4" w16cid:durableId="1660694097">
    <w:abstractNumId w:val="4"/>
  </w:num>
  <w:num w:numId="5" w16cid:durableId="461045883">
    <w:abstractNumId w:val="7"/>
  </w:num>
  <w:num w:numId="6" w16cid:durableId="322197255">
    <w:abstractNumId w:val="3"/>
  </w:num>
  <w:num w:numId="7" w16cid:durableId="819662778">
    <w:abstractNumId w:val="2"/>
  </w:num>
  <w:num w:numId="8" w16cid:durableId="178398392">
    <w:abstractNumId w:val="1"/>
  </w:num>
  <w:num w:numId="9" w16cid:durableId="107748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F25"/>
    <w:rsid w:val="0029639D"/>
    <w:rsid w:val="00326F90"/>
    <w:rsid w:val="00AA1D8D"/>
    <w:rsid w:val="00B47730"/>
    <w:rsid w:val="00C15557"/>
    <w:rsid w:val="00CB0664"/>
    <w:rsid w:val="00D03B06"/>
    <w:rsid w:val="00EC04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6C33E"/>
  <w14:defaultImageDpi w14:val="300"/>
  <w15:docId w15:val="{8FF6C2A2-2D3B-4423-81CF-748B3171B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Block"/>
    <w:pPr>
      <w:spacing w:before="80" w:after="80"/>
      <w:jc w:val="center"/>
    </w:pPr>
    <w:rPr>
      <w:rFonts w:ascii="Courier New" w:eastAsia="Courier New" w:hAnsi="Courier New"/>
      <w:sz w:val="19"/>
    </w:rPr>
  </w:style>
  <w:style w:type="paragraph" w:customStyle="1" w:styleId="CaptionCustom">
    <w:name w:val="CaptionCustom"/>
    <w:pPr>
      <w:spacing w:after="160"/>
      <w:jc w:val="center"/>
    </w:pPr>
    <w:rPr>
      <w:rFonts w:ascii="Calibri" w:eastAsia="Calibri" w:hAnsi="Calibri"/>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4548</Words>
  <Characters>25930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Model Formulation and Methodology</dc:title>
  <dc:subject>Corrected thesis methodology chapter</dc:subject>
  <dc:creator>Raphael Omonzokpia</dc:creator>
  <cp:keywords>PV-BESS, energy community, Spain, Seville, RD 244/2019, PVPC</cp:keywords>
  <dc:description>generated by python-docx</dc:description>
  <cp:lastModifiedBy>Raphael Omonzokpia</cp:lastModifiedBy>
  <cp:revision>2</cp:revision>
  <dcterms:created xsi:type="dcterms:W3CDTF">2013-12-23T23:15:00Z</dcterms:created>
  <dcterms:modified xsi:type="dcterms:W3CDTF">2026-06-16T16:38:00Z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71783788-aa74-4469-80d6-4111f34e164a</vt:lpwstr>
  </property>
</Properties>
</file>