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39.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widespread in scientific reporting, despite decades of educational efforts and reform initiatives. One of the most common and consequential errors is interpreting a statistically nonsignificant result (e.g.,</w:t>
      </w:r>
      <w:r>
        <w:t xml:space="preserve"> </w:t>
      </w:r>
      <w:r>
        <w:rPr>
          <w:i/>
          <w:iCs/>
        </w:rPr>
        <w:t xml:space="preserve">p</w:t>
      </w:r>
      <w:r>
        <w:t xml:space="preserve"> </w:t>
      </w:r>
      <w:r>
        <w:t xml:space="preserve">&gt; .05) as evidence for the absence of an effect—a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an automated approach: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performed well, with SciBERT achieving the highest macro F1 score of .91. Finally, the optional correction step proved effective in a validation set of 80 incorrect and 20 correcct statements: 85 statements were correctly phrased after LLM-based revision. These results demonstrate that automation can effectively address this specific misinterpretation and offer a flexible foundation for tackling similar issues in scientific writing and meta-research.</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1"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w:t>
      </w:r>
      <w:hyperlink w:anchor="ref-isager_fitzgerald25">
        <w:r>
          <w:rPr>
            <w:rStyle w:val="Hyperlink"/>
          </w:rPr>
          <w:t xml:space="preserve">Isager &amp; Fitzgerald, 2025</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And which practical solutions or promising approaches might help?</w:t>
      </w:r>
    </w:p>
    <w:p>
      <w:pPr>
        <w:pStyle w:val="BodyText"/>
      </w:pPr>
      <w:r>
        <w:t xml:space="preserve">In this article, I show how rule-based approaches, combined with natural language processing (NLP), can be used to automatically detect, classify, and correct these misinterpretations. I focus on the misinterpretation of statistically nonsignificant results as the absence of an effect because it arguably has the strongest impact on researchers’ conclusions and is the most extensively studied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Similarly, my previous work has developed clear criteria for classifying this misinterpretation</w:t>
      </w:r>
      <w:r>
        <w:t xml:space="preserve"> </w:t>
      </w:r>
      <w:r>
        <w:t xml:space="preserve">(</w:t>
      </w:r>
      <w:hyperlink w:anchor="ref-murphy_etal25">
        <w:r>
          <w:rPr>
            <w:rStyle w:val="Hyperlink"/>
          </w:rPr>
          <w:t xml:space="preserve">Murphy et al., 2025</w:t>
        </w:r>
      </w:hyperlink>
      <w:r>
        <w:t xml:space="preserve">)</w:t>
      </w:r>
      <w:r>
        <w:t xml:space="preserve">. I demonstrate how this automated approach may help us to finally overcome this misinterpretation.</w:t>
      </w:r>
    </w:p>
    <w:bookmarkStart w:id="29" w:name="Xc71dea4cc5064f5034e174c4dac450e71b49505"/>
    <w:p>
      <w:pPr>
        <w:pStyle w:val="Heading2"/>
      </w:pPr>
      <w:r>
        <w:t xml:space="preserve">1.1 Misinterpretations and Criticism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(e.g.,</w:t>
      </w:r>
      <w:r>
        <w:t xml:space="preserve"> </w:t>
      </w:r>
      <w:hyperlink w:anchor="ref-greenland19">
        <w:r>
          <w:rPr>
            <w:rStyle w:val="Hyperlink"/>
          </w:rPr>
          <w:t xml:space="preserve">Greenland, 2019</w:t>
        </w:r>
      </w:hyperlink>
      <w:r>
        <w:t xml:space="preserve">;</w:t>
      </w:r>
      <w:r>
        <w:t xml:space="preserve"> </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remains highly prevalent across time and sub-domains of psychology</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End w:id="29"/>
    <w:bookmarkStart w:id="30" w:name="possible-solutions"/>
    <w:p>
      <w:pPr>
        <w:pStyle w:val="Heading2"/>
      </w:pPr>
      <w:r>
        <w:t xml:space="preserve">1.2 Possible Solutions</w:t>
      </w:r>
    </w:p>
    <w:p>
      <w:pPr>
        <w:pStyle w:val="FirstParagraph"/>
      </w:pPr>
      <w:r>
        <w:t xml:space="preserve">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 Relatedly, researchers have also advocated for the use of interval hypotheses tests, like equivalence testing or minimum-effect tests</w:t>
      </w:r>
      <w:r>
        <w:t xml:space="preserve"> </w:t>
      </w:r>
      <w:r>
        <w:t xml:space="preserve">(or the combination: three-sided testing;</w:t>
      </w:r>
      <w:r>
        <w:t xml:space="preserve"> </w:t>
      </w:r>
      <w:hyperlink w:anchor="ref-isager_fitzgerald25">
        <w:r>
          <w:rPr>
            <w:rStyle w:val="Hyperlink"/>
          </w:rPr>
          <w:t xml:space="preserve">Isager &amp; Fitzgerald, 2025</w:t>
        </w:r>
      </w:hyperlink>
      <w:r>
        <w:t xml:space="preserve">)</w:t>
      </w:r>
      <w:r>
        <w:t xml:space="preserve">. These methods allow researchers to test whether an effect is practically relevant and larger than a predefined smallest effect size of interest</w:t>
      </w:r>
      <w:r>
        <w:t xml:space="preserve"> </w:t>
      </w:r>
      <w:r>
        <w:t xml:space="preserve">(SESOI;</w:t>
      </w:r>
      <w:r>
        <w:t xml:space="preserve"> </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p>
      <w:pPr>
        <w:pStyle w:val="BodyText"/>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In other contexts we encounter systems like this frequently, be it automatic braking systems in cards, word processors that flag spelling and grammar mistakes, or email clients that filter out malware and phishing attempts. Analogously,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like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And lastly, Regcheck</w:t>
      </w:r>
      <w:r>
        <w:t xml:space="preserve"> </w:t>
      </w:r>
      <w:r>
        <w:t xml:space="preserve">(</w:t>
      </w:r>
      <w:hyperlink w:anchor="ref-cummin_hussey25">
        <w:r>
          <w:rPr>
            <w:rStyle w:val="Hyperlink"/>
          </w:rPr>
          <w:t xml:space="preserve">Cummin &amp; Hussey, 2025</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which allows users to run a battery of checks on scientific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the approach presented in this study was designed to fit within the Papercheck infrastructure.</w:t>
      </w:r>
    </w:p>
    <w:bookmarkEnd w:id="30"/>
    <w:bookmarkEnd w:id="31"/>
    <w:bookmarkStart w:id="36" w:name="methods"/>
    <w:p>
      <w:pPr>
        <w:pStyle w:val="Heading1"/>
      </w:pPr>
      <w:r>
        <w:t xml:space="preserve">2 Methods</w:t>
      </w:r>
    </w:p>
    <w:bookmarkStart w:id="33"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used rule-based regular expressions (RegEx) and searched articles’ results sections to detect these expressions. Effectively, RegEx searchers are advanced Ctrl+F searches, where a user can include rules like optional characters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 has a module that detects almost all</w:t>
      </w:r>
      <w:r>
        <w:t xml:space="preserve"> </w:t>
      </w:r>
      <w:r>
        <w:rPr>
          <w:i/>
          <w:iCs/>
        </w:rPr>
        <w:t xml:space="preserve">p</w:t>
      </w:r>
      <w:r>
        <w:t xml:space="preserve"> </w:t>
      </w:r>
      <w:r>
        <w:t xml:space="preserve">values (see Section 3.1 for examples of what it does not currently detect) based on RegEx searches. Using this module, I created a subset of all</w:t>
      </w:r>
      <w:r>
        <w:t xml:space="preserve"> </w:t>
      </w:r>
      <w:r>
        <w:rPr>
          <w:i/>
          <w:iCs/>
        </w:rPr>
        <w:t xml:space="preserve">p</w:t>
      </w:r>
      <w:r>
        <w:t xml:space="preserve"> </w:t>
      </w:r>
      <w:r>
        <w:t xml:space="preserve">values equal to or above .05. I then expanded the extracted nonsignificant</w:t>
      </w:r>
      <w:r>
        <w:t xml:space="preserve"> </w:t>
      </w:r>
      <w:r>
        <w:rPr>
          <w:i/>
          <w:iCs/>
        </w:rPr>
        <w:t xml:space="preserve">p</w:t>
      </w:r>
      <w:r>
        <w:t xml:space="preserve"> </w:t>
      </w:r>
      <w:r>
        <w:t xml:space="preserve">values to the full sentence and added +/- one sentence as context in case of extraction errors (incomplete statements).</w:t>
      </w:r>
      <w:r>
        <w:rPr>
          <w:rStyle w:val="FootnoteReference"/>
        </w:rPr>
        <w:footnoteReference w:id="32"/>
      </w:r>
    </w:p>
    <w:p>
      <w:pPr>
        <w:pStyle w:val="BodyText"/>
      </w:pPr>
      <w:r>
        <w:t xml:space="preserve">In the next step, these statements (labeled as correct or incorrect by me; see Section 2.2)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is an even more specific pretrained language model,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trained and evaluated on their ability to distinguish between correct and incorrect interpretations of nonsignificant results in scientific writing. The models’ hyperparameters (e.g., learning rate, batch size) were informed by established defaults in the field (see https://huggingface.co/docs/transformers/en/main_classes/trainer) and relevant tutorials</w:t>
      </w:r>
      <w:r>
        <w:t xml:space="preserve"> </w:t>
      </w:r>
      <w:r>
        <w:t xml:space="preserve">(</w:t>
      </w:r>
      <w:hyperlink w:anchor="ref-more25">
        <w:r>
          <w:rPr>
            <w:rStyle w:val="Hyperlink"/>
          </w:rPr>
          <w:t xml:space="preserve">More, 2025</w:t>
        </w:r>
      </w:hyperlink>
      <w:r>
        <w:t xml:space="preserve">;</w:t>
      </w:r>
      <w:r>
        <w:t xml:space="preserve"> </w:t>
      </w:r>
      <w:hyperlink w:anchor="ref-talebi24">
        <w:r>
          <w:rPr>
            <w:rStyle w:val="Hyperlink"/>
          </w:rPr>
          <w:t xml:space="preserve">Talebi, 2024</w:t>
        </w:r>
      </w:hyperlink>
      <w:r>
        <w:t xml:space="preserve">)</w:t>
      </w:r>
      <w:r>
        <w:t xml:space="preserve">, with further refinements to improve models’ prediction performance.</w:t>
      </w:r>
    </w:p>
    <w:p>
      <w:pPr>
        <w:pStyle w:val="BodyText"/>
      </w:pPr>
      <w:r>
        <w:t xml:space="preserve">Lastly, statements that were classified by the best performing BERT model, would, in the application of this framework, be sent to an LLM to be corrected. However, for the purposes of this validation study, I sent statements which I coded as correct or incorrect to the LLM (more on this in Section 2.2).</w:t>
      </w:r>
    </w:p>
    <w:bookmarkEnd w:id="33"/>
    <w:bookmarkStart w:id="34" w:name="X47c36eaba022b4f77117a0fed5344b084fa3d76"/>
    <w:p>
      <w:pPr>
        <w:pStyle w:val="Heading2"/>
      </w:pPr>
      <w:r>
        <w:t xml:space="preserve">2.2 Validation Process and Performance Metrics</w:t>
      </w:r>
    </w:p>
    <w:p>
      <w:pPr>
        <w:pStyle w:val="FirstParagraph"/>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w:t>
      </w:r>
      <w:r>
        <w:t xml:space="preserve"> </w:t>
      </w:r>
      <w:r>
        <w:rPr>
          <w:i/>
          <w:iCs/>
        </w:rPr>
        <w:t xml:space="preserve">p</w:t>
      </w:r>
      <w:r>
        <w:t xml:space="preserve"> </w:t>
      </w:r>
      <w:r>
        <w:t xml:space="preserve">values in articles’ results sections, I manually extracted these from 25 (10%) of the Papercheck sample library’s 250 open access article from the journal Psychological Science. These articles were published between 2013 and 2024 (Median = 2021).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from an article’s results section from Papercheck’s sample library. This resulted in 960 statements in total. Of these, 419 were classified as containing a correct</w:t>
      </w:r>
      <w:r>
        <w:t xml:space="preserve"> </w:t>
      </w:r>
      <w:r>
        <w:rPr>
          <w:i/>
          <w:iCs/>
        </w:rPr>
        <w:t xml:space="preserve">p</w:t>
      </w:r>
      <w:r>
        <w:t xml:space="preserve"> </w:t>
      </w:r>
      <w:r>
        <w:t xml:space="preserve">value interpretation, and 353 were classified as incorrect</w:t>
      </w:r>
      <w:r>
        <w:t xml:space="preserve"> </w:t>
      </w:r>
      <w:r>
        <w:rPr>
          <w:i/>
          <w:iCs/>
        </w:rPr>
        <w:t xml:space="preserve">p</w:t>
      </w:r>
      <w:r>
        <w:t xml:space="preserve"> </w:t>
      </w:r>
      <w:r>
        <w:t xml:space="preserve">value misinterpretations.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w:t>
      </w:r>
      <w:r>
        <w:t xml:space="preserve"> </w:t>
      </w:r>
      <w:r>
        <w:rPr>
          <w:i/>
          <w:iCs/>
        </w:rPr>
        <w:t xml:space="preserve">p</w:t>
      </w:r>
      <w:r>
        <w:t xml:space="preserve"> </w:t>
      </w:r>
      <w:r>
        <w:t xml:space="preserve">value (20), because they were falsely flagged as containing a nonsignificant</w:t>
      </w:r>
      <w:r>
        <w:t xml:space="preserve"> </w:t>
      </w:r>
      <w:r>
        <w:rPr>
          <w:i/>
          <w:iCs/>
        </w:rPr>
        <w:t xml:space="preserve">p</w:t>
      </w:r>
      <w:r>
        <w:t xml:space="preserve"> </w:t>
      </w:r>
      <w:r>
        <w:t xml:space="preserve">value (e.g., significant</w:t>
      </w:r>
      <w:r>
        <w:t xml:space="preserve"> </w:t>
      </w:r>
      <w:r>
        <w:rPr>
          <w:i/>
          <w:iCs/>
        </w:rPr>
        <w:t xml:space="preserve">p</w:t>
      </w:r>
      <w:r>
        <w:t xml:space="preserve"> </w:t>
      </w:r>
      <w:r>
        <w:t xml:space="preserve">values or generic</w:t>
      </w:r>
      <w:r>
        <w:t xml:space="preserve"> </w:t>
      </w:r>
      <w:r>
        <w:t xml:space="preserve">‘</w:t>
      </w:r>
      <w:r>
        <w:rPr>
          <w:i/>
          <w:iCs/>
        </w:rPr>
        <w:t xml:space="preserve">p</w:t>
      </w:r>
      <w:r>
        <w:t xml:space="preserve"> </w:t>
      </w:r>
      <w:r>
        <w:t xml:space="preserve">&gt; .05 indicated by symbol xy’</w:t>
      </w:r>
      <w:r>
        <w:t xml:space="preserve"> </w:t>
      </w:r>
      <w:r>
        <w:t xml:space="preserve">statements from table/figure notes; 19 in total), or due to a combination of these or other reasons (46).</w:t>
      </w:r>
    </w:p>
    <w:p>
      <w:pPr>
        <w:pStyle w:val="BodyText"/>
      </w:pPr>
      <w:r>
        <w:t xml:space="preserve">Lastly, I reviewed 100 statements that were sent to an LLM for correction to evaluate whether the revised statements were correct. Of these, 80 had previously been labeled incorrect and 20 correct, allowing me to examine how the LLM handled false positives from the automated classification. To communicate with the models, I used Papercheck, which relies on the Groq API (available at https://groq.com/). I tested two LLMs -</w:t>
      </w:r>
      <w:r>
        <w:t xml:space="preserve"> </w:t>
      </w:r>
      <w:r>
        <w:t xml:space="preserve">‘llama-3.3-70b-versatile’</w:t>
      </w:r>
      <w:r>
        <w:t xml:space="preserve"> </w:t>
      </w:r>
      <w:r>
        <w:t xml:space="preserve">(created 03-09-2023) and</w:t>
      </w:r>
      <w:r>
        <w:t xml:space="preserve"> </w:t>
      </w:r>
      <w:r>
        <w:t xml:space="preserve">‘openai/gpt-oss-120b’</w:t>
      </w:r>
      <w:r>
        <w:t xml:space="preserve"> </w:t>
      </w:r>
      <w:r>
        <w:t xml:space="preserve">(created 05-08-2025) - and experimented with two prompts on the full validation dataset of 100 statements. This resulted in three iterations: (1) the initial prompt with the</w:t>
      </w:r>
      <w:r>
        <w:t xml:space="preserve"> </w:t>
      </w:r>
      <w:r>
        <w:t xml:space="preserve">‘llama-3.3-70b-versatile’</w:t>
      </w:r>
      <w:r>
        <w:t xml:space="preserve"> </w:t>
      </w:r>
      <w:r>
        <w:t xml:space="preserve">model, (2) the same prompt with</w:t>
      </w:r>
      <w:r>
        <w:t xml:space="preserve"> </w:t>
      </w:r>
      <w:r>
        <w:t xml:space="preserve">‘openai/gpt-oss-120b’</w:t>
      </w:r>
      <w:r>
        <w:t xml:space="preserve">, and (3) a refined prompt, developed through prelumanry tests on subsets of the 100 statements/validation data, with</w:t>
      </w:r>
      <w:r>
        <w:t xml:space="preserve"> </w:t>
      </w:r>
      <w:r>
        <w:t xml:space="preserve">‘openai/gpt-oss-120b’</w:t>
      </w:r>
      <w:r>
        <w:t xml:space="preserve">.</w:t>
      </w:r>
    </w:p>
    <w:p>
      <w:pPr>
        <w:pStyle w:val="BodyText"/>
      </w:pPr>
      <w:r>
        <w:t xml:space="preserve">Both prompt versions first explained to the LLM that it would receive a statement containing at least one misinterpretation of a nonsignificant finding as the absence of an effect and then instructed it to revise only the part of the statement containing this misinterpretation, while leaving the rest unchanged. The refined prompt also included additional guidance on phrasing to avoid, based on common errors that still appeared in the revisions from the initial prompt. Finally, the first prompt instructed the LLM to respond with</w:t>
      </w:r>
      <w:r>
        <w:t xml:space="preserve"> </w:t>
      </w:r>
      <w:r>
        <w:t xml:space="preserve">“NO CORRECTION POSSIBLE”</w:t>
      </w:r>
      <w:r>
        <w:t xml:space="preserve"> </w:t>
      </w:r>
      <w:r>
        <w:t xml:space="preserve">if it found no interpretation of a nonsignificant finding, but this instruction was removed in the refined version because the LLM overused this option, which blurred the line between statement detection, classification and correction . Both prompts are available on GitHub (see Section 2.3).</w:t>
      </w:r>
    </w:p>
    <w:p>
      <w:pPr>
        <w:pStyle w:val="BodyText"/>
      </w:pPr>
      <w:r>
        <w:t xml:space="preserve">In addition to these validity checks, I also calculated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 Before the data was split into these three parts, I balanced the number of correct and incorrect</w:t>
      </w:r>
      <w:r>
        <w:t xml:space="preserve"> </w:t>
      </w:r>
      <w:r>
        <w:rPr>
          <w:i/>
          <w:iCs/>
        </w:rPr>
        <w:t xml:space="preserve">p</w:t>
      </w:r>
      <w:r>
        <w:t xml:space="preserve"> </w:t>
      </w:r>
      <w:r>
        <w:t xml:space="preserve">values (originally there were more correct than incorrect interpretations) to ensure that the model would not overfit to this class-imbalance.</w:t>
      </w:r>
    </w:p>
    <w:p>
      <w:pPr>
        <w:pStyle w:val="BodyText"/>
      </w:pPr>
      <w:r>
        <w:t xml:space="preserve">During BERT training I computed the training loss (sum of errors between model predictions and actual labels in the training set) and the validation loss (same for validation set). The best-performing model was selected based on the lowest validation loss to prevent the model from overfitting to the training data. The model would have been trained on a maximum of 16 epochs, but training ended early if the model did not improve, as measured by the validation loss, for two epochs. Ultimately, the longest number of training epochs was 7. For final evaluation, I computed the fraction of correctly predicted classes among all predicted cases of a class (precision), the fraction of correctly predicted classes among all actual cases of a class (recall), and their harmonic mean (F1 score), separately for each class. To summarize overall performance across the two classes, I calculated the unweighted average of the two F1 scores (macro-F1 score).</w:t>
      </w:r>
    </w:p>
    <w:bookmarkEnd w:id="34"/>
    <w:bookmarkStart w:id="35" w:name="software"/>
    <w:p>
      <w:pPr>
        <w:pStyle w:val="Heading2"/>
      </w:pPr>
      <w:r>
        <w:t xml:space="preserve">2.3 Software</w:t>
      </w:r>
    </w:p>
    <w:p>
      <w:pPr>
        <w:pStyle w:val="FirstParagraph"/>
      </w:pPr>
      <w:r>
        <w:t xml:space="preserve">All scripts for this thesis project were written in R</w:t>
      </w:r>
      <w:r>
        <w:t xml:space="preserve"> </w:t>
      </w:r>
      <w:r>
        <w:t xml:space="preserve">(Version 4.5.0;</w:t>
      </w:r>
      <w:r>
        <w:t xml:space="preserve"> </w:t>
      </w:r>
      <w:hyperlink w:anchor="ref-rcoreteam25">
        <w:r>
          <w:rPr>
            <w:rStyle w:val="Hyperlink"/>
          </w:rPr>
          <w:t xml:space="preserve">Team, 2025</w:t>
        </w:r>
      </w:hyperlink>
      <w:r>
        <w:t xml:space="preserve">)</w:t>
      </w:r>
      <w:r>
        <w:t xml:space="preserve"> </w:t>
      </w:r>
      <w:r>
        <w:t xml:space="preserve">or Python</w:t>
      </w:r>
      <w:r>
        <w:t xml:space="preserve"> </w:t>
      </w:r>
      <w:r>
        <w:t xml:space="preserve">(Version 3.12.10;</w:t>
      </w:r>
      <w:r>
        <w:t xml:space="preserve"> </w:t>
      </w:r>
      <w:hyperlink w:anchor="ref-python">
        <w:r>
          <w:rPr>
            <w:rStyle w:val="Hyperlink"/>
          </w:rPr>
          <w:t xml:space="preserve">Python Software Foundation, 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hyperlink w:anchor="ref-R-papercheck">
        <w:r>
          <w:rPr>
            <w:rStyle w:val="Hyperlink"/>
          </w:rPr>
          <w:t xml:space="preserve">DeBruine &amp; Lakens, 2025</w:t>
        </w:r>
      </w:hyperlink>
      <w:r>
        <w:t xml:space="preserve">)</w:t>
      </w:r>
      <w:r>
        <w:t xml:space="preserve"> </w:t>
      </w:r>
      <w:r>
        <w:t xml:space="preserve">for accessing the 250 open access articles, preprocess them and for communication with the LLM,</w:t>
      </w:r>
      <w:r>
        <w:t xml:space="preserve"> </w:t>
      </w:r>
      <w:r>
        <w:rPr>
          <w:i/>
          <w:iCs/>
        </w:rPr>
        <w:t xml:space="preserve">readxl</w:t>
      </w:r>
      <w:r>
        <w:t xml:space="preserve"> </w:t>
      </w:r>
      <w:r>
        <w:t xml:space="preserve">(Version 1.4.5;</w:t>
      </w:r>
      <w:r>
        <w:t xml:space="preserve"> </w:t>
      </w:r>
      <w:hyperlink w:anchor="ref-R-readxl">
        <w:r>
          <w:rPr>
            <w:rStyle w:val="Hyperlink"/>
          </w:rPr>
          <w:t xml:space="preserve">Wickham &amp; Bryan, 2025</w:t>
        </w:r>
      </w:hyperlink>
      <w:r>
        <w:t xml:space="preserve">)</w:t>
      </w:r>
      <w:r>
        <w:t xml:space="preserve"> </w:t>
      </w:r>
      <w:r>
        <w:t xml:space="preserve">to access Excel files in R,</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 </w:t>
      </w:r>
      <w:r>
        <w:t xml:space="preserve">for calculating descriptive statistics,</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for data preprocessing and visualization, and</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2025</w:t>
        </w:r>
      </w:hyperlink>
      <w:r>
        <w:t xml:space="preserve">)</w:t>
      </w:r>
      <w:r>
        <w:t xml:space="preserve">,</w:t>
      </w:r>
      <w:r>
        <w:t xml:space="preserve"> </w:t>
      </w:r>
      <w:r>
        <w:rPr>
          <w:i/>
          <w:iCs/>
        </w:rPr>
        <w:t xml:space="preserve">magick</w:t>
      </w:r>
      <w:r>
        <w:t xml:space="preserve"> </w:t>
      </w:r>
      <w:r>
        <w:t xml:space="preserve">(Version 2.8.7;</w:t>
      </w:r>
      <w:r>
        <w:t xml:space="preserve"> </w:t>
      </w:r>
      <w:hyperlink w:anchor="ref-R-magick">
        <w:r>
          <w:rPr>
            <w:rStyle w:val="Hyperlink"/>
          </w:rPr>
          <w:t xml:space="preserve">Jeroen, 2025</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 </w:t>
      </w:r>
      <w:r>
        <w:t xml:space="preserve">and</w:t>
      </w:r>
      <w:r>
        <w:t xml:space="preserve"> </w:t>
      </w:r>
      <w:r>
        <w:rPr>
          <w:i/>
          <w:iCs/>
        </w:rPr>
        <w:t xml:space="preserve">showtext</w:t>
      </w:r>
      <w:r>
        <w:t xml:space="preserve"> </w:t>
      </w:r>
      <w:r>
        <w:t xml:space="preserve">(Version 0.9-7;</w:t>
      </w:r>
      <w:r>
        <w:t xml:space="preserve"> </w:t>
      </w:r>
      <w:hyperlink w:anchor="ref-R-showtext">
        <w:r>
          <w:rPr>
            <w:rStyle w:val="Hyperlink"/>
          </w:rPr>
          <w:t xml:space="preserve">Qiu &amp; for details., 2024</w:t>
        </w:r>
      </w:hyperlink>
      <w:r>
        <w:t xml:space="preserve">)</w:t>
      </w:r>
      <w:r>
        <w:t xml:space="preserve"> </w:t>
      </w:r>
      <w:r>
        <w:t xml:space="preserve">to create APA-formatted tables and figures.</w:t>
      </w:r>
    </w:p>
    <w:p>
      <w:pPr>
        <w:pStyle w:val="BodyText"/>
      </w:pPr>
      <w:r>
        <w:t xml:space="preserve">All scripts and data to reproduce and use the trained BERT models (Python), analyse the results and validity checks (R and Python), recreate this manuscript (Quarto Markdown in R Studio with the apaquarto extension available at: https://wjschne.github.io/apaquarto/), as well as the list of Python libraries used to train the BERT models are available in this GitHub repository, together with instructions on how to set it up: LINK.</w:t>
      </w:r>
    </w:p>
    <w:p>
      <w:pPr>
        <w:pStyle w:val="BodyText"/>
      </w:pPr>
      <w:r>
        <w:t xml:space="preserve">Due to the project’s iterative nature and since no inferential statistical tests were performed, this study was not preregistered. The original project proposal can also be found on the GitHub repository.</w:t>
      </w:r>
    </w:p>
    <w:bookmarkEnd w:id="35"/>
    <w:bookmarkEnd w:id="36"/>
    <w:bookmarkStart w:id="53" w:name="results"/>
    <w:p>
      <w:pPr>
        <w:pStyle w:val="Heading1"/>
      </w:pPr>
      <w:r>
        <w:t xml:space="preserve">3 Results</w:t>
      </w:r>
    </w:p>
    <w:bookmarkStart w:id="38" w:name="detection-accuracy"/>
    <w:p>
      <w:pPr>
        <w:pStyle w:val="Heading2"/>
      </w:pPr>
      <w:r>
        <w:t xml:space="preserve">3.1 Detection Accuracy</w:t>
      </w:r>
    </w:p>
    <w:p>
      <w:pPr>
        <w:pStyle w:val="FirstParagraph"/>
      </w:pPr>
      <w:r>
        <w:t xml:space="preserve">Manually going through 25 articles from Papercheck’s sample library I detected 179 statements with a nonsignificant</w:t>
      </w:r>
      <w:r>
        <w:t xml:space="preserve"> </w:t>
      </w:r>
      <w:r>
        <w:rPr>
          <w:i/>
          <w:iCs/>
        </w:rPr>
        <w:t xml:space="preserve">p</w:t>
      </w:r>
      <w:r>
        <w:t xml:space="preserve"> </w:t>
      </w:r>
      <w:r>
        <w:t xml:space="preserve">value. The automated RegEx search caught 130 (73 %) of these completely, and 6 partially (incompletely) due to extraction errors (e.g., because of pdf formatting like page breaks, figures or footnotes). It also</w:t>
      </w:r>
      <w:r>
        <w:t xml:space="preserve"> </w:t>
      </w:r>
      <w:r>
        <w:t xml:space="preserve">‘found’</w:t>
      </w:r>
      <w:r>
        <w:t xml:space="preserve"> </w:t>
      </w:r>
      <w:r>
        <w:t xml:space="preserve">3 false positives in the sense that it extracted</w:t>
      </w:r>
      <w:r>
        <w:t xml:space="preserve"> </w:t>
      </w:r>
      <w:r>
        <w:t xml:space="preserve">‘statements’</w:t>
      </w:r>
      <w:r>
        <w:t xml:space="preserve"> </w:t>
      </w:r>
      <w:r>
        <w:t xml:space="preserve">from tables or figure notes or ones that were misclassified as coming from a results section. Note, however, that the large majority of the total 49 missed statements were due to specific ways of writing (or not writing) the</w:t>
      </w:r>
      <w:r>
        <w:t xml:space="preserve"> </w:t>
      </w:r>
      <w:r>
        <w:rPr>
          <w:i/>
          <w:iCs/>
        </w:rPr>
        <w:t xml:space="preserve">p</w:t>
      </w:r>
      <w:r>
        <w:t xml:space="preserve"> </w:t>
      </w:r>
      <w:r>
        <w:t xml:space="preserve">value: 8 were missed because the authors wrote</w:t>
      </w:r>
      <w:r>
        <w:t xml:space="preserve"> </w:t>
      </w:r>
      <w:r>
        <w:t xml:space="preserve">‘n.s.’</w:t>
      </w:r>
      <w:r>
        <w:t xml:space="preserve"> </w:t>
      </w:r>
      <w:r>
        <w:t xml:space="preserve">instead of the nonsignificant</w:t>
      </w:r>
      <w:r>
        <w:t xml:space="preserve"> </w:t>
      </w:r>
      <w:r>
        <w:rPr>
          <w:i/>
          <w:iCs/>
        </w:rPr>
        <w:t xml:space="preserve">p</w:t>
      </w:r>
      <w:r>
        <w:t xml:space="preserve"> </w:t>
      </w:r>
      <w:r>
        <w:t xml:space="preserve">value, and 31 were missed because the</w:t>
      </w:r>
      <w:r>
        <w:t xml:space="preserve"> </w:t>
      </w:r>
      <w:r>
        <w:rPr>
          <w:i/>
          <w:iCs/>
        </w:rPr>
        <w:t xml:space="preserve">p</w:t>
      </w:r>
      <w:r>
        <w:t xml:space="preserve"> </w:t>
      </w:r>
      <w:r>
        <w:t xml:space="preserve">value was written as</w:t>
      </w:r>
      <w:r>
        <w:t xml:space="preserve"> </w:t>
      </w:r>
      <w:r>
        <w:t xml:space="preserve">‘</w:t>
      </w:r>
      <m:oMath>
        <m:sSub>
          <m:e>
            <m:r>
              <m:t>p</m:t>
            </m:r>
          </m:e>
          <m:sub>
            <m:r>
              <m:t>s</m:t>
            </m:r>
          </m:sub>
        </m:sSub>
      </m:oMath>
      <w:r>
        <w:t xml:space="preserve">’</w:t>
      </w:r>
      <w:r>
        <w:t xml:space="preserve">. Without these two mistakes the overall agreement of automated and manual approach would have been 93 %.</w:t>
      </w:r>
    </w:p>
    <w:p>
      <w:pPr>
        <w:pStyle w:val="BodyText"/>
      </w:pPr>
      <w:r>
        <w:t xml:space="preserve">Most of the other misses were due to pdf formatting issues like figures, tables, footnotes and page breaks or unusual characters inside the statement that interfered with the statement extraction (11 in total).</w:t>
      </w:r>
      <w:r>
        <w:rPr>
          <w:rStyle w:val="FootnoteReference"/>
        </w:rPr>
        <w:footnoteReference w:id="37"/>
      </w:r>
    </w:p>
    <w:bookmarkEnd w:id="38"/>
    <w:bookmarkStart w:id="49" w:name="classification-performance"/>
    <w:p>
      <w:pPr>
        <w:pStyle w:val="Heading2"/>
      </w:pPr>
      <w:r>
        <w:t xml:space="preserve">3.2 Classification Performance</w:t>
      </w:r>
    </w:p>
    <w:p>
      <w:pPr>
        <w:pStyle w:val="FirstParagraph"/>
      </w:pPr>
      <w:hyperlink w:anchor="fig-loss-curves">
        <w:r>
          <w:rPr>
            <w:rStyle w:val="Hyperlink"/>
          </w:rPr>
          <w:t xml:space="preserve">Figure 1</w:t>
        </w:r>
      </w:hyperlink>
      <w:r>
        <w:t xml:space="preserve"> </w:t>
      </w:r>
      <w:r>
        <w:t xml:space="preserve">shows the training and validation loss curves for the three BERT models across their training epochs. The standard BERT model was trained for a total of 7 epochs before early stopping was triggered due to a lack of improvement in validation loss for two consecutive epochs. The model from epoch 5 was therefore selected as the best-performing one. Similarly, SciBERT and PubMedBERT reached the lowest validation loss after epochs 5 and 4, respectively. As shown in the figure, the training loss consistently decreased over time for all three models, as expected given that they were optimized to fit the training data. In contrast, the validation loss plateaued in all models at a certain point, indicating that further improvements in fitting the training data no longer translated into better performance on unseen data and may even signal the onset of overfitting. Notably, this plateau occurred later in the training of the standard BERT model, which may reflect its different pretraining on general English text compared to the domain-specific pretraining of SciBERT and PubMedBERT.</w:t>
      </w:r>
    </w:p>
    <w:bookmarkStart w:id="42" w:name="fig-loss-curves"/>
    <w:p>
      <w:pPr>
        <w:pStyle w:val="FigureTitle"/>
      </w:pPr>
      <w:r>
        <w:t xml:space="preserve">Figure 1</w:t>
      </w:r>
    </w:p>
    <w:p>
      <w:pPr>
        <w:pStyle w:val="Caption"/>
      </w:pPr>
      <w:r>
        <w:t xml:space="preserve">Training and Validation Loss Curve</w:t>
      </w:r>
    </w:p>
    <w:p>
      <w:pPr>
        <w:pStyle w:val="FigureWithNote"/>
      </w:pPr>
      <w:r>
        <w:drawing>
          <wp:inline>
            <wp:extent cx="5486400" cy="1519532"/>
            <wp:effectExtent b="0" l="0" r="0" t="0"/>
            <wp:docPr descr="" title="" id="40" name="Picture"/>
            <a:graphic>
              <a:graphicData uri="http://schemas.openxmlformats.org/drawingml/2006/picture">
                <pic:pic>
                  <pic:nvPicPr>
                    <pic:cNvPr descr="../data/model_performance/loss_curve/loss_combined.png" id="41" name="Picture"/>
                    <pic:cNvPicPr>
                      <a:picLocks noChangeArrowheads="1" noChangeAspect="1"/>
                    </pic:cNvPicPr>
                  </pic:nvPicPr>
                  <pic:blipFill>
                    <a:blip r:embed="rId39"/>
                    <a:stretch>
                      <a:fillRect/>
                    </a:stretch>
                  </pic:blipFill>
                  <pic:spPr bwMode="auto">
                    <a:xfrm>
                      <a:off x="0" y="0"/>
                      <a:ext cx="5486400" cy="1519532"/>
                    </a:xfrm>
                    <a:prstGeom prst="rect">
                      <a:avLst/>
                    </a:prstGeom>
                    <a:noFill/>
                    <a:ln w="9525">
                      <a:noFill/>
                      <a:headEnd/>
                      <a:tailEnd/>
                    </a:ln>
                  </pic:spPr>
                </pic:pic>
              </a:graphicData>
            </a:graphic>
          </wp:inline>
        </w:drawing>
      </w:r>
    </w:p>
    <w:bookmarkEnd w:id="42"/>
    <w:p>
      <w:pPr>
        <w:pStyle w:val="FigureNote"/>
      </w:pPr>
      <w:r>
        <w:rPr>
          <w:i/>
          <w:iCs/>
        </w:rPr>
        <w:t xml:space="preserve">Note</w:t>
      </w:r>
      <w:r>
        <w:t xml:space="preserve">. Curves of the training and validation loss of the three trained BERT models. The best models for regular BERT, SciBERT and PubMedBERT were chosen after epoch 5, 5, and 4, respectively, based on the minumum validation loss.</w:t>
      </w:r>
    </w:p>
    <w:p>
      <w:pPr>
        <w:pStyle w:val="BodyText"/>
      </w:pPr>
      <w:r>
        <w:t xml:space="preserve">Moving to model performance,</w:t>
      </w:r>
      <w:r>
        <w:t xml:space="preserve"> </w:t>
      </w:r>
      <w:hyperlink w:anchor="fig-confusion">
        <w:r>
          <w:rPr>
            <w:rStyle w:val="Hyperlink"/>
          </w:rPr>
          <w:t xml:space="preserve">Figure 2</w:t>
        </w:r>
      </w:hyperlink>
      <w:r>
        <w:t xml:space="preserve"> </w:t>
      </w:r>
      <w:r>
        <w:t xml:space="preserve">shows the number of correctly and incorrectly classified statements for each model. In general, all three models performed well. Overall, SciBERT showed the fewest misclassifications with 2 false positives and 12 false negatives, whereas BERT and SciBERT showed 11 and 21 false classifications in total, respectively. Zooming out, these results are also visible in</w:t>
      </w:r>
      <w:r>
        <w:t xml:space="preserve"> </w:t>
      </w:r>
      <w:hyperlink w:anchor="tbl-model-performance">
        <w:r>
          <w:rPr>
            <w:rStyle w:val="Hyperlink"/>
          </w:rPr>
          <w:t xml:space="preserve">Table 1</w:t>
        </w:r>
      </w:hyperlink>
      <w:r>
        <w:t xml:space="preserve">, which summarizes the performance metrics. As reflected in the macro F1 score, again, SciBERT achieved the best overall performance in classifying correct and incorrect statements with a macro F1 score of .90. Standard BERT and PubMedBERT lagged slightly behind, with macro F1 scores of .92 and .85, respectively. All three models better predicted correct statements than incorrect ones, reflected by the F1 score of the</w:t>
      </w:r>
      <w:r>
        <w:t xml:space="preserve"> </w:t>
      </w:r>
      <w:r>
        <w:t xml:space="preserve">‘correct’</w:t>
      </w:r>
      <w:r>
        <w:t xml:space="preserve"> </w:t>
      </w:r>
      <w:r>
        <w:t xml:space="preserve">class, with SciBERT scoring best (</w:t>
      </w:r>
      <w:r>
        <w:t xml:space="preserve">‘correct’</w:t>
      </w:r>
      <w:r>
        <w:t xml:space="preserve"> </w:t>
      </w:r>
      <w:r>
        <w:t xml:space="preserve">F1 score of .91). Similarly, in all models, recall was higher than precision in the</w:t>
      </w:r>
      <w:r>
        <w:t xml:space="preserve"> </w:t>
      </w:r>
      <w:r>
        <w:t xml:space="preserve">‘correct’</w:t>
      </w:r>
      <w:r>
        <w:t xml:space="preserve"> </w:t>
      </w:r>
      <w:r>
        <w:t xml:space="preserve">class, whereas the opposite pattern was visible in the</w:t>
      </w:r>
      <w:r>
        <w:t xml:space="preserve"> </w:t>
      </w:r>
      <w:r>
        <w:t xml:space="preserve">‘incorrect’</w:t>
      </w:r>
      <w:r>
        <w:t xml:space="preserve"> </w:t>
      </w:r>
      <w:r>
        <w:t xml:space="preserve">class, suggesting that the models tend to err on the side of overidentifying statements as correct rather than incorrect. In fact, the standard BERT model was just slightly better at reducing false negatives (at the cost of more false positives) in this test set (Precision in the</w:t>
      </w:r>
      <w:r>
        <w:t xml:space="preserve"> </w:t>
      </w:r>
      <w:r>
        <w:t xml:space="preserve">‘incorrect’</w:t>
      </w:r>
      <w:r>
        <w:t xml:space="preserve"> </w:t>
      </w:r>
      <w:r>
        <w:t xml:space="preserve">class: .97 vs. SciBERT’s .97).</w:t>
      </w:r>
    </w:p>
    <w:bookmarkStart w:id="46" w:name="fig-confusion"/>
    <w:p>
      <w:pPr>
        <w:pStyle w:val="FigureTitle"/>
      </w:pPr>
      <w:r>
        <w:t xml:space="preserve">Figure 2</w:t>
      </w:r>
    </w:p>
    <w:p>
      <w:pPr>
        <w:pStyle w:val="Caption"/>
      </w:pPr>
      <w:r>
        <w:t xml:space="preserve">Confusion Matrix</w:t>
      </w:r>
    </w:p>
    <w:p>
      <w:pPr>
        <w:pStyle w:val="FigureWithNote"/>
      </w:pPr>
      <w:r>
        <w:drawing>
          <wp:inline>
            <wp:extent cx="5943600" cy="1659255"/>
            <wp:effectExtent b="0" l="0" r="0" t="0"/>
            <wp:docPr descr="" title="" id="44" name="Picture"/>
            <a:graphic>
              <a:graphicData uri="http://schemas.openxmlformats.org/drawingml/2006/picture">
                <pic:pic>
                  <pic:nvPicPr>
                    <pic:cNvPr descr="../data/model_performance/confusion_matrix/confusion_matrix_combined.png" id="45" name="Picture"/>
                    <pic:cNvPicPr>
                      <a:picLocks noChangeArrowheads="1" noChangeAspect="1"/>
                    </pic:cNvPicPr>
                  </pic:nvPicPr>
                  <pic:blipFill>
                    <a:blip r:embed="rId43"/>
                    <a:stretch>
                      <a:fillRect/>
                    </a:stretch>
                  </pic:blipFill>
                  <pic:spPr bwMode="auto">
                    <a:xfrm>
                      <a:off x="0" y="0"/>
                      <a:ext cx="5943600" cy="1659255"/>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Confusion matrices of the three trained BERT models.</w:t>
      </w:r>
    </w:p>
    <w:bookmarkStart w:id="47"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r>
    </w:tbl>
    <w:bookmarkEnd w:id="47"/>
    <w:p>
      <w:pPr>
        <w:pStyle w:val="FigureNote"/>
      </w:pPr>
      <w:r>
        <w:rPr>
          <w:i/>
          <w:iCs/>
        </w:rPr>
        <w:t xml:space="preserve">Note</w:t>
      </w:r>
      <w:r>
        <w:t xml:space="preserve">. Table of precision, recall and F1 score per model and class.</w:t>
      </w:r>
    </w:p>
    <w:p>
      <w:pPr>
        <w:pStyle w:val="BodyText"/>
      </w:pPr>
      <w:r>
        <w:t xml:space="preserve">Since SciBERT achieved the highest performance in the classification task,</w:t>
      </w:r>
      <w:r>
        <w:t xml:space="preserve"> </w:t>
      </w:r>
      <w:hyperlink w:anchor="tbl-false-classification">
        <w:r>
          <w:rPr>
            <w:rStyle w:val="Hyperlink"/>
          </w:rPr>
          <w:t xml:space="preserve">Table 2</w:t>
        </w:r>
      </w:hyperlink>
      <w:r>
        <w:t xml:space="preserve"> </w:t>
      </w:r>
      <w:r>
        <w:t xml:space="preserve">presents examples of its misclassifications to illustrate the types of sentences that posed difficulties for the model. Potential reasons for these errors will be examined in the discussion.</w:t>
      </w:r>
    </w:p>
    <w:bookmarkStart w:id="48" w:name="tbl-false-classification"/>
    <w:p>
      <w:pPr>
        <w:pStyle w:val="FigureTitle"/>
      </w:pPr>
      <w:r>
        <w:t xml:space="preserve">Table 2</w:t>
      </w:r>
    </w:p>
    <w:p>
      <w:pPr>
        <w:pStyle w:val="Caption"/>
      </w:pPr>
      <w:r>
        <w:t xml:space="preserve">Incorrect SciBERT Classifications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Prediction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CS type did not interact significantly with the contrast between the uninformed and random groups; the uninformed group showed no better differentiation than the random group, F(1, 76) = 1.29, p = .26, 95% CI = [-0.16, 0.57].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 trait aggression, and endogenous testosterone did not affect these behavioral congruency effects on RTs and accuracy, and aggression and endogenous testosterone were not significantly correlated (r = .046, p = .45).</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Positive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main effect of illness recency did not meet our preregistered threshold (p &lt; .025)-recently ill: M = 661 ms, SD = 197; not recently ill: M = 626 ms, SD = 153, F(1, 400) = 4.23, Î· p 2 = .010, 90% CI = [.000, .039], p = .040-nor did the interaction between illness recency and face type (disfigured vs. typical), F(1, 400) = 1.87, Î· p 2 = .005, 90% CI = [.000, .027], p = .173.</w:t>
            </w:r>
          </w:p>
        </w:tc>
      </w:tr>
    </w:tbl>
    <w:bookmarkEnd w:id="48"/>
    <w:p>
      <w:pPr>
        <w:pStyle w:val="FigureNote"/>
      </w:pPr>
      <w:r>
        <w:rPr>
          <w:i/>
          <w:iCs/>
        </w:rPr>
        <w:t xml:space="preserve">Note</w:t>
      </w:r>
      <w:r>
        <w:t xml:space="preserve">. Examples for incorrect classifications of the trained SciBERT model on the test data.</w:t>
      </w:r>
    </w:p>
    <w:bookmarkEnd w:id="49"/>
    <w:bookmarkStart w:id="52" w:name="correction-evaluation"/>
    <w:p>
      <w:pPr>
        <w:pStyle w:val="Heading2"/>
      </w:pPr>
      <w:r>
        <w:t xml:space="preserve">3.3 Correction Evaluation</w:t>
      </w:r>
    </w:p>
    <w:p>
      <w:pPr>
        <w:pStyle w:val="FirstParagraph"/>
      </w:pPr>
      <w:r>
        <w:t xml:space="preserve">Of the 100 statements that the LLM was instructed to correct 85 were judged as correct. Notably, 2 of the 20 already correct statements were turned incorrect by the LLM, and 13 of the 80 incorrect statements remained incorrect. Using the newer</w:t>
      </w:r>
      <w:r>
        <w:t xml:space="preserve"> </w:t>
      </w:r>
      <w:r>
        <w:t xml:space="preserve">‘openai/gpt-oss-120b’</w:t>
      </w:r>
      <w:r>
        <w:t xml:space="preserve"> </w:t>
      </w:r>
      <w:r>
        <w:t xml:space="preserve">model, 79 were correct. However, the model overused the</w:t>
      </w:r>
      <w:r>
        <w:t xml:space="preserve"> </w:t>
      </w:r>
      <w:r>
        <w:t xml:space="preserve">‘NO CORRECTION POSSIBLE’</w:t>
      </w:r>
      <w:r>
        <w:t xml:space="preserve"> </w:t>
      </w:r>
      <w:r>
        <w:t xml:space="preserve">option (originally intended to prevent detection errors) which resulted in 8 correct and 2 incorrect statements being left unrevised. In the final iteration, with the newer model and revised prompt, 93 of the 100 statements were correct. Of the remaining 7 statements, XXX were originally incorrect statement that remained incorrect, whereas the other YYY did not misinterpret nonsignificance but contained other problems: in one case, the LLM removed all</w:t>
      </w:r>
      <w:r>
        <w:t xml:space="preserve"> </w:t>
      </w:r>
      <w:r>
        <w:rPr>
          <w:i/>
          <w:iCs/>
        </w:rPr>
        <w:t xml:space="preserve">p</w:t>
      </w:r>
      <w:r>
        <w:t xml:space="preserve"> </w:t>
      </w:r>
      <w:r>
        <w:t xml:space="preserve">values and interpreted the effects as significant, and in another, it altered the statement’s meaning substantially. Examples of both poor and strong LLM-revisions from this final iteration are shown in</w:t>
      </w:r>
      <w:r>
        <w:t xml:space="preserve"> </w:t>
      </w:r>
      <w:hyperlink w:anchor="tbl-LLM-corrections-1">
        <w:r>
          <w:rPr>
            <w:rStyle w:val="Hyperlink"/>
          </w:rPr>
          <w:t xml:space="preserve">Table 3</w:t>
        </w:r>
      </w:hyperlink>
      <w:r>
        <w:t xml:space="preserve"> </w:t>
      </w:r>
      <w:r>
        <w:t xml:space="preserve">and</w:t>
      </w:r>
      <w:r>
        <w:t xml:space="preserve"> </w:t>
      </w:r>
      <w:hyperlink w:anchor="tbl-LLM-corrections-2">
        <w:r>
          <w:rPr>
            <w:rStyle w:val="Hyperlink"/>
          </w:rPr>
          <w:t xml:space="preserve">Table 4</w:t>
        </w:r>
      </w:hyperlink>
      <w:r>
        <w:t xml:space="preserve">, respectively.</w:t>
      </w:r>
    </w:p>
    <w:p>
      <w:pPr>
        <w:pStyle w:val="BodyText"/>
      </w:pPr>
      <w:r>
        <w:rPr>
          <w:b/>
          <w:bCs/>
        </w:rPr>
        <w:t xml:space="preserve">Above paragraph needs to be updated after discussion on how to code some of them with Daniel! Also need to update below tables after that</w:t>
      </w:r>
    </w:p>
    <w:bookmarkStart w:id="50" w:name="tbl-LLM-corrections-1"/>
    <w:p>
      <w:pPr>
        <w:pStyle w:val="FigureTitle"/>
      </w:pPr>
      <w:r>
        <w:t xml:space="preserve">Table 3</w:t>
      </w:r>
    </w:p>
    <w:p>
      <w:pPr>
        <w:pStyle w:val="Caption"/>
      </w:pPr>
      <w:r>
        <w:t xml:space="preserve">Examples of Incorrect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no longer preferred the seeker, p = .849, d = -0.03, rating both targets equally.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When the target was uncommitted, participants did not show a statistically significant preference for the seeker (p = .849, d = –0.03); ratings of the two targets did not differ significantly.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Leader narcissism levels were associated with follower‑perceived leader authority (b = 0.04, 95 % CI = [‑0.04, 0.13], β = 0.10) and with effectiveness (b = 0.04, 95 % CI = [‑0.06, 0.14], β = 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0"/>
    <w:p>
      <w:pPr>
        <w:pStyle w:val="FigureNote"/>
      </w:pPr>
      <w:r>
        <w:rPr>
          <w:i/>
          <w:iCs/>
        </w:rPr>
        <w:t xml:space="preserve">Note</w:t>
      </w:r>
      <w:r>
        <w:t xml:space="preserve">. Table of original and LLM-revised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1" w:name="tbl-LLM-corrections-2"/>
    <w:p>
      <w:pPr>
        <w:pStyle w:val="FigureTitle"/>
      </w:pPr>
      <w:r>
        <w:t xml:space="preserve">Table 4</w:t>
      </w:r>
    </w:p>
    <w:p>
      <w:pPr>
        <w:pStyle w:val="Caption"/>
      </w:pPr>
      <w:r>
        <w:t xml:space="preserve">Examples of 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did a lower age of onset predict higher levels of melody discrimination (Î² = -0.09, p = .23 in musicians; Î² = -0.05, p = .001 in twins).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 the twin sample, lower age of onset was associated with higher levels of melody discrimination (β = ‑0.05, p = .001); in the musician sample, the association was not statistically significant (β = ‑0.09, p =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(Î² = 0.001, 95% CI = [-0.07, 0.07], p = .976).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effect had an estimate of β = 0.001 (95 % CI = [‑0.07, 0.07]; p = .976), indicating that the observed association was compatible with both a small positive and a small negative effect.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1"/>
    <w:p>
      <w:pPr>
        <w:pStyle w:val="FigureNote"/>
      </w:pPr>
      <w:r>
        <w:rPr>
          <w:i/>
          <w:iCs/>
        </w:rPr>
        <w:t xml:space="preserve">Note</w:t>
      </w:r>
      <w:r>
        <w:t xml:space="preserve">. Table of original and LLM-revised statements that were classified as 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2"/>
    <w:bookmarkEnd w:id="53"/>
    <w:bookmarkStart w:id="58" w:name="discussion"/>
    <w:p>
      <w:pPr>
        <w:pStyle w:val="Heading1"/>
      </w:pPr>
      <w:r>
        <w:t xml:space="preserve">4 Discussion</w:t>
      </w:r>
    </w:p>
    <w:p>
      <w:pPr>
        <w:pStyle w:val="FirstParagraph"/>
      </w:pPr>
      <w:r>
        <w:rPr>
          <w:b/>
          <w:bCs/>
        </w:rPr>
        <w:t xml:space="preserve">Things I still need do add:</w:t>
      </w:r>
    </w:p>
    <w:p>
      <w:pPr>
        <w:pStyle w:val="BodyText"/>
      </w:pPr>
      <w:r>
        <w:t xml:space="preserve">-HOW TO DEAL WITH CLASSIFICATION ERRORS AND PARAGRAPH DESCRIBING MODEL MISCLASSIFICATIONS (AND TRY TO EXPLAIN THEM)!</w:t>
      </w:r>
    </w:p>
    <w:p>
      <w:pPr>
        <w:pStyle w:val="BodyText"/>
      </w:pPr>
      <w:r>
        <w:t xml:space="preserve">-PARAGRAPH ON WHETHER WE NEED OR EVEN WANT THE CORRECTION BIT. MENTION THAT FURTHER PROMPT ENGINEERING MIGHT BE ABLTE TO FIX THIS [FALSE CORRECTIONS OF FALSE POSITIVES THAT GET TURNED INTO INCORRECT STATEMENTS]</w:t>
      </w:r>
    </w:p>
    <w:p>
      <w:pPr>
        <w:pStyle w:val="BodyText"/>
      </w:pPr>
      <w:r>
        <w:t xml:space="preserve">-CITE AND EXPLAIN</w:t>
      </w:r>
      <w:r>
        <w:t xml:space="preserve"> </w:t>
      </w:r>
      <w:r>
        <w:t xml:space="preserve">Bucher and Martini (</w:t>
      </w:r>
      <w:hyperlink w:anchor="ref-bucher_martini24">
        <w:r>
          <w:rPr>
            <w:rStyle w:val="Hyperlink"/>
          </w:rPr>
          <w:t xml:space="preserve">2024</w:t>
        </w:r>
      </w:hyperlink>
      <w:r>
        <w:t xml:space="preserve">)</w:t>
      </w:r>
      <w:r>
        <w:t xml:space="preserve">!!! MAYBE USE LLMS FOR EVERYTHING IN THE FUTURE?</w:t>
      </w:r>
    </w:p>
    <w:p>
      <w:pPr>
        <w:pStyle w:val="BodyText"/>
      </w:pPr>
      <w:r>
        <w:t xml:space="preserve">-PARAGRAPH ON THE CLASSIFIERS’ PROBLEMS WITH SOME OF THE STATEMENTS</w:t>
      </w:r>
    </w:p>
    <w:bookmarkStart w:id="54" w:name="summary-of-key-results"/>
    <w:p>
      <w:pPr>
        <w:pStyle w:val="Heading2"/>
      </w:pPr>
      <w:r>
        <w:t xml:space="preserve">4.1 Summary of Key Results</w:t>
      </w:r>
    </w:p>
    <w:p>
      <w:pPr>
        <w:pStyle w:val="FirstParagraph"/>
      </w:pPr>
      <w:r>
        <w:t xml:space="preserve">In this study, I developed and evaluated a three-step pipeline for automatically correcting misinterpretations of nonsignificant results as evidence for the absence of an effect. The approach combines rule-based RegEx searches for detecting candidate statements, fine-tuned BERT models for classification, and LLMs to generate corrected phrasings. While each step leaves room for improvement, the overall pipeline performed well and shows promise for broader applications beyond</w:t>
      </w:r>
      <w:r>
        <w:t xml:space="preserve"> </w:t>
      </w:r>
      <w:r>
        <w:rPr>
          <w:i/>
          <w:iCs/>
        </w:rPr>
        <w:t xml:space="preserve">p</w:t>
      </w:r>
      <w:r>
        <w:t xml:space="preserve"> </w:t>
      </w:r>
      <w:r>
        <w:t xml:space="preserve">value misinterpretations.</w:t>
      </w:r>
    </w:p>
    <w:p>
      <w:pPr>
        <w:pStyle w:val="BodyText"/>
      </w:pPr>
      <w:r>
        <w:t xml:space="preserve">Crucially, the framework works effectively because each step is tailored to a specific subtask in the correction process. The RegEx-based detection offers a fast, systematic, and transparent way of reducing the volume of text needing NLP-based analysis. The BERT models, having been trained on human-annotated data, provide a reliable and powerful solution for learning subtle language patterns. Finally, the optional LLM correction might enhance the user experience further by offering useful rewording suggestions tailored to a specific correction task. This layered, hybrid-NLP structure makes the approach both flexible and easily scalable.</w:t>
      </w:r>
    </w:p>
    <w:p>
      <w:pPr>
        <w:pStyle w:val="BodyText"/>
      </w:pPr>
      <w:r>
        <w:t xml:space="preserve">The RegEx-based statement detection phase demonstrated that simple, rule-based searches can effectively flag a large proportion of candidate interpretations. Although, in some cases odd formatting issues in pdfs made the correct extraction of these misinterpretations impossible, the vast majority of statements were automatically detected. This study also found easy to fix things (e.g., as</w:t>
      </w:r>
      <w:r>
        <w:t xml:space="preserve"> </w:t>
      </w:r>
      <w:r>
        <w:t xml:space="preserve">“p = n.s.”</w:t>
      </w:r>
      <w:r>
        <w:t xml:space="preserve"> </w:t>
      </w:r>
      <w:r>
        <w:t xml:space="preserve">or with subscripted</w:t>
      </w:r>
      <w:r>
        <w:t xml:space="preserve"> </w:t>
      </w:r>
      <w:r>
        <w:t xml:space="preserve">‘</w:t>
      </w:r>
      <m:oMath>
        <m:sSub>
          <m:e>
            <m:r>
              <m:t>p</m:t>
            </m:r>
          </m:e>
          <m:sub>
            <m:r>
              <m:t>s</m:t>
            </m:r>
          </m:sub>
        </m:sSub>
      </m:oMath>
      <w:r>
        <w:t xml:space="preserve">’</w:t>
      </w:r>
      <w:r>
        <w:t xml:space="preserve"> </w:t>
      </w:r>
      <w:r>
        <w:t xml:space="preserve">) that will further improve statement detection.</w:t>
      </w:r>
    </w:p>
    <w:p>
      <w:pPr>
        <w:pStyle w:val="BodyText"/>
      </w:pPr>
      <w:r>
        <w:t xml:space="preserve">At the same time, 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w:t>
      </w:r>
      <w:r>
        <w:t xml:space="preserve"> </w:t>
      </w:r>
      <w:r>
        <w:t xml:space="preserve">‘significant’</w:t>
      </w:r>
      <w:r>
        <w:t xml:space="preserve"> </w:t>
      </w:r>
      <w:r>
        <w:t xml:space="preserve">or</w:t>
      </w:r>
      <w:r>
        <w:t xml:space="preserve"> </w:t>
      </w:r>
      <w:r>
        <w:t xml:space="preserve">‘no effect’</w:t>
      </w:r>
      <w:r>
        <w:t xml:space="preserve"> </w:t>
      </w:r>
      <w:r>
        <w:t xml:space="preserve">(e.g.,</w:t>
      </w:r>
      <w:r>
        <w:t xml:space="preserve"> </w:t>
      </w:r>
      <w:r>
        <w:t xml:space="preserve">‘there was no effect’</w:t>
      </w:r>
      <w:r>
        <w:t xml:space="preserve">, but also</w:t>
      </w:r>
      <w:r>
        <w:t xml:space="preserve"> </w:t>
      </w:r>
      <w:r>
        <w:t xml:space="preserve">‘groups did not differ’</w:t>
      </w:r>
      <w:r>
        <w:t xml:space="preserve">) terminology. While the training dataset was limited to statements extracted from Psychological Science articles (using the existing Papercheck sample library), the results provide a solid baseline for expansion using more diverse sources and research domains. Similarly, while this pipeline might prove less effective in other sub-disciplines, it will likely still flag key misinterpretations, serving as a general reminder for authors to reassess their statistical conclusions. However, this should be tested empirically.</w:t>
      </w:r>
    </w:p>
    <w:p>
      <w:pPr>
        <w:pStyle w:val="BodyText"/>
      </w:pPr>
      <w:r>
        <w:t xml:space="preserve">The final step, generating LLM-revised corrections of the original statements, showed clear promise, indicating that LLMs can, in principle, be used to suggest improvements to authors’ interpretations. Based on the current results, further prompt engineering may help address existing issues (e.g., correct statements being mistakenly altered into incorrect ones). It remains to be tested empirically, however, whether such optional feedback is actually needed for authors to revise their interpretations, or whether simply flagging statements as incorrect might already be sufficient.</w:t>
      </w:r>
    </w:p>
    <w:bookmarkEnd w:id="54"/>
    <w:bookmarkStart w:id="56" w:name="limitations-and-challenges"/>
    <w:p>
      <w:pPr>
        <w:pStyle w:val="Heading2"/>
      </w:pPr>
      <w:r>
        <w:t xml:space="preserve">4.2 Limitations and Challenges</w:t>
      </w:r>
    </w:p>
    <w:p>
      <w:pPr>
        <w:pStyle w:val="FirstParagraph"/>
      </w:pPr>
      <w:r>
        <w:t xml:space="preserve">Despite the encouraging results, several limitations must be acknowledged. First, the pipeline components were evaluated independently rather than as a fully integrated system. While each step (detection, classification, correction) showed strong performance on its own, cascading errors in a full pipeline will likely reduce the end accuracy. Still, any flagged misinterpretation should alert authors that their interpretation may require reconsideration.</w:t>
      </w:r>
    </w:p>
    <w:p>
      <w:pPr>
        <w:pStyle w:val="BodyText"/>
      </w:pPr>
      <w:r>
        <w:t xml:space="preserve">Second, the manual annotation of training data introduces inevitable subjectivity. While I made efforts to standardize labels - often consulting a statistics expert (my supervisor) on difficult or borderline cases - the classifications reflect my interpretation of what constitutes a misinterpretation. Ideally, multiple annotators and inter-rater agreement metrics would improve the reliability and generalizability of the training data. However, the fact that the fine-tuned BERT models generalized well to unseen data suggests that the labeling was systematic enough to allow the models to learn. Nevertheless, a reader might disagree with how some example statements in this article were labeled, and I invite anyone to rerun these models with alternatives to the current version of the labeled dataset.</w:t>
      </w:r>
      <w:r>
        <w:rPr>
          <w:rStyle w:val="FootnoteReference"/>
        </w:rPr>
        <w:footnoteReference w:id="55"/>
      </w:r>
    </w:p>
    <w:p>
      <w:pPr>
        <w:pStyle w:val="BodyText"/>
      </w:pPr>
      <w:r>
        <w:rPr>
          <w:b/>
          <w:bCs/>
        </w:rPr>
        <w:t xml:space="preserve">COMMENT FROM DANIEL</w:t>
      </w:r>
      <w:r>
        <w:t xml:space="preserve">: Add</w:t>
      </w:r>
      <w:r>
        <w:t xml:space="preserve"> </w:t>
      </w:r>
      <w:r>
        <w:t xml:space="preserve">“There is a surprising lack of conceptual work on how p values should be interpreted correctly, given the many papers focusing on their misinterpretations. For example, should is</w:t>
      </w:r>
      <w:r>
        <w:t xml:space="preserve"> </w:t>
      </w:r>
      <w:r>
        <w:t xml:space="preserve">‘no significant difference’</w:t>
      </w:r>
      <w:r>
        <w:t xml:space="preserve"> </w:t>
      </w:r>
      <w:r>
        <w:t xml:space="preserve">a correct interpretation, when some researchers have suggested to abandon the word</w:t>
      </w:r>
      <w:r>
        <w:t xml:space="preserve"> </w:t>
      </w:r>
      <w:r>
        <w:t xml:space="preserve">‘significant’</w:t>
      </w:r>
      <w:r>
        <w:t xml:space="preserve">?”</w:t>
      </w:r>
    </w:p>
    <w:p>
      <w:pPr>
        <w:pStyle w:val="BodyText"/>
      </w:pPr>
      <w:r>
        <w:t xml:space="preserve">A more practical challenge involves managing the tradeoff between false positives and false negatives. The current models aim to balance both for optimal macro performance.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This issue can be mitigated by allowing users to adjust the model’s decision threshold to fit their specific goals in a future Papercheck module based on this work.</w:t>
      </w:r>
    </w:p>
    <w:p>
      <w:pPr>
        <w:pStyle w:val="BodyText"/>
      </w:pPr>
      <w:r>
        <w:t xml:space="preserve">Another limitation involves the narrow context in which statements are classified (a single sentence containing a nonsignificant</w:t>
      </w:r>
      <w:r>
        <w:t xml:space="preserve"> </w:t>
      </w:r>
      <w:r>
        <w:rPr>
          <w:i/>
          <w:iCs/>
        </w:rPr>
        <w:t xml:space="preserve">p</w:t>
      </w:r>
      <w:r>
        <w:t xml:space="preserve"> </w:t>
      </w:r>
      <w:r>
        <w:t xml:space="preserve">value). This limited scope means the model cannot account for broader contextual factors, such as whether authors conducted equivalence testing, reported Bayesian results, or provided qualifying language elsewhere in the manuscript. As noted earlier, however, this pipeline’s feedback should prompt authors to reconsider their interpretations beyond the single detected statement.</w:t>
      </w:r>
    </w:p>
    <w:bookmarkEnd w:id="56"/>
    <w:bookmarkStart w:id="57" w:name="practical-use-and-future-directions"/>
    <w:p>
      <w:pPr>
        <w:pStyle w:val="Heading2"/>
      </w:pPr>
      <w:r>
        <w:t xml:space="preserve">4.3 Practical Use and Future Directions</w:t>
      </w:r>
    </w:p>
    <w:p>
      <w:pPr>
        <w:pStyle w:val="FirstParagraph"/>
      </w:pPr>
      <w:r>
        <w:t xml:space="preserve">The pipeline described in this study will be integrated into a new Papercheck module for identifying potential misinterpretations of nonsignificant results. Some clear improvements have been noticed through this study: Firstly, the current RegEx searches of Papercheck’s</w:t>
      </w:r>
      <w:r>
        <w:t xml:space="preserve"> </w:t>
      </w:r>
      <w:r>
        <w:t xml:space="preserve">“all_p_values”</w:t>
      </w:r>
      <w:r>
        <w:t xml:space="preserve"> </w:t>
      </w:r>
      <w:r>
        <w:t xml:space="preserve">module might not be optimized to detect all different ways in which a p values can be written, e.g., the previously mentioned</w:t>
      </w:r>
      <w:r>
        <w:t xml:space="preserve"> </w:t>
      </w:r>
      <m:oMath>
        <m:sSub>
          <m:e>
            <m:r>
              <m:t>p</m:t>
            </m:r>
          </m:e>
          <m:sub>
            <m:r>
              <m:t>s</m:t>
            </m:r>
          </m:sub>
        </m:sSub>
      </m:oMath>
      <w:r>
        <w:t xml:space="preserve"> </w:t>
      </w:r>
      <w:r>
        <w:t xml:space="preserve">is often used to refer to the smallest p value in some collection of tests. This is an example of usually irrelevant RegEx’s that I will add to improve this automatic detection of candidate statements. Additionally, the dataset used to train the BERT models will also be explanded and re-checked by independent coders to ensure that the aspects the models do pick up are generalizable. Lastly, mistakes from the validity check of statements’ LLM-revised corrections will be closely analyzed to inform further prompt engineering to reduce any mistakes.</w:t>
      </w:r>
    </w:p>
    <w:p>
      <w:pPr>
        <w:pStyle w:val="BodyText"/>
      </w:pPr>
      <w:r>
        <w:t xml:space="preserve">Importantly, this pipelines’ step-wise structure makes it easy to adapt for other classification or correction tasks. For example, users could build their own custom classifiers to detect other issues with reporting practices</w:t>
      </w:r>
      <w:r>
        <w:t xml:space="preserve"> </w:t>
      </w:r>
      <w:r>
        <w:t xml:space="preserve">(see</w:t>
      </w:r>
      <w:r>
        <w:t xml:space="preserve"> </w:t>
      </w:r>
      <w:hyperlink w:anchor="ref-vanabkoude25">
        <w:r>
          <w:rPr>
            <w:rStyle w:val="Hyperlink"/>
          </w:rPr>
          <w:t xml:space="preserve">van Abkoude, 2025</w:t>
        </w:r>
      </w:hyperlink>
      <w:r>
        <w:t xml:space="preserve">, for an example of using BERT classifiers to classify different problematic use of causal language)</w:t>
      </w:r>
      <w:r>
        <w:t xml:space="preserve">. Similarly, in the context of meta science, these classifiers could also be trained with already collected, hand-labeled data</w:t>
      </w:r>
      <w:r>
        <w:t xml:space="preserve"> </w:t>
      </w:r>
      <w:r>
        <w:t xml:space="preserve">(e.g.,</w:t>
      </w:r>
      <w:r>
        <w:t xml:space="preserve"> </w:t>
      </w:r>
      <w:hyperlink w:anchor="ref-aczel_etal18">
        <w:r>
          <w:rPr>
            <w:rStyle w:val="Hyperlink"/>
          </w:rPr>
          <w:t xml:space="preserve">Aczel et al., 2018</w:t>
        </w:r>
      </w:hyperlink>
      <w:r>
        <w:t xml:space="preserve">)</w:t>
      </w:r>
      <w:r>
        <w:t xml:space="preserve">.</w:t>
      </w:r>
    </w:p>
    <w:p>
      <w:pPr>
        <w:pStyle w:val="BodyText"/>
      </w:pPr>
      <w:r>
        <w:t xml:space="preserve">Going forward, the key next step will be qualitative user studies to examine how authors want such a tool to be built. Most important will be the role of the optional correction of statements to see if authors actually need and want these corrections, or if simply flagging them is enough. This will also show where room for customization (e.g., varying levels of strictness, setting a personal alpha if you do not use the standard 5%, etc.) will be necessary. Additionally, an experimental setup would be useful to see if such a tool actually reduces the rate of misinterpretations and authors awareness of them.</w:t>
      </w:r>
    </w:p>
    <w:bookmarkEnd w:id="57"/>
    <w:bookmarkEnd w:id="58"/>
    <w:bookmarkStart w:id="59" w:name="conclusion"/>
    <w:p>
      <w:pPr>
        <w:pStyle w:val="Heading1"/>
      </w:pPr>
      <w:r>
        <w:t xml:space="preserve">5 Conclusion</w:t>
      </w:r>
    </w:p>
    <w:p>
      <w:pPr>
        <w:pStyle w:val="FirstParagraph"/>
      </w:pPr>
      <w:r>
        <w:t xml:space="preserve">This study demonstrates that a hybrid rule-based and NLP-driven pipeline can effectively detect, classify, and correct a common statistical misinterpretation in scientific writing: interpreting nonsignificant results as evidence for the absence of an effect. Each step - statement detection, classification, and correction - performed well independently. The next step is to evaluate the pipeline as a fully automated system in real-world use cases. With further refinement, this framework has the potential to enhance both automated manuscript checks and large-scale meta-scientific analyses at scale.</w:t>
      </w:r>
    </w:p>
    <w:bookmarkEnd w:id="59"/>
    <w:bookmarkStart w:id="60" w:name="achknowledgement"/>
    <w:p>
      <w:pPr>
        <w:pStyle w:val="Heading1"/>
      </w:pPr>
      <w:r>
        <w:t xml:space="preserve">Achknowledgement</w:t>
      </w:r>
    </w:p>
    <w:p>
      <w:pPr>
        <w:pStyle w:val="FirstParagraph"/>
      </w:pPr>
      <w:r>
        <w:t xml:space="preserve">I want to thank Dr. Daniël Lakens for his constant support throughout this thesis and for a wonderful research stay that allowed me to work on it in person. I thank my partner for her unwavering support, for encouraging me when I felt discouraged, and for very insightful discussions on whether and how we (should and) should not use AI. I also thank Prof. Dr. Maike Luhmann for allowing me to pursue a meta-scientific project that is so close to my heart, even though it falls somewhat outside her area of expertise. Finally, I thank Christian Sodano for helpful discussions on machine learning and BERT models, which helped to ensure that my model training did not turn into</w:t>
      </w:r>
      <w:r>
        <w:t xml:space="preserve"> </w:t>
      </w:r>
      <w:r>
        <w:t xml:space="preserve">‘algorithmic</w:t>
      </w:r>
      <w:r>
        <w:t xml:space="preserve"> </w:t>
      </w:r>
      <w:r>
        <w:rPr>
          <w:i/>
          <w:iCs/>
        </w:rPr>
        <w:t xml:space="preserve">p</w:t>
      </w:r>
      <w:r>
        <w:t xml:space="preserve">-hacking’</w:t>
      </w:r>
      <w:r>
        <w:t xml:space="preserve">.</w:t>
      </w:r>
    </w:p>
    <w:bookmarkEnd w:id="60"/>
    <w:bookmarkStart w:id="122" w:name="references"/>
    <w:p>
      <w:pPr>
        <w:pStyle w:val="Heading1"/>
      </w:pPr>
      <w:r>
        <w:t xml:space="preserve">References</w:t>
      </w:r>
    </w:p>
    <w:bookmarkStart w:id="121" w:name="refs"/>
    <w:bookmarkStart w:id="62"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1">
        <w:r>
          <w:rPr>
            <w:rStyle w:val="Hyperlink"/>
          </w:rPr>
          <w:t xml:space="preserve">https://doi.org/10.1177/2515245918773742</w:t>
        </w:r>
      </w:hyperlink>
    </w:p>
    <w:bookmarkEnd w:id="62"/>
    <w:bookmarkStart w:id="64"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3">
        <w:r>
          <w:rPr>
            <w:rStyle w:val="Hyperlink"/>
          </w:rPr>
          <w:t xml:space="preserve">https://doi.org/10.1038/d41586-019-00857-9</w:t>
        </w:r>
      </w:hyperlink>
    </w:p>
    <w:bookmarkEnd w:id="64"/>
    <w:bookmarkStart w:id="66"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5">
        <w:r>
          <w:rPr>
            <w:rStyle w:val="Hyperlink"/>
          </w:rPr>
          <w:t xml:space="preserve">https://doi.org/10.32614/CRAN.package.papaja</w:t>
        </w:r>
      </w:hyperlink>
    </w:p>
    <w:bookmarkEnd w:id="66"/>
    <w:bookmarkStart w:id="68"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67">
        <w:r>
          <w:rPr>
            <w:rStyle w:val="Hyperlink"/>
          </w:rPr>
          <w:t xml:space="preserve">https://doi.org/10.48550/ARXIV.1903.10676</w:t>
        </w:r>
      </w:hyperlink>
    </w:p>
    <w:bookmarkEnd w:id="68"/>
    <w:bookmarkStart w:id="70" w:name="ref-bucher_martini24"/>
    <w:p>
      <w:pPr>
        <w:pStyle w:val="Bibliography"/>
      </w:pPr>
      <w:r>
        <w:t xml:space="preserve">Bucher, M. J. J., &amp; Martini, M. (2024).</w:t>
      </w:r>
      <w:r>
        <w:t xml:space="preserve"> </w:t>
      </w:r>
      <w:r>
        <w:rPr>
          <w:i/>
          <w:iCs/>
        </w:rPr>
        <w:t xml:space="preserve">Fine-</w:t>
      </w:r>
      <w:r>
        <w:rPr>
          <w:i/>
          <w:iCs/>
        </w:rPr>
        <w:t xml:space="preserve">Tuned</w:t>
      </w:r>
      <w:r>
        <w:rPr>
          <w:i/>
          <w:iCs/>
        </w:rPr>
        <w:t xml:space="preserve"> </w:t>
      </w:r>
      <w:r>
        <w:rPr>
          <w:i/>
          <w:iCs/>
        </w:rPr>
        <w:t xml:space="preserve">’</w:t>
      </w:r>
      <w:r>
        <w:rPr>
          <w:i/>
          <w:iCs/>
        </w:rPr>
        <w:t xml:space="preserve">Small</w:t>
      </w:r>
      <w:r>
        <w:rPr>
          <w:i/>
          <w:iCs/>
        </w:rPr>
        <w:t xml:space="preserve">’</w:t>
      </w:r>
      <w:r>
        <w:rPr>
          <w:i/>
          <w:iCs/>
        </w:rPr>
        <w:t xml:space="preserve"> </w:t>
      </w:r>
      <w:r>
        <w:rPr>
          <w:i/>
          <w:iCs/>
        </w:rPr>
        <w:t xml:space="preserve">LLMs</w:t>
      </w:r>
      <w:r>
        <w:rPr>
          <w:i/>
          <w:iCs/>
        </w:rPr>
        <w:t xml:space="preserve"> </w:t>
      </w:r>
      <w:r>
        <w:rPr>
          <w:i/>
          <w:iCs/>
        </w:rPr>
        <w:t xml:space="preserve">(</w:t>
      </w:r>
      <w:r>
        <w:rPr>
          <w:i/>
          <w:iCs/>
        </w:rPr>
        <w:t xml:space="preserve">Still</w:t>
      </w:r>
      <w:r>
        <w:rPr>
          <w:i/>
          <w:iCs/>
        </w:rPr>
        <w:t xml:space="preserve">)</w:t>
      </w:r>
      <w:r>
        <w:rPr>
          <w:i/>
          <w:iCs/>
        </w:rPr>
        <w:t xml:space="preserve"> </w:t>
      </w:r>
      <w:r>
        <w:rPr>
          <w:i/>
          <w:iCs/>
        </w:rPr>
        <w:t xml:space="preserve">Significantly Outperform Zero-Shot Generative AI Models</w:t>
      </w:r>
      <w:r>
        <w:rPr>
          <w:i/>
          <w:iCs/>
        </w:rPr>
        <w:t xml:space="preserve"> </w:t>
      </w:r>
      <w:r>
        <w:rPr>
          <w:i/>
          <w:iCs/>
        </w:rPr>
        <w:t xml:space="preserve">in</w:t>
      </w:r>
      <w:r>
        <w:rPr>
          <w:i/>
          <w:iCs/>
        </w:rPr>
        <w:t xml:space="preserve"> </w:t>
      </w:r>
      <w:r>
        <w:rPr>
          <w:i/>
          <w:iCs/>
        </w:rPr>
        <w:t xml:space="preserve">Text Classification</w:t>
      </w:r>
      <w:r>
        <w:t xml:space="preserve"> </w:t>
      </w:r>
      <w:r>
        <w:t xml:space="preserve">(arXiv:2406.08660). arXiv.</w:t>
      </w:r>
      <w:r>
        <w:t xml:space="preserve"> </w:t>
      </w:r>
      <w:hyperlink r:id="rId69">
        <w:r>
          <w:rPr>
            <w:rStyle w:val="Hyperlink"/>
          </w:rPr>
          <w:t xml:space="preserve">https://doi.org/10.48550/arXiv.2406.08660</w:t>
        </w:r>
      </w:hyperlink>
    </w:p>
    <w:bookmarkEnd w:id="70"/>
    <w:bookmarkStart w:id="71" w:name="ref-cummin_hussey25"/>
    <w:p>
      <w:pPr>
        <w:pStyle w:val="Bibliography"/>
      </w:pPr>
      <w:r>
        <w:t xml:space="preserve">Cummin, J., &amp; Hussey, I. (2025).</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1"/>
    <w:bookmarkStart w:id="72"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2"/>
    <w:bookmarkStart w:id="74"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3">
        <w:r>
          <w:rPr>
            <w:rStyle w:val="Hyperlink"/>
          </w:rPr>
          <w:t xml:space="preserve">https://doi.org/10.18653/v1/N19-1423</w:t>
        </w:r>
      </w:hyperlink>
    </w:p>
    <w:bookmarkEnd w:id="74"/>
    <w:bookmarkStart w:id="76"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5">
        <w:r>
          <w:rPr>
            <w:rStyle w:val="Hyperlink"/>
          </w:rPr>
          <w:t xml:space="preserve">https://doi.org/10.1037/h0044139</w:t>
        </w:r>
      </w:hyperlink>
    </w:p>
    <w:bookmarkEnd w:id="76"/>
    <w:bookmarkStart w:id="78"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77">
        <w:r>
          <w:rPr>
            <w:rStyle w:val="Hyperlink"/>
          </w:rPr>
          <w:t xml:space="preserve">https://doi.org/10.32614/CRAN.package.flextable</w:t>
        </w:r>
      </w:hyperlink>
    </w:p>
    <w:bookmarkEnd w:id="78"/>
    <w:bookmarkStart w:id="80"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79">
        <w:r>
          <w:rPr>
            <w:rStyle w:val="Hyperlink"/>
          </w:rPr>
          <w:t xml:space="preserve">https://doi.org/10.1053/j.seminhematol.2008.04.003</w:t>
        </w:r>
      </w:hyperlink>
    </w:p>
    <w:bookmarkEnd w:id="80"/>
    <w:bookmarkStart w:id="82" w:name="ref-greenland19"/>
    <w:p>
      <w:pPr>
        <w:pStyle w:val="Bibliography"/>
      </w:pPr>
      <w:r>
        <w:t xml:space="preserve">Greenland, S. (2019). Valid</w:t>
      </w:r>
      <w:r>
        <w:t xml:space="preserve"> </w:t>
      </w:r>
      <w:r>
        <w:rPr>
          <w:i/>
          <w:iCs/>
        </w:rPr>
        <w:t xml:space="preserve">P</w:t>
      </w:r>
      <w:r>
        <w:t xml:space="preserve"> </w:t>
      </w:r>
      <w:r>
        <w:t xml:space="preserve">-</w:t>
      </w:r>
      <w:r>
        <w:t xml:space="preserve">Values Behave Exactly</w:t>
      </w:r>
      <w:r>
        <w:t xml:space="preserve"> </w:t>
      </w:r>
      <w:r>
        <w:t xml:space="preserve">as</w:t>
      </w:r>
      <w:r>
        <w:t xml:space="preserve"> </w:t>
      </w:r>
      <w:r>
        <w:t xml:space="preserve">They Should</w:t>
      </w:r>
      <w:r>
        <w:t xml:space="preserve">:</w:t>
      </w:r>
      <w:r>
        <w:t xml:space="preserve"> </w:t>
      </w:r>
      <w:r>
        <w:t xml:space="preserve">Some Misleading Criticisms</w:t>
      </w:r>
      <w:r>
        <w:t xml:space="preserve"> </w:t>
      </w:r>
      <w:r>
        <w:t xml:space="preserve">of</w:t>
      </w:r>
      <w:r>
        <w:t xml:space="preserve"> </w:t>
      </w:r>
      <w:r>
        <w:rPr>
          <w:i/>
          <w:iCs/>
        </w:rPr>
        <w:t xml:space="preserve">P</w:t>
      </w:r>
      <w:r>
        <w:t xml:space="preserve"> </w:t>
      </w:r>
      <w:r>
        <w:t xml:space="preserve">-</w:t>
      </w:r>
      <w:r>
        <w:t xml:space="preserve">Values</w:t>
      </w:r>
      <w:r>
        <w:t xml:space="preserve"> </w:t>
      </w:r>
      <w:r>
        <w:t xml:space="preserve">and</w:t>
      </w:r>
      <w:r>
        <w:t xml:space="preserve"> </w:t>
      </w:r>
      <w:r>
        <w:t xml:space="preserve">Their Resolution With</w:t>
      </w:r>
      <w:r>
        <w:t xml:space="preserve"> </w:t>
      </w:r>
      <w:r>
        <w:rPr>
          <w:i/>
          <w:iCs/>
        </w:rPr>
        <w:t xml:space="preserve">S</w:t>
      </w:r>
      <w:r>
        <w:t xml:space="preserve"> </w:t>
      </w:r>
      <w:r>
        <w:t xml:space="preserve">-</w:t>
      </w:r>
      <w:r>
        <w:t xml:space="preserve">Values</w:t>
      </w:r>
      <w:r>
        <w:t xml:space="preserve">.</w:t>
      </w:r>
      <w:r>
        <w:t xml:space="preserve"> </w:t>
      </w:r>
      <w:r>
        <w:rPr>
          <w:i/>
          <w:iCs/>
        </w:rPr>
        <w:t xml:space="preserve">The American Statistician</w:t>
      </w:r>
      <w:r>
        <w:t xml:space="preserve">,</w:t>
      </w:r>
      <w:r>
        <w:t xml:space="preserve"> </w:t>
      </w:r>
      <w:r>
        <w:rPr>
          <w:i/>
          <w:iCs/>
        </w:rPr>
        <w:t xml:space="preserve">73</w:t>
      </w:r>
      <w:r>
        <w:t xml:space="preserve">(sup1), 106–114.</w:t>
      </w:r>
      <w:r>
        <w:t xml:space="preserve"> </w:t>
      </w:r>
      <w:hyperlink r:id="rId81">
        <w:r>
          <w:rPr>
            <w:rStyle w:val="Hyperlink"/>
          </w:rPr>
          <w:t xml:space="preserve">https://doi.org/10.1080/00031305.2018.1529625</w:t>
        </w:r>
      </w:hyperlink>
    </w:p>
    <w:bookmarkEnd w:id="82"/>
    <w:bookmarkStart w:id="84"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83">
        <w:r>
          <w:rPr>
            <w:rStyle w:val="Hyperlink"/>
          </w:rPr>
          <w:t xml:space="preserve">https://doi.org/10.1007/s10654-016-0149-3</w:t>
        </w:r>
      </w:hyperlink>
    </w:p>
    <w:bookmarkEnd w:id="84"/>
    <w:bookmarkStart w:id="86"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85">
        <w:r>
          <w:rPr>
            <w:rStyle w:val="Hyperlink"/>
          </w:rPr>
          <w:t xml:space="preserve">https://doi.org/10.1145/3458754</w:t>
        </w:r>
      </w:hyperlink>
    </w:p>
    <w:bookmarkEnd w:id="86"/>
    <w:bookmarkStart w:id="88"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7">
        <w:r>
          <w:rPr>
            <w:rStyle w:val="Hyperlink"/>
          </w:rPr>
          <w:t xml:space="preserve">https://doi.org/10.7287/peerj.preprints.26968v1</w:t>
        </w:r>
      </w:hyperlink>
    </w:p>
    <w:bookmarkEnd w:id="88"/>
    <w:bookmarkStart w:id="90"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89">
        <w:r>
          <w:rPr>
            <w:rStyle w:val="Hyperlink"/>
          </w:rPr>
          <w:t xml:space="preserve">https://doi.org/10.3758/BF03213921</w:t>
        </w:r>
      </w:hyperlink>
    </w:p>
    <w:bookmarkEnd w:id="90"/>
    <w:bookmarkStart w:id="92" w:name="ref-isager_fitzgerald25"/>
    <w:p>
      <w:pPr>
        <w:pStyle w:val="Bibliography"/>
      </w:pPr>
      <w:r>
        <w:t xml:space="preserve">Isager, P. M., &amp; Fitzgerald, J. (2025).</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91">
        <w:r>
          <w:rPr>
            <w:rStyle w:val="Hyperlink"/>
          </w:rPr>
          <w:t xml:space="preserve">https://doi.org/10.31234/osf.io/8y925</w:t>
        </w:r>
      </w:hyperlink>
    </w:p>
    <w:bookmarkEnd w:id="92"/>
    <w:bookmarkStart w:id="94" w:name="ref-R-magick"/>
    <w:p>
      <w:pPr>
        <w:pStyle w:val="Bibliography"/>
      </w:pPr>
      <w:r>
        <w:t xml:space="preserve">Jeroen, O. (2025).</w:t>
      </w:r>
      <w:r>
        <w:t xml:space="preserve"> </w:t>
      </w:r>
      <w:r>
        <w:rPr>
          <w:i/>
          <w:iCs/>
        </w:rPr>
        <w:t xml:space="preserve">Magick:</w:t>
      </w:r>
      <w:r>
        <w:rPr>
          <w:i/>
          <w:iCs/>
        </w:rPr>
        <w:t xml:space="preserve"> </w:t>
      </w:r>
      <w:r>
        <w:rPr>
          <w:i/>
          <w:iCs/>
        </w:rPr>
        <w:t xml:space="preserve">Advanced Graphics</w:t>
      </w:r>
      <w:r>
        <w:rPr>
          <w:i/>
          <w:iCs/>
        </w:rPr>
        <w:t xml:space="preserve"> </w:t>
      </w:r>
      <w:r>
        <w:rPr>
          <w:i/>
          <w:iCs/>
        </w:rPr>
        <w:t xml:space="preserve">and</w:t>
      </w:r>
      <w:r>
        <w:rPr>
          <w:i/>
          <w:iCs/>
        </w:rPr>
        <w:t xml:space="preserve"> </w:t>
      </w:r>
      <w:r>
        <w:rPr>
          <w:i/>
          <w:iCs/>
        </w:rPr>
        <w:t xml:space="preserve">Image-Processing</w:t>
      </w:r>
      <w:r>
        <w:rPr>
          <w:i/>
          <w:iCs/>
        </w:rPr>
        <w:t xml:space="preserve"> </w:t>
      </w:r>
      <w:r>
        <w:rPr>
          <w:i/>
          <w:iCs/>
        </w:rPr>
        <w:t xml:space="preserve">in</w:t>
      </w:r>
      <w:r>
        <w:rPr>
          <w:i/>
          <w:iCs/>
        </w:rPr>
        <w:t xml:space="preserve"> </w:t>
      </w:r>
      <w:r>
        <w:rPr>
          <w:i/>
          <w:iCs/>
        </w:rPr>
        <w:t xml:space="preserve">R</w:t>
      </w:r>
      <w:r>
        <w:t xml:space="preserve"> </w:t>
      </w:r>
      <w:r>
        <w:t xml:space="preserve">[Manual].</w:t>
      </w:r>
      <w:r>
        <w:t xml:space="preserve"> </w:t>
      </w:r>
      <w:hyperlink r:id="rId93">
        <w:r>
          <w:rPr>
            <w:rStyle w:val="Hyperlink"/>
          </w:rPr>
          <w:t xml:space="preserve">https://doi.org/10.32614/CRAN.package.magick</w:t>
        </w:r>
      </w:hyperlink>
    </w:p>
    <w:bookmarkEnd w:id="94"/>
    <w:bookmarkStart w:id="96"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95">
        <w:r>
          <w:rPr>
            <w:rStyle w:val="Hyperlink"/>
          </w:rPr>
          <w:t xml:space="preserve">https://doi.org/10.1177/1745691620958012</w:t>
        </w:r>
      </w:hyperlink>
    </w:p>
    <w:bookmarkEnd w:id="96"/>
    <w:bookmarkStart w:id="98"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7">
        <w:r>
          <w:rPr>
            <w:rStyle w:val="Hyperlink"/>
          </w:rPr>
          <w:t xml:space="preserve">https://doi.org/10.1038/s41562-018-0311-x</w:t>
        </w:r>
      </w:hyperlink>
    </w:p>
    <w:bookmarkEnd w:id="98"/>
    <w:bookmarkStart w:id="100"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99">
        <w:r>
          <w:rPr>
            <w:rStyle w:val="Hyperlink"/>
          </w:rPr>
          <w:t xml:space="preserve">https://doi.org/10.1080/00031305.2018.1527253</w:t>
        </w:r>
      </w:hyperlink>
    </w:p>
    <w:bookmarkEnd w:id="100"/>
    <w:bookmarkStart w:id="101" w:name="ref-more25"/>
    <w:p>
      <w:pPr>
        <w:pStyle w:val="Bibliography"/>
      </w:pPr>
      <w:r>
        <w:t xml:space="preserve">More, R. (2025).</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 Using Hugging Face Transformers</w:t>
      </w:r>
      <w:r>
        <w:t xml:space="preserve">.</w:t>
      </w:r>
    </w:p>
    <w:bookmarkEnd w:id="101"/>
    <w:bookmarkStart w:id="103" w:name="ref-murphy_etal25"/>
    <w:p>
      <w:pPr>
        <w:pStyle w:val="Bibliography"/>
      </w:pPr>
      <w:r>
        <w:t xml:space="preserve">Murphy, S. L., Merz, R., Reimann, L.-E., &amp; Fernández, A. (2025). Nonsignificance misinterpreted as an effect’s absence in psychology:</w:t>
      </w:r>
      <w:r>
        <w:t xml:space="preserve"> </w:t>
      </w:r>
      <w:r>
        <w:t xml:space="preserve">Prevalence</w:t>
      </w:r>
      <w:r>
        <w:t xml:space="preserve"> </w:t>
      </w:r>
      <w:r>
        <w:t xml:space="preserve">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102">
        <w:r>
          <w:rPr>
            <w:rStyle w:val="Hyperlink"/>
          </w:rPr>
          <w:t xml:space="preserve">https://doi.org/10.1098/rsos.242167</w:t>
        </w:r>
      </w:hyperlink>
    </w:p>
    <w:bookmarkEnd w:id="103"/>
    <w:bookmarkStart w:id="104"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w:t>
      </w:r>
      <w:r>
        <w:rPr>
          <w:i/>
          <w:iCs/>
        </w:rPr>
        <w:t xml:space="preserve">Values</w:t>
      </w:r>
      <w:r>
        <w:rPr>
          <w:i/>
          <w:iCs/>
        </w:rPr>
        <w:t xml:space="preserve">.</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04"/>
    <w:bookmarkStart w:id="105"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05"/>
    <w:bookmarkStart w:id="107" w:name="ref-R-showtext"/>
    <w:p>
      <w:pPr>
        <w:pStyle w:val="Bibliography"/>
      </w:pPr>
      <w:r>
        <w:t xml:space="preserve">Qiu, Y., &amp; for details., authors/contributors. of the included software. S. file A.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06">
        <w:r>
          <w:rPr>
            <w:rStyle w:val="Hyperlink"/>
          </w:rPr>
          <w:t xml:space="preserve">https://doi.org/10.32614/CRAN.package.showtext</w:t>
        </w:r>
      </w:hyperlink>
    </w:p>
    <w:bookmarkEnd w:id="107"/>
    <w:bookmarkStart w:id="109"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08">
        <w:r>
          <w:rPr>
            <w:rStyle w:val="Hyperlink"/>
          </w:rPr>
          <w:t xml:space="preserve">https://doi.org/10.1080/00031305.1996.10474380</w:t>
        </w:r>
      </w:hyperlink>
    </w:p>
    <w:bookmarkEnd w:id="109"/>
    <w:bookmarkStart w:id="110"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w:t>
      </w:r>
    </w:p>
    <w:bookmarkEnd w:id="110"/>
    <w:bookmarkStart w:id="111" w:name="ref-talebi24"/>
    <w:p>
      <w:pPr>
        <w:pStyle w:val="Bibliography"/>
      </w:pPr>
      <w:r>
        <w:t xml:space="preserve">Talebi, S. (2024).</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w:t>
      </w:r>
      <w:r>
        <w:t xml:space="preserve">.</w:t>
      </w:r>
    </w:p>
    <w:bookmarkEnd w:id="111"/>
    <w:bookmarkStart w:id="112"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12"/>
    <w:bookmarkStart w:id="113" w:name="ref-vanabkoude25"/>
    <w:p>
      <w:pPr>
        <w:pStyle w:val="Bibliography"/>
      </w:pPr>
      <w:r>
        <w:t xml:space="preserve">van Abkoude, T. (2025).</w:t>
      </w:r>
      <w:r>
        <w:t xml:space="preserve"> </w:t>
      </w:r>
      <w:r>
        <w:rPr>
          <w:i/>
          <w:iCs/>
        </w:rPr>
        <w:t xml:space="preserve">Causal</w:t>
      </w:r>
      <w:r>
        <w:rPr>
          <w:i/>
          <w:iCs/>
        </w:rPr>
        <w:t xml:space="preserve"> </w:t>
      </w:r>
      <w:r>
        <w:rPr>
          <w:i/>
          <w:iCs/>
        </w:rPr>
        <w:t xml:space="preserve">Confusion</w:t>
      </w:r>
      <w:r>
        <w:rPr>
          <w:i/>
          <w:iCs/>
        </w:rPr>
        <w:t xml:space="preserve">:</w:t>
      </w:r>
      <w:r>
        <w:rPr>
          <w:i/>
          <w:iCs/>
        </w:rPr>
        <w:t xml:space="preserve"> </w:t>
      </w:r>
      <w:r>
        <w:rPr>
          <w:i/>
          <w:iCs/>
        </w:rPr>
        <w:t xml:space="preserve">How LLMs Can Improve Causal Language</w:t>
      </w:r>
      <w:r>
        <w:rPr>
          <w:i/>
          <w:iCs/>
        </w:rPr>
        <w:t xml:space="preserve"> </w:t>
      </w:r>
      <w:r>
        <w:rPr>
          <w:i/>
          <w:iCs/>
        </w:rPr>
        <w:t xml:space="preserve">in</w:t>
      </w:r>
      <w:r>
        <w:rPr>
          <w:i/>
          <w:iCs/>
        </w:rPr>
        <w:t xml:space="preserve"> </w:t>
      </w:r>
      <w:r>
        <w:rPr>
          <w:i/>
          <w:iCs/>
        </w:rPr>
        <w:t xml:space="preserve">Research Communication</w:t>
      </w:r>
      <w:r>
        <w:t xml:space="preserve"> </w:t>
      </w:r>
      <w:r>
        <w:t xml:space="preserve">[Master's {{Thesis}}].</w:t>
      </w:r>
    </w:p>
    <w:bookmarkEnd w:id="113"/>
    <w:bookmarkStart w:id="115"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14">
        <w:r>
          <w:rPr>
            <w:rStyle w:val="Hyperlink"/>
          </w:rPr>
          <w:t xml:space="preserve">https://doi.org/10.3758/BF03194105</w:t>
        </w:r>
      </w:hyperlink>
    </w:p>
    <w:bookmarkEnd w:id="115"/>
    <w:bookmarkStart w:id="117"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6">
        <w:r>
          <w:rPr>
            <w:rStyle w:val="Hyperlink"/>
          </w:rPr>
          <w:t xml:space="preserve">https://doi.org/10.21105/joss.01686</w:t>
        </w:r>
      </w:hyperlink>
    </w:p>
    <w:bookmarkEnd w:id="117"/>
    <w:bookmarkStart w:id="119"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18">
        <w:r>
          <w:rPr>
            <w:rStyle w:val="Hyperlink"/>
          </w:rPr>
          <w:t xml:space="preserve">https://doi.org/10.32614/CRAN.package.readxl</w:t>
        </w:r>
      </w:hyperlink>
    </w:p>
    <w:bookmarkEnd w:id="119"/>
    <w:bookmarkStart w:id="120"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20"/>
    <w:bookmarkEnd w:id="121"/>
    <w:bookmarkEnd w:id="12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In a final Papercheck module, users will be able to set the alpha level they used themselves, thus allowing other levels than the conventional 5%.</w:t>
      </w:r>
    </w:p>
  </w:footnote>
  <w:footnote w:id="37">
    <w:p>
      <w:pPr>
        <w:pStyle w:val="FootnoteText"/>
      </w:pPr>
      <w:r>
        <w:rPr>
          <w:rStyle w:val="FootnoteReference"/>
        </w:rPr>
        <w:footnoteRef/>
      </w:r>
      <w:r>
        <w:t xml:space="preserve"> </w:t>
      </w:r>
      <w:r>
        <w:t xml:space="preserve">I could not find one statement that was extracted automatically in the artilce’s pdf. My current theory is that this was an artifact from when the pdf was compiled and might be from a different article even, once again highlighting how impractical the pdf format is in times of increasing automation.</w:t>
      </w:r>
    </w:p>
  </w:footnote>
  <w:footnote w:id="55">
    <w:p>
      <w:pPr>
        <w:pStyle w:val="FootnoteText"/>
      </w:pPr>
      <w:r>
        <w:rPr>
          <w:rStyle w:val="FootnoteReference"/>
        </w:rPr>
        <w:footnoteRef/>
      </w:r>
      <w:r>
        <w:t xml:space="preserve"> </w:t>
      </w:r>
      <w:r>
        <w:t xml:space="preserve">You can simply clone the GitHub repository, adjust statements’ labels that you think are incorrect and re-run the training scripts to get all results and plots showing the models performance!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21" Target="media/rId21.svg" /><Relationship Type="http://schemas.openxmlformats.org/officeDocument/2006/relationships/hyperlink" Id="rId83" Target="https://doi.org/10.1007/s10654-016-0149-3" TargetMode="External" /><Relationship Type="http://schemas.openxmlformats.org/officeDocument/2006/relationships/hyperlink" Id="rId75" Target="https://doi.org/10.1037/h0044139" TargetMode="External" /><Relationship Type="http://schemas.openxmlformats.org/officeDocument/2006/relationships/hyperlink" Id="rId63" Target="https://doi.org/10.1038/d41586-019-00857-9" TargetMode="External" /><Relationship Type="http://schemas.openxmlformats.org/officeDocument/2006/relationships/hyperlink" Id="rId97" Target="https://doi.org/10.1038/s41562-018-0311-x" TargetMode="External" /><Relationship Type="http://schemas.openxmlformats.org/officeDocument/2006/relationships/hyperlink" Id="rId79" Target="https://doi.org/10.1053/j.seminhematol.2008.04.003" TargetMode="External" /><Relationship Type="http://schemas.openxmlformats.org/officeDocument/2006/relationships/hyperlink" Id="rId108" Target="https://doi.org/10.1080/00031305.1996.10474380" TargetMode="External" /><Relationship Type="http://schemas.openxmlformats.org/officeDocument/2006/relationships/hyperlink" Id="rId99" Target="https://doi.org/10.1080/00031305.2018.1527253" TargetMode="External" /><Relationship Type="http://schemas.openxmlformats.org/officeDocument/2006/relationships/hyperlink" Id="rId81" Target="https://doi.org/10.1080/00031305.2018.1529625" TargetMode="External" /><Relationship Type="http://schemas.openxmlformats.org/officeDocument/2006/relationships/hyperlink" Id="rId102" Target="https://doi.org/10.1098/rsos.242167" TargetMode="External" /><Relationship Type="http://schemas.openxmlformats.org/officeDocument/2006/relationships/hyperlink" Id="rId85" Target="https://doi.org/10.1145/3458754" TargetMode="External" /><Relationship Type="http://schemas.openxmlformats.org/officeDocument/2006/relationships/hyperlink" Id="rId95" Target="https://doi.org/10.1177/1745691620958012" TargetMode="External" /><Relationship Type="http://schemas.openxmlformats.org/officeDocument/2006/relationships/hyperlink" Id="rId61" Target="https://doi.org/10.1177/2515245918773742" TargetMode="External" /><Relationship Type="http://schemas.openxmlformats.org/officeDocument/2006/relationships/hyperlink" Id="rId73" Target="https://doi.org/10.18653/v1/N19-1423" TargetMode="External" /><Relationship Type="http://schemas.openxmlformats.org/officeDocument/2006/relationships/hyperlink" Id="rId116" Target="https://doi.org/10.21105/joss.01686" TargetMode="External" /><Relationship Type="http://schemas.openxmlformats.org/officeDocument/2006/relationships/hyperlink" Id="rId91" Target="https://doi.org/10.31234/osf.io/8y925" TargetMode="External" /><Relationship Type="http://schemas.openxmlformats.org/officeDocument/2006/relationships/hyperlink" Id="rId77" Target="https://doi.org/10.32614/CRAN.package.flextable" TargetMode="External" /><Relationship Type="http://schemas.openxmlformats.org/officeDocument/2006/relationships/hyperlink" Id="rId93" Target="https://doi.org/10.32614/CRAN.package.magick" TargetMode="External" /><Relationship Type="http://schemas.openxmlformats.org/officeDocument/2006/relationships/hyperlink" Id="rId65" Target="https://doi.org/10.32614/CRAN.package.papaja" TargetMode="External" /><Relationship Type="http://schemas.openxmlformats.org/officeDocument/2006/relationships/hyperlink" Id="rId118" Target="https://doi.org/10.32614/CRAN.package.readxl" TargetMode="External" /><Relationship Type="http://schemas.openxmlformats.org/officeDocument/2006/relationships/hyperlink" Id="rId106" Target="https://doi.org/10.32614/CRAN.package.showtext" TargetMode="External" /><Relationship Type="http://schemas.openxmlformats.org/officeDocument/2006/relationships/hyperlink" Id="rId114" Target="https://doi.org/10.3758/BF03194105" TargetMode="External" /><Relationship Type="http://schemas.openxmlformats.org/officeDocument/2006/relationships/hyperlink" Id="rId89" Target="https://doi.org/10.3758/BF03213921" TargetMode="External" /><Relationship Type="http://schemas.openxmlformats.org/officeDocument/2006/relationships/hyperlink" Id="rId67" Target="https://doi.org/10.48550/ARXIV.1903.10676" TargetMode="External" /><Relationship Type="http://schemas.openxmlformats.org/officeDocument/2006/relationships/hyperlink" Id="rId69" Target="https://doi.org/10.48550/arXiv.2406.08660" TargetMode="External" /><Relationship Type="http://schemas.openxmlformats.org/officeDocument/2006/relationships/hyperlink" Id="rId87" Target="https://doi.org/10.7287/peerj.preprints.26968v1"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7/s10654-016-0149-3" TargetMode="External" /><Relationship Type="http://schemas.openxmlformats.org/officeDocument/2006/relationships/hyperlink" Id="rId75" Target="https://doi.org/10.1037/h0044139" TargetMode="External" /><Relationship Type="http://schemas.openxmlformats.org/officeDocument/2006/relationships/hyperlink" Id="rId63" Target="https://doi.org/10.1038/d41586-019-00857-9" TargetMode="External" /><Relationship Type="http://schemas.openxmlformats.org/officeDocument/2006/relationships/hyperlink" Id="rId97" Target="https://doi.org/10.1038/s41562-018-0311-x" TargetMode="External" /><Relationship Type="http://schemas.openxmlformats.org/officeDocument/2006/relationships/hyperlink" Id="rId79" Target="https://doi.org/10.1053/j.seminhematol.2008.04.003" TargetMode="External" /><Relationship Type="http://schemas.openxmlformats.org/officeDocument/2006/relationships/hyperlink" Id="rId108" Target="https://doi.org/10.1080/00031305.1996.10474380" TargetMode="External" /><Relationship Type="http://schemas.openxmlformats.org/officeDocument/2006/relationships/hyperlink" Id="rId99" Target="https://doi.org/10.1080/00031305.2018.1527253" TargetMode="External" /><Relationship Type="http://schemas.openxmlformats.org/officeDocument/2006/relationships/hyperlink" Id="rId81" Target="https://doi.org/10.1080/00031305.2018.1529625" TargetMode="External" /><Relationship Type="http://schemas.openxmlformats.org/officeDocument/2006/relationships/hyperlink" Id="rId102" Target="https://doi.org/10.1098/rsos.242167" TargetMode="External" /><Relationship Type="http://schemas.openxmlformats.org/officeDocument/2006/relationships/hyperlink" Id="rId85" Target="https://doi.org/10.1145/3458754" TargetMode="External" /><Relationship Type="http://schemas.openxmlformats.org/officeDocument/2006/relationships/hyperlink" Id="rId95" Target="https://doi.org/10.1177/1745691620958012" TargetMode="External" /><Relationship Type="http://schemas.openxmlformats.org/officeDocument/2006/relationships/hyperlink" Id="rId61" Target="https://doi.org/10.1177/2515245918773742" TargetMode="External" /><Relationship Type="http://schemas.openxmlformats.org/officeDocument/2006/relationships/hyperlink" Id="rId73" Target="https://doi.org/10.18653/v1/N19-1423" TargetMode="External" /><Relationship Type="http://schemas.openxmlformats.org/officeDocument/2006/relationships/hyperlink" Id="rId116" Target="https://doi.org/10.21105/joss.01686" TargetMode="External" /><Relationship Type="http://schemas.openxmlformats.org/officeDocument/2006/relationships/hyperlink" Id="rId91" Target="https://doi.org/10.31234/osf.io/8y925" TargetMode="External" /><Relationship Type="http://schemas.openxmlformats.org/officeDocument/2006/relationships/hyperlink" Id="rId77" Target="https://doi.org/10.32614/CRAN.package.flextable" TargetMode="External" /><Relationship Type="http://schemas.openxmlformats.org/officeDocument/2006/relationships/hyperlink" Id="rId93" Target="https://doi.org/10.32614/CRAN.package.magick" TargetMode="External" /><Relationship Type="http://schemas.openxmlformats.org/officeDocument/2006/relationships/hyperlink" Id="rId65" Target="https://doi.org/10.32614/CRAN.package.papaja" TargetMode="External" /><Relationship Type="http://schemas.openxmlformats.org/officeDocument/2006/relationships/hyperlink" Id="rId118" Target="https://doi.org/10.32614/CRAN.package.readxl" TargetMode="External" /><Relationship Type="http://schemas.openxmlformats.org/officeDocument/2006/relationships/hyperlink" Id="rId106" Target="https://doi.org/10.32614/CRAN.package.showtext" TargetMode="External" /><Relationship Type="http://schemas.openxmlformats.org/officeDocument/2006/relationships/hyperlink" Id="rId114" Target="https://doi.org/10.3758/BF03194105" TargetMode="External" /><Relationship Type="http://schemas.openxmlformats.org/officeDocument/2006/relationships/hyperlink" Id="rId89" Target="https://doi.org/10.3758/BF03213921" TargetMode="External" /><Relationship Type="http://schemas.openxmlformats.org/officeDocument/2006/relationships/hyperlink" Id="rId67" Target="https://doi.org/10.48550/ARXIV.1903.10676" TargetMode="External" /><Relationship Type="http://schemas.openxmlformats.org/officeDocument/2006/relationships/hyperlink" Id="rId69" Target="https://doi.org/10.48550/arXiv.2406.08660" TargetMode="External" /><Relationship Type="http://schemas.openxmlformats.org/officeDocument/2006/relationships/hyperlink" Id="rId87" Target="https://doi.org/10.7287/peerj.preprints.26968v1"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2025-08-23T12:08:11Z</dcterms:created>
  <dcterms:modified xsi:type="dcterms:W3CDTF">2025-08-23T12:08:11Z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widespread in scientific reporting, despite decades of educational efforts and reform initiatives. One of the most common and consequential errors is interpreting a statistically nonsignificant result (e.g., p &gt; .05) as evidence for the absence of an effect—a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an automated approach: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performed well, with SciBERT achieving the highest macro F1 score of .91. Finally, the optional correction step proved effective in a validation set of 80 incorrect and 20 correcct statements: 85 statements were correctly phrased after LLM-based revision. These results demonstrate that automation can effectively address this specific misinterpretation and offer a flexible foundation for tackling similar issues in scientific writing and meta-research.</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