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df" ContentType="application/pdf"/>
  <Override PartName="/word/media/rId43.pdf" ContentType="application/pdf"/>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a highly prevalent issue in scientific reporting, despite decades of educational efforts and reform initiatives. Among the most frequent and consequential misinterpretations is the conclusion that a statistically nonsignificant result (e.g.,</w:t>
      </w:r>
      <w:r>
        <w:t xml:space="preserve"> </w:t>
      </w:r>
      <w:r>
        <w:rPr>
          <w:i/>
          <w:iCs/>
        </w:rPr>
        <w:t xml:space="preserve">p</w:t>
      </w:r>
      <w:r>
        <w:t xml:space="preserve"> </w:t>
      </w:r>
      <w:r>
        <w:t xml:space="preserve">&gt;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bookmarkEnd w:id="28"/>
    <w:bookmarkStart w:id="34"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 (NHST)</w:t>
      </w:r>
      <w:r>
        <w:t xml:space="preserve"> </w:t>
      </w:r>
      <w:r>
        <w:t xml:space="preserve">(</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(e.g.,</w:t>
      </w:r>
      <w:r>
        <w:t xml:space="preserve"> </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(e.g.,</w:t>
      </w:r>
      <w:r>
        <w:t xml:space="preserve"> </w:t>
      </w:r>
      <w:hyperlink w:anchor="ref-isager_fitzgerald24">
        <w:r>
          <w:rPr>
            <w:rStyle w:val="Hyperlink"/>
          </w:rPr>
          <w:t xml:space="preserve">Isager &amp; Fitzgerald, 2024</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(e.g.,</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Why is that? What makes interpreting</w:t>
      </w:r>
      <w:r>
        <w:t xml:space="preserve"> </w:t>
      </w:r>
      <w:r>
        <w:rPr>
          <w:i/>
          <w:iCs/>
        </w:rPr>
        <w:t xml:space="preserve">p</w:t>
      </w:r>
      <w:r>
        <w:t xml:space="preserve"> </w:t>
      </w:r>
      <w:r>
        <w:t xml:space="preserve">values so persistently difficult? Which practical solutions or promising approaches might help? And are some of the proposed</w:t>
      </w:r>
      <w:r>
        <w:t xml:space="preserve"> </w:t>
      </w:r>
      <w:r>
        <w:t xml:space="preserve">‘misinterpretation checklists’</w:t>
      </w:r>
      <w:r>
        <w:t xml:space="preserve"> </w:t>
      </w:r>
      <w:r>
        <w:t xml:space="preserve">perhaps less informative than their authors would hope?</w:t>
      </w:r>
    </w:p>
    <w:p>
      <w:pPr>
        <w:pStyle w:val="BodyText"/>
      </w:pPr>
      <w:r>
        <w:t xml:space="preserve">In this master’s thesis, I show how rule-based approaches, combined with natural language processing (NLP) can be used to automatically detect, classify, and correct these misinterpretation. I show this for the misinterpretation of statistically nonsignificant results as the absence of an effect because it is the most extensively researched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and I have experience in classifying them from a previous project</w:t>
      </w:r>
      <w:r>
        <w:t xml:space="preserve"> </w:t>
      </w:r>
      <w:r>
        <w:t xml:space="preserve">(</w:t>
      </w:r>
      <w:hyperlink w:anchor="ref-murphy_etal25">
        <w:r>
          <w:rPr>
            <w:rStyle w:val="Hyperlink"/>
          </w:rPr>
          <w:t xml:space="preserve">Murphy et al., 2025</w:t>
        </w:r>
      </w:hyperlink>
      <w:r>
        <w:t xml:space="preserve">)</w:t>
      </w:r>
      <w:r>
        <w:t xml:space="preserve">. That said, the general framework I propose can be easily adapted to address other misinterpretations, also beyond</w:t>
      </w:r>
      <w:r>
        <w:t xml:space="preserve"> </w:t>
      </w:r>
      <w:r>
        <w:rPr>
          <w:i/>
          <w:iCs/>
        </w:rPr>
        <w:t xml:space="preserve">p</w:t>
      </w:r>
      <w:r>
        <w:t xml:space="preserve"> </w:t>
      </w:r>
      <w:r>
        <w:t xml:space="preserve">values.</w:t>
      </w:r>
    </w:p>
    <w:bookmarkStart w:id="30" w:name="common-misinterpretations-of-p-values"/>
    <w:p>
      <w:pPr>
        <w:pStyle w:val="Heading2"/>
      </w:pPr>
      <w:r>
        <w:t xml:space="preserve">1.1 Common Misinterpretations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Reviewing these, I come to the conclusion that there are four distinct types of misconceptions about</w:t>
      </w:r>
      <w:r>
        <w:t xml:space="preserve"> </w:t>
      </w:r>
      <w:r>
        <w:rPr>
          <w:i/>
          <w:iCs/>
        </w:rPr>
        <w:t xml:space="preserve">p</w:t>
      </w:r>
      <w:r>
        <w:t xml:space="preserve"> </w:t>
      </w:r>
      <w:r>
        <w:t xml:space="preserve">values that seem to be at play:</w:t>
      </w:r>
    </w:p>
    <w:p>
      <w:pPr>
        <w:pStyle w:val="BodyText"/>
      </w:pPr>
      <w:r>
        <w:t xml:space="preserve">XXX</w:t>
      </w:r>
    </w:p>
    <w:p>
      <w:pPr>
        <w:pStyle w:val="BodyText"/>
      </w:pPr>
      <w:r>
        <w:t xml:space="preserve">In my master thesis, I will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is and remains highly prevalent across time and sub-domains of psychology</w:t>
      </w:r>
      <w:r>
        <w:t xml:space="preserve"> </w:t>
      </w:r>
      <w:r>
        <w:t xml:space="preserve">(e.g.,</w:t>
      </w:r>
      <w:r>
        <w:t xml:space="preserve"> </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In fact, in a recently published article investigating articles published in 2009, 2015, and 2021 across ten different psychology journals (mainly in the field of personality and social psychology),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This study highlights that the situation seems not to have greatly improved despite many researchers exploring new analysis techniques</w:t>
      </w:r>
      <w:r>
        <w:t xml:space="preserve"> </w:t>
      </w:r>
      <w:r>
        <w:t xml:space="preserve">(e.g.,</w:t>
      </w:r>
      <w:r>
        <w:t xml:space="preserve"> </w:t>
      </w:r>
      <w:hyperlink w:anchor="ref-lakens_etal18">
        <w:r>
          <w:rPr>
            <w:rStyle w:val="Hyperlink"/>
          </w:rPr>
          <w:t xml:space="preserve">Lakens et al., 2018</w:t>
        </w:r>
      </w:hyperlink>
      <w:r>
        <w:t xml:space="preserve">)</w:t>
      </w:r>
      <w:r>
        <w:t xml:space="preserve"> </w:t>
      </w:r>
      <w:r>
        <w:t xml:space="preserve">and continuous calls to reflect on interpretations of nonsignificant results</w:t>
      </w:r>
      <w:r>
        <w:t xml:space="preserve"> </w:t>
      </w:r>
      <w:r>
        <w:t xml:space="preserve">(e.g.,</w:t>
      </w:r>
      <w:r>
        <w:t xml:space="preserve"> </w:t>
      </w:r>
      <w:hyperlink w:anchor="ref-mcshane_etal19">
        <w:r>
          <w:rPr>
            <w:rStyle w:val="Hyperlink"/>
          </w:rPr>
          <w:t xml:space="preserve">McShane et al., 2019</w:t>
        </w:r>
      </w:hyperlink>
      <w:r>
        <w:t xml:space="preserve">)</w:t>
      </w:r>
      <w:r>
        <w:t xml:space="preserve">.</w:t>
      </w:r>
    </w:p>
    <w:bookmarkStart w:id="29" w:name="the-big-four-p-value-misinterpretations"/>
    <w:p>
      <w:pPr>
        <w:pStyle w:val="Heading3"/>
      </w:pPr>
      <w:r>
        <w:t xml:space="preserve">1.1.1 The Big-Four</w:t>
      </w:r>
      <w:r>
        <w:t xml:space="preserve"> </w:t>
      </w:r>
      <w:r>
        <w:rPr>
          <w:i/>
          <w:iCs/>
        </w:rPr>
        <w:t xml:space="preserve">p</w:t>
      </w:r>
      <w:r>
        <w:t xml:space="preserve"> </w:t>
      </w:r>
      <w:r>
        <w:t xml:space="preserve">value misinterpretations</w:t>
      </w:r>
    </w:p>
    <w:p>
      <w:pPr>
        <w:pStyle w:val="FirstParagraph"/>
      </w:pPr>
      <w:r>
        <w:t xml:space="preserve">In preparation for this thesis project, I reviewed many of the previously reported misinterpretations of</w:t>
      </w:r>
      <w:r>
        <w:t xml:space="preserve"> </w:t>
      </w:r>
      <w:r>
        <w:rPr>
          <w:i/>
          <w:iCs/>
        </w:rPr>
        <w:t xml:space="preserve">p</w:t>
      </w:r>
      <w:r>
        <w:t xml:space="preserve"> </w:t>
      </w:r>
      <w:r>
        <w:t xml:space="preserve">values</w:t>
      </w:r>
      <w:r>
        <w:t xml:space="preserve"> </w:t>
      </w:r>
      <w:r>
        <w:t xml:space="preserve">(e.g.,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 chapter 1.7 from</w:t>
      </w:r>
      <w:r>
        <w:t xml:space="preserve"> </w:t>
      </w:r>
      <w:hyperlink w:anchor="ref-lakens24a">
        <w:r>
          <w:rPr>
            <w:rStyle w:val="Hyperlink"/>
          </w:rPr>
          <w:t xml:space="preserve">Lakens, 2024</w:t>
        </w:r>
      </w:hyperlink>
      <w:r>
        <w:t xml:space="preserve">)</w:t>
      </w:r>
      <w:r>
        <w:t xml:space="preserve"> </w:t>
      </w:r>
      <w:r>
        <w:t xml:space="preserve">and categorize them into four main groups:</w:t>
      </w:r>
    </w:p>
    <w:p>
      <w:pPr>
        <w:pStyle w:val="Compact"/>
        <w:numPr>
          <w:ilvl w:val="0"/>
          <w:numId w:val="1001"/>
        </w:numPr>
      </w:pPr>
      <w:r>
        <w:rPr>
          <w:i/>
          <w:iCs/>
        </w:rPr>
        <w:t xml:space="preserve">p</w:t>
      </w:r>
      <w:r>
        <w:t xml:space="preserve"> </w:t>
      </w:r>
      <w:r>
        <w:t xml:space="preserve">values as hypothesis probabilities</w:t>
      </w:r>
    </w:p>
    <w:p>
      <w:pPr>
        <w:pStyle w:val="Compact"/>
        <w:numPr>
          <w:ilvl w:val="0"/>
          <w:numId w:val="1001"/>
        </w:numPr>
      </w:pPr>
      <w:r>
        <w:t xml:space="preserve">Blending statistical and practical significance</w:t>
      </w:r>
    </w:p>
    <w:p>
      <w:pPr>
        <w:pStyle w:val="Compact"/>
        <w:numPr>
          <w:ilvl w:val="0"/>
          <w:numId w:val="1001"/>
        </w:numPr>
      </w:pPr>
      <w:r>
        <w:rPr>
          <w:i/>
          <w:iCs/>
        </w:rPr>
        <w:t xml:space="preserve">p</w:t>
      </w:r>
      <w:r>
        <w:t xml:space="preserve"> </w:t>
      </w:r>
      <w:r>
        <w:t xml:space="preserve">values as measures of replicability or error rates</w:t>
      </w:r>
    </w:p>
    <w:p>
      <w:pPr>
        <w:pStyle w:val="Compact"/>
        <w:numPr>
          <w:ilvl w:val="0"/>
          <w:numId w:val="1001"/>
        </w:numPr>
      </w:pPr>
      <w:r>
        <w:t xml:space="preserve">Technical misunderstandings about</w:t>
      </w:r>
      <w:r>
        <w:t xml:space="preserve"> </w:t>
      </w:r>
      <w:r>
        <w:rPr>
          <w:i/>
          <w:iCs/>
        </w:rPr>
        <w:t xml:space="preserve">p</w:t>
      </w:r>
      <w:r>
        <w:t xml:space="preserve"> </w:t>
      </w:r>
      <w:r>
        <w:t xml:space="preserve">values</w:t>
      </w:r>
    </w:p>
    <w:p>
      <w:pPr>
        <w:pStyle w:val="FirstParagraph"/>
      </w:pPr>
      <w:r>
        <w:t xml:space="preserve">I argue that many of these published</w:t>
      </w:r>
      <w:r>
        <w:t xml:space="preserve"> </w:t>
      </w:r>
      <w:r>
        <w:t xml:space="preserve">‘misinterpretation checklists’</w:t>
      </w:r>
      <w:r>
        <w:t xml:space="preserve"> </w:t>
      </w:r>
      <w:r>
        <w:t xml:space="preserve">largely reiterate similar underlying misconceptions, often merely rephrasing what is, at its core, the same fundamental issue. While I will elaborate on this reasoning in the final thesis more, for the purposes of this proposal, I focus on the first category.</w:t>
      </w:r>
    </w:p>
    <w:p>
      <w:pPr>
        <w:pStyle w:val="BodyText"/>
      </w:pPr>
      <w:r>
        <w:t xml:space="preserve">This misinterpretation refers to the tendency of researchers to treat</w:t>
      </w:r>
      <w:r>
        <w:t xml:space="preserve"> </w:t>
      </w:r>
      <w:r>
        <w:rPr>
          <w:i/>
          <w:iCs/>
        </w:rPr>
        <w:t xml:space="preserve">p</w:t>
      </w:r>
      <w:r>
        <w:t xml:space="preserve"> </w:t>
      </w:r>
      <w:r>
        <w:t xml:space="preserve">values as if they represented the probability that the null (or alternative) hypothesis is true. Researchers who follow this misinterpretation may interpret</w:t>
      </w:r>
      <w:r>
        <w:t xml:space="preserve"> </w:t>
      </w:r>
      <w:r>
        <w:rPr>
          <w:i/>
          <w:iCs/>
        </w:rPr>
        <w:t xml:space="preserve">p</w:t>
      </w:r>
      <w:r>
        <w:t xml:space="preserve"> </w:t>
      </w:r>
      <w:r>
        <w:t xml:space="preserve">values below the conventional 5% threshold as evidence that</w:t>
      </w:r>
      <w:r>
        <w:t xml:space="preserve"> </w:t>
      </w:r>
      <m:oMath>
        <m:sSub>
          <m:e>
            <m:r>
              <m:t>H</m:t>
            </m:r>
          </m:e>
          <m:sub>
            <m:r>
              <m:t>1</m:t>
            </m:r>
          </m:sub>
        </m:sSub>
      </m:oMath>
      <w:r>
        <w:t xml:space="preserve"> </w:t>
      </w:r>
      <w:r>
        <w:t xml:space="preserve">is true (and</w:t>
      </w:r>
      <w:r>
        <w:t xml:space="preserve"> </w:t>
      </w:r>
      <m:oMath>
        <m:sSub>
          <m:e>
            <m:r>
              <m:t>H</m:t>
            </m:r>
          </m:e>
          <m:sub>
            <m:r>
              <m:t>0</m:t>
            </m:r>
          </m:sub>
        </m:sSub>
      </m:oMath>
      <w:r>
        <w:t xml:space="preserve"> </w:t>
      </w:r>
      <w:r>
        <w:t xml:space="preserve">is false), and nonsignificant</w:t>
      </w:r>
      <w:r>
        <w:t xml:space="preserve"> </w:t>
      </w:r>
      <w:r>
        <w:rPr>
          <w:i/>
          <w:iCs/>
        </w:rPr>
        <w:t xml:space="preserve">p</w:t>
      </w:r>
      <w:r>
        <w:t xml:space="preserve"> </w:t>
      </w:r>
      <w:r>
        <w:t xml:space="preserve">values as evidence that</w:t>
      </w:r>
      <w:r>
        <w:t xml:space="preserve"> </w:t>
      </w:r>
      <m:oMath>
        <m:sSub>
          <m:e>
            <m:r>
              <m:t>H</m:t>
            </m:r>
          </m:e>
          <m:sub>
            <m:r>
              <m:t>0</m:t>
            </m:r>
          </m:sub>
        </m:sSub>
      </m:oMath>
      <w:r>
        <w:t xml:space="preserve"> </w:t>
      </w:r>
      <w:r>
        <w:t xml:space="preserve">is true (and</w:t>
      </w:r>
      <w:r>
        <w:t xml:space="preserve"> </w:t>
      </w:r>
      <m:oMath>
        <m:sSub>
          <m:e>
            <m:r>
              <m:t>H</m:t>
            </m:r>
          </m:e>
          <m:sub>
            <m:r>
              <m:t>1</m:t>
            </m:r>
          </m:sub>
        </m:sSub>
      </m:oMath>
      <w:r>
        <w:t xml:space="preserve"> </w:t>
      </w:r>
      <w:r>
        <w:t xml:space="preserve">is false). In this project, I specifically focus on the latter mistake: interpreting a nonsignificant result as proof that no effect exists. This interpretation cannot be justified within the standard NHST framework, which defines the</w:t>
      </w:r>
      <w:r>
        <w:t xml:space="preserve"> </w:t>
      </w:r>
      <w:r>
        <w:rPr>
          <w:i/>
          <w:iCs/>
        </w:rPr>
        <w:t xml:space="preserve">p</w:t>
      </w:r>
      <w:r>
        <w:t xml:space="preserve"> </w:t>
      </w:r>
      <w:r>
        <w:t xml:space="preserve">value as the probability of observing the data, or something more extreme, assuming that the null hypothesis is true. There are, however, ways to overcome these misinterpretations, which I will discuss in the next section.</w:t>
      </w:r>
    </w:p>
    <w:bookmarkEnd w:id="29"/>
    <w:bookmarkEnd w:id="30"/>
    <w:bookmarkStart w:id="31" w:name="research-on-nonsignificance-as-absence"/>
    <w:p>
      <w:pPr>
        <w:pStyle w:val="Heading2"/>
      </w:pPr>
      <w:r>
        <w:t xml:space="preserve">1.2 Research on nonsignificance as absence</w:t>
      </w:r>
    </w:p>
    <w:p>
      <w:pPr>
        <w:pStyle w:val="FirstParagraph"/>
      </w:pPr>
      <w:r>
        <w:t xml:space="preserve">XXX</w:t>
      </w:r>
      <w:r>
        <w:t xml:space="preserve"> </w:t>
      </w:r>
      <w:r>
        <w:t xml:space="preserve">Aczel et al. (</w:t>
      </w:r>
      <w:hyperlink w:anchor="ref-aczel_etal18">
        <w:r>
          <w:rPr>
            <w:rStyle w:val="Hyperlink"/>
          </w:rPr>
          <w:t xml:space="preserve">2018</w:t>
        </w:r>
      </w:hyperlink>
      <w:r>
        <w:t xml:space="preserve">)</w:t>
      </w:r>
      <w:r>
        <w:t xml:space="preserve">;</w:t>
      </w:r>
      <w:r>
        <w:t xml:space="preserve"> </w:t>
      </w:r>
      <w:r>
        <w:t xml:space="preserve">Hoekstra et al. (</w:t>
      </w:r>
      <w:hyperlink w:anchor="ref-hoekstra_etal06">
        <w:r>
          <w:rPr>
            <w:rStyle w:val="Hyperlink"/>
          </w:rPr>
          <w:t xml:space="preserve">2006</w:t>
        </w:r>
      </w:hyperlink>
      <w:r>
        <w:t xml:space="preserve">)</w:t>
      </w:r>
      <w:r>
        <w:t xml:space="preserve">;</w:t>
      </w:r>
      <w:r>
        <w:t xml:space="preserve"> </w:t>
      </w:r>
      <w:r>
        <w:t xml:space="preserve">Murphy et al. (</w:t>
      </w:r>
      <w:hyperlink w:anchor="ref-murphy_etal25">
        <w:r>
          <w:rPr>
            <w:rStyle w:val="Hyperlink"/>
          </w:rPr>
          <w:t xml:space="preserve">2025</w:t>
        </w:r>
      </w:hyperlink>
      <w:r>
        <w:t xml:space="preserve">)</w:t>
      </w:r>
      <w:r>
        <w:t xml:space="preserve">; and more</w:t>
      </w:r>
    </w:p>
    <w:bookmarkEnd w:id="31"/>
    <w:bookmarkStart w:id="32" w:name="possible-solutions"/>
    <w:p>
      <w:pPr>
        <w:pStyle w:val="Heading2"/>
      </w:pPr>
      <w:r>
        <w:t xml:space="preserve">1.3 Possible solutions</w:t>
      </w:r>
    </w:p>
    <w:p>
      <w:pPr>
        <w:pStyle w:val="FirstParagraph"/>
      </w:pPr>
      <w:r>
        <w:t xml:space="preserve">This section will be more detailed in the final thesis, but I do want to briefly outline what I consider the most important solutions to the misinterpretation of nonsignificant results as evidence for the absence of an effect. 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prevalence of the misinterpretations I focus on does not seem to have substantially decreased, suggesting that calls for better education alone have not resolved the problem</w:t>
      </w:r>
      <w:r>
        <w:t xml:space="preserve"> </w:t>
      </w:r>
      <w:r>
        <w:t xml:space="preserve">(</w:t>
      </w:r>
      <w:hyperlink w:anchor="ref-murphy_etal25">
        <w:r>
          <w:rPr>
            <w:rStyle w:val="Hyperlink"/>
          </w:rPr>
          <w:t xml:space="preserve">Murphy et al., 2025</w:t>
        </w:r>
      </w:hyperlink>
      <w:r>
        <w:t xml:space="preserve">)</w:t>
      </w:r>
      <w:r>
        <w:t xml:space="preserve">.</w:t>
      </w:r>
    </w:p>
    <w:p>
      <w:pPr>
        <w:pStyle w:val="BodyText"/>
      </w:pPr>
      <w:r>
        <w:t xml:space="preserve">A promising practical solution when conducting research involves the use of alternative analysis techniques, such as equivalence testing or minimum-effect tests. These methods allow researchers to test whether an effect is practically relevant and larger than a predefined smallest effect size of interest (SESOI)</w:t>
      </w:r>
      <w:r>
        <w:t xml:space="preserve"> </w:t>
      </w:r>
      <w:r>
        <w:t xml:space="preserve">(</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meaningful in practice.</w:t>
      </w:r>
    </w:p>
    <w:bookmarkEnd w:id="32"/>
    <w:bookmarkStart w:id="33" w:name="an-automated-human-factors-perspective"/>
    <w:p>
      <w:pPr>
        <w:pStyle w:val="Heading2"/>
      </w:pPr>
      <w:r>
        <w:t xml:space="preserve">1.4 An Automated Human-Factors Perspective</w:t>
      </w:r>
    </w:p>
    <w:p>
      <w:pPr>
        <w:pStyle w:val="FirstParagraph"/>
      </w:pPr>
      <w:r>
        <w:t xml:space="preserve">These strategies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Everyday examples of such solutions include cars with automatic braking systems, word processors that flag spelling and grammar mistakes, or email clients that filter out malware and phishing attempts. Analogously, and recognizing that new analytic approaches may not be adopted overnight,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such as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while Regcheck</w:t>
      </w:r>
      <w:r>
        <w:t xml:space="preserve"> </w:t>
      </w:r>
      <w:r>
        <w:t xml:space="preserve">(</w:t>
      </w:r>
      <w:hyperlink w:anchor="ref-cummin_hussey24">
        <w:r>
          <w:rPr>
            <w:rStyle w:val="Hyperlink"/>
          </w:rPr>
          <w:t xml:space="preserve">Cummin &amp; Hussey, 2024</w:t>
        </w:r>
      </w:hyperlink>
      <w:r>
        <w:t xml:space="preserve">)</w:t>
      </w:r>
      <w:r>
        <w:t xml:space="preserve"> </w:t>
      </w:r>
      <w:r>
        <w:t xml:space="preserve">verifies the consistency between manuscripts and their preregistration documents.</w:t>
      </w:r>
    </w:p>
    <w:p>
      <w:pPr>
        <w:pStyle w:val="BodyText"/>
      </w:pPr>
      <w:r>
        <w:t xml:space="preserve">To make the process of checking manuscripts more systematic,</w:t>
      </w:r>
      <w:r>
        <w:t xml:space="preserve"> </w:t>
      </w:r>
      <w:r>
        <w:t xml:space="preserve">DeBruine and Lakens (</w:t>
      </w:r>
      <w:hyperlink w:anchor="ref-R-papercheck">
        <w:r>
          <w:rPr>
            <w:rStyle w:val="Hyperlink"/>
          </w:rPr>
          <w:t xml:space="preserve">2025</w:t>
        </w:r>
      </w:hyperlink>
      <w:r>
        <w:t xml:space="preserve">)</w:t>
      </w:r>
      <w:r>
        <w:t xml:space="preserve"> </w:t>
      </w:r>
      <w:r>
        <w:t xml:space="preserve">developed papercheck, an R package and Shiny app, which allows users to run a battery of checks on research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I plan to build my thesis project within the papercheck infrastructure.</w:t>
      </w:r>
    </w:p>
    <w:p>
      <w:pPr>
        <w:pStyle w:val="BodyText"/>
      </w:pPr>
      <w:r>
        <w:t xml:space="preserve">In summary, there are many reasons why</w:t>
      </w:r>
      <w:r>
        <w:t xml:space="preserve"> </w:t>
      </w:r>
      <w:r>
        <w:rPr>
          <w:i/>
          <w:iCs/>
        </w:rPr>
        <w:t xml:space="preserve">p</w:t>
      </w:r>
      <w:r>
        <w:t xml:space="preserve"> </w:t>
      </w:r>
      <w:r>
        <w:t xml:space="preserve">values remain difficult to interpret correctly. Empirical evidence suggests that misinterpretations of nonsignificant results remain highly prevalent</w:t>
      </w:r>
      <w:r>
        <w:t xml:space="preserve"> </w:t>
      </w:r>
      <w:r>
        <w:t xml:space="preserve">(</w:t>
      </w:r>
      <w:hyperlink w:anchor="ref-murphy_etal25">
        <w:r>
          <w:rPr>
            <w:rStyle w:val="Hyperlink"/>
          </w:rPr>
          <w:t xml:space="preserve">Murphy et al., 2025</w:t>
        </w:r>
      </w:hyperlink>
      <w:r>
        <w:t xml:space="preserve">)</w:t>
      </w:r>
      <w:r>
        <w:t xml:space="preserve"> </w:t>
      </w:r>
      <w:r>
        <w:t xml:space="preserve">This persistence highlights that improved education alone may not be sufficient. Drawing on a human factors perspective</w:t>
      </w:r>
      <w:r>
        <w:t xml:space="preserve"> </w:t>
      </w:r>
      <w:r>
        <w:t xml:space="preserve">(</w:t>
      </w:r>
      <w:hyperlink w:anchor="ref-lakens21">
        <w:r>
          <w:rPr>
            <w:rStyle w:val="Hyperlink"/>
          </w:rPr>
          <w:t xml:space="preserve">Lakens, 2021</w:t>
        </w:r>
      </w:hyperlink>
      <w:r>
        <w:t xml:space="preserve">)</w:t>
      </w:r>
      <w:r>
        <w:t xml:space="preserve">, practical solutions such as automated error-checking tools offer a promising avenue for addressing these challenges. In this project, I aim to develop an automated approach to detect misinterpretations of nonsignificant results, building on the existing papercheck framework</w:t>
      </w:r>
      <w:r>
        <w:t xml:space="preserve"> </w:t>
      </w:r>
      <w:r>
        <w:t xml:space="preserve">(</w:t>
      </w:r>
      <w:hyperlink w:anchor="ref-R-papercheck">
        <w:r>
          <w:rPr>
            <w:rStyle w:val="Hyperlink"/>
          </w:rPr>
          <w:t xml:space="preserve">DeBruine &amp; Lakens, 2025</w:t>
        </w:r>
      </w:hyperlink>
      <w:r>
        <w:t xml:space="preserve">)</w:t>
      </w:r>
      <w:r>
        <w:t xml:space="preserve">. In the following section, I outline the methods and approaches that I will explore to achieve this goal.</w:t>
      </w:r>
    </w:p>
    <w:bookmarkEnd w:id="33"/>
    <w:bookmarkEnd w:id="34"/>
    <w:bookmarkStart w:id="40" w:name="methods"/>
    <w:p>
      <w:pPr>
        <w:pStyle w:val="Heading1"/>
      </w:pPr>
      <w:r>
        <w:t xml:space="preserve">2 Methods</w:t>
      </w:r>
    </w:p>
    <w:bookmarkStart w:id="37" w:name="X4a57e4976f68e9a8fd6acc7e660efbd0d35ee01"/>
    <w:p>
      <w:pPr>
        <w:pStyle w:val="Heading2"/>
      </w:pPr>
      <w:r>
        <w:t xml:space="preserve">2.1 Statement Detection, Classification and Correction</w:t>
      </w:r>
    </w:p>
    <w:p>
      <w:pPr>
        <w:pStyle w:val="FirstParagraph"/>
      </w:pPr>
      <w:r>
        <w:t xml:space="preserve">Before describing the data used in this study, it is important to understand the three steps of the proposed framework. Statements from scientific articles needed to be reliably detected, classified, and finally corrected. For each step, I applied specific methods that were best suited to achieve the respective goal.</w:t>
      </w:r>
    </w:p>
    <w:p>
      <w:pPr>
        <w:pStyle w:val="BodyText"/>
      </w:pPr>
      <w:r>
        <w:t xml:space="preserve">To detect statements I searched used rule-based regular expressions (RegEx) and searched articles’s results sections for them. Effectively, RegEx searchers are just more complex Ctrl+F searches, where a user can also include optional charcters (e.g.,</w:t>
      </w:r>
      <w:r>
        <w:t xml:space="preserve"> </w:t>
      </w:r>
      <w:r>
        <w:t xml:space="preserve">‘significant(ly)’</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‘not.{0,20}significant’</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w:t>
      </w:r>
      <w:r>
        <w:t xml:space="preserve"> </w:t>
      </w:r>
      <w:r>
        <w:t xml:space="preserve">(</w:t>
      </w:r>
      <w:hyperlink w:anchor="ref-R-papercheck">
        <w:r>
          <w:rPr>
            <w:rStyle w:val="Hyperlink"/>
          </w:rPr>
          <w:t xml:space="preserve">DeBruine &amp; Lakens, 2025</w:t>
        </w:r>
      </w:hyperlink>
      <w:r>
        <w:t xml:space="preserve">)</w:t>
      </w:r>
      <w:r>
        <w:t xml:space="preserve"> </w:t>
      </w:r>
      <w:r>
        <w:t xml:space="preserve">has a module that detects almost all p values (see Section XXX) based on RegEx searches and I filtered these to just the ones equal to or above .05. I then expanded the extracted nonsignificant p values to the full sentence with papercheck and added +/- one sentence as context in case of extraction errors etc. (more on this in Section XXX).</w:t>
      </w:r>
      <w:r>
        <w:rPr>
          <w:rStyle w:val="FootnoteReference"/>
        </w:rPr>
        <w:footnoteReference w:id="35"/>
      </w:r>
    </w:p>
    <w:p>
      <w:pPr>
        <w:pStyle w:val="BodyText"/>
      </w:pPr>
      <w:r>
        <w:t xml:space="preserve">In the next step, these statements (labeled as correct or incorrect by me; see Section XXX) were used to train several BERT-based models. BERT (Bidirectional Encoder Representations from Transformers) is a general-purpose language model pre-trained on the BookCorpus and English Wikipedia, making it suitable for a wide range of tasks – but not specifically optimized for scientific or technical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my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goes even further,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These models were evaluated on their ability to distinguish between correct and incorrect interpretations of nonsignificant results in scientific writing.</w:t>
      </w:r>
    </w:p>
    <w:p>
      <w:pPr>
        <w:pStyle w:val="BodyText"/>
      </w:pPr>
      <w:r>
        <w:t xml:space="preserve">Lastly, statements that have been labeled as being incorrect by a BERT classifier were sent to a LLM to get corrected. The full prompt is available in X was had X word plus the respective statement. In short, the model was instructed to only change any misinterpretations of nonsignificant p values as the absence of an effect and keep the rest of the statement. Do communicate with the LLM, I used papercheck</w:t>
      </w:r>
      <w:r>
        <w:t xml:space="preserve"> </w:t>
      </w:r>
      <w:r>
        <w:t xml:space="preserve">(</w:t>
      </w:r>
      <w:hyperlink w:anchor="ref-R-papercheck">
        <w:r>
          <w:rPr>
            <w:rStyle w:val="Hyperlink"/>
          </w:rPr>
          <w:t xml:space="preserve">DeBruine &amp; Lakens, 2025</w:t>
        </w:r>
      </w:hyperlink>
      <w:r>
        <w:t xml:space="preserve">)</w:t>
      </w:r>
      <w:r>
        <w:t xml:space="preserve">, which, in turn, uses the Groq API (available at</w:t>
      </w:r>
      <w:r>
        <w:t xml:space="preserve"> </w:t>
      </w:r>
      <w:hyperlink r:id="rId36">
        <w:r>
          <w:rPr>
            <w:rStyle w:val="Hyperlink"/>
          </w:rPr>
          <w:t xml:space="preserve">https://groq.com/</w:t>
        </w:r>
      </w:hyperlink>
      <w:r>
        <w:t xml:space="preserve">) to communicate with different LLMs. I used papercheck’s standard LLM,</w:t>
      </w:r>
      <w:r>
        <w:t xml:space="preserve"> </w:t>
      </w:r>
      <w:r>
        <w:t xml:space="preserve">‘llama-3.3-70b-versatile’</w:t>
      </w:r>
      <w:r>
        <w:t xml:space="preserve"> </w:t>
      </w:r>
      <w:r>
        <w:t xml:space="preserve">(as of 07/24/2025).</w:t>
      </w:r>
    </w:p>
    <w:bookmarkEnd w:id="37"/>
    <w:bookmarkStart w:id="38" w:name="X47c36eaba022b4f77117a0fed5344b084fa3d76"/>
    <w:p>
      <w:pPr>
        <w:pStyle w:val="Heading2"/>
      </w:pPr>
      <w:r>
        <w:t xml:space="preserve">2.2 Validation Process and Performance Metrics</w:t>
      </w:r>
    </w:p>
    <w:p>
      <w:pPr>
        <w:pStyle w:val="FirstParagraph"/>
      </w:pPr>
      <w:r>
        <w:t xml:space="preserve">MAYBE (RE)MOVE The articles that were used in this study were part of papercheck’s sample library of 250 open access article from the journal Psychological Science, published between 2013 and 2024 (Median = 2021; IQA = [2018; 2022]). MAYBE (RE)MOVE</w:t>
      </w:r>
    </w:p>
    <w:p>
      <w:pPr>
        <w:pStyle w:val="BodyText"/>
      </w:pPr>
      <w:r>
        <w:t xml:space="preserve">To assess how well each of these three automated approaches worked, I compared each one to human ground truth and calculated appropriate measures of reliability between automated and human results.</w:t>
      </w:r>
    </w:p>
    <w:p>
      <w:pPr>
        <w:pStyle w:val="BodyText"/>
      </w:pPr>
      <w:r>
        <w:t xml:space="preserve">Firstly, to ensure that the statement detection process actually caught all statements with nonsignificant p values, I manually extracted all of these from 25 (10%) of the papercheck sample library’s 250 open access article from the journal Psychological Science. Articles were published between 2013 and 2024 (Median = 2021; IQA = [2018; 2022]). I then coded whether a statements I found were also extracted with the automated RegEx search.</w:t>
      </w:r>
    </w:p>
    <w:p>
      <w:pPr>
        <w:pStyle w:val="BodyText"/>
      </w:pPr>
      <w:r>
        <w:t xml:space="preserve">For the training of the BERT models and to assess their final performance I labeled all automatically extracted statements that were detected to be from an article’s Results section. This resulted in 960 statements in total. Of these, 420 were classified as correct and 352 were classified as incorrect. The remaining 188 statements were classified as not neither correct nor incorrect because they interpreted the nonsignificant effect as (marginally) significant (83), because the statements were not complete enough to check their correctness (20), because they interpreted model fit indices and not the p value (20), because they were</w:t>
      </w:r>
      <w:r>
        <w:t xml:space="preserve"> </w:t>
      </w:r>
      <w:r>
        <w:t xml:space="preserve">‘false flags’</w:t>
      </w:r>
      <w:r>
        <w:t xml:space="preserve"> </w:t>
      </w:r>
      <w:r>
        <w:t xml:space="preserve">of nonsignificant p values (19), or due to a combination of these or other reasons (46).</w:t>
      </w:r>
    </w:p>
    <w:p>
      <w:pPr>
        <w:pStyle w:val="BodyText"/>
      </w:pPr>
      <w:r>
        <w:t xml:space="preserve">Lastly, I also also went through the 100 statements that were sent to an LLM to be corrected, to see if the</w:t>
      </w:r>
      <w:r>
        <w:t xml:space="preserve"> </w:t>
      </w:r>
      <w:r>
        <w:t xml:space="preserve">‘corrected’</w:t>
      </w:r>
      <w:r>
        <w:t xml:space="preserve"> </w:t>
      </w:r>
      <w:r>
        <w:t xml:space="preserve">statements were actually correct. Of these 100 statements, 80 had previously been labeled incorrect and 20 correct by me, to check how the LLM deals with possible false positives from the automated classification.</w:t>
      </w:r>
    </w:p>
    <w:p>
      <w:pPr>
        <w:pStyle w:val="BodyText"/>
      </w:pPr>
      <w:r>
        <w:t xml:space="preserve">In addition to these validity checks, there are also performance metrics specific to the trained classifiers. For training purposes, the labeled data was split into three parts: a test set (20%) used for the final evaluation of the best model; a training set (72%, or 90% of the remaining 80%) that the model uses to learn underlying patterns and adjust its parameters; and a validation set (8%, or 10% of the 80%) used to calculate evaluation metrics after each epoch (i.e., one full cycle of the model processing the training data).</w:t>
      </w:r>
    </w:p>
    <w:p>
      <w:pPr>
        <w:pStyle w:val="BodyText"/>
      </w:pPr>
      <w:r>
        <w:t xml:space="preserve">During BERT training, I computed the training loss (sum of errors between model predictions and actual labels in the training set) and the validation loss (same for validation set). The best-performing model was selected based on the lowest validation loss. The model would have been trained on a maximum of 10 epochs, but training ended early if the model did not improve, as measured by the validation loss, for two epochs. For final evaluation, I computed the fraction of correctly predicted positive cases among all predicted positives (precision), the fraction of correctly predicted positive cases among all actual positives (recall), and their harmonic mean (F1 score), separately for each class label. To summarize overall performance across the two classes, I calculated the unweighted average of the two F1 scores (macro-F1 score).</w:t>
      </w:r>
    </w:p>
    <w:bookmarkEnd w:id="38"/>
    <w:bookmarkStart w:id="39" w:name="software"/>
    <w:p>
      <w:pPr>
        <w:pStyle w:val="Heading2"/>
      </w:pPr>
      <w:r>
        <w:t xml:space="preserve">2.4 Software</w:t>
      </w:r>
    </w:p>
    <w:p>
      <w:pPr>
        <w:pStyle w:val="FirstParagraph"/>
      </w:pPr>
      <w:r>
        <w:t xml:space="preserve">All scripts for this thesis project were written in R</w:t>
      </w:r>
      <w:r>
        <w:t xml:space="preserve"> </w:t>
      </w:r>
      <w:r>
        <w:t xml:space="preserve">(Version 4.5.0;</w:t>
      </w:r>
      <w:r>
        <w:t xml:space="preserve"> </w:t>
      </w:r>
      <w:hyperlink w:anchor="ref-rcoreteam25">
        <w:r>
          <w:rPr>
            <w:rStyle w:val="Hyperlink"/>
          </w:rPr>
          <w:t xml:space="preserve">Team, 2025</w:t>
        </w:r>
      </w:hyperlink>
      <w:r>
        <w:t xml:space="preserve">)</w:t>
      </w:r>
      <w:r>
        <w:t xml:space="preserve"> </w:t>
      </w:r>
      <w:r>
        <w:t xml:space="preserve">or Python</w:t>
      </w:r>
      <w:r>
        <w:t xml:space="preserve"> </w:t>
      </w:r>
      <w:r>
        <w:t xml:space="preserve">(Version 3.12.10;</w:t>
      </w:r>
      <w:r>
        <w:t xml:space="preserve"> </w:t>
      </w:r>
      <w:hyperlink w:anchor="ref-python">
        <w:r>
          <w:rPr>
            <w:rStyle w:val="Hyperlink"/>
          </w:rPr>
          <w:t xml:space="preserve">Python Software Foundation, 2025</w:t>
        </w:r>
      </w:hyperlink>
      <w:r>
        <w:t xml:space="preserve">)</w:t>
      </w:r>
      <w:r>
        <w:t xml:space="preserve">.</w:t>
      </w:r>
    </w:p>
    <w:p>
      <w:pPr>
        <w:pStyle w:val="BodyText"/>
      </w:pPr>
      <w:r>
        <w:t xml:space="preserve">In R, I used</w:t>
      </w:r>
      <w:r>
        <w:t xml:space="preserve"> </w:t>
      </w:r>
      <w:r>
        <w:rPr>
          <w:i/>
          <w:iCs/>
        </w:rPr>
        <w:t xml:space="preserve">papercheck</w:t>
      </w:r>
      <w:r>
        <w:t xml:space="preserve"> </w:t>
      </w:r>
      <w:r>
        <w:t xml:space="preserve">(Version 0.0.0.9049;</w:t>
      </w:r>
      <w:r>
        <w:t xml:space="preserve"> </w:t>
      </w:r>
      <w:hyperlink w:anchor="ref-R-papercheck">
        <w:r>
          <w:rPr>
            <w:rStyle w:val="Hyperlink"/>
          </w:rPr>
          <w:t xml:space="preserve">DeBruine &amp; Lakens, 2025</w:t>
        </w:r>
      </w:hyperlink>
      <w:r>
        <w:t xml:space="preserve">)</w:t>
      </w:r>
      <w:r>
        <w:t xml:space="preserve"> </w:t>
      </w:r>
      <w:r>
        <w:t xml:space="preserve">for accessing the 250 open access articles, preprocess them and for communication with the LLM,</w:t>
      </w:r>
      <w:r>
        <w:t xml:space="preserve"> </w:t>
      </w:r>
      <w:r>
        <w:rPr>
          <w:i/>
          <w:iCs/>
        </w:rPr>
        <w:t xml:space="preserve">readxl</w:t>
      </w:r>
      <w:r>
        <w:t xml:space="preserve"> </w:t>
      </w:r>
      <w:r>
        <w:t xml:space="preserve">(Version 1.4.5;</w:t>
      </w:r>
      <w:r>
        <w:t xml:space="preserve"> </w:t>
      </w:r>
      <w:hyperlink w:anchor="ref-R-readxl">
        <w:r>
          <w:rPr>
            <w:rStyle w:val="Hyperlink"/>
          </w:rPr>
          <w:t xml:space="preserve">Wickham &amp; Bryan, 2025</w:t>
        </w:r>
      </w:hyperlink>
      <w:r>
        <w:t xml:space="preserve">)</w:t>
      </w:r>
      <w:r>
        <w:t xml:space="preserve"> </w:t>
      </w:r>
      <w:r>
        <w:t xml:space="preserve">to access Excel files in R,</w:t>
      </w:r>
      <w:r>
        <w:t xml:space="preserve"> </w:t>
      </w:r>
      <w:r>
        <w:rPr>
          <w:i/>
          <w:iCs/>
        </w:rPr>
        <w:t xml:space="preserve">psych</w:t>
      </w:r>
      <w:r>
        <w:t xml:space="preserve"> </w:t>
      </w:r>
      <w:r>
        <w:t xml:space="preserve">(Version 2.5.6;</w:t>
      </w:r>
      <w:r>
        <w:t xml:space="preserve"> </w:t>
      </w:r>
      <w:hyperlink w:anchor="ref-R-psych">
        <w:r>
          <w:rPr>
            <w:rStyle w:val="Hyperlink"/>
          </w:rPr>
          <w:t xml:space="preserve">William Revelle, 2025</w:t>
        </w:r>
      </w:hyperlink>
      <w:r>
        <w:t xml:space="preserve">)</w:t>
      </w:r>
      <w:r>
        <w:t xml:space="preserve"> </w:t>
      </w:r>
      <w:r>
        <w:t xml:space="preserve">for calculating descriptive statistics,</w:t>
      </w:r>
      <w:r>
        <w:t xml:space="preserve"> </w:t>
      </w:r>
      <w:r>
        <w:rPr>
          <w:i/>
          <w:iCs/>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 </w:t>
      </w:r>
      <w:r>
        <w:t xml:space="preserve">for data preprocessing and visualization, and</w:t>
      </w:r>
      <w:r>
        <w:t xml:space="preserve"> </w:t>
      </w:r>
      <w:r>
        <w:rPr>
          <w:i/>
          <w:iCs/>
        </w:rPr>
        <w:t xml:space="preserve">flextable</w:t>
      </w:r>
      <w:r>
        <w:t xml:space="preserve"> </w:t>
      </w:r>
      <w:r>
        <w:t xml:space="preserve">(Version 0.9.9;</w:t>
      </w:r>
      <w:r>
        <w:t xml:space="preserve"> </w:t>
      </w:r>
      <w:hyperlink w:anchor="ref-R-flextable">
        <w:r>
          <w:rPr>
            <w:rStyle w:val="Hyperlink"/>
          </w:rPr>
          <w:t xml:space="preserve">Gohel &amp; Skintzos, 2025</w:t>
        </w:r>
      </w:hyperlink>
      <w:r>
        <w:t xml:space="preserve">)</w:t>
      </w:r>
      <w:r>
        <w:t xml:space="preserve">,</w:t>
      </w:r>
      <w:r>
        <w:t xml:space="preserve"> </w:t>
      </w:r>
      <w:r>
        <w:rPr>
          <w:i/>
          <w:iCs/>
        </w:rPr>
        <w:t xml:space="preserve">magick</w:t>
      </w:r>
      <w:r>
        <w:t xml:space="preserve"> </w:t>
      </w:r>
      <w:r>
        <w:t xml:space="preserve">(Version 2.8.7;</w:t>
      </w:r>
      <w:r>
        <w:t xml:space="preserve"> </w:t>
      </w:r>
      <w:hyperlink w:anchor="ref-R-magick">
        <w:r>
          <w:rPr>
            <w:rStyle w:val="Hyperlink"/>
            <w:b/>
            <w:bCs/>
          </w:rPr>
          <w:t xml:space="preserve">R-magick?</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2024</w:t>
        </w:r>
      </w:hyperlink>
      <w:r>
        <w:t xml:space="preserve">)</w:t>
      </w:r>
      <w:r>
        <w:t xml:space="preserve"> </w:t>
      </w:r>
      <w:r>
        <w:t xml:space="preserve">and</w:t>
      </w:r>
      <w:r>
        <w:t xml:space="preserve"> </w:t>
      </w:r>
      <w:r>
        <w:rPr>
          <w:i/>
          <w:iCs/>
        </w:rPr>
        <w:t xml:space="preserve">showtext</w:t>
      </w:r>
      <w:r>
        <w:t xml:space="preserve"> </w:t>
      </w:r>
      <w:r>
        <w:t xml:space="preserve">(Version 0.9-7;</w:t>
      </w:r>
      <w:r>
        <w:t xml:space="preserve"> </w:t>
      </w:r>
      <w:hyperlink w:anchor="ref-R-showtext">
        <w:r>
          <w:rPr>
            <w:rStyle w:val="Hyperlink"/>
          </w:rPr>
          <w:t xml:space="preserve">Qiu &amp; details., 2024</w:t>
        </w:r>
      </w:hyperlink>
      <w:r>
        <w:t xml:space="preserve">)</w:t>
      </w:r>
      <w:r>
        <w:t xml:space="preserve"> </w:t>
      </w:r>
      <w:r>
        <w:t xml:space="preserve">to create APA-formatted tables.</w:t>
      </w:r>
    </w:p>
    <w:p>
      <w:pPr>
        <w:pStyle w:val="BodyText"/>
      </w:pPr>
      <w:r>
        <w:t xml:space="preserve">The Python libraries used to train the BERT models can be found in this requirements file: LINK.</w:t>
      </w:r>
    </w:p>
    <w:p>
      <w:pPr>
        <w:pStyle w:val="BodyText"/>
      </w:pPr>
      <w:r>
        <w:t xml:space="preserve">All scripts and data to reproduce and use the trained BERT models (Python), analyse the results and validity checks (mostly R) and recreate this manuscript (Quarto Markdown in R Studio; I did change few formatting, not content, related things manually in the exported Word document) are available in this GitHub repository, together with instructions on how to set it up: LINK.</w:t>
      </w:r>
    </w:p>
    <w:p>
      <w:pPr>
        <w:pStyle w:val="BodyText"/>
      </w:pPr>
      <w:r>
        <w:t xml:space="preserve">This thesis was not preregistered as no inferential statistical tests were performed.</w:t>
      </w:r>
    </w:p>
    <w:bookmarkEnd w:id="39"/>
    <w:bookmarkEnd w:id="40"/>
    <w:bookmarkStart w:id="56" w:name="results"/>
    <w:p>
      <w:pPr>
        <w:pStyle w:val="Heading1"/>
      </w:pPr>
      <w:r>
        <w:t xml:space="preserve">3 Results</w:t>
      </w:r>
    </w:p>
    <w:bookmarkStart w:id="42" w:name="detection-accuracy"/>
    <w:p>
      <w:pPr>
        <w:pStyle w:val="Heading2"/>
      </w:pPr>
      <w:r>
        <w:t xml:space="preserve">3.1 Detection Accuracy</w:t>
      </w:r>
    </w:p>
    <w:p>
      <w:pPr>
        <w:pStyle w:val="FirstParagraph"/>
      </w:pPr>
      <w:r>
        <w:t xml:space="preserve">Manually going through 25 articles from papercheck’s sample library I detected 179 statements with a nonsignificant p value in total. The automated RegEx searches caught 130 (73 %) of these completely, and 6 partially (incompletely) due to extraction errors (e.g., because of pdf formatting like page breaks, figures or footnotes). It also</w:t>
      </w:r>
      <w:r>
        <w:t xml:space="preserve"> </w:t>
      </w:r>
      <w:r>
        <w:t xml:space="preserve">‘found’</w:t>
      </w:r>
      <w:r>
        <w:t xml:space="preserve"> </w:t>
      </w:r>
      <w:r>
        <w:t xml:space="preserve">3 false positives in the sense that it extracted</w:t>
      </w:r>
      <w:r>
        <w:t xml:space="preserve"> </w:t>
      </w:r>
      <w:r>
        <w:t xml:space="preserve">‘statements’</w:t>
      </w:r>
      <w:r>
        <w:t xml:space="preserve"> </w:t>
      </w:r>
      <w:r>
        <w:t xml:space="preserve">from tables or figure notes or ones that were false classified as coming from a results section. Note, however, that the large majority of the total 49 missed statements were due to specific ways of writing (or not writing) the p value: 8 were missed because the authors wrote</w:t>
      </w:r>
      <w:r>
        <w:t xml:space="preserve"> </w:t>
      </w:r>
      <w:r>
        <w:t xml:space="preserve">‘n.s.’</w:t>
      </w:r>
      <w:r>
        <w:t xml:space="preserve"> </w:t>
      </w:r>
      <w:r>
        <w:t xml:space="preserve">instead of the nonsignificant p value, and 31 were missed because the p value was written as</w:t>
      </w:r>
      <w:r>
        <w:t xml:space="preserve"> </w:t>
      </w:r>
      <w:r>
        <w:t xml:space="preserve">‘</w:t>
      </w:r>
      <m:oMath>
        <m:sSub>
          <m:e>
            <m:r>
              <m:t>p</m:t>
            </m:r>
          </m:e>
          <m:sub>
            <m:r>
              <m:t>s</m:t>
            </m:r>
          </m:sub>
        </m:sSub>
      </m:oMath>
      <w:r>
        <w:t xml:space="preserve">’</w:t>
      </w:r>
      <w:r>
        <w:t xml:space="preserve">. Without these two mistakes the overall agreement of automated and manual approach would have been 93 %.</w:t>
      </w:r>
    </w:p>
    <w:p>
      <w:pPr>
        <w:pStyle w:val="BodyText"/>
      </w:pPr>
      <w:r>
        <w:t xml:space="preserve">Most of the other misses were due to pdf formatting issues like figures, tables, footnotes and page breaks or unusual characters inside the statement that messed with the statement extraction (11 in total).</w:t>
      </w:r>
      <w:r>
        <w:rPr>
          <w:rStyle w:val="FootnoteReference"/>
        </w:rPr>
        <w:footnoteReference w:id="41"/>
      </w:r>
    </w:p>
    <w:bookmarkEnd w:id="42"/>
    <w:bookmarkStart w:id="52" w:name="classification-performance"/>
    <w:p>
      <w:pPr>
        <w:pStyle w:val="Heading2"/>
      </w:pPr>
      <w:r>
        <w:t xml:space="preserve">3.2 Classification Performance</w:t>
      </w:r>
    </w:p>
    <w:p>
      <w:pPr>
        <w:pStyle w:val="FirstParagraph"/>
      </w:pPr>
      <w:hyperlink w:anchor="fig-2">
        <w:r>
          <w:rPr>
            <w:rStyle w:val="Hyperlink"/>
          </w:rPr>
          <w:t xml:space="preserve">Figure 1</w:t>
        </w:r>
      </w:hyperlink>
      <w:r>
        <w:t xml:space="preserve"> </w:t>
      </w:r>
      <w:r>
        <w:t xml:space="preserve">shows the training and validation loss of the three BERT models over their training.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Start w:id="46" w:name="fig-2"/>
    <w:p>
      <w:pPr>
        <w:pStyle w:val="FigureTitle"/>
      </w:pPr>
      <w:r>
        <w:t xml:space="preserve">Figure 1</w:t>
      </w:r>
    </w:p>
    <w:p>
      <w:pPr>
        <w:pStyle w:val="Caption"/>
      </w:pPr>
      <w:r>
        <w:t xml:space="preserve">Training and Validation Loss Curve</w:t>
      </w:r>
    </w:p>
    <w:p>
      <w:pPr>
        <w:pStyle w:val="FigureWithNote"/>
      </w:pPr>
      <w:r>
        <w:drawing>
          <wp:inline>
            <wp:extent cx="5486400" cy="1512746"/>
            <wp:effectExtent b="0" l="0" r="0" t="0"/>
            <wp:docPr descr="" title="" id="44" name="Picture"/>
            <a:graphic>
              <a:graphicData uri="http://schemas.openxmlformats.org/drawingml/2006/picture">
                <pic:pic>
                  <pic:nvPicPr>
                    <pic:cNvPr descr="../data/model_performance/loss_curve/loss_combined.pdf" id="45" name="Picture"/>
                    <pic:cNvPicPr>
                      <a:picLocks noChangeArrowheads="1" noChangeAspect="1"/>
                    </pic:cNvPicPr>
                  </pic:nvPicPr>
                  <pic:blipFill>
                    <a:blip r:embed="rId43"/>
                    <a:stretch>
                      <a:fillRect/>
                    </a:stretch>
                  </pic:blipFill>
                  <pic:spPr bwMode="auto">
                    <a:xfrm>
                      <a:off x="0" y="0"/>
                      <a:ext cx="5486400" cy="1512746"/>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Curves of the training and validation loss of the three trained BERT models. The best models for regular BERT, SciBERT and PubMedBERT were chosen after epoch 4, 5, and 5 respectively, based on the minumum validation loss.</w:t>
      </w:r>
    </w:p>
    <w:p>
      <w:pPr>
        <w:pStyle w:val="BodyText"/>
      </w:pPr>
      <w:r>
        <w:t xml:space="preserve">The different performance metrics can be found in</w:t>
      </w:r>
      <w:r>
        <w:t xml:space="preserve"> </w:t>
      </w:r>
      <w:hyperlink w:anchor="tbl-model-performance">
        <w:r>
          <w:rPr>
            <w:rStyle w:val="Hyperlink"/>
          </w:rPr>
          <w:t xml:space="preserve">Table 1</w:t>
        </w:r>
      </w:hyperlink>
      <w: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Start w:id="47"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8"/>
        <w:gridCol w:w="925"/>
        <w:gridCol w:w="711"/>
        <w:gridCol w:w="889"/>
        <w:gridCol w:w="925"/>
        <w:gridCol w:w="711"/>
        <w:gridCol w:w="889"/>
        <w:gridCol w:w="925"/>
        <w:gridCol w:w="711"/>
        <w:gridCol w:w="889"/>
      </w:tblGrid>
      <w:tr>
        <w:trPr>
          <w:trHeight w:val="385" w:hRule="auto"/>
          <w:tblHeader/>
        </w:trPr>
        header1
        <w:tc>
          <w:tcPr>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SciBERT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PubMedBERT</w:t>
            </w:r>
          </w:p>
        </w:tc>
      </w:tr>
      <w:tr>
        <w:trPr>
          <w:trHeight w:val="384" w:hRule="auto"/>
          <w:tblHeader/>
        </w:trPr>
        header2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8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Class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r>
      <w:tr>
        <w:trPr>
          <w:trHeight w:val="38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r>
      <w:tr>
        <w:trPr>
          <w:trHeight w:val="384"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Macro F1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r>
    </w:tbl>
    <w:bookmarkEnd w:id="47"/>
    <w:p>
      <w:pPr>
        <w:pStyle w:val="FigureNote"/>
      </w:pPr>
      <w:r>
        <w:rPr>
          <w:i/>
          <w:iCs/>
        </w:rPr>
        <w:t xml:space="preserve">Note</w:t>
      </w:r>
      <w:r>
        <w:t xml:space="preserve">. Table of precision, recall and F1 score per model and class.</w:t>
      </w:r>
    </w:p>
    <w:bookmarkStart w:id="51" w:name="fig-3"/>
    <w:p>
      <w:pPr>
        <w:pStyle w:val="FigureTitle"/>
      </w:pPr>
      <w:r>
        <w:t xml:space="preserve">Figure 2</w:t>
      </w:r>
    </w:p>
    <w:p>
      <w:pPr>
        <w:pStyle w:val="Caption"/>
      </w:pPr>
      <w:r>
        <w:t xml:space="preserve">Confusion Matrix</w:t>
      </w:r>
    </w:p>
    <w:p>
      <w:pPr>
        <w:pStyle w:val="FigureWithNote"/>
      </w:pPr>
      <w:r>
        <w:drawing>
          <wp:inline>
            <wp:extent cx="5943600" cy="1835523"/>
            <wp:effectExtent b="0" l="0" r="0" t="0"/>
            <wp:docPr descr="" title="" id="49" name="Picture"/>
            <a:graphic>
              <a:graphicData uri="http://schemas.openxmlformats.org/drawingml/2006/picture">
                <pic:pic>
                  <pic:nvPicPr>
                    <pic:cNvPr descr="../data/model_performance/confusion_matrix/confusion_matrix_combined.pdf" id="50" name="Picture"/>
                    <pic:cNvPicPr>
                      <a:picLocks noChangeArrowheads="1" noChangeAspect="1"/>
                    </pic:cNvPicPr>
                  </pic:nvPicPr>
                  <pic:blipFill>
                    <a:blip r:embed="rId48"/>
                    <a:stretch>
                      <a:fillRect/>
                    </a:stretch>
                  </pic:blipFill>
                  <pic:spPr bwMode="auto">
                    <a:xfrm>
                      <a:off x="0" y="0"/>
                      <a:ext cx="5943600" cy="1835523"/>
                    </a:xfrm>
                    <a:prstGeom prst="rect">
                      <a:avLst/>
                    </a:prstGeom>
                    <a:noFill/>
                    <a:ln w="9525">
                      <a:noFill/>
                      <a:headEnd/>
                      <a:tailEnd/>
                    </a:ln>
                  </pic:spPr>
                </pic:pic>
              </a:graphicData>
            </a:graphic>
          </wp:inline>
        </w:drawing>
      </w:r>
    </w:p>
    <w:bookmarkEnd w:id="51"/>
    <w:p>
      <w:pPr>
        <w:pStyle w:val="FigureNote"/>
      </w:pPr>
      <w:r>
        <w:rPr>
          <w:i/>
          <w:iCs/>
        </w:rPr>
        <w:t xml:space="preserve">Note</w:t>
      </w:r>
      <w:r>
        <w:t xml:space="preserve">. Confusion matrices of the three trained BERT models.</w:t>
      </w:r>
    </w:p>
    <w:p>
      <w:pPr>
        <w:pStyle w:val="BodyText"/>
      </w:pPr>
      <w:r>
        <w:t xml:space="preserve">Examples of incorrectly classified statements: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52"/>
    <w:bookmarkStart w:id="55" w:name="correction-evaluation"/>
    <w:p>
      <w:pPr>
        <w:pStyle w:val="Heading2"/>
      </w:pPr>
      <w:r>
        <w:t xml:space="preserve">3.3 Correction Evaluation</w:t>
      </w:r>
    </w:p>
    <w:p>
      <w:pPr>
        <w:pStyle w:val="FirstParagraph"/>
      </w:pPr>
      <w:r>
        <w:t xml:space="preserve">Of the 100 statements that the LLM was instructed to correct 85 were correct. Interestingly, 2 of the 20 already correct statements got turned incorrect by the LLM. 18, on the other hand, remained correct. Similarly, the LLM actually corrected 67 of the 80 incorrect statements, whereas 13 remained incorrect. Note, however, that the LLM was instructed to change (as much as necessary, but) as little as possible about the original statement. For some statements, this meant that they could not be corrected without major rephrasing. Examples for some bad/good corrections can be found in</w:t>
      </w:r>
      <w:r>
        <w:t xml:space="preserve"> </w:t>
      </w:r>
      <w:hyperlink w:anchor="tbl-LLM-corrections-1">
        <w:r>
          <w:rPr>
            <w:rStyle w:val="Hyperlink"/>
          </w:rPr>
          <w:t xml:space="preserve">Table 2</w:t>
        </w:r>
      </w:hyperlink>
      <w:r>
        <w:t xml:space="preserve"> </w:t>
      </w:r>
      <w:r>
        <w:t xml:space="preserve">and</w:t>
      </w:r>
      <w:r>
        <w:t xml:space="preserve"> </w:t>
      </w:r>
      <w:hyperlink w:anchor="tbl-LLM-corrections-2">
        <w:r>
          <w:rPr>
            <w:rStyle w:val="Hyperlink"/>
          </w:rPr>
          <w:t xml:space="preserve">Table 3</w:t>
        </w:r>
      </w:hyperlink>
      <w:r>
        <w:t xml:space="preserve">, respectively.</w:t>
      </w:r>
    </w:p>
    <w:bookmarkStart w:id="53" w:name="tbl-LLM-corrections-1"/>
    <w:p>
      <w:pPr>
        <w:pStyle w:val="FigureTitle"/>
      </w:pPr>
      <w:r>
        <w:t xml:space="preserve">Table 2</w:t>
      </w:r>
    </w:p>
    <w:p>
      <w:pPr>
        <w:pStyle w:val="Caption"/>
      </w:pPr>
      <w:r>
        <w:t xml:space="preserve">Examples of Incorrect LLM Corrections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no longer preferred the seeker, p = .849, d = -0.03, rating both targets equally.</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showed no significant preference for the seeker over the other target, p = .849, d = -0.03, rating both targets equally.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β = 0.10, p = .304, and effectiveness, b = 0.04, 95% CI = [-0.06, 0.14], β = 0.08, p =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Î² = 0.10, p = .304, and effectiveness, b = 0.04, 95% CI = [-0.06, 0.14], Î² = 0.08, p = .398, indicating that the relationship between leader narcissism and these outcomes may be negligible, but the data do not provide sufficient evidence to conclude that there is no relationship.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bookmarkEnd w:id="53"/>
    <w:p>
      <w:pPr>
        <w:pStyle w:val="FigureNote"/>
      </w:pPr>
      <w:r>
        <w:rPr>
          <w:i/>
          <w:iCs/>
        </w:rPr>
        <w:t xml:space="preserve">Note</w:t>
      </w:r>
      <w:r>
        <w:t xml:space="preserve">. Table of original and LLM-corrected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Start w:id="54" w:name="tbl-LLM-corrections-2"/>
    <w:p>
      <w:pPr>
        <w:pStyle w:val="FigureTitle"/>
      </w:pPr>
      <w:r>
        <w:t xml:space="preserve">Table 3</w:t>
      </w:r>
    </w:p>
    <w:p>
      <w:pPr>
        <w:pStyle w:val="Caption"/>
      </w:pPr>
      <w:r>
        <w:t xml:space="preserve">Examples of Correct LLM Corrections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did a lower age of onset predict higher levels of melody discrimination (β = -0.09, p = .23 in musicians; β = -0.05, p = .001 in twins).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was there a significant association between a lower age of onset and higher levels of melody discrimination (β = -0.09, p = .23 in musicians; β = -0.05, p = .001 in twins), whereas in musicians, the association was not statistically significant.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 indicating that the data do not provide sufficient evidence to reject the null hypothesis of no effect.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bl>
    <w:bookmarkEnd w:id="54"/>
    <w:p>
      <w:pPr>
        <w:pStyle w:val="FigureNote"/>
      </w:pPr>
      <w:r>
        <w:rPr>
          <w:i/>
          <w:iCs/>
        </w:rPr>
        <w:t xml:space="preserve">Note</w:t>
      </w:r>
      <w:r>
        <w:t xml:space="preserve">. Table of original and LLM-corrected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End w:id="55"/>
    <w:bookmarkEnd w:id="56"/>
    <w:bookmarkStart w:id="62" w:name="discussion"/>
    <w:p>
      <w:pPr>
        <w:pStyle w:val="Heading1"/>
      </w:pPr>
      <w:r>
        <w:t xml:space="preserve">4 Discussion</w:t>
      </w:r>
    </w:p>
    <w:bookmarkStart w:id="57" w:name="summary-of-findings"/>
    <w:p>
      <w:pPr>
        <w:pStyle w:val="Heading2"/>
      </w:pPr>
      <w:r>
        <w:t xml:space="preserve">4.1 Summary of Findings</w:t>
      </w:r>
    </w:p>
    <w:bookmarkEnd w:id="57"/>
    <w:bookmarkStart w:id="58" w:name="strengths-of-the-approach"/>
    <w:p>
      <w:pPr>
        <w:pStyle w:val="Heading2"/>
      </w:pPr>
      <w:r>
        <w:t xml:space="preserve">4.2 Strengths of the Approach</w:t>
      </w:r>
    </w:p>
    <w:bookmarkEnd w:id="58"/>
    <w:bookmarkStart w:id="59" w:name="limitations-and-challenges"/>
    <w:p>
      <w:pPr>
        <w:pStyle w:val="Heading2"/>
      </w:pPr>
      <w:r>
        <w:t xml:space="preserve">4.3 Limitations and Challenges</w:t>
      </w:r>
    </w:p>
    <w:bookmarkEnd w:id="59"/>
    <w:bookmarkStart w:id="60" w:name="implication-of-the-tool"/>
    <w:p>
      <w:pPr>
        <w:pStyle w:val="Heading2"/>
      </w:pPr>
      <w:r>
        <w:t xml:space="preserve">4.4 Implication of the Tool</w:t>
      </w:r>
    </w:p>
    <w:bookmarkEnd w:id="60"/>
    <w:bookmarkStart w:id="61" w:name="future-directions-and-improvements"/>
    <w:p>
      <w:pPr>
        <w:pStyle w:val="Heading2"/>
      </w:pPr>
      <w:r>
        <w:t xml:space="preserve">4.5 Future Directions and Improvements</w:t>
      </w:r>
    </w:p>
    <w:bookmarkEnd w:id="61"/>
    <w:bookmarkEnd w:id="62"/>
    <w:bookmarkStart w:id="63" w:name="conclusion"/>
    <w:p>
      <w:pPr>
        <w:pStyle w:val="Heading1"/>
      </w:pPr>
      <w:r>
        <w:t xml:space="preserve">5 Conclusion</w:t>
      </w:r>
    </w:p>
    <w:bookmarkEnd w:id="63"/>
    <w:bookmarkStart w:id="117" w:name="references"/>
    <w:p>
      <w:pPr>
        <w:pStyle w:val="Heading1"/>
      </w:pPr>
      <w:r>
        <w:t xml:space="preserve">References</w:t>
      </w:r>
    </w:p>
    <w:bookmarkStart w:id="116" w:name="refs"/>
    <w:bookmarkStart w:id="65"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4">
        <w:r>
          <w:rPr>
            <w:rStyle w:val="Hyperlink"/>
          </w:rPr>
          <w:t xml:space="preserve">https://doi.org/10.1177/2515245918773742</w:t>
        </w:r>
      </w:hyperlink>
    </w:p>
    <w:bookmarkEnd w:id="65"/>
    <w:bookmarkStart w:id="67"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66">
        <w:r>
          <w:rPr>
            <w:rStyle w:val="Hyperlink"/>
          </w:rPr>
          <w:t xml:space="preserve">https://doi.org/10.1038/d41586-019-00857-9</w:t>
        </w:r>
      </w:hyperlink>
    </w:p>
    <w:bookmarkEnd w:id="67"/>
    <w:bookmarkStart w:id="69"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 </w:t>
      </w:r>
      <w:r>
        <w:t xml:space="preserve">[Manual].</w:t>
      </w:r>
      <w:r>
        <w:t xml:space="preserve"> </w:t>
      </w:r>
      <w:hyperlink r:id="rId68">
        <w:r>
          <w:rPr>
            <w:rStyle w:val="Hyperlink"/>
          </w:rPr>
          <w:t xml:space="preserve">https://doi.org/10.32614/CRAN.package.papaja</w:t>
        </w:r>
      </w:hyperlink>
    </w:p>
    <w:bookmarkEnd w:id="69"/>
    <w:bookmarkStart w:id="71"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70">
        <w:r>
          <w:rPr>
            <w:rStyle w:val="Hyperlink"/>
          </w:rPr>
          <w:t xml:space="preserve">https://doi.org/10.48550/ARXIV.1903.10676</w:t>
        </w:r>
      </w:hyperlink>
    </w:p>
    <w:bookmarkEnd w:id="71"/>
    <w:bookmarkStart w:id="72" w:name="ref-cummin_hussey24"/>
    <w:p>
      <w:pPr>
        <w:pStyle w:val="Bibliography"/>
      </w:pPr>
      <w:r>
        <w:t xml:space="preserve">Cummin, J., &amp; Hussey, I. (2024).</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72"/>
    <w:bookmarkStart w:id="73" w:name="ref-R-papercheck"/>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w:t>
      </w:r>
      <w:r>
        <w:t xml:space="preserve">[Manual].</w:t>
      </w:r>
    </w:p>
    <w:bookmarkEnd w:id="73"/>
    <w:bookmarkStart w:id="75"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74">
        <w:r>
          <w:rPr>
            <w:rStyle w:val="Hyperlink"/>
          </w:rPr>
          <w:t xml:space="preserve">https://doi.org/10.18653/v1/N19-1423</w:t>
        </w:r>
      </w:hyperlink>
    </w:p>
    <w:bookmarkEnd w:id="75"/>
    <w:bookmarkStart w:id="77"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76">
        <w:r>
          <w:rPr>
            <w:rStyle w:val="Hyperlink"/>
          </w:rPr>
          <w:t xml:space="preserve">https://doi.org/10.1037/h0044139</w:t>
        </w:r>
      </w:hyperlink>
    </w:p>
    <w:bookmarkEnd w:id="77"/>
    <w:bookmarkStart w:id="79" w:name="ref-R-flextable"/>
    <w:p>
      <w:pPr>
        <w:pStyle w:val="Bibliography"/>
      </w:pPr>
      <w:r>
        <w:t xml:space="preserve">Gohel, D., &amp; Skintzos, P. (2025).</w:t>
      </w:r>
      <w:r>
        <w:t xml:space="preserve"> </w:t>
      </w:r>
      <w:r>
        <w:rPr>
          <w:i/>
          <w:iCs/>
        </w:rPr>
        <w:t xml:space="preserve">Flextable:</w:t>
      </w:r>
      <w:r>
        <w:rPr>
          <w:i/>
          <w:iCs/>
        </w:rPr>
        <w:t xml:space="preserve"> </w:t>
      </w:r>
      <w:r>
        <w:rPr>
          <w:i/>
          <w:iCs/>
        </w:rPr>
        <w:t xml:space="preserve">Functions</w:t>
      </w:r>
      <w:r>
        <w:rPr>
          <w:i/>
          <w:iCs/>
        </w:rPr>
        <w:t xml:space="preserve"> </w:t>
      </w:r>
      <w:r>
        <w:rPr>
          <w:i/>
          <w:iCs/>
        </w:rPr>
        <w:t xml:space="preserve">for tabular reporting</w:t>
      </w:r>
      <w:r>
        <w:t xml:space="preserve"> </w:t>
      </w:r>
      <w:r>
        <w:t xml:space="preserve">[Manual].</w:t>
      </w:r>
      <w:r>
        <w:t xml:space="preserve"> </w:t>
      </w:r>
      <w:hyperlink r:id="rId78">
        <w:r>
          <w:rPr>
            <w:rStyle w:val="Hyperlink"/>
          </w:rPr>
          <w:t xml:space="preserve">https://doi.org/10.32614/CRAN.package.flextable</w:t>
        </w:r>
      </w:hyperlink>
    </w:p>
    <w:bookmarkEnd w:id="79"/>
    <w:bookmarkStart w:id="81"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80">
        <w:r>
          <w:rPr>
            <w:rStyle w:val="Hyperlink"/>
          </w:rPr>
          <w:t xml:space="preserve">https://doi.org/10.1053/j.seminhematol.2008.04.003</w:t>
        </w:r>
      </w:hyperlink>
    </w:p>
    <w:bookmarkEnd w:id="81"/>
    <w:bookmarkStart w:id="83"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82">
        <w:r>
          <w:rPr>
            <w:rStyle w:val="Hyperlink"/>
          </w:rPr>
          <w:t xml:space="preserve">https://doi.org/10.1007/s10654-016-0149-3</w:t>
        </w:r>
      </w:hyperlink>
    </w:p>
    <w:bookmarkEnd w:id="83"/>
    <w:bookmarkStart w:id="85"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84">
        <w:r>
          <w:rPr>
            <w:rStyle w:val="Hyperlink"/>
          </w:rPr>
          <w:t xml:space="preserve">https://doi.org/10.1145/3458754</w:t>
        </w:r>
      </w:hyperlink>
    </w:p>
    <w:bookmarkEnd w:id="85"/>
    <w:bookmarkStart w:id="87"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86">
        <w:r>
          <w:rPr>
            <w:rStyle w:val="Hyperlink"/>
          </w:rPr>
          <w:t xml:space="preserve">https://doi.org/10.7287/peerj.preprints.26968v1</w:t>
        </w:r>
      </w:hyperlink>
    </w:p>
    <w:bookmarkEnd w:id="87"/>
    <w:bookmarkStart w:id="89"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88">
        <w:r>
          <w:rPr>
            <w:rStyle w:val="Hyperlink"/>
          </w:rPr>
          <w:t xml:space="preserve">https://doi.org/10.3758/BF03213921</w:t>
        </w:r>
      </w:hyperlink>
    </w:p>
    <w:bookmarkEnd w:id="89"/>
    <w:bookmarkStart w:id="91" w:name="ref-isager_fitzgerald24"/>
    <w:p>
      <w:pPr>
        <w:pStyle w:val="Bibliography"/>
      </w:pPr>
      <w:r>
        <w:t xml:space="preserve">Isager, P. M., &amp; Fitzgerald, J. (2024).</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90">
        <w:r>
          <w:rPr>
            <w:rStyle w:val="Hyperlink"/>
          </w:rPr>
          <w:t xml:space="preserve">https://doi.org/10.31234/osf.io/8y925</w:t>
        </w:r>
      </w:hyperlink>
    </w:p>
    <w:bookmarkEnd w:id="91"/>
    <w:bookmarkStart w:id="93"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92">
        <w:r>
          <w:rPr>
            <w:rStyle w:val="Hyperlink"/>
          </w:rPr>
          <w:t xml:space="preserve">https://doi.org/10.1177/1745691620958012</w:t>
        </w:r>
      </w:hyperlink>
    </w:p>
    <w:bookmarkEnd w:id="93"/>
    <w:bookmarkStart w:id="94" w:name="ref-lakens24a"/>
    <w:p>
      <w:pPr>
        <w:pStyle w:val="Bibliography"/>
      </w:pPr>
      <w:r>
        <w:t xml:space="preserve">Lakens, D. (2024).</w:t>
      </w:r>
      <w:r>
        <w:t xml:space="preserve"> </w:t>
      </w:r>
      <w:r>
        <w:rPr>
          <w:i/>
          <w:iCs/>
        </w:rPr>
        <w:t xml:space="preserve">Improving</w:t>
      </w:r>
      <w:r>
        <w:rPr>
          <w:i/>
          <w:iCs/>
        </w:rPr>
        <w:t xml:space="preserve"> </w:t>
      </w:r>
      <w:r>
        <w:rPr>
          <w:i/>
          <w:iCs/>
        </w:rPr>
        <w:t xml:space="preserve">Your Statistical Inferences</w:t>
      </w:r>
      <w:r>
        <w:t xml:space="preserve">.</w:t>
      </w:r>
    </w:p>
    <w:bookmarkEnd w:id="94"/>
    <w:bookmarkStart w:id="96"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95">
        <w:r>
          <w:rPr>
            <w:rStyle w:val="Hyperlink"/>
          </w:rPr>
          <w:t xml:space="preserve">https://doi.org/10.1038/s41562-018-0311-x</w:t>
        </w:r>
      </w:hyperlink>
    </w:p>
    <w:bookmarkEnd w:id="96"/>
    <w:bookmarkStart w:id="98"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97">
        <w:r>
          <w:rPr>
            <w:rStyle w:val="Hyperlink"/>
          </w:rPr>
          <w:t xml:space="preserve">https://doi.org/10.1080/00031305.2018.1527253</w:t>
        </w:r>
      </w:hyperlink>
    </w:p>
    <w:bookmarkEnd w:id="98"/>
    <w:bookmarkStart w:id="100" w:name="ref-murphy_etal25"/>
    <w:p>
      <w:pPr>
        <w:pStyle w:val="Bibliography"/>
      </w:pPr>
      <w:r>
        <w:t xml:space="preserve">Murphy, S. L., Merz, R., Reimann, L.-E., &amp; Fernández, A. (2025). Nonsignificance misinterpreted as an effect’s absence in psychology: Prevalence 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99">
        <w:r>
          <w:rPr>
            <w:rStyle w:val="Hyperlink"/>
          </w:rPr>
          <w:t xml:space="preserve">https://doi.org/10.1098/rsos.242167</w:t>
        </w:r>
      </w:hyperlink>
    </w:p>
    <w:bookmarkEnd w:id="100"/>
    <w:bookmarkStart w:id="101"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p-values.</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101"/>
    <w:bookmarkStart w:id="102" w:name="ref-python"/>
    <w:p>
      <w:pPr>
        <w:pStyle w:val="Bibliography"/>
      </w:pPr>
      <w:r>
        <w:t xml:space="preserve">Python Software Foundation. (2025).</w:t>
      </w:r>
      <w:r>
        <w:t xml:space="preserve"> </w:t>
      </w:r>
      <w:r>
        <w:rPr>
          <w:i/>
          <w:iCs/>
        </w:rPr>
        <w:t xml:space="preserve">Python: A dynamic, open source programming language</w:t>
      </w:r>
      <w:r>
        <w:t xml:space="preserve"> </w:t>
      </w:r>
      <w:r>
        <w:t xml:space="preserve">[Manual]. Python Software Foundation.</w:t>
      </w:r>
    </w:p>
    <w:bookmarkEnd w:id="102"/>
    <w:bookmarkStart w:id="104" w:name="ref-R-showtext"/>
    <w:p>
      <w:pPr>
        <w:pStyle w:val="Bibliography"/>
      </w:pPr>
      <w:r>
        <w:t xml:space="preserve">Qiu, Y., &amp; details., authors/contributors. of the included software. S. file A. for. (2024).</w:t>
      </w:r>
      <w:r>
        <w:t xml:space="preserve"> </w:t>
      </w:r>
      <w:r>
        <w:rPr>
          <w:i/>
          <w:iCs/>
        </w:rPr>
        <w:t xml:space="preserve">Showtext:</w:t>
      </w:r>
      <w:r>
        <w:rPr>
          <w:i/>
          <w:iCs/>
        </w:rPr>
        <w:t xml:space="preserve"> </w:t>
      </w:r>
      <w:r>
        <w:rPr>
          <w:i/>
          <w:iCs/>
        </w:rPr>
        <w:t xml:space="preserve">Using</w:t>
      </w:r>
      <w:r>
        <w:rPr>
          <w:i/>
          <w:iCs/>
        </w:rPr>
        <w:t xml:space="preserve"> </w:t>
      </w:r>
      <w:r>
        <w:rPr>
          <w:i/>
          <w:iCs/>
        </w:rPr>
        <w:t xml:space="preserve">fonts more easily in</w:t>
      </w:r>
      <w:r>
        <w:rPr>
          <w:i/>
          <w:iCs/>
        </w:rPr>
        <w:t xml:space="preserve"> </w:t>
      </w:r>
      <w:r>
        <w:rPr>
          <w:i/>
          <w:iCs/>
        </w:rPr>
        <w:t xml:space="preserve">R</w:t>
      </w:r>
      <w:r>
        <w:rPr>
          <w:i/>
          <w:iCs/>
        </w:rPr>
        <w:t xml:space="preserve"> </w:t>
      </w:r>
      <w:r>
        <w:rPr>
          <w:i/>
          <w:iCs/>
        </w:rPr>
        <w:t xml:space="preserve">graphs</w:t>
      </w:r>
      <w:r>
        <w:t xml:space="preserve"> </w:t>
      </w:r>
      <w:r>
        <w:t xml:space="preserve">[Manual].</w:t>
      </w:r>
      <w:r>
        <w:t xml:space="preserve"> </w:t>
      </w:r>
      <w:hyperlink r:id="rId103">
        <w:r>
          <w:rPr>
            <w:rStyle w:val="Hyperlink"/>
          </w:rPr>
          <w:t xml:space="preserve">https://doi.org/10.32614/CRAN.package.showtext</w:t>
        </w:r>
      </w:hyperlink>
    </w:p>
    <w:bookmarkEnd w:id="104"/>
    <w:bookmarkStart w:id="106"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105">
        <w:r>
          <w:rPr>
            <w:rStyle w:val="Hyperlink"/>
          </w:rPr>
          <w:t xml:space="preserve">https://doi.org/10.1080/00031305.1996.10474380</w:t>
        </w:r>
      </w:hyperlink>
    </w:p>
    <w:bookmarkEnd w:id="106"/>
    <w:bookmarkStart w:id="107"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 https://www.zotero.org/blog/retracted-item-notifications/.</w:t>
      </w:r>
    </w:p>
    <w:bookmarkEnd w:id="107"/>
    <w:bookmarkStart w:id="108" w:name="ref-rcoreteam25"/>
    <w:p>
      <w:pPr>
        <w:pStyle w:val="Bibliography"/>
      </w:pPr>
      <w:r>
        <w:t xml:space="preserve">Team, R. C. (2025).</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[Manual]. R Foundation for Statistical Computing.</w:t>
      </w:r>
    </w:p>
    <w:bookmarkEnd w:id="108"/>
    <w:bookmarkStart w:id="110"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09">
        <w:r>
          <w:rPr>
            <w:rStyle w:val="Hyperlink"/>
          </w:rPr>
          <w:t xml:space="preserve">https://doi.org/10.3758/BF03194105</w:t>
        </w:r>
      </w:hyperlink>
    </w:p>
    <w:bookmarkEnd w:id="110"/>
    <w:bookmarkStart w:id="112"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1">
        <w:r>
          <w:rPr>
            <w:rStyle w:val="Hyperlink"/>
          </w:rPr>
          <w:t xml:space="preserve">https://doi.org/10.21105/joss.01686</w:t>
        </w:r>
      </w:hyperlink>
    </w:p>
    <w:bookmarkEnd w:id="112"/>
    <w:bookmarkStart w:id="114" w:name="ref-R-readxl"/>
    <w:p>
      <w:pPr>
        <w:pStyle w:val="Bibliography"/>
      </w:pPr>
      <w:r>
        <w:t xml:space="preserve">Wickham, H., &amp; Bryan, J. (2025).</w:t>
      </w:r>
      <w:r>
        <w:t xml:space="preserve"> </w:t>
      </w:r>
      <w:r>
        <w:rPr>
          <w:i/>
          <w:iCs/>
        </w:rPr>
        <w:t xml:space="preserve">Readxl:</w:t>
      </w:r>
      <w:r>
        <w:rPr>
          <w:i/>
          <w:iCs/>
        </w:rPr>
        <w:t xml:space="preserve"> </w:t>
      </w:r>
      <w:r>
        <w:rPr>
          <w:i/>
          <w:iCs/>
        </w:rPr>
        <w:t xml:space="preserve">Read</w:t>
      </w:r>
      <w:r>
        <w:rPr>
          <w:i/>
          <w:iCs/>
        </w:rPr>
        <w:t xml:space="preserve"> </w:t>
      </w:r>
      <w:r>
        <w:rPr>
          <w:i/>
          <w:iCs/>
        </w:rPr>
        <w:t xml:space="preserve">excel files</w:t>
      </w:r>
      <w:r>
        <w:t xml:space="preserve"> </w:t>
      </w:r>
      <w:r>
        <w:t xml:space="preserve">[Manual].</w:t>
      </w:r>
      <w:r>
        <w:t xml:space="preserve"> </w:t>
      </w:r>
      <w:hyperlink r:id="rId113">
        <w:r>
          <w:rPr>
            <w:rStyle w:val="Hyperlink"/>
          </w:rPr>
          <w:t xml:space="preserve">https://doi.org/10.32614/CRAN.package.readxl</w:t>
        </w:r>
      </w:hyperlink>
    </w:p>
    <w:bookmarkEnd w:id="114"/>
    <w:bookmarkStart w:id="115" w:name="ref-R-psych"/>
    <w:p>
      <w:pPr>
        <w:pStyle w:val="Bibliography"/>
      </w:pPr>
      <w:r>
        <w:t xml:space="preserve">William Revelle. (2025).</w:t>
      </w:r>
      <w:r>
        <w:t xml:space="preserve"> </w:t>
      </w:r>
      <w:r>
        <w:rPr>
          <w:i/>
          <w:iCs/>
        </w:rPr>
        <w:t xml:space="preserve">Psych:</w:t>
      </w:r>
      <w:r>
        <w:rPr>
          <w:i/>
          <w:iCs/>
        </w:rPr>
        <w:t xml:space="preserve"> </w:t>
      </w:r>
      <w:r>
        <w:rPr>
          <w:i/>
          <w:iCs/>
        </w:rPr>
        <w:t xml:space="preserve">Procedures</w:t>
      </w:r>
      <w:r>
        <w:rPr>
          <w:i/>
          <w:iCs/>
        </w:rPr>
        <w:t xml:space="preserve"> </w:t>
      </w:r>
      <w:r>
        <w:rPr>
          <w:i/>
          <w:iCs/>
        </w:rPr>
        <w:t xml:space="preserve">for psychological, psychometric, and personality research</w:t>
      </w:r>
      <w:r>
        <w:t xml:space="preserve"> </w:t>
      </w:r>
      <w:r>
        <w:t xml:space="preserve">[Manual]. Northwestern University.</w:t>
      </w:r>
    </w:p>
    <w:bookmarkEnd w:id="115"/>
    <w:bookmarkEnd w:id="116"/>
    <w:p>
      <w:r>
        <w:br w:type="page"/>
      </w:r>
    </w:p>
    <w:bookmarkEnd w:id="117"/>
    <w:bookmarkStart w:id="118" w:name="appendix"/>
    <w:p>
      <w:pPr>
        <w:pStyle w:val="Heading1"/>
      </w:pPr>
      <w:r>
        <w:t xml:space="preserve">Appendix</w:t>
      </w:r>
    </w:p>
    <w:p>
      <w:pPr>
        <w:pStyle w:val="FirstParagraph"/>
      </w:pPr>
      <w:r>
        <w:t xml:space="preserve">XXX</w:t>
      </w:r>
    </w:p>
    <w:bookmarkEnd w:id="11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In a final tool, users will be able to set the alpha level they used themselves, thus allowing other levels than the conventional 5%.</w:t>
      </w:r>
    </w:p>
  </w:footnote>
  <w:footnote w:id="41">
    <w:p>
      <w:pPr>
        <w:pStyle w:val="FootnoteText"/>
      </w:pPr>
      <w:r>
        <w:rPr>
          <w:rStyle w:val="FootnoteReference"/>
        </w:rPr>
        <w:footnoteRef/>
      </w:r>
      <w:r>
        <w:t xml:space="preserve"> </w:t>
      </w:r>
      <w:r>
        <w:t xml:space="preserve">I could not find one statement that was extracted automatically. My current theory is that this was an artifact from when the pdf was compiled and might be from a different article even, once again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df" /><Relationship Type="http://schemas.openxmlformats.org/officeDocument/2006/relationships/image" Id="rId43" Target="media/rId43.pdf" /><Relationship Type="http://schemas.openxmlformats.org/officeDocument/2006/relationships/image" Id="rId21" Target="media/rId21.svg" /><Relationship Type="http://schemas.openxmlformats.org/officeDocument/2006/relationships/hyperlink" Id="rId82" Target="https://doi.org/10.1007/s10654-016-0149-3" TargetMode="External" /><Relationship Type="http://schemas.openxmlformats.org/officeDocument/2006/relationships/hyperlink" Id="rId76" Target="https://doi.org/10.1037/h0044139" TargetMode="External" /><Relationship Type="http://schemas.openxmlformats.org/officeDocument/2006/relationships/hyperlink" Id="rId66" Target="https://doi.org/10.1038/d41586-019-00857-9" TargetMode="External" /><Relationship Type="http://schemas.openxmlformats.org/officeDocument/2006/relationships/hyperlink" Id="rId95" Target="https://doi.org/10.1038/s41562-018-0311-x" TargetMode="External" /><Relationship Type="http://schemas.openxmlformats.org/officeDocument/2006/relationships/hyperlink" Id="rId80" Target="https://doi.org/10.1053/j.seminhematol.2008.04.003" TargetMode="External" /><Relationship Type="http://schemas.openxmlformats.org/officeDocument/2006/relationships/hyperlink" Id="rId105" Target="https://doi.org/10.1080/00031305.1996.10474380" TargetMode="External" /><Relationship Type="http://schemas.openxmlformats.org/officeDocument/2006/relationships/hyperlink" Id="rId97" Target="https://doi.org/10.1080/00031305.2018.1527253" TargetMode="External" /><Relationship Type="http://schemas.openxmlformats.org/officeDocument/2006/relationships/hyperlink" Id="rId99" Target="https://doi.org/10.1098/rsos.242167" TargetMode="External" /><Relationship Type="http://schemas.openxmlformats.org/officeDocument/2006/relationships/hyperlink" Id="rId84" Target="https://doi.org/10.1145/3458754" TargetMode="External" /><Relationship Type="http://schemas.openxmlformats.org/officeDocument/2006/relationships/hyperlink" Id="rId92" Target="https://doi.org/10.1177/1745691620958012" TargetMode="External" /><Relationship Type="http://schemas.openxmlformats.org/officeDocument/2006/relationships/hyperlink" Id="rId64" Target="https://doi.org/10.1177/2515245918773742" TargetMode="External" /><Relationship Type="http://schemas.openxmlformats.org/officeDocument/2006/relationships/hyperlink" Id="rId74" Target="https://doi.org/10.18653/v1/N19-1423" TargetMode="External" /><Relationship Type="http://schemas.openxmlformats.org/officeDocument/2006/relationships/hyperlink" Id="rId111" Target="https://doi.org/10.21105/joss.01686" TargetMode="External" /><Relationship Type="http://schemas.openxmlformats.org/officeDocument/2006/relationships/hyperlink" Id="rId90" Target="https://doi.org/10.31234/osf.io/8y925" TargetMode="External" /><Relationship Type="http://schemas.openxmlformats.org/officeDocument/2006/relationships/hyperlink" Id="rId78" Target="https://doi.org/10.32614/CRAN.package.flextable" TargetMode="External" /><Relationship Type="http://schemas.openxmlformats.org/officeDocument/2006/relationships/hyperlink" Id="rId68" Target="https://doi.org/10.32614/CRAN.package.papaja" TargetMode="External" /><Relationship Type="http://schemas.openxmlformats.org/officeDocument/2006/relationships/hyperlink" Id="rId113" Target="https://doi.org/10.32614/CRAN.package.readxl" TargetMode="External" /><Relationship Type="http://schemas.openxmlformats.org/officeDocument/2006/relationships/hyperlink" Id="rId103" Target="https://doi.org/10.32614/CRAN.package.showtext" TargetMode="External" /><Relationship Type="http://schemas.openxmlformats.org/officeDocument/2006/relationships/hyperlink" Id="rId109" Target="https://doi.org/10.3758/BF03194105" TargetMode="External" /><Relationship Type="http://schemas.openxmlformats.org/officeDocument/2006/relationships/hyperlink" Id="rId88" Target="https://doi.org/10.3758/BF03213921" TargetMode="External" /><Relationship Type="http://schemas.openxmlformats.org/officeDocument/2006/relationships/hyperlink" Id="rId70" Target="https://doi.org/10.48550/ARXIV.1903.10676" TargetMode="External" /><Relationship Type="http://schemas.openxmlformats.org/officeDocument/2006/relationships/hyperlink" Id="rId86" Target="https://doi.org/10.7287/peerj.preprints.26968v1" TargetMode="External" /><Relationship Type="http://schemas.openxmlformats.org/officeDocument/2006/relationships/hyperlink" Id="rId36" Target="https://groq.com/"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7/s10654-016-0149-3" TargetMode="External" /><Relationship Type="http://schemas.openxmlformats.org/officeDocument/2006/relationships/hyperlink" Id="rId76" Target="https://doi.org/10.1037/h0044139" TargetMode="External" /><Relationship Type="http://schemas.openxmlformats.org/officeDocument/2006/relationships/hyperlink" Id="rId66" Target="https://doi.org/10.1038/d41586-019-00857-9" TargetMode="External" /><Relationship Type="http://schemas.openxmlformats.org/officeDocument/2006/relationships/hyperlink" Id="rId95" Target="https://doi.org/10.1038/s41562-018-0311-x" TargetMode="External" /><Relationship Type="http://schemas.openxmlformats.org/officeDocument/2006/relationships/hyperlink" Id="rId80" Target="https://doi.org/10.1053/j.seminhematol.2008.04.003" TargetMode="External" /><Relationship Type="http://schemas.openxmlformats.org/officeDocument/2006/relationships/hyperlink" Id="rId105" Target="https://doi.org/10.1080/00031305.1996.10474380" TargetMode="External" /><Relationship Type="http://schemas.openxmlformats.org/officeDocument/2006/relationships/hyperlink" Id="rId97" Target="https://doi.org/10.1080/00031305.2018.1527253" TargetMode="External" /><Relationship Type="http://schemas.openxmlformats.org/officeDocument/2006/relationships/hyperlink" Id="rId99" Target="https://doi.org/10.1098/rsos.242167" TargetMode="External" /><Relationship Type="http://schemas.openxmlformats.org/officeDocument/2006/relationships/hyperlink" Id="rId84" Target="https://doi.org/10.1145/3458754" TargetMode="External" /><Relationship Type="http://schemas.openxmlformats.org/officeDocument/2006/relationships/hyperlink" Id="rId92" Target="https://doi.org/10.1177/1745691620958012" TargetMode="External" /><Relationship Type="http://schemas.openxmlformats.org/officeDocument/2006/relationships/hyperlink" Id="rId64" Target="https://doi.org/10.1177/2515245918773742" TargetMode="External" /><Relationship Type="http://schemas.openxmlformats.org/officeDocument/2006/relationships/hyperlink" Id="rId74" Target="https://doi.org/10.18653/v1/N19-1423" TargetMode="External" /><Relationship Type="http://schemas.openxmlformats.org/officeDocument/2006/relationships/hyperlink" Id="rId111" Target="https://doi.org/10.21105/joss.01686" TargetMode="External" /><Relationship Type="http://schemas.openxmlformats.org/officeDocument/2006/relationships/hyperlink" Id="rId90" Target="https://doi.org/10.31234/osf.io/8y925" TargetMode="External" /><Relationship Type="http://schemas.openxmlformats.org/officeDocument/2006/relationships/hyperlink" Id="rId78" Target="https://doi.org/10.32614/CRAN.package.flextable" TargetMode="External" /><Relationship Type="http://schemas.openxmlformats.org/officeDocument/2006/relationships/hyperlink" Id="rId68" Target="https://doi.org/10.32614/CRAN.package.papaja" TargetMode="External" /><Relationship Type="http://schemas.openxmlformats.org/officeDocument/2006/relationships/hyperlink" Id="rId113" Target="https://doi.org/10.32614/CRAN.package.readxl" TargetMode="External" /><Relationship Type="http://schemas.openxmlformats.org/officeDocument/2006/relationships/hyperlink" Id="rId103" Target="https://doi.org/10.32614/CRAN.package.showtext" TargetMode="External" /><Relationship Type="http://schemas.openxmlformats.org/officeDocument/2006/relationships/hyperlink" Id="rId109" Target="https://doi.org/10.3758/BF03194105" TargetMode="External" /><Relationship Type="http://schemas.openxmlformats.org/officeDocument/2006/relationships/hyperlink" Id="rId88" Target="https://doi.org/10.3758/BF03213921" TargetMode="External" /><Relationship Type="http://schemas.openxmlformats.org/officeDocument/2006/relationships/hyperlink" Id="rId70" Target="https://doi.org/10.48550/ARXIV.1903.10676" TargetMode="External" /><Relationship Type="http://schemas.openxmlformats.org/officeDocument/2006/relationships/hyperlink" Id="rId86" Target="https://doi.org/10.7287/peerj.preprints.26968v1" TargetMode="External" /><Relationship Type="http://schemas.openxmlformats.org/officeDocument/2006/relationships/hyperlink" Id="rId36" Target="https://groq.com/"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HYBRID NLP FOR CORRECTING p VALUE MISINTERPRETATIONS</dc:description>
  <cp:keywords>p value, misinterpretation, automation, automated checks, RegEx, LLMs, BERT</cp:keywords>
  <dcterms:created xsi:type="dcterms:W3CDTF">2025-07-26T17:32:44Z</dcterms:created>
  <dcterms:modified xsi:type="dcterms:W3CDTF">2025-07-26T17:32:44Z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a highly prevalent issue in scientific reporting, despite decades of educational efforts and reform initiatives. Among the most frequent and consequential misinterpretations is the conclusion that a statistically nonsignificant result (e.g., p &gt;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HYBRID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