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43.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4"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(e.g.,</w:t>
      </w:r>
      <w:r>
        <w:t xml:space="preserve"> </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(e.g.,</w:t>
      </w:r>
      <w:r>
        <w:t xml:space="preserve"> </w:t>
      </w:r>
      <w:hyperlink w:anchor="ref-isager_fitzgerald24">
        <w:r>
          <w:rPr>
            <w:rStyle w:val="Hyperlink"/>
          </w:rPr>
          <w:t xml:space="preserve">Isager &amp; Fitzgerald, 2024</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(e.g.,</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‘misinterpretation checklists’</w:t>
      </w:r>
      <w:r>
        <w:t xml:space="preserve"> </w:t>
      </w:r>
      <w:r>
        <w:t xml:space="preserve">perhaps less informative than their authors would hope?</w:t>
      </w:r>
    </w:p>
    <w:p>
      <w:pPr>
        <w:pStyle w:val="BodyText"/>
      </w:pPr>
      <w:r>
        <w:t xml:space="preserve">In this master’s thesis,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them from a previous project</w:t>
      </w:r>
      <w:r>
        <w:t xml:space="preserve"> </w:t>
      </w:r>
      <w:r>
        <w:t xml:space="preserve">(</w:t>
      </w:r>
      <w:hyperlink w:anchor="ref-murphy_etal25">
        <w:r>
          <w:rPr>
            <w:rStyle w:val="Hyperlink"/>
          </w:rPr>
          <w:t xml:space="preserve">Murphy et al., 2025</w:t>
        </w:r>
      </w:hyperlink>
      <w:r>
        <w:t xml:space="preserve">)</w:t>
      </w:r>
      <w:r>
        <w:t xml:space="preserve">. That said, the general framework I propose can be easily adapted to address other misinterpretations, also beyond</w:t>
      </w:r>
      <w:r>
        <w:t xml:space="preserve"> </w:t>
      </w:r>
      <w:r>
        <w:rPr>
          <w:i/>
          <w:iCs/>
        </w:rPr>
        <w:t xml:space="preserve">p</w:t>
      </w:r>
      <w:r>
        <w:t xml:space="preserve"> </w:t>
      </w:r>
      <w:r>
        <w:t xml:space="preserve">values.</w:t>
      </w:r>
    </w:p>
    <w:bookmarkStart w:id="30" w:name="common-misinterpretations-of-p-values"/>
    <w:p>
      <w:pPr>
        <w:pStyle w:val="Heading2"/>
      </w:pPr>
      <w:r>
        <w:t xml:space="preserve">1.1 Common Misinterpretations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Reviewing these, I come to the conclusion that there are four distinct types of misconceptions about</w:t>
      </w:r>
      <w:r>
        <w:t xml:space="preserve"> </w:t>
      </w:r>
      <w:r>
        <w:rPr>
          <w:i/>
          <w:iCs/>
        </w:rPr>
        <w:t xml:space="preserve">p</w:t>
      </w:r>
      <w:r>
        <w:t xml:space="preserve"> </w:t>
      </w:r>
      <w:r>
        <w:t xml:space="preserve">values that seem to be at play:</w:t>
      </w:r>
    </w:p>
    <w:p>
      <w:pPr>
        <w:pStyle w:val="BodyText"/>
      </w:pPr>
      <w:r>
        <w:t xml:space="preserve">XXX</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Start w:id="29" w:name="the-big-four-p-value-misinterpretations"/>
    <w:p>
      <w:pPr>
        <w:pStyle w:val="Heading3"/>
      </w:pPr>
      <w:r>
        <w:t xml:space="preserve">1.1.1 The Big-Four</w:t>
      </w:r>
      <w:r>
        <w:t xml:space="preserve"> </w:t>
      </w:r>
      <w:r>
        <w:rPr>
          <w:i/>
          <w:iCs/>
        </w:rPr>
        <w:t xml:space="preserve">p</w:t>
      </w:r>
      <w:r>
        <w:t xml:space="preserve"> </w:t>
      </w:r>
      <w:r>
        <w:t xml:space="preserve">value misinterpretations</w:t>
      </w:r>
    </w:p>
    <w:p>
      <w:pPr>
        <w:pStyle w:val="FirstParagraph"/>
      </w:pPr>
      <w:r>
        <w:t xml:space="preserve">In preparation for this thesis project, I reviewed many of the previously reported misinterpretations of</w:t>
      </w:r>
      <w:r>
        <w:t xml:space="preserve"> </w:t>
      </w:r>
      <w:r>
        <w:rPr>
          <w:i/>
          <w:iCs/>
        </w:rPr>
        <w:t xml:space="preserve">p</w:t>
      </w:r>
      <w:r>
        <w:t xml:space="preserve"> </w:t>
      </w:r>
      <w:r>
        <w:t xml:space="preserve">values</w:t>
      </w:r>
      <w:r>
        <w:t xml:space="preserve"> </w:t>
      </w:r>
      <w:r>
        <w:t xml:space="preserve">(e.g.,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 chapter 1.7 from</w:t>
      </w:r>
      <w:r>
        <w:t xml:space="preserve"> </w:t>
      </w:r>
      <w:hyperlink w:anchor="ref-lakens24a">
        <w:r>
          <w:rPr>
            <w:rStyle w:val="Hyperlink"/>
          </w:rPr>
          <w:t xml:space="preserve">Lakens, 2024</w:t>
        </w:r>
      </w:hyperlink>
      <w:r>
        <w:t xml:space="preserve">)</w:t>
      </w:r>
      <w:r>
        <w:t xml:space="preserve"> </w:t>
      </w:r>
      <w:r>
        <w:t xml:space="preserve">and categorize them into four main groups:</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t xml:space="preserve">Blending statistical and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I argue that many of these published</w:t>
      </w:r>
      <w:r>
        <w:t xml:space="preserve"> </w:t>
      </w:r>
      <w:r>
        <w:t xml:space="preserve">‘misinterpretation checklists’</w:t>
      </w:r>
      <w:r>
        <w:t xml:space="preserve"> </w:t>
      </w:r>
      <w:r>
        <w:t xml:space="preserve">largely reiterate similar underlying misconceptions, often merely rephrasing what is, at its core, the same fundamental issue. While I will elaborate on this reasoning in the final thesis more, for the purposes of this proposal, I focus on the first category.</w:t>
      </w:r>
    </w:p>
    <w:p>
      <w:pPr>
        <w:pStyle w:val="BodyText"/>
      </w:pPr>
      <w:r>
        <w:t xml:space="preserve">This misinterpretation refers to the tendency of researchers to treat</w:t>
      </w:r>
      <w:r>
        <w:t xml:space="preserve"> </w:t>
      </w:r>
      <w:r>
        <w:rPr>
          <w:i/>
          <w:iCs/>
        </w:rPr>
        <w:t xml:space="preserve">p</w:t>
      </w:r>
      <w:r>
        <w:t xml:space="preserve"> </w:t>
      </w:r>
      <w:r>
        <w:t xml:space="preserve">values as if they represented the probability that the null (or alternative) hypothesis is true. Researchers who follow this misinterpretation may interpret</w:t>
      </w:r>
      <w:r>
        <w:t xml:space="preserve"> </w:t>
      </w:r>
      <w:r>
        <w:rPr>
          <w:i/>
          <w:iCs/>
        </w:rPr>
        <w:t xml:space="preserve">p</w:t>
      </w:r>
      <w:r>
        <w:t xml:space="preserve"> </w:t>
      </w:r>
      <w:r>
        <w:t xml:space="preserve">values below the conventional 5% threshold as evidence that</w:t>
      </w:r>
      <w:r>
        <w:t xml:space="preserve"> </w:t>
      </w:r>
      <m:oMath>
        <m:sSub>
          <m:e>
            <m:r>
              <m:t>H</m:t>
            </m:r>
          </m:e>
          <m:sub>
            <m:r>
              <m:t>1</m:t>
            </m:r>
          </m:sub>
        </m:sSub>
      </m:oMath>
      <w:r>
        <w:t xml:space="preserve"> </w:t>
      </w:r>
      <w:r>
        <w:t xml:space="preserve">is true (and</w:t>
      </w:r>
      <w:r>
        <w:t xml:space="preserve"> </w:t>
      </w:r>
      <m:oMath>
        <m:sSub>
          <m:e>
            <m:r>
              <m:t>H</m:t>
            </m:r>
          </m:e>
          <m:sub>
            <m:r>
              <m:t>0</m:t>
            </m:r>
          </m:sub>
        </m:sSub>
      </m:oMath>
      <w:r>
        <w:t xml:space="preserve"> </w:t>
      </w:r>
      <w:r>
        <w:t xml:space="preserve">is false), and nonsignificant</w:t>
      </w:r>
      <w:r>
        <w:t xml:space="preserve"> </w:t>
      </w:r>
      <w:r>
        <w:rPr>
          <w:i/>
          <w:iCs/>
        </w:rPr>
        <w:t xml:space="preserve">p</w:t>
      </w:r>
      <w:r>
        <w:t xml:space="preserve"> </w:t>
      </w:r>
      <w:r>
        <w:t xml:space="preserve">values as evidence that</w:t>
      </w:r>
      <w:r>
        <w:t xml:space="preserve"> </w:t>
      </w:r>
      <m:oMath>
        <m:sSub>
          <m:e>
            <m:r>
              <m:t>H</m:t>
            </m:r>
          </m:e>
          <m:sub>
            <m:r>
              <m:t>0</m:t>
            </m:r>
          </m:sub>
        </m:sSub>
      </m:oMath>
      <w:r>
        <w:t xml:space="preserve"> </w:t>
      </w:r>
      <w:r>
        <w:t xml:space="preserve">is true (and</w:t>
      </w:r>
      <w:r>
        <w:t xml:space="preserve"> </w:t>
      </w:r>
      <m:oMath>
        <m:sSub>
          <m:e>
            <m:r>
              <m:t>H</m:t>
            </m:r>
          </m:e>
          <m:sub>
            <m:r>
              <m:t>1</m:t>
            </m:r>
          </m:sub>
        </m:sSub>
      </m:oMath>
      <w:r>
        <w:t xml:space="preserve"> </w:t>
      </w:r>
      <w:r>
        <w:t xml:space="preserve">is false). In this project, I specifically focus on the latter mistake: interpreting a nonsignificant result as proof that no effect exists. This interpretation cannot be justified within the standard NHST framework, which defines the</w:t>
      </w:r>
      <w:r>
        <w:t xml:space="preserve"> </w:t>
      </w:r>
      <w:r>
        <w:rPr>
          <w:i/>
          <w:iCs/>
        </w:rPr>
        <w:t xml:space="preserve">p</w:t>
      </w:r>
      <w:r>
        <w:t xml:space="preserve"> </w:t>
      </w:r>
      <w:r>
        <w:t xml:space="preserve">value as the probability of observing the data, or something more extreme, assuming that the null hypothesis is true. There are, however, ways to overcome these misinterpretations, which I will discuss in the next section.</w:t>
      </w:r>
    </w:p>
    <w:bookmarkEnd w:id="29"/>
    <w:bookmarkEnd w:id="30"/>
    <w:bookmarkStart w:id="31" w:name="research-on-nonsignificance-as-absence"/>
    <w:p>
      <w:pPr>
        <w:pStyle w:val="Heading2"/>
      </w:pPr>
      <w:r>
        <w:t xml:space="preserve">1.2 Research on nonsignificance as absence</w:t>
      </w:r>
    </w:p>
    <w:p>
      <w:pPr>
        <w:pStyle w:val="FirstParagraph"/>
      </w:pPr>
      <w:r>
        <w:t xml:space="preserve">XXX</w:t>
      </w:r>
      <w:r>
        <w:t xml:space="preserve"> </w:t>
      </w:r>
      <w:r>
        <w:t xml:space="preserve">Aczel et al. (</w:t>
      </w:r>
      <w:hyperlink w:anchor="ref-aczel_etal18">
        <w:r>
          <w:rPr>
            <w:rStyle w:val="Hyperlink"/>
          </w:rPr>
          <w:t xml:space="preserve">2018</w:t>
        </w:r>
      </w:hyperlink>
      <w:r>
        <w:t xml:space="preserve">)</w:t>
      </w:r>
      <w:r>
        <w:t xml:space="preserve">;</w:t>
      </w:r>
      <w:r>
        <w:t xml:space="preserve"> </w:t>
      </w:r>
      <w:r>
        <w:t xml:space="preserve">Hoekstra et al. (</w:t>
      </w:r>
      <w:hyperlink w:anchor="ref-hoekstra_etal06">
        <w:r>
          <w:rPr>
            <w:rStyle w:val="Hyperlink"/>
          </w:rPr>
          <w:t xml:space="preserve">2006</w:t>
        </w:r>
      </w:hyperlink>
      <w:r>
        <w:t xml:space="preserve">)</w:t>
      </w:r>
      <w:r>
        <w:t xml:space="preserve">;</w:t>
      </w:r>
      <w:r>
        <w:t xml:space="preserve"> </w:t>
      </w:r>
      <w:r>
        <w:t xml:space="preserve">Murphy et al. (</w:t>
      </w:r>
      <w:hyperlink w:anchor="ref-murphy_etal25">
        <w:r>
          <w:rPr>
            <w:rStyle w:val="Hyperlink"/>
          </w:rPr>
          <w:t xml:space="preserve">2025</w:t>
        </w:r>
      </w:hyperlink>
      <w:r>
        <w:t xml:space="preserve">)</w:t>
      </w:r>
      <w:r>
        <w:t xml:space="preserve">; and more</w:t>
      </w:r>
    </w:p>
    <w:bookmarkEnd w:id="31"/>
    <w:bookmarkStart w:id="32" w:name="possible-solutions"/>
    <w:p>
      <w:pPr>
        <w:pStyle w:val="Heading2"/>
      </w:pPr>
      <w:r>
        <w:t xml:space="preserve">1.3 Possible solutions</w:t>
      </w:r>
    </w:p>
    <w:p>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misinterpretations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w:t>
      </w:r>
    </w:p>
    <w:p>
      <w:pPr>
        <w:pStyle w:val="BodyText"/>
      </w:pPr>
      <w:r>
        <w:t xml:space="preserve">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w:t>
      </w:r>
      <w:r>
        <w:t xml:space="preserve"> </w:t>
      </w:r>
      <w:r>
        <w:t xml:space="preserve">(</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bookmarkEnd w:id="32"/>
    <w:bookmarkStart w:id="33" w:name="an-automated-human-factors-perspective"/>
    <w:p>
      <w:pPr>
        <w:pStyle w:val="Heading2"/>
      </w:pPr>
      <w:r>
        <w:t xml:space="preserve">1.4 An Automated Human-Factors Perspective</w:t>
      </w:r>
    </w:p>
    <w:p>
      <w:pPr>
        <w:pStyle w:val="FirstParagraph"/>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such as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while Regcheck</w:t>
      </w:r>
      <w:r>
        <w:t xml:space="preserve"> </w:t>
      </w:r>
      <w:r>
        <w:t xml:space="preserve">(</w:t>
      </w:r>
      <w:hyperlink w:anchor="ref-cummin_hussey24">
        <w:r>
          <w:rPr>
            <w:rStyle w:val="Hyperlink"/>
          </w:rPr>
          <w:t xml:space="preserve">Cummin &amp; Hussey, 2024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debruine_lakens25">
        <w:r>
          <w:rPr>
            <w:rStyle w:val="Hyperlink"/>
          </w:rPr>
          <w:t xml:space="preserve">2025</w:t>
        </w:r>
      </w:hyperlink>
      <w:r>
        <w:t xml:space="preserve">)</w:t>
      </w:r>
      <w:r>
        <w:t xml:space="preserve"> </w:t>
      </w:r>
      <w:r>
        <w:t xml:space="preserve">developed papercheck, an R package and Shiny app, which allows users to run a battery of checks on research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w:t>
      </w:r>
      <w:r>
        <w:t xml:space="preserve">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aim to develop an automated approach to detect misinterpretations of nonsignificant results, building on the existing papercheck framework</w:t>
      </w:r>
      <w:r>
        <w:t xml:space="preserve"> </w:t>
      </w:r>
      <w:r>
        <w:t xml:space="preserve">(</w:t>
      </w:r>
      <w:hyperlink w:anchor="ref-debruine_lakens25">
        <w:r>
          <w:rPr>
            <w:rStyle w:val="Hyperlink"/>
          </w:rPr>
          <w:t xml:space="preserve">DeBruine &amp; Lakens, 2025</w:t>
        </w:r>
      </w:hyperlink>
      <w:r>
        <w:t xml:space="preserve">)</w:t>
      </w:r>
      <w:r>
        <w:t xml:space="preserve">. In the following section, I outline the methods and approaches that I will explore to achieve this goal.</w:t>
      </w:r>
    </w:p>
    <w:bookmarkEnd w:id="33"/>
    <w:bookmarkEnd w:id="34"/>
    <w:bookmarkStart w:id="40" w:name="methods"/>
    <w:p>
      <w:pPr>
        <w:pStyle w:val="Heading1"/>
      </w:pPr>
      <w:r>
        <w:t xml:space="preserve">2 Methods</w:t>
      </w:r>
    </w:p>
    <w:bookmarkStart w:id="37"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searched used rule-based regular expressions (RegEx) and searched articles’s results sections for them. Effectively, RegEx searchers are just more complex Ctrl+F searches, where a user can also include optional charcters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debruine_lakens25">
        <w:r>
          <w:rPr>
            <w:rStyle w:val="Hyperlink"/>
          </w:rPr>
          <w:t xml:space="preserve">DeBruine &amp; Lakens, 2025</w:t>
        </w:r>
      </w:hyperlink>
      <w:r>
        <w:t xml:space="preserve">)</w:t>
      </w:r>
      <w:r>
        <w:t xml:space="preserve"> </w:t>
      </w:r>
      <w:r>
        <w:t xml:space="preserve">has a module that detects almost all p values (see Section XXX) based on RegEx searches and I filtered these to just the ones equal to or above .05. I then expanded the extracted nonsignificant p values to the full sentence with papercheck and added +/- one sentence as context in case of extraction errors etc. (more on this in Section XXX).</w:t>
      </w:r>
      <w:r>
        <w:rPr>
          <w:rStyle w:val="FootnoteReference"/>
        </w:rPr>
        <w:footnoteReference w:id="35"/>
      </w:r>
    </w:p>
    <w:p>
      <w:pPr>
        <w:pStyle w:val="BodyText"/>
      </w:pPr>
      <w:r>
        <w:t xml:space="preserve">In the next step, these statements (labeled as correct or incorrect by me; see Section XXX) were used to train several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my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even further,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evaluated on their ability to distinguish between correct and incorrect interpretations of nonsignificant results in scientific writing.</w:t>
      </w:r>
    </w:p>
    <w:p>
      <w:pPr>
        <w:pStyle w:val="BodyText"/>
      </w:pPr>
      <w:r>
        <w:t xml:space="preserve">Lastly, statements that have been labeled as being incorrect by a BERT classifier were sent to a LLM to get corrected. The full prompt is available in X was had X word plus the respective statement. In short, the model was instructed to only change any misinterpretations of nonsignificant p values as the absence of an effect and keep the rest of the statement. Do communicate with the LLM, I used papercheck</w:t>
      </w:r>
      <w:r>
        <w:t xml:space="preserve"> </w:t>
      </w:r>
      <w:r>
        <w:t xml:space="preserve">(</w:t>
      </w:r>
      <w:hyperlink w:anchor="ref-debruine_lakens25">
        <w:r>
          <w:rPr>
            <w:rStyle w:val="Hyperlink"/>
          </w:rPr>
          <w:t xml:space="preserve">DeBruine &amp; Lakens, 2025</w:t>
        </w:r>
      </w:hyperlink>
      <w:r>
        <w:t xml:space="preserve">)</w:t>
      </w:r>
      <w:r>
        <w:t xml:space="preserve">, which, in turn, uses the Groq API (available at</w:t>
      </w:r>
      <w:r>
        <w:t xml:space="preserve"> </w:t>
      </w:r>
      <w:hyperlink r:id="rId36">
        <w:r>
          <w:rPr>
            <w:rStyle w:val="Hyperlink"/>
          </w:rPr>
          <w:t xml:space="preserve">https://groq.com/</w:t>
        </w:r>
      </w:hyperlink>
      <w:r>
        <w:t xml:space="preserve">) to communicate with different LLMs. I used papercheck’s standard LLM,</w:t>
      </w:r>
      <w:r>
        <w:t xml:space="preserve"> </w:t>
      </w:r>
      <w:r>
        <w:t xml:space="preserve">‘llama-3.3-70b-versatile’</w:t>
      </w:r>
      <w:r>
        <w:t xml:space="preserve"> </w:t>
      </w:r>
      <w:r>
        <w:t xml:space="preserve">(as of 07/24/2025).</w:t>
      </w:r>
    </w:p>
    <w:bookmarkEnd w:id="37"/>
    <w:bookmarkStart w:id="38" w:name="X47c36eaba022b4f77117a0fed5344b084fa3d76"/>
    <w:p>
      <w:pPr>
        <w:pStyle w:val="Heading2"/>
      </w:pPr>
      <w:r>
        <w:t xml:space="preserve">2.2 Validation Process and Performance Metrics</w:t>
      </w:r>
    </w:p>
    <w:p>
      <w:pPr>
        <w:pStyle w:val="FirstParagraph"/>
      </w:pPr>
      <w:r>
        <w:t xml:space="preserve">MAYBE (RE)MOVE The articles that were used in this study were part of papercheck’s sample library of 250 open access article from the journal Psychological Science, published between 2013 and 2024 (Median = 2021; IQA = [2018; 2022]). MAYBE (RE)MOVE</w:t>
      </w:r>
    </w:p>
    <w:p>
      <w:pPr>
        <w:pStyle w:val="BodyText"/>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 p values, I manually extracted all of these from 25 (10%) of the papercheck sample library’s 250 open access article from the journal Psychological Science. Articles were published between 2013 and 2024 (Median = 2021; IQA = [2018; 2022]).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to be from an article’s Results section. This resulted in 960 statements in total. Of these, 420 were classified as correct and 352 were classified as incorrect. The remaining 188 statements were classified as not neither correct nor incorrect because they interpreted the nonsignificant effect as (marginally) significant (83), because the statements were not complete enough to check their correctness (20), because they interpreted model fit indices and not the p value (20), because they were</w:t>
      </w:r>
      <w:r>
        <w:t xml:space="preserve"> </w:t>
      </w:r>
      <w:r>
        <w:t xml:space="preserve">‘false flags’</w:t>
      </w:r>
      <w:r>
        <w:t xml:space="preserve"> </w:t>
      </w:r>
      <w:r>
        <w:t xml:space="preserve">of nonsignificant p values (19), or due to a combination of these or other reasons (46).</w:t>
      </w:r>
    </w:p>
    <w:p>
      <w:pPr>
        <w:pStyle w:val="BodyText"/>
      </w:pPr>
      <w:r>
        <w:t xml:space="preserve">Lastly, I also also went through the 100 statements that were sent to an LLM to be corrected, to see if the</w:t>
      </w:r>
      <w:r>
        <w:t xml:space="preserve"> </w:t>
      </w:r>
      <w:r>
        <w:t xml:space="preserve">‘corrected’</w:t>
      </w:r>
      <w:r>
        <w:t xml:space="preserve"> </w:t>
      </w:r>
      <w:r>
        <w:t xml:space="preserve">statements were actually correct. Of these 100 statements, 80 had previously been labeled incorrect and 20 correct by me, to check how the LLM deals with possible false positives from the automated classification.</w:t>
      </w:r>
    </w:p>
    <w:p>
      <w:pPr>
        <w:pStyle w:val="BodyText"/>
      </w:pPr>
      <w:r>
        <w:t xml:space="preserve">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w:t>
      </w:r>
    </w:p>
    <w:p>
      <w:pPr>
        <w:pStyle w:val="BodyText"/>
      </w:pPr>
      <w:r>
        <w:t xml:space="preserve">During training, I computed the training loss (sum of errors between model predictions and actual labels in the training set) and the validation loss (same for validation set). The best-performing model was selected based on the lowest validation loss. For final evaluation, I computed the fraction of correctly predicted positive cases among all predicted positives (precision), the fraction of correctly predicted positive cases among all actual positives (recall), and their harmonic mean (F1 score), separately for each class label. To summarize overall performance across the two classes, I calculated the unweighted average of the two F1 scores (macro-F1 score).</w:t>
      </w:r>
    </w:p>
    <w:bookmarkEnd w:id="38"/>
    <w:bookmarkStart w:id="39" w:name="open-science"/>
    <w:p>
      <w:pPr>
        <w:pStyle w:val="Heading2"/>
      </w:pPr>
      <w:r>
        <w:t xml:space="preserve">2.4 Open Science</w:t>
      </w:r>
    </w:p>
    <w:p>
      <w:pPr>
        <w:pStyle w:val="FirstParagraph"/>
      </w:pPr>
      <w:r>
        <w:t xml:space="preserve">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XXX.com.</w:t>
      </w:r>
    </w:p>
    <w:p>
      <w:pPr>
        <w:pStyle w:val="BodyText"/>
      </w:pPr>
      <w:r>
        <w:t xml:space="preserve">This thesis was not preregistered as no inferential statistical tests were performed.</w:t>
      </w:r>
    </w:p>
    <w:bookmarkEnd w:id="39"/>
    <w:bookmarkEnd w:id="40"/>
    <w:bookmarkStart w:id="55" w:name="results"/>
    <w:p>
      <w:pPr>
        <w:pStyle w:val="Heading1"/>
      </w:pPr>
      <w:r>
        <w:t xml:space="preserve">3 Results</w:t>
      </w:r>
    </w:p>
    <w:bookmarkStart w:id="42" w:name="detection-accuracy"/>
    <w:p>
      <w:pPr>
        <w:pStyle w:val="Heading2"/>
      </w:pPr>
      <w:r>
        <w:t xml:space="preserve">3.1 Detection Accuracy</w:t>
      </w:r>
    </w:p>
    <w:p>
      <w:pPr>
        <w:pStyle w:val="FirstParagraph"/>
      </w:pPr>
      <w:r>
        <w:t xml:space="preserve">To see if my rule-based approach of using RegEx searches reliably detects all sentences with nonsignificant p values, I went through 25 random articles manually and copied each into a spreadsheet. I then compared how many of these were also caught by the automated approach. In total, I detected 179 statements with a nonsignificant p value. Of these, the automated RegEx searches got 130 (73 %) completely, and 6 partially due to extraction errors (e.g., because of pdf formatting like page breaks, figures or footnotes). In 3 cases the automated approach yielded false positives in the sense that it extracted</w:t>
      </w:r>
      <w:r>
        <w:t xml:space="preserve"> </w:t>
      </w:r>
      <w:r>
        <w:t xml:space="preserve">‘statements’</w:t>
      </w:r>
      <w:r>
        <w:t xml:space="preserve"> </w:t>
      </w:r>
      <w:r>
        <w:t xml:space="preserve">from tables or figure notes. Note, however, that the large majority of the total 49 missed statements were due to specific ways of writing (or not writing) the p value: 8 were missed because the authors wrote</w:t>
      </w:r>
      <w:r>
        <w:t xml:space="preserve"> </w:t>
      </w:r>
      <w:r>
        <w:t xml:space="preserve">‘n.s.’</w:t>
      </w:r>
      <w:r>
        <w:t xml:space="preserve"> </w:t>
      </w:r>
      <w:r>
        <w:t xml:space="preserve">instead of the nonsignificant p value, and 31 were missed because the p value was written as</w:t>
      </w:r>
      <w:r>
        <w:t xml:space="preserve"> </w:t>
      </w:r>
      <w:r>
        <w:t xml:space="preserve">‘</w:t>
      </w:r>
      <m:oMath>
        <m:sSub>
          <m:e>
            <m:r>
              <m:t>p</m:t>
            </m:r>
          </m:e>
          <m:sub>
            <m:r>
              <m:t>s</m:t>
            </m:r>
          </m:sub>
        </m:sSub>
      </m:oMath>
      <w:r>
        <w:t xml:space="preserve">’</w:t>
      </w:r>
      <w:r>
        <w:t xml:space="preserve">. Without these two mistakes (since the p value was written in a strange way and this would be relatively easy to fix) the overall agreement of automated and manual approach would be 93 %.</w:t>
      </w:r>
    </w:p>
    <w:p>
      <w:pPr>
        <w:pStyle w:val="BodyText"/>
      </w:pPr>
      <w:r>
        <w:t xml:space="preserve">Most of the other misses were due to pdf formatting issues like figures, tables, footnotes and page breaks or unusual characters inside the statement that messed with the statement extraction (11 in total).</w:t>
      </w:r>
      <w:r>
        <w:rPr>
          <w:rStyle w:val="FootnoteReference"/>
        </w:rPr>
        <w:footnoteReference w:id="41"/>
      </w:r>
    </w:p>
    <w:bookmarkEnd w:id="42"/>
    <w:bookmarkStart w:id="52" w:name="classification-performance"/>
    <w:p>
      <w:pPr>
        <w:pStyle w:val="Heading2"/>
      </w:pPr>
      <w:r>
        <w:t xml:space="preserve">3.2 Classification Performance</w:t>
      </w:r>
    </w:p>
    <w:bookmarkStart w:id="46" w:name="fig-2"/>
    <w:p>
      <w:pPr>
        <w:pStyle w:val="FigureTitle"/>
      </w:pPr>
      <w:r>
        <w:t xml:space="preserve">Figure 1</w:t>
      </w:r>
    </w:p>
    <w:p>
      <w:pPr>
        <w:pStyle w:val="Caption"/>
      </w:pPr>
      <w:r>
        <w:t xml:space="preserve">Training and Validation Loss Curve</w:t>
      </w:r>
    </w:p>
    <w:p>
      <w:pPr>
        <w:pStyle w:val="FigureWithNote"/>
      </w:pPr>
      <w:r>
        <w:drawing>
          <wp:inline>
            <wp:extent cx="5486400" cy="3393697"/>
            <wp:effectExtent b="0" l="0" r="0" t="0"/>
            <wp:docPr descr="" title="" id="44" name="Picture"/>
            <a:graphic>
              <a:graphicData uri="http://schemas.openxmlformats.org/drawingml/2006/picture">
                <pic:pic>
                  <pic:nvPicPr>
                    <pic:cNvPr descr="../data/model_performance/loss_curve.png" id="45" name="Picture"/>
                    <pic:cNvPicPr>
                      <a:picLocks noChangeArrowheads="1" noChangeAspect="1"/>
                    </pic:cNvPicPr>
                  </pic:nvPicPr>
                  <pic:blipFill>
                    <a:blip r:embed="rId43"/>
                    <a:stretch>
                      <a:fillRect/>
                    </a:stretch>
                  </pic:blipFill>
                  <pic:spPr bwMode="auto">
                    <a:xfrm>
                      <a:off x="0" y="0"/>
                      <a:ext cx="5486400" cy="3393697"/>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Curve of the training and validation loss across the all 7 epochs. The model after epoch 5 was chosen as the final model.</w:t>
      </w:r>
    </w:p>
    <w:p>
      <w:pPr>
        <w:pStyle w:val="BodyText"/>
      </w:pPr>
      <w:r>
        <w:t xml:space="preserve">The different performance metrics can be found in</w:t>
      </w:r>
      <w:r>
        <w:t xml:space="preserve"> </w:t>
      </w:r>
      <w:hyperlink w:anchor="tbl-model-performance">
        <w:r>
          <w:rPr>
            <w:rStyle w:val="Hyperlink"/>
          </w:rPr>
          <w:t xml:space="preserve">Table 1</w:t>
        </w:r>
      </w:hyperlink>
      <w:r>
        <w:t xml:space="preserve">.</w:t>
      </w:r>
    </w:p>
    <w:bookmarkStart w:id="47"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r>
      <w:tr>
        <w:trPr>
          <w:trHeight w:val="360" w:hRule="auto"/>
        </w:trPr>
        body2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r>
    </w:tbl>
    <w:bookmarkEnd w:id="47"/>
    <w:p>
      <w:pPr>
        <w:pStyle w:val="FigureNote"/>
      </w:pPr>
      <w:r>
        <w:rPr>
          <w:i/>
          <w:iCs/>
        </w:rPr>
        <w:t xml:space="preserve">Note</w:t>
      </w:r>
      <w:r>
        <w:t xml:space="preserve">. Table of precision, recall and F1 score per category.</w:t>
      </w:r>
    </w:p>
    <w:bookmarkStart w:id="51" w:name="fig-3"/>
    <w:p>
      <w:pPr>
        <w:pStyle w:val="FigureTitle"/>
      </w:pPr>
      <w:r>
        <w:t xml:space="preserve">Figure 2</w:t>
      </w:r>
    </w:p>
    <w:p>
      <w:pPr>
        <w:pStyle w:val="Caption"/>
      </w:pPr>
      <w:r>
        <w:t xml:space="preserve">Confusion Matrix</w:t>
      </w:r>
    </w:p>
    <w:p>
      <w:pPr>
        <w:pStyle w:val="FigureWithNote"/>
      </w:pPr>
      <w:r>
        <w:drawing>
          <wp:inline>
            <wp:extent cx="4572000" cy="4246075"/>
            <wp:effectExtent b="0" l="0" r="0" t="0"/>
            <wp:docPr descr="" title="" id="49" name="Picture"/>
            <a:graphic>
              <a:graphicData uri="http://schemas.openxmlformats.org/drawingml/2006/picture">
                <pic:pic>
                  <pic:nvPicPr>
                    <pic:cNvPr descr="../data/model_performance/confusion_matrix.png" id="50" name="Picture"/>
                    <pic:cNvPicPr>
                      <a:picLocks noChangeArrowheads="1" noChangeAspect="1"/>
                    </pic:cNvPicPr>
                  </pic:nvPicPr>
                  <pic:blipFill>
                    <a:blip r:embed="rId48"/>
                    <a:stretch>
                      <a:fillRect/>
                    </a:stretch>
                  </pic:blipFill>
                  <pic:spPr bwMode="auto">
                    <a:xfrm>
                      <a:off x="0" y="0"/>
                      <a:ext cx="4572000" cy="4246075"/>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Confusion matrix of the performance of the final model.</w:t>
      </w:r>
    </w:p>
    <w:bookmarkEnd w:id="52"/>
    <w:bookmarkStart w:id="54" w:name="correction-evaluation"/>
    <w:p>
      <w:pPr>
        <w:pStyle w:val="Heading2"/>
      </w:pPr>
      <w:r>
        <w:t xml:space="preserve">3.3 Correction Evaluation</w:t>
      </w:r>
    </w:p>
    <w:p>
      <w:pPr>
        <w:pStyle w:val="FirstParagraph"/>
      </w:pPr>
      <w:r>
        <w:t xml:space="preserve">A total of 100 statements from the classifier training data (since I had human labels for them and knew whether they were correct or incorrect) were sent to an LLM with papercheck using the groq API (XXX Insert model here XXX). 80 of these were statements that were classified as incorrect by me (see XXX section). An additional 20 correct statement were also included, to check how the LLM would deal with false positives from the automated classification. In total, 85 % of these were correct. Interestingly, 2 of the previously correct statements got turned incorrect by the LLM. 18, on the other hand, remained correct. Similarly, the LLM actually corrected 67 of the 80 previously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really good/bad corrections can be found in</w:t>
      </w:r>
      <w:r>
        <w:t xml:space="preserve"> </w:t>
      </w:r>
      <w:hyperlink w:anchor="tbl-LLM-corrections">
        <w:r>
          <w:rPr>
            <w:rStyle w:val="Hyperlink"/>
          </w:rPr>
          <w:t xml:space="preserve">Table 2</w:t>
        </w:r>
      </w:hyperlink>
      <w:r>
        <w:t xml:space="preserve">.</w:t>
      </w:r>
    </w:p>
    <w:bookmarkStart w:id="53" w:name="tbl-LLM-corrections"/>
    <w:p>
      <w:pPr>
        <w:pStyle w:val="FigureTitle"/>
      </w:pPr>
      <w:r>
        <w:t xml:space="preserve">Table 2</w:t>
      </w:r>
    </w:p>
    <w:p>
      <w:pPr>
        <w:pStyle w:val="Caption"/>
      </w:pPr>
      <w:r>
        <w:t xml:space="preserve">Examples of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(β = -0.09, p = .23 in musicians; 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was there a significant association between a lower age of onset and higher levels of melody discrimination (β = -0.09, p = .23 in musicians; β = -0.05, p = .001 in twins), whereas in musicians, the association was not statistically 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showed no significant preference for the seeker over the other target,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 indicating that the data do not provide sufficient evidence to reject the null hypothesis of no effect.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body7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β = 0.10, p = .304, and effectiveness, b = 0.04, 95% CI = [-0.06, 0.14], 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3"/>
    <w:p>
      <w:pPr>
        <w:pStyle w:val="FigureNote"/>
      </w:pPr>
      <w:r>
        <w:rPr>
          <w:i/>
          <w:iCs/>
        </w:rPr>
        <w:t xml:space="preserve">Note</w:t>
      </w:r>
      <w:r>
        <w:t xml:space="preserve">. Table of original and LLM-corrected statements and their respective labels.</w:t>
      </w:r>
    </w:p>
    <w:bookmarkEnd w:id="54"/>
    <w:bookmarkEnd w:id="55"/>
    <w:bookmarkStart w:id="61" w:name="discussion"/>
    <w:p>
      <w:pPr>
        <w:pStyle w:val="Heading1"/>
      </w:pPr>
      <w:r>
        <w:t xml:space="preserve">4 Discussion</w:t>
      </w:r>
    </w:p>
    <w:bookmarkStart w:id="56" w:name="summary-of-findings"/>
    <w:p>
      <w:pPr>
        <w:pStyle w:val="Heading2"/>
      </w:pPr>
      <w:r>
        <w:t xml:space="preserve">4.1 Summary of Findings</w:t>
      </w:r>
    </w:p>
    <w:bookmarkEnd w:id="56"/>
    <w:bookmarkStart w:id="57" w:name="strengths-of-the-approach"/>
    <w:p>
      <w:pPr>
        <w:pStyle w:val="Heading2"/>
      </w:pPr>
      <w:r>
        <w:t xml:space="preserve">4.2 Strengths of the Approach</w:t>
      </w:r>
    </w:p>
    <w:bookmarkEnd w:id="57"/>
    <w:bookmarkStart w:id="58" w:name="limitations-and-challenges"/>
    <w:p>
      <w:pPr>
        <w:pStyle w:val="Heading2"/>
      </w:pPr>
      <w:r>
        <w:t xml:space="preserve">4.3 Limitations and Challenges</w:t>
      </w:r>
    </w:p>
    <w:bookmarkEnd w:id="58"/>
    <w:bookmarkStart w:id="59" w:name="implication-of-the-tool"/>
    <w:p>
      <w:pPr>
        <w:pStyle w:val="Heading2"/>
      </w:pPr>
      <w:r>
        <w:t xml:space="preserve">4.4 Implication of the Tool</w:t>
      </w:r>
    </w:p>
    <w:bookmarkEnd w:id="59"/>
    <w:bookmarkStart w:id="60" w:name="future-directions-and-improvements"/>
    <w:p>
      <w:pPr>
        <w:pStyle w:val="Heading2"/>
      </w:pPr>
      <w:r>
        <w:t xml:space="preserve">4.5 Future Directions and Improvements</w:t>
      </w:r>
    </w:p>
    <w:bookmarkEnd w:id="60"/>
    <w:bookmarkEnd w:id="61"/>
    <w:bookmarkStart w:id="62" w:name="conclusion"/>
    <w:p>
      <w:pPr>
        <w:pStyle w:val="Heading1"/>
      </w:pPr>
      <w:r>
        <w:t xml:space="preserve">5 Conclusion</w:t>
      </w:r>
    </w:p>
    <w:bookmarkEnd w:id="62"/>
    <w:bookmarkStart w:id="103" w:name="references"/>
    <w:p>
      <w:pPr>
        <w:pStyle w:val="Heading1"/>
      </w:pPr>
      <w:r>
        <w:t xml:space="preserve">References</w:t>
      </w:r>
    </w:p>
    <w:bookmarkStart w:id="102" w:name="refs"/>
    <w:bookmarkStart w:id="64"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3">
        <w:r>
          <w:rPr>
            <w:rStyle w:val="Hyperlink"/>
          </w:rPr>
          <w:t xml:space="preserve">https://doi.org/10.1177/2515245918773742</w:t>
        </w:r>
      </w:hyperlink>
    </w:p>
    <w:bookmarkEnd w:id="64"/>
    <w:bookmarkStart w:id="66"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5">
        <w:r>
          <w:rPr>
            <w:rStyle w:val="Hyperlink"/>
          </w:rPr>
          <w:t xml:space="preserve">https://doi.org/10.1038/d41586-019-00857-9</w:t>
        </w:r>
      </w:hyperlink>
    </w:p>
    <w:bookmarkEnd w:id="66"/>
    <w:bookmarkStart w:id="68"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67">
        <w:r>
          <w:rPr>
            <w:rStyle w:val="Hyperlink"/>
          </w:rPr>
          <w:t xml:space="preserve">https://doi.org/10.48550/ARXIV.1903.10676</w:t>
        </w:r>
      </w:hyperlink>
    </w:p>
    <w:bookmarkEnd w:id="68"/>
    <w:bookmarkStart w:id="69" w:name="ref-cummin_hussey24"/>
    <w:p>
      <w:pPr>
        <w:pStyle w:val="Bibliography"/>
      </w:pPr>
      <w:r>
        <w:t xml:space="preserve">Cummin, J., &amp; Hussey, I. (2024).</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69"/>
    <w:bookmarkStart w:id="70" w:name="ref-debruine_lakens25"/>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R package version 0.0.0.9033, available at https://scienceverse.github.io/papercheck/.</w:t>
      </w:r>
    </w:p>
    <w:bookmarkEnd w:id="70"/>
    <w:bookmarkStart w:id="72"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1">
        <w:r>
          <w:rPr>
            <w:rStyle w:val="Hyperlink"/>
          </w:rPr>
          <w:t xml:space="preserve">https://doi.org/10.18653/v1/N19-1423</w:t>
        </w:r>
      </w:hyperlink>
    </w:p>
    <w:bookmarkEnd w:id="72"/>
    <w:bookmarkStart w:id="74"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3">
        <w:r>
          <w:rPr>
            <w:rStyle w:val="Hyperlink"/>
          </w:rPr>
          <w:t xml:space="preserve">https://doi.org/10.1037/h0044139</w:t>
        </w:r>
      </w:hyperlink>
    </w:p>
    <w:bookmarkEnd w:id="74"/>
    <w:bookmarkStart w:id="76"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75">
        <w:r>
          <w:rPr>
            <w:rStyle w:val="Hyperlink"/>
          </w:rPr>
          <w:t xml:space="preserve">https://doi.org/10.1053/j.seminhematol.2008.04.003</w:t>
        </w:r>
      </w:hyperlink>
    </w:p>
    <w:bookmarkEnd w:id="76"/>
    <w:bookmarkStart w:id="78"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77">
        <w:r>
          <w:rPr>
            <w:rStyle w:val="Hyperlink"/>
          </w:rPr>
          <w:t xml:space="preserve">https://doi.org/10.1007/s10654-016-0149-3</w:t>
        </w:r>
      </w:hyperlink>
    </w:p>
    <w:bookmarkEnd w:id="78"/>
    <w:bookmarkStart w:id="80"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79">
        <w:r>
          <w:rPr>
            <w:rStyle w:val="Hyperlink"/>
          </w:rPr>
          <w:t xml:space="preserve">https://doi.org/10.1145/3458754</w:t>
        </w:r>
      </w:hyperlink>
    </w:p>
    <w:bookmarkEnd w:id="80"/>
    <w:bookmarkStart w:id="82"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1">
        <w:r>
          <w:rPr>
            <w:rStyle w:val="Hyperlink"/>
          </w:rPr>
          <w:t xml:space="preserve">https://doi.org/10.7287/peerj.preprints.26968v1</w:t>
        </w:r>
      </w:hyperlink>
    </w:p>
    <w:bookmarkEnd w:id="82"/>
    <w:bookmarkStart w:id="84"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3">
        <w:r>
          <w:rPr>
            <w:rStyle w:val="Hyperlink"/>
          </w:rPr>
          <w:t xml:space="preserve">https://doi.org/10.3758/BF03213921</w:t>
        </w:r>
      </w:hyperlink>
    </w:p>
    <w:bookmarkEnd w:id="84"/>
    <w:bookmarkStart w:id="86" w:name="ref-isager_fitzgerald24"/>
    <w:p>
      <w:pPr>
        <w:pStyle w:val="Bibliography"/>
      </w:pPr>
      <w:r>
        <w:t xml:space="preserve">Isager, P. M., &amp; Fitzgerald, J. (2024).</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85">
        <w:r>
          <w:rPr>
            <w:rStyle w:val="Hyperlink"/>
          </w:rPr>
          <w:t xml:space="preserve">https://doi.org/10.31234/osf.io/8y925</w:t>
        </w:r>
      </w:hyperlink>
    </w:p>
    <w:bookmarkEnd w:id="86"/>
    <w:bookmarkStart w:id="88"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87">
        <w:r>
          <w:rPr>
            <w:rStyle w:val="Hyperlink"/>
          </w:rPr>
          <w:t xml:space="preserve">https://doi.org/10.1177/1745691620958012</w:t>
        </w:r>
      </w:hyperlink>
    </w:p>
    <w:bookmarkEnd w:id="88"/>
    <w:bookmarkStart w:id="89" w:name="ref-lakens24a"/>
    <w:p>
      <w:pPr>
        <w:pStyle w:val="Bibliography"/>
      </w:pPr>
      <w:r>
        <w:t xml:space="preserve">Lakens, D. (2024).</w:t>
      </w:r>
      <w:r>
        <w:t xml:space="preserve"> </w:t>
      </w:r>
      <w:r>
        <w:rPr>
          <w:i/>
          <w:iCs/>
        </w:rPr>
        <w:t xml:space="preserve">Improving</w:t>
      </w:r>
      <w:r>
        <w:rPr>
          <w:i/>
          <w:iCs/>
        </w:rPr>
        <w:t xml:space="preserve"> </w:t>
      </w:r>
      <w:r>
        <w:rPr>
          <w:i/>
          <w:iCs/>
        </w:rPr>
        <w:t xml:space="preserve">Your Statistical Inferences</w:t>
      </w:r>
      <w:r>
        <w:t xml:space="preserve">.</w:t>
      </w:r>
    </w:p>
    <w:bookmarkEnd w:id="89"/>
    <w:bookmarkStart w:id="91"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0">
        <w:r>
          <w:rPr>
            <w:rStyle w:val="Hyperlink"/>
          </w:rPr>
          <w:t xml:space="preserve">https://doi.org/10.1038/s41562-018-0311-x</w:t>
        </w:r>
      </w:hyperlink>
    </w:p>
    <w:bookmarkEnd w:id="91"/>
    <w:bookmarkStart w:id="93"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92">
        <w:r>
          <w:rPr>
            <w:rStyle w:val="Hyperlink"/>
          </w:rPr>
          <w:t xml:space="preserve">https://doi.org/10.1080/00031305.2018.1527253</w:t>
        </w:r>
      </w:hyperlink>
    </w:p>
    <w:bookmarkEnd w:id="93"/>
    <w:bookmarkStart w:id="95"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94">
        <w:r>
          <w:rPr>
            <w:rStyle w:val="Hyperlink"/>
          </w:rPr>
          <w:t xml:space="preserve">https://doi.org/10.1098/rsos.242167</w:t>
        </w:r>
      </w:hyperlink>
    </w:p>
    <w:bookmarkEnd w:id="95"/>
    <w:bookmarkStart w:id="96"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96"/>
    <w:bookmarkStart w:id="98"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97">
        <w:r>
          <w:rPr>
            <w:rStyle w:val="Hyperlink"/>
          </w:rPr>
          <w:t xml:space="preserve">https://doi.org/10.1080/00031305.1996.10474380</w:t>
        </w:r>
      </w:hyperlink>
    </w:p>
    <w:bookmarkEnd w:id="98"/>
    <w:bookmarkStart w:id="99"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99"/>
    <w:bookmarkStart w:id="101"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00">
        <w:r>
          <w:rPr>
            <w:rStyle w:val="Hyperlink"/>
          </w:rPr>
          <w:t xml:space="preserve">https://doi.org/10.3758/BF03194105</w:t>
        </w:r>
      </w:hyperlink>
    </w:p>
    <w:bookmarkEnd w:id="101"/>
    <w:bookmarkEnd w:id="102"/>
    <w:p>
      <w:r>
        <w:br w:type="page"/>
      </w:r>
    </w:p>
    <w:bookmarkEnd w:id="103"/>
    <w:bookmarkStart w:id="104" w:name="appendix"/>
    <w:p>
      <w:pPr>
        <w:pStyle w:val="Heading1"/>
      </w:pPr>
      <w:r>
        <w:t xml:space="preserve">Appendix</w:t>
      </w:r>
    </w:p>
    <w:p>
      <w:pPr>
        <w:pStyle w:val="FirstParagraph"/>
      </w:pPr>
      <w:r>
        <w:t xml:space="preserve">XXX</w:t>
      </w:r>
    </w:p>
    <w:bookmarkEnd w:id="10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41">
    <w:p>
      <w:pPr>
        <w:pStyle w:val="FootnoteText"/>
      </w:pPr>
      <w:r>
        <w:rPr>
          <w:rStyle w:val="FootnoteReference"/>
        </w:rPr>
        <w:footnoteRef/>
      </w:r>
      <w:r>
        <w:t xml:space="preserve"> </w:t>
      </w:r>
      <w:r>
        <w:t xml:space="preserve">I could not find one statement that was extracted automatically.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21" Target="media/rId21.svg" /><Relationship Type="http://schemas.openxmlformats.org/officeDocument/2006/relationships/hyperlink" Id="rId77" Target="https://doi.org/10.1007/s10654-016-0149-3" TargetMode="External" /><Relationship Type="http://schemas.openxmlformats.org/officeDocument/2006/relationships/hyperlink" Id="rId73" Target="https://doi.org/10.1037/h0044139" TargetMode="External" /><Relationship Type="http://schemas.openxmlformats.org/officeDocument/2006/relationships/hyperlink" Id="rId65" Target="https://doi.org/10.1038/d41586-019-00857-9" TargetMode="External" /><Relationship Type="http://schemas.openxmlformats.org/officeDocument/2006/relationships/hyperlink" Id="rId90" Target="https://doi.org/10.1038/s41562-018-0311-x" TargetMode="External" /><Relationship Type="http://schemas.openxmlformats.org/officeDocument/2006/relationships/hyperlink" Id="rId75" Target="https://doi.org/10.1053/j.seminhematol.2008.04.003" TargetMode="External" /><Relationship Type="http://schemas.openxmlformats.org/officeDocument/2006/relationships/hyperlink" Id="rId97" Target="https://doi.org/10.1080/00031305.1996.10474380" TargetMode="External" /><Relationship Type="http://schemas.openxmlformats.org/officeDocument/2006/relationships/hyperlink" Id="rId92" Target="https://doi.org/10.1080/00031305.2018.1527253" TargetMode="External" /><Relationship Type="http://schemas.openxmlformats.org/officeDocument/2006/relationships/hyperlink" Id="rId94" Target="https://doi.org/10.1098/rsos.242167" TargetMode="External" /><Relationship Type="http://schemas.openxmlformats.org/officeDocument/2006/relationships/hyperlink" Id="rId79" Target="https://doi.org/10.1145/3458754" TargetMode="External" /><Relationship Type="http://schemas.openxmlformats.org/officeDocument/2006/relationships/hyperlink" Id="rId87" Target="https://doi.org/10.1177/1745691620958012" TargetMode="External" /><Relationship Type="http://schemas.openxmlformats.org/officeDocument/2006/relationships/hyperlink" Id="rId63" Target="https://doi.org/10.1177/2515245918773742" TargetMode="External" /><Relationship Type="http://schemas.openxmlformats.org/officeDocument/2006/relationships/hyperlink" Id="rId71" Target="https://doi.org/10.18653/v1/N19-1423" TargetMode="External" /><Relationship Type="http://schemas.openxmlformats.org/officeDocument/2006/relationships/hyperlink" Id="rId85" Target="https://doi.org/10.31234/osf.io/8y925" TargetMode="External" /><Relationship Type="http://schemas.openxmlformats.org/officeDocument/2006/relationships/hyperlink" Id="rId100" Target="https://doi.org/10.3758/BF03194105" TargetMode="External" /><Relationship Type="http://schemas.openxmlformats.org/officeDocument/2006/relationships/hyperlink" Id="rId83" Target="https://doi.org/10.3758/BF03213921" TargetMode="External" /><Relationship Type="http://schemas.openxmlformats.org/officeDocument/2006/relationships/hyperlink" Id="rId67" Target="https://doi.org/10.48550/ARXIV.1903.10676" TargetMode="External" /><Relationship Type="http://schemas.openxmlformats.org/officeDocument/2006/relationships/hyperlink" Id="rId81"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s10654-016-0149-3" TargetMode="External" /><Relationship Type="http://schemas.openxmlformats.org/officeDocument/2006/relationships/hyperlink" Id="rId73" Target="https://doi.org/10.1037/h0044139" TargetMode="External" /><Relationship Type="http://schemas.openxmlformats.org/officeDocument/2006/relationships/hyperlink" Id="rId65" Target="https://doi.org/10.1038/d41586-019-00857-9" TargetMode="External" /><Relationship Type="http://schemas.openxmlformats.org/officeDocument/2006/relationships/hyperlink" Id="rId90" Target="https://doi.org/10.1038/s41562-018-0311-x" TargetMode="External" /><Relationship Type="http://schemas.openxmlformats.org/officeDocument/2006/relationships/hyperlink" Id="rId75" Target="https://doi.org/10.1053/j.seminhematol.2008.04.003" TargetMode="External" /><Relationship Type="http://schemas.openxmlformats.org/officeDocument/2006/relationships/hyperlink" Id="rId97" Target="https://doi.org/10.1080/00031305.1996.10474380" TargetMode="External" /><Relationship Type="http://schemas.openxmlformats.org/officeDocument/2006/relationships/hyperlink" Id="rId92" Target="https://doi.org/10.1080/00031305.2018.1527253" TargetMode="External" /><Relationship Type="http://schemas.openxmlformats.org/officeDocument/2006/relationships/hyperlink" Id="rId94" Target="https://doi.org/10.1098/rsos.242167" TargetMode="External" /><Relationship Type="http://schemas.openxmlformats.org/officeDocument/2006/relationships/hyperlink" Id="rId79" Target="https://doi.org/10.1145/3458754" TargetMode="External" /><Relationship Type="http://schemas.openxmlformats.org/officeDocument/2006/relationships/hyperlink" Id="rId87" Target="https://doi.org/10.1177/1745691620958012" TargetMode="External" /><Relationship Type="http://schemas.openxmlformats.org/officeDocument/2006/relationships/hyperlink" Id="rId63" Target="https://doi.org/10.1177/2515245918773742" TargetMode="External" /><Relationship Type="http://schemas.openxmlformats.org/officeDocument/2006/relationships/hyperlink" Id="rId71" Target="https://doi.org/10.18653/v1/N19-1423" TargetMode="External" /><Relationship Type="http://schemas.openxmlformats.org/officeDocument/2006/relationships/hyperlink" Id="rId85" Target="https://doi.org/10.31234/osf.io/8y925" TargetMode="External" /><Relationship Type="http://schemas.openxmlformats.org/officeDocument/2006/relationships/hyperlink" Id="rId100" Target="https://doi.org/10.3758/BF03194105" TargetMode="External" /><Relationship Type="http://schemas.openxmlformats.org/officeDocument/2006/relationships/hyperlink" Id="rId83" Target="https://doi.org/10.3758/BF03213921" TargetMode="External" /><Relationship Type="http://schemas.openxmlformats.org/officeDocument/2006/relationships/hyperlink" Id="rId67" Target="https://doi.org/10.48550/ARXIV.1903.10676" TargetMode="External" /><Relationship Type="http://schemas.openxmlformats.org/officeDocument/2006/relationships/hyperlink" Id="rId81"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2025-07-25T13:09:15Z</dcterms:created>
  <dcterms:modified xsi:type="dcterms:W3CDTF">2025-07-25T13:09:15Z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