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0.png" ContentType="image/png"/>
  <Override PartName="/word/media/rId46.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Rule–NLP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widespread in scientific reporting, despite decades of educational efforts and reform initiatives. A common and consequential errors is interpreting a statistically nonsignificant result (e.g.,</w:t>
      </w:r>
      <w:r>
        <w:t xml:space="preserve"> </w:t>
      </w:r>
      <w:r>
        <w:rPr>
          <w:i/>
          <w:iCs/>
        </w:rPr>
        <w:t xml:space="preserve">p</w:t>
      </w:r>
      <w:r>
        <w:t xml:space="preserve"> </w:t>
      </w:r>
      <w:r>
        <w:t xml:space="preserve">&gt; .05) as evidence for the absence of an effect — a conclusion not supported by null hypothesis significance testing (NHST). This article adopts a human factors perspective, suggesting that automation can help mitigate such persistent errors, much like word processors assist with grammar and spelling. I propose an automated, three-step pipeline that detects, classifies, and optionally corrects misinterpretations of nonsignificant results. The evaluation of each of these steps highlights the promise of such an automated approach: In a validation set of 25 articles, the automatic detection identified 73% of manually extracted statements. Two easily resolvable issues in the search pattern were found which, once addressed, would increase reliability to 93%. For the classification, three BERT-based models were trained on 930 hand-labeled statements, with the standard BERT model achieving the highest macro-F1 score of .92. Finally, the optional correction step proved effective, with 93 of 100 statements from a validation set being correctly phrased after LLM-revision. While improvements remain possible at each step, results suggest that such a system could substantially reduce the prevalence of this misinterpretation. However, risks remain, particularly regarding the automated correction step, which could inadvertently encourage overreliance on AI suggestions. Qualitative user studies will be critical for determining how authors engage with the tool and how it should be implemented. In the long run, this approach has the potential to help authors improve their statistical reporting and to inform large-scale meta-scientific analyses.</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Rule–NLP Approach to Misinterpretations of Nonsignificant</w:t>
      </w:r>
      <w:r>
        <w:t xml:space="preserve"> </w:t>
      </w:r>
      <w:r>
        <w:rPr>
          <w:i/>
          <w:iCs/>
        </w:rPr>
        <w:t xml:space="preserve">p</w:t>
      </w:r>
      <w:r>
        <w:t xml:space="preserve"> </w:t>
      </w:r>
      <w:r>
        <w:t xml:space="preserve">Values</w:t>
      </w:r>
    </w:p>
    <w:bookmarkEnd w:id="28"/>
    <w:bookmarkStart w:id="31"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w:t>
      </w:r>
      <w:r>
        <w:t xml:space="preserve"> </w:t>
      </w:r>
      <w:r>
        <w:t xml:space="preserve">(NHST;</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w:t>
      </w:r>
      <w:hyperlink w:anchor="ref-isager_fitzgerald25">
        <w:r>
          <w:rPr>
            <w:rStyle w:val="Hyperlink"/>
          </w:rPr>
          <w:t xml:space="preserve">Isager &amp; Fitzgerald, 2025</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So, how might we be able to finally overcome them?</w:t>
      </w:r>
    </w:p>
    <w:p>
      <w:pPr>
        <w:pStyle w:val="BodyText"/>
      </w:pPr>
      <w:r>
        <w:t xml:space="preserve">In this article, I show how rule-based approaches, combined with natural language processing (NLP), can be used to automatically detect, classify, and correct these misinterpretations. I focus on the misinterpretation of statistically nonsignificant results as the absence of an effect because it arguably has the strongest impact on researchers’ conclusions and is the most extensively studied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Similarly, my previous work has developed clear criteria for classifying this misinterpretation</w:t>
      </w:r>
      <w:r>
        <w:t xml:space="preserve"> </w:t>
      </w:r>
      <w:r>
        <w:t xml:space="preserve">(</w:t>
      </w:r>
      <w:hyperlink w:anchor="ref-murphy_etal25">
        <w:r>
          <w:rPr>
            <w:rStyle w:val="Hyperlink"/>
          </w:rPr>
          <w:t xml:space="preserve">Murphy et al., 2025</w:t>
        </w:r>
      </w:hyperlink>
      <w:r>
        <w:t xml:space="preserve">)</w:t>
      </w:r>
      <w:r>
        <w:t xml:space="preserve">. Here, I demonstrate how this automated approach may help us to resolve them.</w:t>
      </w:r>
    </w:p>
    <w:bookmarkStart w:id="29" w:name="Xc71dea4cc5064f5034e174c4dac450e71b49505"/>
    <w:p>
      <w:pPr>
        <w:pStyle w:val="Heading2"/>
      </w:pPr>
      <w:r>
        <w:t xml:space="preserve">1.1 Misinterpretations and Criticism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(e.g.,</w:t>
      </w:r>
      <w:r>
        <w:t xml:space="preserve"> </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(e.g.,</w:t>
      </w:r>
      <w:r>
        <w:t xml:space="preserve"> </w:t>
      </w:r>
      <w:hyperlink w:anchor="ref-greenland19">
        <w:r>
          <w:rPr>
            <w:rStyle w:val="Hyperlink"/>
          </w:rPr>
          <w:t xml:space="preserve">Greenland, 2019</w:t>
        </w:r>
      </w:hyperlink>
      <w:r>
        <w:t xml:space="preserve">;</w:t>
      </w:r>
      <w:r>
        <w:t xml:space="preserve"> </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w:t>
      </w:r>
    </w:p>
    <w:p>
      <w:pPr>
        <w:pStyle w:val="BodyText"/>
      </w:pPr>
      <w:r>
        <w:t xml:space="preserve">In this study I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remains highly prevalent across time and sub-domains of psychology</w:t>
      </w:r>
      <w:r>
        <w:t xml:space="preserve"> </w:t>
      </w:r>
      <w:r>
        <w:t xml:space="preserve">(</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In fact, in a recently published article investigating articles published in 2009, 2015, and 2021 across ten different psychology journals,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These findings highlight that the situation seems not to have greatly improved despite continuous calls to reflect on statistical interpretations of nonsignificant results</w:t>
      </w:r>
      <w:r>
        <w:t xml:space="preserve"> </w:t>
      </w:r>
      <w:r>
        <w:t xml:space="preserve">(e.g.,</w:t>
      </w:r>
      <w:r>
        <w:t xml:space="preserve"> </w:t>
      </w:r>
      <w:hyperlink w:anchor="ref-altman_bland95">
        <w:r>
          <w:rPr>
            <w:rStyle w:val="Hyperlink"/>
          </w:rPr>
          <w:t xml:space="preserve">Altman &amp; Bland, 1995</w:t>
        </w:r>
      </w:hyperlink>
      <w:r>
        <w:t xml:space="preserve">;</w:t>
      </w:r>
      <w:r>
        <w:t xml:space="preserve"> </w:t>
      </w:r>
      <w:hyperlink w:anchor="ref-gelman_stern06">
        <w:r>
          <w:rPr>
            <w:rStyle w:val="Hyperlink"/>
          </w:rPr>
          <w:t xml:space="preserve">Gelman &amp; Stern, 2006</w:t>
        </w:r>
      </w:hyperlink>
      <w:r>
        <w:t xml:space="preserve">)</w:t>
      </w:r>
      <w:r>
        <w:t xml:space="preserve"> </w:t>
      </w:r>
      <w:r>
        <w:t xml:space="preserve">and and increasing advocacy for alternative analytical approaches that enable researchers to make informed claims about effects being practically equivalent to zero</w:t>
      </w:r>
      <w:r>
        <w:t xml:space="preserve"> </w:t>
      </w:r>
      <w:r>
        <w:t xml:space="preserve">(e.g.,</w:t>
      </w:r>
      <w:r>
        <w:t xml:space="preserve"> </w:t>
      </w:r>
      <w:hyperlink w:anchor="ref-dienes14">
        <w:r>
          <w:rPr>
            <w:rStyle w:val="Hyperlink"/>
          </w:rPr>
          <w:t xml:space="preserve">Dienes, 2014</w:t>
        </w:r>
      </w:hyperlink>
      <w:r>
        <w:t xml:space="preserve">;</w:t>
      </w:r>
      <w:r>
        <w:t xml:space="preserve"> </w:t>
      </w:r>
      <w:hyperlink w:anchor="ref-lakens_etal18">
        <w:r>
          <w:rPr>
            <w:rStyle w:val="Hyperlink"/>
          </w:rPr>
          <w:t xml:space="preserve">Lakens et al., 2018</w:t>
        </w:r>
      </w:hyperlink>
      <w:r>
        <w:t xml:space="preserve">)</w:t>
      </w:r>
      <w:r>
        <w:t xml:space="preserve">.</w:t>
      </w:r>
    </w:p>
    <w:bookmarkEnd w:id="29"/>
    <w:bookmarkStart w:id="30" w:name="possible-solutions"/>
    <w:p>
      <w:pPr>
        <w:pStyle w:val="Heading2"/>
      </w:pPr>
      <w:r>
        <w:t xml:space="preserve">1.2 Possible Solutions</w:t>
      </w:r>
    </w:p>
    <w:p>
      <w:pPr>
        <w:pStyle w:val="FirstParagraph"/>
      </w:pPr>
      <w:r>
        <w:t xml:space="preserve">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persistent prevalence of the misinterpretation examined in this study indicates that calls for improved education alone might not have been sufficient to address the issue</w:t>
      </w:r>
      <w:r>
        <w:t xml:space="preserve"> </w:t>
      </w:r>
      <w:r>
        <w:t xml:space="preserve">(</w:t>
      </w:r>
      <w:hyperlink w:anchor="ref-murphy_etal25">
        <w:r>
          <w:rPr>
            <w:rStyle w:val="Hyperlink"/>
          </w:rPr>
          <w:t xml:space="preserve">Murphy et al., 2025</w:t>
        </w:r>
      </w:hyperlink>
      <w:r>
        <w:t xml:space="preserve">)</w:t>
      </w:r>
      <w:r>
        <w:t xml:space="preserve">. This is complemented by research showing that many misinterpretations of</w:t>
      </w:r>
      <w:r>
        <w:t xml:space="preserve"> </w:t>
      </w:r>
      <w:r>
        <w:rPr>
          <w:i/>
          <w:iCs/>
        </w:rPr>
        <w:t xml:space="preserve">p</w:t>
      </w:r>
      <w:r>
        <w:t xml:space="preserve"> </w:t>
      </w:r>
      <w:r>
        <w:t xml:space="preserve">values are shared among psychology students and teachers</w:t>
      </w:r>
      <w:r>
        <w:t xml:space="preserve"> </w:t>
      </w:r>
      <w:r>
        <w:t xml:space="preserve">(</w:t>
      </w:r>
      <w:hyperlink w:anchor="ref-badenes-ribera_etal16">
        <w:r>
          <w:rPr>
            <w:rStyle w:val="Hyperlink"/>
          </w:rPr>
          <w:t xml:space="preserve">Badenes-Ribera et al., 2016</w:t>
        </w:r>
      </w:hyperlink>
      <w:r>
        <w:t xml:space="preserve">;</w:t>
      </w:r>
      <w:r>
        <w:t xml:space="preserve"> </w:t>
      </w:r>
      <w:hyperlink w:anchor="ref-haller_krauss02">
        <w:r>
          <w:rPr>
            <w:rStyle w:val="Hyperlink"/>
          </w:rPr>
          <w:t xml:space="preserve">Haller &amp; Krauss, 2002</w:t>
        </w:r>
      </w:hyperlink>
      <w:r>
        <w:t xml:space="preserve">)</w:t>
      </w:r>
      <w:r>
        <w:t xml:space="preserve">. Recognizing the limitations of education alone, researchers have also advocated for the use of alternative analysis techniques within the NHST framework, like equivalence testing or minimum-effect tests</w:t>
      </w:r>
      <w:r>
        <w:t xml:space="preserve"> </w:t>
      </w:r>
      <w:r>
        <w:t xml:space="preserve">(or the combination: three-sided testing;</w:t>
      </w:r>
      <w:r>
        <w:t xml:space="preserve"> </w:t>
      </w:r>
      <w:hyperlink w:anchor="ref-isager_fitzgerald25">
        <w:r>
          <w:rPr>
            <w:rStyle w:val="Hyperlink"/>
          </w:rPr>
          <w:t xml:space="preserve">Isager &amp; Fitzgerald, 2025</w:t>
        </w:r>
      </w:hyperlink>
      <w:r>
        <w:t xml:space="preserve">)</w:t>
      </w:r>
      <w:r>
        <w:t xml:space="preserve">. These methods allow researchers to test whether an effect is practically relevant and larger than a predefined smallest effect size of interest</w:t>
      </w:r>
      <w:r>
        <w:t xml:space="preserve"> </w:t>
      </w:r>
      <w:r>
        <w:t xml:space="preserve">(SESOI;</w:t>
      </w:r>
      <w:r>
        <w:t xml:space="preserve"> </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negligible or meaningful in practice.</w:t>
      </w:r>
    </w:p>
    <w:p>
      <w:pPr>
        <w:pStyle w:val="BodyText"/>
      </w:pPr>
      <w:r>
        <w:t xml:space="preserve">These proposed solutions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In other contexts, we encounter systems like this frequently, be it automatic braking systems in cars, word processors that flag spelling and grammar mistakes, or email clients that filter out malware and phishing attempts. Analogously,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like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And lastly, Regcheck</w:t>
      </w:r>
      <w:r>
        <w:t xml:space="preserve"> </w:t>
      </w:r>
      <w:r>
        <w:t xml:space="preserve">(</w:t>
      </w:r>
      <w:hyperlink w:anchor="ref-cummin_hussey25">
        <w:r>
          <w:rPr>
            <w:rStyle w:val="Hyperlink"/>
          </w:rPr>
          <w:t xml:space="preserve">Cummin &amp; Hussey, 2025</w:t>
        </w:r>
      </w:hyperlink>
      <w:r>
        <w:t xml:space="preserve">)</w:t>
      </w:r>
      <w:r>
        <w:t xml:space="preserve"> </w:t>
      </w:r>
      <w:r>
        <w:t xml:space="preserve">verifies the consistency between manuscripts and their preregistration documents. As AI continues to develop, we can expect these types of automated solutions to become increasingly sophisticated and common.</w:t>
      </w:r>
    </w:p>
    <w:p>
      <w:pPr>
        <w:pStyle w:val="BodyText"/>
      </w:pPr>
      <w:r>
        <w:t xml:space="preserve">Following this trend,</w:t>
      </w:r>
      <w:r>
        <w:t xml:space="preserve"> </w:t>
      </w:r>
      <w:r>
        <w:t xml:space="preserve">DeBruine and Lakens (</w:t>
      </w:r>
      <w:hyperlink w:anchor="ref-R-papercheck">
        <w:r>
          <w:rPr>
            <w:rStyle w:val="Hyperlink"/>
          </w:rPr>
          <w:t xml:space="preserve">2025</w:t>
        </w:r>
      </w:hyperlink>
      <w:r>
        <w:t xml:space="preserve">)</w:t>
      </w:r>
      <w:r>
        <w:t xml:space="preserve"> </w:t>
      </w:r>
      <w:r>
        <w:t xml:space="preserve">developed Papercheck, an R package which allows users to run a battery of automated checks on scientific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the approach presented in this study was designed to fit within the Papercheck infrastructure.</w:t>
      </w:r>
    </w:p>
    <w:bookmarkEnd w:id="30"/>
    <w:bookmarkEnd w:id="31"/>
    <w:bookmarkStart w:id="43" w:name="methods"/>
    <w:p>
      <w:pPr>
        <w:pStyle w:val="Heading1"/>
      </w:pPr>
      <w:r>
        <w:t xml:space="preserve">2. Methods</w:t>
      </w:r>
    </w:p>
    <w:bookmarkStart w:id="34" w:name="the-three-step-pipeline"/>
    <w:p>
      <w:pPr>
        <w:pStyle w:val="Heading2"/>
      </w:pPr>
      <w:r>
        <w:t xml:space="preserve">2.1 The Three-Step Pipeline</w:t>
      </w:r>
    </w:p>
    <w:p>
      <w:pPr>
        <w:pStyle w:val="FirstParagraph"/>
      </w:pPr>
      <w:r>
        <w:t xml:space="preserve">To provide context for the data used in this study, I first outline the three sub-steps of the proposed pipeline. Statements from scientific articles need to be reliably detected, classified, and finally, if desired, corrected. For each step, I applied specific methods that were best suited to achieve the respective goal.</w:t>
      </w:r>
    </w:p>
    <w:p>
      <w:pPr>
        <w:pStyle w:val="BodyText"/>
      </w:pPr>
      <w:r>
        <w:t xml:space="preserve">To detect statements, I used rule-based regular expressions (RegEx) and searched articles’ results sections to detect them. Effectively, RegEx searchers are advanced Ctrl+F searches, where a user can include rules like optional characters (e.g.,</w:t>
      </w:r>
      <w:r>
        <w:t xml:space="preserve"> </w:t>
      </w:r>
      <w:r>
        <w:t xml:space="preserve">‘significant(ly)’</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‘not.{0,20}significant’</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 has a module that detects most</w:t>
      </w:r>
      <w:r>
        <w:t xml:space="preserve"> </w:t>
      </w:r>
      <w:r>
        <w:rPr>
          <w:i/>
          <w:iCs/>
        </w:rPr>
        <w:t xml:space="preserve">p</w:t>
      </w:r>
      <w:r>
        <w:t xml:space="preserve"> </w:t>
      </w:r>
      <w:r>
        <w:t xml:space="preserve">values (see</w:t>
      </w:r>
      <w:r>
        <w:t xml:space="preserve"> </w:t>
      </w:r>
      <w:hyperlink w:anchor="sec-detection-accuracy">
        <w:r>
          <w:rPr>
            <w:rStyle w:val="Hyperlink"/>
          </w:rPr>
          <w:t xml:space="preserve">Section 3.1</w:t>
        </w:r>
      </w:hyperlink>
      <w:r>
        <w:t xml:space="preserve"> </w:t>
      </w:r>
      <w:r>
        <w:t xml:space="preserve">for examples currently not detected) based on RegEx searches. Using this module, I created a subset of all</w:t>
      </w:r>
      <w:r>
        <w:t xml:space="preserve"> </w:t>
      </w:r>
      <w:r>
        <w:rPr>
          <w:i/>
          <w:iCs/>
        </w:rPr>
        <w:t xml:space="preserve">p</w:t>
      </w:r>
      <w:r>
        <w:t xml:space="preserve"> </w:t>
      </w:r>
      <w:r>
        <w:t xml:space="preserve">values equal to or above .05.</w:t>
      </w:r>
      <w:r>
        <w:rPr>
          <w:rStyle w:val="FootnoteReference"/>
        </w:rPr>
        <w:footnoteReference w:id="32"/>
      </w:r>
      <w:r>
        <w:t xml:space="preserve"> </w:t>
      </w:r>
      <w:r>
        <w:t xml:space="preserve">I then expanded the extracted nonsignificant</w:t>
      </w:r>
      <w:r>
        <w:t xml:space="preserve"> </w:t>
      </w:r>
      <w:r>
        <w:rPr>
          <w:i/>
          <w:iCs/>
        </w:rPr>
        <w:t xml:space="preserve">p</w:t>
      </w:r>
      <w:r>
        <w:t xml:space="preserve"> </w:t>
      </w:r>
      <w:r>
        <w:t xml:space="preserve">values to the full sentence and added the preceding and following sentence as context in case of extraction errors (incomplete statements).</w:t>
      </w:r>
    </w:p>
    <w:p>
      <w:pPr>
        <w:pStyle w:val="BodyText"/>
      </w:pPr>
      <w:r>
        <w:t xml:space="preserve">In the next step, these statements (labeled as correct or incorrect by me; see</w:t>
      </w:r>
      <w:r>
        <w:t xml:space="preserve"> </w:t>
      </w:r>
      <w:hyperlink w:anchor="sec-statement-classification">
        <w:r>
          <w:rPr>
            <w:rStyle w:val="Hyperlink"/>
          </w:rPr>
          <w:t xml:space="preserve">Section 2.2.2</w:t>
        </w:r>
      </w:hyperlink>
      <w:r>
        <w:t xml:space="preserve">) were used to train three BERT-based models. BERT (Bidirectional Encoder Representations from Transformers) is a general-purpose language model pre-trained on the BookCorpus and English Wikipedia, making it suitable for a wide range of tasks – but not specifically optimized for scientific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this study’s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is an even more specific pretrained language model,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In this study, these models were trained and evaluated on their ability to distinguish between correct and incorrect interpretations of nonsignificant results in scientific articles. The models’ hyperparameters (e.g., learning rate, batch size) were informed by established defaults in the field (see</w:t>
      </w:r>
      <w:r>
        <w:t xml:space="preserve"> </w:t>
      </w:r>
      <w:hyperlink r:id="rId33">
        <w:r>
          <w:rPr>
            <w:rStyle w:val="Hyperlink"/>
          </w:rPr>
          <w:t xml:space="preserve">Hugging Face Documentation</w:t>
        </w:r>
      </w:hyperlink>
      <w:r>
        <w:t xml:space="preserve">) and relevant tutorials</w:t>
      </w:r>
      <w:r>
        <w:t xml:space="preserve"> </w:t>
      </w:r>
      <w:r>
        <w:t xml:space="preserve">(</w:t>
      </w:r>
      <w:hyperlink w:anchor="ref-more25">
        <w:r>
          <w:rPr>
            <w:rStyle w:val="Hyperlink"/>
          </w:rPr>
          <w:t xml:space="preserve">More, 2025</w:t>
        </w:r>
      </w:hyperlink>
      <w:r>
        <w:t xml:space="preserve">;</w:t>
      </w:r>
      <w:r>
        <w:t xml:space="preserve"> </w:t>
      </w:r>
      <w:hyperlink w:anchor="ref-talebi24">
        <w:r>
          <w:rPr>
            <w:rStyle w:val="Hyperlink"/>
          </w:rPr>
          <w:t xml:space="preserve">Talebi, 2024</w:t>
        </w:r>
      </w:hyperlink>
      <w:r>
        <w:t xml:space="preserve">)</w:t>
      </w:r>
      <w:r>
        <w:t xml:space="preserve">, with further refinements to improve the models’ prediction performance.</w:t>
      </w:r>
    </w:p>
    <w:p>
      <w:pPr>
        <w:pStyle w:val="BodyText"/>
      </w:pPr>
      <w:r>
        <w:t xml:space="preserve">Lastly, in the application of this framework, statements classified as incorrect by the best-performing BERT model would be sent to a large language model (LLM) for correction. However, to assess how the LLM handles both genuinely incorrect statements and those misclassified as incorrect automatically, I submitted both correct and incorrect statements coded by me to the LLMs in this study.</w:t>
      </w:r>
    </w:p>
    <w:bookmarkEnd w:id="34"/>
    <w:bookmarkStart w:id="39" w:name="X47c36eaba022b4f77117a0fed5344b084fa3d76"/>
    <w:p>
      <w:pPr>
        <w:pStyle w:val="Heading2"/>
      </w:pPr>
      <w:r>
        <w:t xml:space="preserve">2.2 Validation Process and Performance Metrics</w:t>
      </w:r>
    </w:p>
    <w:p>
      <w:pPr>
        <w:pStyle w:val="FirstParagraph"/>
      </w:pPr>
      <w:r>
        <w:t xml:space="preserve">To assess the effectiveness of each automated approach, I compared their outputs to human-coded ground truth and calculated appropriate reliability and performance metrics. The validation process was conducted separately for statement detection, classification, and correction.</w:t>
      </w:r>
    </w:p>
    <w:bookmarkStart w:id="35" w:name="statement-detection"/>
    <w:p>
      <w:pPr>
        <w:pStyle w:val="Heading3"/>
      </w:pPr>
      <w:r>
        <w:t xml:space="preserve">2.2.1 Statement Detection</w:t>
      </w:r>
    </w:p>
    <w:p>
      <w:pPr>
        <w:pStyle w:val="FirstParagraph"/>
      </w:pPr>
      <w:r>
        <w:t xml:space="preserve">To ensure that the statement detection process identified all statements with nonsignificant</w:t>
      </w:r>
      <w:r>
        <w:t xml:space="preserve"> </w:t>
      </w:r>
      <w:r>
        <w:rPr>
          <w:i/>
          <w:iCs/>
        </w:rPr>
        <w:t xml:space="preserve">p</w:t>
      </w:r>
      <w:r>
        <w:t xml:space="preserve"> </w:t>
      </w:r>
      <w:r>
        <w:t xml:space="preserve">values in articles’ results sections, I manually extracted these statements from 25 (10%; randomly chosen) of the Papercheck sample library’s 250 open access article from the journal Psychological Science. These articles were published between 2013 and 2024. I then coded whether statements I found were also detected by the automated RegEx search.</w:t>
      </w:r>
    </w:p>
    <w:bookmarkEnd w:id="35"/>
    <w:bookmarkStart w:id="36" w:name="sec-statement-classification"/>
    <w:p>
      <w:pPr>
        <w:pStyle w:val="Heading3"/>
      </w:pPr>
      <w:r>
        <w:t xml:space="preserve">2.2.2 Statement Classification</w:t>
      </w:r>
    </w:p>
    <w:p>
      <w:pPr>
        <w:pStyle w:val="FirstParagraph"/>
      </w:pPr>
      <w:r>
        <w:t xml:space="preserve">For the training of the BERT models and to assess their final performance, I classified all automatically extracted statements that were detected from an article’s results section from Papercheck’s sample library. This resulted in 960 statements in total. Of these, 419 were classified as containing a correct</w:t>
      </w:r>
      <w:r>
        <w:t xml:space="preserve"> </w:t>
      </w:r>
      <w:r>
        <w:rPr>
          <w:i/>
          <w:iCs/>
        </w:rPr>
        <w:t xml:space="preserve">p</w:t>
      </w:r>
      <w:r>
        <w:t xml:space="preserve"> </w:t>
      </w:r>
      <w:r>
        <w:t xml:space="preserve">value interpretation by me, and 353 were classified as incorrect</w:t>
      </w:r>
      <w:r>
        <w:t xml:space="preserve"> </w:t>
      </w:r>
      <w:r>
        <w:rPr>
          <w:i/>
          <w:iCs/>
        </w:rPr>
        <w:t xml:space="preserve">p</w:t>
      </w:r>
      <w:r>
        <w:t xml:space="preserve"> </w:t>
      </w:r>
      <w:r>
        <w:t xml:space="preserve">value misinterpretations. The remaining 188 statements were classified as neither correct nor incorrect because they interpreted the nonsignificant effect as (marginally) significant (83), because the statements were not complete enough to assess their correctness (20), because they interpreted model fit indices and not the</w:t>
      </w:r>
      <w:r>
        <w:t xml:space="preserve"> </w:t>
      </w:r>
      <w:r>
        <w:rPr>
          <w:i/>
          <w:iCs/>
        </w:rPr>
        <w:t xml:space="preserve">p</w:t>
      </w:r>
      <w:r>
        <w:t xml:space="preserve"> </w:t>
      </w:r>
      <w:r>
        <w:t xml:space="preserve">value (20), because they were falsely flagged as containing a nonsignificant</w:t>
      </w:r>
      <w:r>
        <w:t xml:space="preserve"> </w:t>
      </w:r>
      <w:r>
        <w:rPr>
          <w:i/>
          <w:iCs/>
        </w:rPr>
        <w:t xml:space="preserve">p</w:t>
      </w:r>
      <w:r>
        <w:t xml:space="preserve"> </w:t>
      </w:r>
      <w:r>
        <w:t xml:space="preserve">value (e.g., significant</w:t>
      </w:r>
      <w:r>
        <w:t xml:space="preserve"> </w:t>
      </w:r>
      <w:r>
        <w:rPr>
          <w:i/>
          <w:iCs/>
        </w:rPr>
        <w:t xml:space="preserve">p</w:t>
      </w:r>
      <w:r>
        <w:t xml:space="preserve"> </w:t>
      </w:r>
      <w:r>
        <w:t xml:space="preserve">values or generic</w:t>
      </w:r>
      <w:r>
        <w:t xml:space="preserve"> </w:t>
      </w:r>
      <w:r>
        <w:t xml:space="preserve">‘</w:t>
      </w:r>
      <w:r>
        <w:rPr>
          <w:i/>
          <w:iCs/>
        </w:rPr>
        <w:t xml:space="preserve">p</w:t>
      </w:r>
      <w:r>
        <w:t xml:space="preserve"> </w:t>
      </w:r>
      <w:r>
        <w:t xml:space="preserve">&gt; .05 indicated by symbol ✝’</w:t>
      </w:r>
      <w:r>
        <w:t xml:space="preserve"> </w:t>
      </w:r>
      <w:r>
        <w:t xml:space="preserve">statements from table/figure notes; 19 in total), or due to a combination of these or other reasons (46).</w:t>
      </w:r>
    </w:p>
    <w:p>
      <w:pPr>
        <w:pStyle w:val="BodyText"/>
      </w:pPr>
      <w:r>
        <w:t xml:space="preserve">Before training the model, the labeled data was split into three parts: a test set (20%) for final model evaluation, a training set (72%, or 90% of the remaining 80%) for learning and parameter adjustment, and a validation set (8%, or 10% of the 80%) for calculating evaluation metrics after each epoch (i.e., one full cycle of the model processing the training data) and monitoring overfitting. To address the original class imbalance (with more correct than incorrect statements), the number of correct and incorrect interpretations was balanced in each set, ensuring the model would not simply learn to predict the majority class.</w:t>
      </w:r>
    </w:p>
    <w:p>
      <w:pPr>
        <w:pStyle w:val="BodyText"/>
      </w:pPr>
      <w:r>
        <w:t xml:space="preserve">During BERT training, I computed the training loss (sum of errors between model predictions and actual labels in the training set) and the validation loss (calculated analogously on the validation set). The best-performing model was selected based on the lowest validation loss to prevent the model from overfitting to the training data. Each model would have been trained on a maximum of 16 epochs, but training ended early if the model did not improve, as measured by the validation loss, for two consecutive epochs. Ultimately, the longest number of training epochs was 7. For the final evaluation, I computed the fraction of correctly predicted classes among all predicted cases of a class (precision), the fraction of correctly predicted classes among all actual cases of a class (recall), and their harmonic mean (F1 score), separately for each class (incorrect and correct). To summarize overall performance across the two classes, I calculated the unweighted average of the two F1 scores (macro-F1 score).</w:t>
      </w:r>
    </w:p>
    <w:bookmarkEnd w:id="36"/>
    <w:bookmarkStart w:id="38" w:name="statement-correction"/>
    <w:p>
      <w:pPr>
        <w:pStyle w:val="Heading3"/>
      </w:pPr>
      <w:r>
        <w:t xml:space="preserve">2.2.3 Statement Correction</w:t>
      </w:r>
    </w:p>
    <w:p>
      <w:pPr>
        <w:pStyle w:val="FirstParagraph"/>
      </w:pPr>
      <w:r>
        <w:t xml:space="preserve">Lastly, I reviewed 100 statements that were sent to an LLM for correction to evaluate whether the revised statements were indeed correct. Of these, 80 had previously been labeled incorrect and 20 correct by me, allowing me to examine how the LLM would handle false positives from the automated classification. To communicate with the models, I used Papercheck, which relies on the Groq API (available at</w:t>
      </w:r>
      <w:r>
        <w:t xml:space="preserve"> </w:t>
      </w:r>
      <w:hyperlink r:id="rId37">
        <w:r>
          <w:rPr>
            <w:rStyle w:val="Hyperlink"/>
          </w:rPr>
          <w:t xml:space="preserve">https://groq.com/</w:t>
        </w:r>
      </w:hyperlink>
      <w:r>
        <w:t xml:space="preserve">). I tested two LLMs –</w:t>
      </w:r>
      <w:r>
        <w:t xml:space="preserve"> </w:t>
      </w:r>
      <w:r>
        <w:t xml:space="preserve">‘llama-3.3-70b-versatile’</w:t>
      </w:r>
      <w:r>
        <w:t xml:space="preserve"> </w:t>
      </w:r>
      <w:r>
        <w:t xml:space="preserve">(created 03-09-2023) and</w:t>
      </w:r>
      <w:r>
        <w:t xml:space="preserve"> </w:t>
      </w:r>
      <w:r>
        <w:t xml:space="preserve">‘openai/gpt-oss-120b’</w:t>
      </w:r>
      <w:r>
        <w:t xml:space="preserve"> </w:t>
      </w:r>
      <w:r>
        <w:t xml:space="preserve">(created 05-08-2025) – and applied two prompts to the full validation dataset of 100 statements. This resulted in three iterations: (1) the initial prompt with the</w:t>
      </w:r>
      <w:r>
        <w:t xml:space="preserve"> </w:t>
      </w:r>
      <w:r>
        <w:t xml:space="preserve">‘llama-3.3-70b-versatile’</w:t>
      </w:r>
      <w:r>
        <w:t xml:space="preserve"> </w:t>
      </w:r>
      <w:r>
        <w:t xml:space="preserve">model, (2) the same prompt with</w:t>
      </w:r>
      <w:r>
        <w:t xml:space="preserve"> </w:t>
      </w:r>
      <w:r>
        <w:t xml:space="preserve">‘openai/gpt-oss-120b’</w:t>
      </w:r>
      <w:r>
        <w:t xml:space="preserve">, and (3) a refined prompt, developed through preliminary tests on subsets of the 100 statements, with</w:t>
      </w:r>
      <w:r>
        <w:t xml:space="preserve"> </w:t>
      </w:r>
      <w:r>
        <w:t xml:space="preserve">‘openai/gpt-oss-120b’</w:t>
      </w:r>
      <w:r>
        <w:t xml:space="preserve">.</w:t>
      </w:r>
    </w:p>
    <w:p>
      <w:pPr>
        <w:pStyle w:val="BodyText"/>
      </w:pPr>
      <w:r>
        <w:t xml:space="preserve">Both prompt versions (available on GitHub; see</w:t>
      </w:r>
      <w:r>
        <w:t xml:space="preserve"> </w:t>
      </w:r>
      <w:hyperlink w:anchor="sec-software">
        <w:r>
          <w:rPr>
            <w:rStyle w:val="Hyperlink"/>
          </w:rPr>
          <w:t xml:space="preserve">Section 2.3</w:t>
        </w:r>
      </w:hyperlink>
      <w:r>
        <w:t xml:space="preserve">) first explained to the LLM that it would receive a statement containing at least one misinterpretation of a nonsignificant finding as the absence of an effect and instructed it to revise only the part of the statement containing this misinterpretation, leaving the rest unchanged. The refined prompt included additional guidance on phrasing to avoid, based on common errors that persisted in revisions from the initial prompt. Finally, the initial prompt instructed the LLM to indicate when it found no nonsignificant</w:t>
      </w:r>
      <w:r>
        <w:t xml:space="preserve"> </w:t>
      </w:r>
      <w:r>
        <w:rPr>
          <w:i/>
          <w:iCs/>
        </w:rPr>
        <w:t xml:space="preserve">p</w:t>
      </w:r>
      <w:r>
        <w:t xml:space="preserve"> </w:t>
      </w:r>
      <w:r>
        <w:t xml:space="preserve">value or interpretation of it, to account for possible errors during the automatic detection of statements. This instruction was removed in the refined prompt because the LLM overused this option, which blurred the distinction between statement detection, classification, and correction.</w:t>
      </w:r>
    </w:p>
    <w:bookmarkEnd w:id="38"/>
    <w:bookmarkEnd w:id="39"/>
    <w:bookmarkStart w:id="42" w:name="sec-software"/>
    <w:p>
      <w:pPr>
        <w:pStyle w:val="Heading2"/>
      </w:pPr>
      <w:r>
        <w:t xml:space="preserve">2.3 Software</w:t>
      </w:r>
    </w:p>
    <w:p>
      <w:pPr>
        <w:pStyle w:val="FirstParagraph"/>
      </w:pPr>
      <w:r>
        <w:t xml:space="preserve">All scripts for this study were written in R</w:t>
      </w:r>
      <w:r>
        <w:t xml:space="preserve"> </w:t>
      </w:r>
      <w:r>
        <w:t xml:space="preserve">(Version 4.5.0;</w:t>
      </w:r>
      <w:r>
        <w:t xml:space="preserve"> </w:t>
      </w:r>
      <w:hyperlink w:anchor="ref-rcoreteam25">
        <w:r>
          <w:rPr>
            <w:rStyle w:val="Hyperlink"/>
          </w:rPr>
          <w:t xml:space="preserve">Team, 2025</w:t>
        </w:r>
      </w:hyperlink>
      <w:r>
        <w:t xml:space="preserve">)</w:t>
      </w:r>
      <w:r>
        <w:t xml:space="preserve"> </w:t>
      </w:r>
      <w:r>
        <w:t xml:space="preserve">or Python</w:t>
      </w:r>
      <w:r>
        <w:t xml:space="preserve"> </w:t>
      </w:r>
      <w:r>
        <w:t xml:space="preserve">(Version 3.12.10;</w:t>
      </w:r>
      <w:r>
        <w:t xml:space="preserve"> </w:t>
      </w:r>
      <w:hyperlink w:anchor="ref-python">
        <w:r>
          <w:rPr>
            <w:rStyle w:val="Hyperlink"/>
          </w:rPr>
          <w:t xml:space="preserve">Python Software Foundation, 2025</w:t>
        </w:r>
      </w:hyperlink>
      <w:r>
        <w:t xml:space="preserve">)</w:t>
      </w:r>
      <w:r>
        <w:t xml:space="preserve">.</w:t>
      </w:r>
    </w:p>
    <w:p>
      <w:pPr>
        <w:pStyle w:val="BodyText"/>
      </w:pPr>
      <w:r>
        <w:t xml:space="preserve">In R, I used</w:t>
      </w:r>
      <w:r>
        <w:t xml:space="preserve"> </w:t>
      </w:r>
      <w:r>
        <w:rPr>
          <w:i/>
          <w:iCs/>
        </w:rPr>
        <w:t xml:space="preserve">papercheck</w:t>
      </w:r>
      <w:r>
        <w:t xml:space="preserve"> </w:t>
      </w:r>
      <w:r>
        <w:t xml:space="preserve">(Version 0.0.0.9049;</w:t>
      </w:r>
      <w:r>
        <w:t xml:space="preserve"> </w:t>
      </w:r>
      <w:hyperlink w:anchor="ref-R-papercheck">
        <w:r>
          <w:rPr>
            <w:rStyle w:val="Hyperlink"/>
          </w:rPr>
          <w:t xml:space="preserve">DeBruine &amp; Lakens, 2025</w:t>
        </w:r>
      </w:hyperlink>
      <w:r>
        <w:t xml:space="preserve">)</w:t>
      </w:r>
      <w:r>
        <w:t xml:space="preserve"> </w:t>
      </w:r>
      <w:r>
        <w:t xml:space="preserve">for accessing and preprocessing the 250 open access articles, as well as for communication with the LLMs,</w:t>
      </w:r>
      <w:r>
        <w:t xml:space="preserve"> </w:t>
      </w:r>
      <w:r>
        <w:rPr>
          <w:i/>
          <w:iCs/>
        </w:rPr>
        <w:t xml:space="preserve">readxl</w:t>
      </w:r>
      <w:r>
        <w:t xml:space="preserve"> </w:t>
      </w:r>
      <w:r>
        <w:t xml:space="preserve">(Version 1.4.5;</w:t>
      </w:r>
      <w:r>
        <w:t xml:space="preserve"> </w:t>
      </w:r>
      <w:hyperlink w:anchor="ref-R-readxl">
        <w:r>
          <w:rPr>
            <w:rStyle w:val="Hyperlink"/>
          </w:rPr>
          <w:t xml:space="preserve">Wickham &amp; Bryan, 2025</w:t>
        </w:r>
      </w:hyperlink>
      <w:r>
        <w:t xml:space="preserve">)</w:t>
      </w:r>
      <w:r>
        <w:t xml:space="preserve"> </w:t>
      </w:r>
      <w:r>
        <w:t xml:space="preserve">to access Excel files in R,</w:t>
      </w:r>
      <w:r>
        <w:t xml:space="preserve"> </w:t>
      </w:r>
      <w:r>
        <w:rPr>
          <w:i/>
          <w:iCs/>
        </w:rPr>
        <w:t xml:space="preserve">psych</w:t>
      </w:r>
      <w:r>
        <w:t xml:space="preserve"> </w:t>
      </w:r>
      <w:r>
        <w:t xml:space="preserve">(Version 2.5.6;</w:t>
      </w:r>
      <w:r>
        <w:t xml:space="preserve"> </w:t>
      </w:r>
      <w:hyperlink w:anchor="ref-R-psych">
        <w:r>
          <w:rPr>
            <w:rStyle w:val="Hyperlink"/>
          </w:rPr>
          <w:t xml:space="preserve">William Revelle, 2025</w:t>
        </w:r>
      </w:hyperlink>
      <w:r>
        <w:t xml:space="preserve">)</w:t>
      </w:r>
      <w:r>
        <w:t xml:space="preserve"> </w:t>
      </w:r>
      <w:r>
        <w:t xml:space="preserve">for calculating descriptive statistics,</w:t>
      </w:r>
      <w:r>
        <w:t xml:space="preserve"> </w:t>
      </w:r>
      <w:r>
        <w:rPr>
          <w:i/>
          <w:iCs/>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 </w:t>
      </w:r>
      <w:r>
        <w:t xml:space="preserve">for data preprocessing and visualization, and</w:t>
      </w:r>
      <w:r>
        <w:t xml:space="preserve"> </w:t>
      </w:r>
      <w:r>
        <w:rPr>
          <w:i/>
          <w:iCs/>
        </w:rPr>
        <w:t xml:space="preserve">flextable</w:t>
      </w:r>
      <w:r>
        <w:t xml:space="preserve"> </w:t>
      </w:r>
      <w:r>
        <w:t xml:space="preserve">(Version 0.9.9;</w:t>
      </w:r>
      <w:r>
        <w:t xml:space="preserve"> </w:t>
      </w:r>
      <w:hyperlink w:anchor="ref-R-flextable">
        <w:r>
          <w:rPr>
            <w:rStyle w:val="Hyperlink"/>
          </w:rPr>
          <w:t xml:space="preserve">Gohel &amp; Skintzos, 2025</w:t>
        </w:r>
      </w:hyperlink>
      <w:r>
        <w:t xml:space="preserve">)</w:t>
      </w:r>
      <w:r>
        <w:t xml:space="preserve">,</w:t>
      </w:r>
      <w:r>
        <w:t xml:space="preserve"> </w:t>
      </w:r>
      <w:r>
        <w:rPr>
          <w:i/>
          <w:iCs/>
        </w:rPr>
        <w:t xml:space="preserve">magick</w:t>
      </w:r>
      <w:r>
        <w:t xml:space="preserve"> </w:t>
      </w:r>
      <w:r>
        <w:t xml:space="preserve">(Version 2.8.7;</w:t>
      </w:r>
      <w:r>
        <w:t xml:space="preserve"> </w:t>
      </w:r>
      <w:hyperlink w:anchor="ref-R-magick">
        <w:r>
          <w:rPr>
            <w:rStyle w:val="Hyperlink"/>
          </w:rPr>
          <w:t xml:space="preserve">Jeroen, 2025</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2024</w:t>
        </w:r>
      </w:hyperlink>
      <w:r>
        <w:t xml:space="preserve">)</w:t>
      </w:r>
      <w:r>
        <w:t xml:space="preserve"> </w:t>
      </w:r>
      <w:r>
        <w:t xml:space="preserve">and</w:t>
      </w:r>
      <w:r>
        <w:t xml:space="preserve"> </w:t>
      </w:r>
      <w:r>
        <w:rPr>
          <w:i/>
          <w:iCs/>
        </w:rPr>
        <w:t xml:space="preserve">showtext</w:t>
      </w:r>
      <w:r>
        <w:t xml:space="preserve"> </w:t>
      </w:r>
      <w:r>
        <w:t xml:space="preserve">(Version 0.9-7;</w:t>
      </w:r>
      <w:r>
        <w:t xml:space="preserve"> </w:t>
      </w:r>
      <w:hyperlink w:anchor="ref-R-showtext">
        <w:r>
          <w:rPr>
            <w:rStyle w:val="Hyperlink"/>
          </w:rPr>
          <w:t xml:space="preserve">Qiu &amp; for details., 2024</w:t>
        </w:r>
      </w:hyperlink>
      <w:r>
        <w:t xml:space="preserve">)</w:t>
      </w:r>
      <w:r>
        <w:t xml:space="preserve"> </w:t>
      </w:r>
      <w:r>
        <w:t xml:space="preserve">to create APA-formatted tables and figures.</w:t>
      </w:r>
    </w:p>
    <w:p>
      <w:pPr>
        <w:pStyle w:val="BodyText"/>
      </w:pPr>
      <w:r>
        <w:t xml:space="preserve">All scripts and data to reproduce and use the trained BERT models (Python), analyse the results and validity checks (R and Python), recreate this manuscript (Quarto Markdown in R Studio with the apaquarto extension available at:</w:t>
      </w:r>
      <w:r>
        <w:t xml:space="preserve"> </w:t>
      </w:r>
      <w:hyperlink r:id="rId40">
        <w:r>
          <w:rPr>
            <w:rStyle w:val="Hyperlink"/>
          </w:rPr>
          <w:t xml:space="preserve">wjschne.github.io/apaquarto/</w:t>
        </w:r>
      </w:hyperlink>
      <w:r>
        <w:t xml:space="preserve">), as well as the list of Python libraries used to train the BERT models are available in the following GitHub repository, together with instructions on how to set it up:</w:t>
      </w:r>
      <w:r>
        <w:t xml:space="preserve"> </w:t>
      </w:r>
      <w:hyperlink r:id="rId41">
        <w:r>
          <w:rPr>
            <w:rStyle w:val="Hyperlink"/>
          </w:rPr>
          <w:t xml:space="preserve">github.com/Raphael-Merz/nonsig-master-thesis</w:t>
        </w:r>
      </w:hyperlink>
      <w:r>
        <w:t xml:space="preserve">.</w:t>
      </w:r>
    </w:p>
    <w:p>
      <w:pPr>
        <w:pStyle w:val="BodyText"/>
      </w:pPr>
      <w:r>
        <w:t xml:space="preserve">Due to the project’s iterative nature and since no inferential statistical tests were performed, this study was not preregistered. The original project proposal can also be found in the GitHub repository.</w:t>
      </w:r>
    </w:p>
    <w:bookmarkEnd w:id="42"/>
    <w:bookmarkEnd w:id="43"/>
    <w:bookmarkStart w:id="60" w:name="results"/>
    <w:p>
      <w:pPr>
        <w:pStyle w:val="Heading1"/>
      </w:pPr>
      <w:r>
        <w:t xml:space="preserve">3 Results</w:t>
      </w:r>
    </w:p>
    <w:bookmarkStart w:id="45" w:name="sec-detection-accuracy"/>
    <w:p>
      <w:pPr>
        <w:pStyle w:val="Heading2"/>
      </w:pPr>
      <w:r>
        <w:t xml:space="preserve">3.1 Detection Accuracy</w:t>
      </w:r>
    </w:p>
    <w:p>
      <w:pPr>
        <w:pStyle w:val="FirstParagraph"/>
      </w:pPr>
      <w:r>
        <w:t xml:space="preserve">By manually reviewing 25 articles from Papercheck’s sample library, I identified 179 statements containing a nonsignificant</w:t>
      </w:r>
      <w:r>
        <w:t xml:space="preserve"> </w:t>
      </w:r>
      <w:r>
        <w:rPr>
          <w:i/>
          <w:iCs/>
        </w:rPr>
        <w:t xml:space="preserve">p</w:t>
      </w:r>
      <w:r>
        <w:t xml:space="preserve"> </w:t>
      </w:r>
      <w:r>
        <w:t xml:space="preserve">value. The automated RegEx search fully detected 130 (73%) of these, and incompletely detected 6 due to extraction errors, often caused by PDF formatting (page breaks, figures, or footnotes). The search also produced 3 false positives – statements incorrectly labeled as coming from the results section, but actually originating from other sections, or from table or figure notes. Note, however, that most of the 49 (partially) missed statements were due to specific ways of writing (or not writing) the</w:t>
      </w:r>
      <w:r>
        <w:t xml:space="preserve"> </w:t>
      </w:r>
      <w:r>
        <w:rPr>
          <w:i/>
          <w:iCs/>
        </w:rPr>
        <w:t xml:space="preserve">p</w:t>
      </w:r>
      <w:r>
        <w:t xml:space="preserve"> </w:t>
      </w:r>
      <w:r>
        <w:t xml:space="preserve">value: 31 were missed because the</w:t>
      </w:r>
      <w:r>
        <w:t xml:space="preserve"> </w:t>
      </w:r>
      <w:r>
        <w:rPr>
          <w:i/>
          <w:iCs/>
        </w:rPr>
        <w:t xml:space="preserve">p</w:t>
      </w:r>
      <w:r>
        <w:t xml:space="preserve"> </w:t>
      </w:r>
      <w:r>
        <w:t xml:space="preserve">value was written as</w:t>
      </w:r>
      <w:r>
        <w:t xml:space="preserve"> </w:t>
      </w:r>
      <w:r>
        <w:t xml:space="preserve">‘</w:t>
      </w:r>
      <m:oMath>
        <m:sSub>
          <m:e>
            <m:r>
              <m:t>p</m:t>
            </m:r>
          </m:e>
          <m:sub>
            <m:r>
              <m:t>s</m:t>
            </m:r>
          </m:sub>
        </m:sSub>
      </m:oMath>
      <w:r>
        <w:t xml:space="preserve">’</w:t>
      </w:r>
      <w:r>
        <w:t xml:space="preserve"> </w:t>
      </w:r>
      <w:r>
        <w:t xml:space="preserve">(smallest</w:t>
      </w:r>
      <w:r>
        <w:t xml:space="preserve"> </w:t>
      </w:r>
      <w:r>
        <w:rPr>
          <w:i/>
          <w:iCs/>
        </w:rPr>
        <w:t xml:space="preserve">p</w:t>
      </w:r>
      <w:r>
        <w:t xml:space="preserve"> </w:t>
      </w:r>
      <w:r>
        <w:t xml:space="preserve">value in a group of tests), and 8 were missed because the authors wrote</w:t>
      </w:r>
      <w:r>
        <w:t xml:space="preserve"> </w:t>
      </w:r>
      <w:r>
        <w:t xml:space="preserve">‘n.s.’</w:t>
      </w:r>
      <w:r>
        <w:t xml:space="preserve"> </w:t>
      </w:r>
      <w:r>
        <w:t xml:space="preserve">instead of the nonsignificant</w:t>
      </w:r>
      <w:r>
        <w:t xml:space="preserve"> </w:t>
      </w:r>
      <w:r>
        <w:rPr>
          <w:i/>
          <w:iCs/>
        </w:rPr>
        <w:t xml:space="preserve">p</w:t>
      </w:r>
      <w:r>
        <w:t xml:space="preserve"> </w:t>
      </w:r>
      <w:r>
        <w:t xml:space="preserve">value. Excluding these two types of reporting, the overall agreement between the automated and manual approaches would have been 93%.</w:t>
      </w:r>
    </w:p>
    <w:p>
      <w:pPr>
        <w:pStyle w:val="BodyText"/>
      </w:pPr>
      <w:r>
        <w:t xml:space="preserve">Lastly, the remaining 10 missed statements were due to PDF formatting issues such as figures, tables, footnotes, page breaks, or unusual characters within the statement that interfered with the statement detection (9 in total).</w:t>
      </w:r>
      <w:r>
        <w:rPr>
          <w:rStyle w:val="FootnoteReference"/>
        </w:rPr>
        <w:footnoteReference w:id="44"/>
      </w:r>
    </w:p>
    <w:bookmarkEnd w:id="45"/>
    <w:bookmarkStart w:id="56" w:name="classification-performance"/>
    <w:p>
      <w:pPr>
        <w:pStyle w:val="Heading2"/>
      </w:pPr>
      <w:r>
        <w:t xml:space="preserve">3.2 Classification Performance</w:t>
      </w:r>
    </w:p>
    <w:p>
      <w:pPr>
        <w:pStyle w:val="FirstParagraph"/>
      </w:pPr>
      <w:hyperlink w:anchor="fig-loss-curves">
        <w:r>
          <w:rPr>
            <w:rStyle w:val="Hyperlink"/>
          </w:rPr>
          <w:t xml:space="preserve">Figure 1</w:t>
        </w:r>
      </w:hyperlink>
      <w:r>
        <w:t xml:space="preserve"> </w:t>
      </w:r>
      <w:r>
        <w:t xml:space="preserve">shows the training and validation loss curves for the three BERT models across their training epochs. The standard BERT model was trained for a total of 7 epochs before early stopping was triggered due to a lack of improvement in validation loss for two consecutive epochs. The model from epoch 5 was therefore selected as the best-performing one. Similarly, SciBERT and PubMedBERT reached the lowest validation loss after epochs 5 and 4, respectively. As shown in the figure, the training loss consistently decreased throughout training for all three models, as expected since the models were optimized to fit the training data. In contrast, the validation loss plateaued in all models before rising again, indicating that further improvements on the training data no longer translated to better performance on the unseen validation data and may signal the onset of overfitting.</w:t>
      </w:r>
    </w:p>
    <w:bookmarkStart w:id="49" w:name="fig-loss-curves"/>
    <w:p>
      <w:pPr>
        <w:pStyle w:val="FigureTitle"/>
      </w:pPr>
      <w:r>
        <w:t xml:space="preserve">Figure 1</w:t>
      </w:r>
    </w:p>
    <w:p>
      <w:pPr>
        <w:pStyle w:val="Caption"/>
      </w:pPr>
      <w:r>
        <w:t xml:space="preserve">Training and Validation Loss Curves</w:t>
      </w:r>
    </w:p>
    <w:p>
      <w:pPr>
        <w:pStyle w:val="FigureWithNote"/>
      </w:pPr>
      <w:r>
        <w:drawing>
          <wp:inline>
            <wp:extent cx="5486400" cy="1519532"/>
            <wp:effectExtent b="0" l="0" r="0" t="0"/>
            <wp:docPr descr="" title="" id="47" name="Picture"/>
            <a:graphic>
              <a:graphicData uri="http://schemas.openxmlformats.org/drawingml/2006/picture">
                <pic:pic>
                  <pic:nvPicPr>
                    <pic:cNvPr descr="../data/model_performance/loss_curve/loss_combined.png" id="48" name="Picture"/>
                    <pic:cNvPicPr>
                      <a:picLocks noChangeArrowheads="1" noChangeAspect="1"/>
                    </pic:cNvPicPr>
                  </pic:nvPicPr>
                  <pic:blipFill>
                    <a:blip r:embed="rId46"/>
                    <a:stretch>
                      <a:fillRect/>
                    </a:stretch>
                  </pic:blipFill>
                  <pic:spPr bwMode="auto">
                    <a:xfrm>
                      <a:off x="0" y="0"/>
                      <a:ext cx="5486400" cy="1519532"/>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Curves of the training and validation loss of the three trained BERT models. The training and validation loss represent the sum of errors between model predictions and the actual labels in the training and validation sets, respectively. The best models for standard BERT, SciBERT and PubMedBERT were chosen after epoch 5, 5, and 4, respectively, based on a minmal validation loss.</w:t>
      </w:r>
    </w:p>
    <w:p>
      <w:pPr>
        <w:pStyle w:val="BodyText"/>
      </w:pPr>
      <w:r>
        <w:t xml:space="preserve">With respect to model performance,</w:t>
      </w:r>
      <w:r>
        <w:t xml:space="preserve"> </w:t>
      </w:r>
      <w:hyperlink w:anchor="fig-confusion">
        <w:r>
          <w:rPr>
            <w:rStyle w:val="Hyperlink"/>
          </w:rPr>
          <w:t xml:space="preserve">Figure 2</w:t>
        </w:r>
      </w:hyperlink>
      <w:r>
        <w:t xml:space="preserve"> </w:t>
      </w:r>
      <w:r>
        <w:t xml:space="preserve">displays the number of correctly and incorrectly classified statements for each model. Overall, all three models performed well, with the standard BERT model showing the fewest misclassifications (2 false positives and 9 false negatives), while SciBERT and PubMedBERT made 14 and 21 false classifications in total, respectively. All models also tended to predict more statements as correct than incorrect, despite the originally balanced class distribution: the standard BERT model classified 78 statements as correct and 64 as incorrect, with this difference being even more pronounced in SciBERT (81 vs. 61) and PubMedBERT (88 vs. 54).</w:t>
      </w:r>
    </w:p>
    <w:p>
      <w:pPr>
        <w:pStyle w:val="BodyText"/>
      </w:pPr>
      <w:r>
        <w:t xml:space="preserve">These results are further summarized in</w:t>
      </w:r>
      <w:r>
        <w:t xml:space="preserve"> </w:t>
      </w:r>
      <w:hyperlink w:anchor="tbl-model-performance">
        <w:r>
          <w:rPr>
            <w:rStyle w:val="Hyperlink"/>
          </w:rPr>
          <w:t xml:space="preserve">Table 1</w:t>
        </w:r>
      </w:hyperlink>
      <w:r>
        <w:t xml:space="preserve"> </w:t>
      </w:r>
      <w:r>
        <w:t xml:space="preserve">which shows a summary of the performance metrics. The standard BERT model achieved the highest macro-F1 score (.92), with SciBERT and PubMedBERT scoring slightly lower (.90 and .85). Across all models, performance was stronger for predicting correct statements than incorrect ones, as indicated by higher F1 scores and recall in the</w:t>
      </w:r>
      <w:r>
        <w:t xml:space="preserve"> </w:t>
      </w:r>
      <w:r>
        <w:t xml:space="preserve">‘correct’</w:t>
      </w:r>
      <w:r>
        <w:t xml:space="preserve"> </w:t>
      </w:r>
      <w:r>
        <w:t xml:space="preserve">class. This pattern again underlines that the models tended to overidentify statements as correct rather than incorrect.</w:t>
      </w:r>
    </w:p>
    <w:bookmarkStart w:id="53" w:name="fig-confusion"/>
    <w:p>
      <w:pPr>
        <w:pStyle w:val="FigureTitle"/>
      </w:pPr>
      <w:r>
        <w:t xml:space="preserve">Figure 2</w:t>
      </w:r>
    </w:p>
    <w:p>
      <w:pPr>
        <w:pStyle w:val="Caption"/>
      </w:pPr>
      <w:r>
        <w:t xml:space="preserve">Confusion Matrices</w:t>
      </w:r>
    </w:p>
    <w:p>
      <w:pPr>
        <w:pStyle w:val="FigureWithNote"/>
      </w:pPr>
      <w:r>
        <w:drawing>
          <wp:inline>
            <wp:extent cx="5943600" cy="1659255"/>
            <wp:effectExtent b="0" l="0" r="0" t="0"/>
            <wp:docPr descr="" title="" id="51" name="Picture"/>
            <a:graphic>
              <a:graphicData uri="http://schemas.openxmlformats.org/drawingml/2006/picture">
                <pic:pic>
                  <pic:nvPicPr>
                    <pic:cNvPr descr="../data/model_performance/confusion_matrix/confusion_matrix_combined.png" id="52" name="Picture"/>
                    <pic:cNvPicPr>
                      <a:picLocks noChangeArrowheads="1" noChangeAspect="1"/>
                    </pic:cNvPicPr>
                  </pic:nvPicPr>
                  <pic:blipFill>
                    <a:blip r:embed="rId50"/>
                    <a:stretch>
                      <a:fillRect/>
                    </a:stretch>
                  </pic:blipFill>
                  <pic:spPr bwMode="auto">
                    <a:xfrm>
                      <a:off x="0" y="0"/>
                      <a:ext cx="5943600" cy="1659255"/>
                    </a:xfrm>
                    <a:prstGeom prst="rect">
                      <a:avLst/>
                    </a:prstGeom>
                    <a:noFill/>
                    <a:ln w="9525">
                      <a:noFill/>
                      <a:headEnd/>
                      <a:tailEnd/>
                    </a:ln>
                  </pic:spPr>
                </pic:pic>
              </a:graphicData>
            </a:graphic>
          </wp:inline>
        </w:drawing>
      </w:r>
    </w:p>
    <w:bookmarkEnd w:id="53"/>
    <w:p>
      <w:pPr>
        <w:pStyle w:val="FigureNote"/>
      </w:pPr>
      <w:r>
        <w:rPr>
          <w:i/>
          <w:iCs/>
        </w:rPr>
        <w:t xml:space="preserve">Note</w:t>
      </w:r>
      <w:r>
        <w:t xml:space="preserve">. Confusion matrices of the three trained BERT models. Overall, the standard BERT model misclassified the fewest statements with 2 false positives and 9 false negatives.</w:t>
      </w:r>
    </w:p>
    <w:bookmarkStart w:id="54"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7"/>
        <w:gridCol w:w="925"/>
        <w:gridCol w:w="711"/>
        <w:gridCol w:w="889"/>
        <w:gridCol w:w="925"/>
        <w:gridCol w:w="711"/>
        <w:gridCol w:w="889"/>
        <w:gridCol w:w="925"/>
        <w:gridCol w:w="711"/>
        <w:gridCol w:w="889"/>
      </w:tblGrid>
      <w:tr>
        <w:trPr>
          <w:trHeight w:val="385" w:hRule="auto"/>
          <w:tblHeader/>
        </w:trPr>
        header1
        <w:tc>
          <w:tcPr>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SciBERT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PubMedBERT</w:t>
            </w:r>
          </w:p>
        </w:tc>
      </w:tr>
      <w:tr>
        <w:trPr>
          <w:trHeight w:val="384" w:hRule="auto"/>
          <w:tblHeader/>
        </w:trPr>
        header2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8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Class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38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r>
      <w:tr>
        <w:trPr>
          <w:trHeight w:val="384"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Macro-F1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r>
    </w:tbl>
    <w:bookmarkEnd w:id="54"/>
    <w:p>
      <w:pPr>
        <w:pStyle w:val="FigureNote"/>
      </w:pPr>
      <w:r>
        <w:rPr>
          <w:i/>
          <w:iCs/>
        </w:rPr>
        <w:t xml:space="preserve">Note</w:t>
      </w:r>
      <w:r>
        <w:t xml:space="preserve">. Table of precision, recall and F1 score per model and class, as well as the macro-F1 score across classes.</w:t>
      </w:r>
    </w:p>
    <w:p>
      <w:pPr>
        <w:pStyle w:val="BodyText"/>
      </w:pPr>
      <w:r>
        <w:t xml:space="preserve">Additionally,</w:t>
      </w:r>
      <w:r>
        <w:t xml:space="preserve"> </w:t>
      </w:r>
      <w:hyperlink w:anchor="tbl-false-classification">
        <w:r>
          <w:rPr>
            <w:rStyle w:val="Hyperlink"/>
          </w:rPr>
          <w:t xml:space="preserve">Table 2</w:t>
        </w:r>
      </w:hyperlink>
      <w:r>
        <w:t xml:space="preserve"> </w:t>
      </w:r>
      <w:r>
        <w:t xml:space="preserve">shows statements that were misclassified by all three models to illustrate common sources of difficulty. Potential causes of these misclassifications will be explored in the discussion.</w:t>
      </w:r>
    </w:p>
    <w:bookmarkStart w:id="55" w:name="tbl-false-classification"/>
    <w:p>
      <w:pPr>
        <w:pStyle w:val="FigureTitle"/>
      </w:pPr>
      <w:r>
        <w:t xml:space="preserve">Table 2</w:t>
      </w:r>
    </w:p>
    <w:p>
      <w:pPr>
        <w:pStyle w:val="Caption"/>
      </w:pPr>
      <w:r>
        <w:t xml:space="preserve">Incorrect Model Classifications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Prediction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sensitivity for the not-learned set was statistically comparable to the prelearning baseline, t(44) = 1.95, p = .162, d = 0.29, the learned set revealed significantly higher scores compared with both the not-learned set, t(44) = 2.56, p &lt; .04, d = 0.38, and the prelearning set, t(44) = 4.51, p &lt; .001, d = 0.67 (all comparisons performed with Bonferroni correction; see Fig. 3a).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CS type did not interact significantly with the contrast between the uninformed and random groups; the uninformed group showed no better differentiation than the random group, F(1, 76) = 1.29, p = .26, 95% CI = [-0.16, 0.57].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 trait aggression, and endogenous testosterone did not affect these behavioral congruency effects on RTs and accuracy, and aggression and endogenous testosterone were not significantly correlated (r = .046, p = .45).</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Positive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main effect of illness recency did not meet our preregistered threshold (p &lt; .025)-recently ill: M = 661 ms, SD = 197; not recently ill: M = 626 ms, SD = 153, F(1, 400) = 4.23, Î· p 2 = .010, 90% CI = [.000, .039], p = .040-nor did the interaction between illness recency and face type (disfigured vs. typical), F(1, 400) = 1.87, Î· p 2 = .005, 90% CI = [.000, .027], p = .173.</w:t>
            </w:r>
          </w:p>
        </w:tc>
      </w:tr>
    </w:tbl>
    <w:bookmarkEnd w:id="55"/>
    <w:p>
      <w:pPr>
        <w:pStyle w:val="FigureNote"/>
      </w:pPr>
      <w:r>
        <w:rPr>
          <w:i/>
          <w:iCs/>
        </w:rPr>
        <w:t xml:space="preserve">Note</w:t>
      </w:r>
      <w:r>
        <w:t xml:space="preserve">. Examples for statements that were incorrectly classified by all three BERT models.</w:t>
      </w:r>
    </w:p>
    <w:bookmarkEnd w:id="56"/>
    <w:bookmarkStart w:id="59" w:name="correction-evaluation"/>
    <w:p>
      <w:pPr>
        <w:pStyle w:val="Heading2"/>
      </w:pPr>
      <w:r>
        <w:t xml:space="preserve">3.3 Correction Evaluation</w:t>
      </w:r>
    </w:p>
    <w:p>
      <w:pPr>
        <w:pStyle w:val="FirstParagraph"/>
      </w:pPr>
      <w:r>
        <w:t xml:space="preserve">Of the 100 statements that the LLM was instructed to correct 85 were evaluated as correct in the first iteration (initial prompt and older</w:t>
      </w:r>
      <w:r>
        <w:t xml:space="preserve"> </w:t>
      </w:r>
      <w:r>
        <w:t xml:space="preserve">‘llama-3.3-70b-versatile’</w:t>
      </w:r>
      <w:r>
        <w:t xml:space="preserve"> </w:t>
      </w:r>
      <w:r>
        <w:t xml:space="preserve">model). Notably, 2 of the 20 already correct statements were turned incorrect by the LLM, while 13 of the 80 incorrect statements remained incorrect. Using the newer</w:t>
      </w:r>
      <w:r>
        <w:t xml:space="preserve"> </w:t>
      </w:r>
      <w:r>
        <w:t xml:space="preserve">‘openai/gpt-oss-120b’</w:t>
      </w:r>
      <w:r>
        <w:t xml:space="preserve"> </w:t>
      </w:r>
      <w:r>
        <w:t xml:space="preserve">model, 79 statements were evaluated as correct after LLM-revision. However, the model left 8 correct and 2 incorrect statements unrevised, following instructions in the initial prompt that allowed it to skip statements if it did not find a nonsignificant</w:t>
      </w:r>
      <w:r>
        <w:t xml:space="preserve"> </w:t>
      </w:r>
      <w:r>
        <w:rPr>
          <w:i/>
          <w:iCs/>
        </w:rPr>
        <w:t xml:space="preserve">p</w:t>
      </w:r>
      <w:r>
        <w:t xml:space="preserve"> </w:t>
      </w:r>
      <w:r>
        <w:t xml:space="preserve">value or corresponding interpretation. In the final iteration, with the newer model and revised prompt, 93 of the 100 LLM-revised statements were correct. Of the remaining 7 statements, four (one originally correct and three incorrect) described the results as</w:t>
      </w:r>
      <w:r>
        <w:t xml:space="preserve"> </w:t>
      </w:r>
      <w:r>
        <w:t xml:space="preserve">‘compatible with effects of exactly or around zero’</w:t>
      </w:r>
      <w:r>
        <w:t xml:space="preserve"> </w:t>
      </w:r>
      <w:r>
        <w:t xml:space="preserve">– an interpretation that may be technically defensible but still fails to adequately acknowledge the uncertainty in the test result. In one originally correct statement, the LLM removed all</w:t>
      </w:r>
      <w:r>
        <w:t xml:space="preserve"> </w:t>
      </w:r>
      <w:r>
        <w:rPr>
          <w:i/>
          <w:iCs/>
        </w:rPr>
        <w:t xml:space="preserve">p</w:t>
      </w:r>
      <w:r>
        <w:t xml:space="preserve"> </w:t>
      </w:r>
      <w:r>
        <w:t xml:space="preserve">values and described the effect as if they were significant. The remaining two were originally incorrect statements, one of which simply remained incorrect, while the other one was altered to the point that it no longer conveyed the original meaning (originally referring to model fit, which was not clear in the revision). Examples of both poor and strong LLM-revisions from this final iteration are shown in</w:t>
      </w:r>
      <w:r>
        <w:t xml:space="preserve"> </w:t>
      </w:r>
      <w:hyperlink w:anchor="tbl-LLM-corrections-1">
        <w:r>
          <w:rPr>
            <w:rStyle w:val="Hyperlink"/>
          </w:rPr>
          <w:t xml:space="preserve">Table 3</w:t>
        </w:r>
      </w:hyperlink>
      <w:r>
        <w:t xml:space="preserve"> </w:t>
      </w:r>
      <w:r>
        <w:t xml:space="preserve">and</w:t>
      </w:r>
      <w:r>
        <w:t xml:space="preserve"> </w:t>
      </w:r>
      <w:hyperlink w:anchor="tbl-LLM-corrections-2">
        <w:r>
          <w:rPr>
            <w:rStyle w:val="Hyperlink"/>
          </w:rPr>
          <w:t xml:space="preserve">Table 4</w:t>
        </w:r>
      </w:hyperlink>
      <w:r>
        <w:t xml:space="preserve">, respectively.</w:t>
      </w:r>
    </w:p>
    <w:bookmarkStart w:id="57" w:name="tbl-LLM-corrections-1"/>
    <w:p>
      <w:pPr>
        <w:pStyle w:val="FigureTitle"/>
      </w:pPr>
      <w:r>
        <w:t xml:space="preserve">Table 3</w:t>
      </w:r>
    </w:p>
    <w:p>
      <w:pPr>
        <w:pStyle w:val="Caption"/>
      </w:pPr>
      <w:r>
        <w:t xml:space="preserve">Examples of Incorrect LLM-Revisions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From 1 to 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Artworks that related to common activities, however, were not associated with higher aesthetic ratings, slope = -0.017, 95% CI = [-0.09, 0.06], t(1558) = -0.46, p = .64, nor were artworks in the mixed class, slope = 0.024, 95% CI = [-0.005, 0.05], t(1555) = 1.6, p = .11.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estimated slopes were small and their 95 % confidence intervals included zero (common‑activity artworks: slope = ‑0.017, 95 % CI = [‑0.09, 0.06]; mixed‑class artworks: slope = 0.024, 95 % CI = [‑0.005, 0.05]), indicating that the results are compatible with no association between these artwork categories and aesthetic ratings.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From 0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Î² = 0.10, p = .304, and effectiveness, b = 0.04, 95% CI = [-0.06, 0.14], Î² = 0.08, p =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Leader narcissism levels were associated with follower‑perceived leader authority (b = 0.04, 95 % CI = [‑0.04, 0.13], β = 0.10) and with effectiveness (b = 0.04, 95 % CI = [‑0.06, 0.14], β = 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bookmarkEnd w:id="57"/>
    <w:p>
      <w:pPr>
        <w:pStyle w:val="FigureNote"/>
      </w:pPr>
      <w:r>
        <w:rPr>
          <w:i/>
          <w:iCs/>
        </w:rPr>
        <w:t xml:space="preserve">Note</w:t>
      </w:r>
      <w:r>
        <w:t xml:space="preserve">. Table of original and LLM-revised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Start w:id="58" w:name="tbl-LLM-corrections-2"/>
    <w:p>
      <w:pPr>
        <w:pStyle w:val="FigureTitle"/>
      </w:pPr>
      <w:r>
        <w:t xml:space="preserve">Table 4</w:t>
      </w:r>
    </w:p>
    <w:p>
      <w:pPr>
        <w:pStyle w:val="Caption"/>
      </w:pPr>
      <w:r>
        <w:t xml:space="preserve">Examples of Correct LLM-Revisions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From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Post hoc simple-effects analyses revealed that serial position did not affect the number of recalled distinct attributes, B = -0.02, t(1,510) = -0.39, p = .700, d = 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Post hoc simple‑effects analyses indicated that serial position was not a significant predictor of the number of recalled distinct attributes, B = –0.02, t(1,510) = –0.39, p = .700, d =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From 0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Meta-regression indicated no significant moderating effect of preexisting perceptions of consensus, b = -0.84, t(35) = -1.44, p =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Meta-regression did not find a statistically significant moderating effect of preexisting perceptions of consensus (b = ‑0.84, t(35) = ‑1.44, p = .159).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bl>
    <w:bookmarkEnd w:id="58"/>
    <w:p>
      <w:pPr>
        <w:pStyle w:val="FigureNote"/>
      </w:pPr>
      <w:r>
        <w:rPr>
          <w:i/>
          <w:iCs/>
        </w:rPr>
        <w:t xml:space="preserve">Note</w:t>
      </w:r>
      <w:r>
        <w:t xml:space="preserve">. Table of original and LLM-revised statements that were classified as 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End w:id="59"/>
    <w:bookmarkEnd w:id="60"/>
    <w:bookmarkStart w:id="64" w:name="discussion"/>
    <w:p>
      <w:pPr>
        <w:pStyle w:val="Heading1"/>
      </w:pPr>
      <w:r>
        <w:t xml:space="preserve">4 Discussion</w:t>
      </w:r>
    </w:p>
    <w:bookmarkStart w:id="61" w:name="summary-of-key-results"/>
    <w:p>
      <w:pPr>
        <w:pStyle w:val="Heading2"/>
      </w:pPr>
      <w:r>
        <w:t xml:space="preserve">4.1 Summary of Key Results</w:t>
      </w:r>
    </w:p>
    <w:p>
      <w:pPr>
        <w:pStyle w:val="FirstParagraph"/>
      </w:pPr>
      <w:r>
        <w:t xml:space="preserve">In this study, I developed and evaluated a three-step pipeline for automatically detecting, classifying and correcting misinterpretations of nonsignificant results as evidence for the absence of an effect. The pipeline combines (1) rule-based RegEx searches to identify candidate statements, (2) fine-tuned BERT models to classify them as correct or incorrect, and (3) LLMs to generate revised phrasings. Although clear areas for improvement emerged, each component performed well overall. This demonstrates the potential of hybrid, stepwise approaches for addressing persistent reporting issues in scientific writing, with applications beyond</w:t>
      </w:r>
      <w:r>
        <w:t xml:space="preserve"> </w:t>
      </w:r>
      <w:r>
        <w:rPr>
          <w:i/>
          <w:iCs/>
        </w:rPr>
        <w:t xml:space="preserve">p</w:t>
      </w:r>
      <w:r>
        <w:t xml:space="preserve"> </w:t>
      </w:r>
      <w:r>
        <w:t xml:space="preserve">value misinterpretations.</w:t>
      </w:r>
    </w:p>
    <w:p>
      <w:pPr>
        <w:pStyle w:val="BodyText"/>
      </w:pPr>
      <w:r>
        <w:t xml:space="preserve">Each step contributes distinct strengths. The RegEx-based detection offers a fast, systematic, and transparent way of reducing the volume of text needing NLP-based analysis. The BERT classifiers, having been trained on human-annotated data, provide a reliable and powerful solution for identifying subtle language patterns. The final correction step, while optional, shows that LLMs can generate context-sensitive rewordings that may help authors revise problematic statements.</w:t>
      </w:r>
    </w:p>
    <w:p>
      <w:pPr>
        <w:pStyle w:val="BodyText"/>
      </w:pPr>
      <w:r>
        <w:t xml:space="preserve">More specifically, the RegEx-based statement detection phase demonstrated that simple, rule-based searches can effectively flag a large proportion of candidate interpretations. Although formatting issues in PDFs made the correct extraction of these misinterpretations impossible in some cases, the vast majority of statements were automatically detected. In addition, this study revealed straightforward issues in the current approach (e.g.,</w:t>
      </w:r>
      <w:r>
        <w:t xml:space="preserve"> </w:t>
      </w:r>
      <w:r>
        <w:rPr>
          <w:i/>
          <w:iCs/>
        </w:rPr>
        <w:t xml:space="preserve">p</w:t>
      </w:r>
      <w:r>
        <w:t xml:space="preserve"> </w:t>
      </w:r>
      <w:r>
        <w:t xml:space="preserve">as</w:t>
      </w:r>
      <w:r>
        <w:t xml:space="preserve"> </w:t>
      </w:r>
      <w:r>
        <w:t xml:space="preserve">“n.s.”</w:t>
      </w:r>
      <w:r>
        <w:t xml:space="preserve"> </w:t>
      </w:r>
      <w:r>
        <w:t xml:space="preserve">or with subscripted</w:t>
      </w:r>
      <w:r>
        <w:t xml:space="preserve"> </w:t>
      </w:r>
      <w:r>
        <w:t xml:space="preserve">‘</w:t>
      </w:r>
      <m:oMath>
        <m:sSub>
          <m:e>
            <m:r>
              <m:t>p</m:t>
            </m:r>
          </m:e>
          <m:sub>
            <m:r>
              <m:t>s</m:t>
            </m:r>
          </m:sub>
        </m:sSub>
      </m:oMath>
      <w:r>
        <w:t xml:space="preserve">’</w:t>
      </w:r>
      <w:r>
        <w:t xml:space="preserve">) that can be fixed with minimal adjustments, further enhancing the detection accuracy.</w:t>
      </w:r>
    </w:p>
    <w:p>
      <w:pPr>
        <w:pStyle w:val="BodyText"/>
      </w:pPr>
      <w:r>
        <w:t xml:space="preserve">The classification results are particularly promising given the relatively small size of the manually labeled dataset (&lt; 1,000 examples, split into training, validation, and test sets). The strong performance likely reflects a certain regularity in how nonsignificance is (mis)interpreted in academic writing – commonly through the use of either</w:t>
      </w:r>
      <w:r>
        <w:t xml:space="preserve"> </w:t>
      </w:r>
      <w:r>
        <w:t xml:space="preserve">‘significant’</w:t>
      </w:r>
      <w:r>
        <w:t xml:space="preserve"> </w:t>
      </w:r>
      <w:r>
        <w:t xml:space="preserve">or</w:t>
      </w:r>
      <w:r>
        <w:t xml:space="preserve"> </w:t>
      </w:r>
      <w:r>
        <w:t xml:space="preserve">‘no effect’</w:t>
      </w:r>
      <w:r>
        <w:t xml:space="preserve"> </w:t>
      </w:r>
      <w:r>
        <w:t xml:space="preserve">(e.g.,</w:t>
      </w:r>
      <w:r>
        <w:t xml:space="preserve"> </w:t>
      </w:r>
      <w:r>
        <w:t xml:space="preserve">‘there was no effect’</w:t>
      </w:r>
      <w:r>
        <w:t xml:space="preserve">, but also</w:t>
      </w:r>
      <w:r>
        <w:t xml:space="preserve"> </w:t>
      </w:r>
      <w:r>
        <w:t xml:space="preserve">‘groups did not differ’</w:t>
      </w:r>
      <w:r>
        <w:t xml:space="preserve">) terminology. Interestingly, the standard BERT model showed the best overall performance, potentially reflecting that SciBERT’s and PubMedBERT’s more domain-specific knowledge might not have been necessary for the classification of these statements.</w:t>
      </w:r>
    </w:p>
    <w:p>
      <w:pPr>
        <w:pStyle w:val="BodyText"/>
      </w:pPr>
      <w:r>
        <w:t xml:space="preserve">Finally, the correction step demonstrated that LLMs can provide useful alternative phrasings to misinterpretations. While further prompt engineering will be necessary to reduce occasional mistakes (especially those turning correct statements into incorrect ones), this step illustrates the potential of integrating generative AI into targeted scientific writing support. Whether such corrections are genuinely valued by authors, however, remains an open question that needs further discussion.</w:t>
      </w:r>
    </w:p>
    <w:bookmarkEnd w:id="61"/>
    <w:bookmarkStart w:id="62" w:name="limitations-and-challenges"/>
    <w:p>
      <w:pPr>
        <w:pStyle w:val="Heading2"/>
      </w:pPr>
      <w:r>
        <w:t xml:space="preserve">4.2 Limitations and Challenges</w:t>
      </w:r>
    </w:p>
    <w:p>
      <w:pPr>
        <w:pStyle w:val="FirstParagraph"/>
      </w:pPr>
      <w:r>
        <w:t xml:space="preserve">A key limitation is that the pipeline was tested step by step rather than as a fully integrated system. While detection, classification, and correction each worked well independently, cascading errors are inevitable once these steps are combined. As a result, the overall accuracy in end-to-end use will likely be lower than suggested by isolated evaluations. Nonetheless, any detected misinterpretation should alert authors that their interpretations, some possibly left unflagged, may require reconsideration.</w:t>
      </w:r>
    </w:p>
    <w:p>
      <w:pPr>
        <w:pStyle w:val="BodyText"/>
      </w:pPr>
      <w:r>
        <w:t xml:space="preserve">Similarly, the RegEx-based approach proved efficient but also exposed the fragility of rule-based methods when faced with variation in formatting. Cases such as</w:t>
      </w:r>
      <w:r>
        <w:t xml:space="preserve"> </w:t>
      </w:r>
      <w:r>
        <w:t xml:space="preserve">‘</w:t>
      </w:r>
      <w:r>
        <w:rPr>
          <w:i/>
          <w:iCs/>
        </w:rPr>
        <w:t xml:space="preserve">p</w:t>
      </w:r>
      <w:r>
        <w:t xml:space="preserve"> </w:t>
      </w:r>
      <w:r>
        <w:t xml:space="preserve">= n.s.’</w:t>
      </w:r>
      <w:r>
        <w:t xml:space="preserve"> </w:t>
      </w:r>
      <w:r>
        <w:t xml:space="preserve">or</w:t>
      </w:r>
      <w:r>
        <w:t xml:space="preserve"> </w:t>
      </w:r>
      <m:oMath>
        <m:sSub>
          <m:e>
            <m:r>
              <m:t>p</m:t>
            </m:r>
          </m:e>
          <m:sub>
            <m:r>
              <m:t>s</m:t>
            </m:r>
          </m:sub>
        </m:sSub>
      </m:oMath>
      <w:r>
        <w:t xml:space="preserve"> </w:t>
      </w:r>
      <w:r>
        <w:t xml:space="preserve">were frequently missed. These errors are relatively easy to address through refinements of the RegEx pattern but highlight that rule-based detection will always struggle with rare or novel notations.</w:t>
      </w:r>
    </w:p>
    <w:p>
      <w:pPr>
        <w:pStyle w:val="BodyText"/>
      </w:pPr>
      <w:r>
        <w:t xml:space="preserve">Moving on to classification, the step performed strongly overall, but the use of a single annotator introduces subjectivity into the training labels. While I made efforts to standardize labels – often consulting a statistics expert (my supervisor) on difficult or borderline cases – the classifications ultimately reflect my interpretation of what constitutes a misinterpretation. Ideally, multiple annotators and inter-rater agreement metrics would strengthen the reliability and generalizability of the training dataset. However, the fact that the fine-tuned BERT models generalized well to unseen data suggests that the labeling was systematic enough for the models to learn.</w:t>
      </w:r>
    </w:p>
    <w:p>
      <w:pPr>
        <w:pStyle w:val="BodyText"/>
      </w:pPr>
      <w:r>
        <w:t xml:space="preserve">The standard BERT model consistently outperformed the more domain-specific SciBERT and PubMedBERT models, suggesting that this specialization might be hindering in this context. This difference could also be explained by the size of the models’ training datasets: BERT was trained on 3.3 billion words</w:t>
      </w:r>
      <w:r>
        <w:t xml:space="preserve"> </w:t>
      </w:r>
      <w:r>
        <w:t xml:space="preserve">(</w:t>
      </w:r>
      <w:hyperlink w:anchor="ref-devlin_etal19">
        <w:r>
          <w:rPr>
            <w:rStyle w:val="Hyperlink"/>
          </w:rPr>
          <w:t xml:space="preserve">Devlin et al., 2019</w:t>
        </w:r>
      </w:hyperlink>
      <w:r>
        <w:t xml:space="preserve">)</w:t>
      </w:r>
      <w:r>
        <w:t xml:space="preserve">, whereas SciBERT and PubMedBERT were trained on 3.17 billion tokens</w:t>
      </w:r>
      <w:r>
        <w:t xml:space="preserve"> </w:t>
      </w:r>
      <w:r>
        <w:t xml:space="preserve">(words or word fragments;</w:t>
      </w:r>
      <w:r>
        <w:t xml:space="preserve"> </w:t>
      </w:r>
      <w:hyperlink w:anchor="ref-beltagy_etal19">
        <w:r>
          <w:rPr>
            <w:rStyle w:val="Hyperlink"/>
          </w:rPr>
          <w:t xml:space="preserve">Beltagy et al., 2019</w:t>
        </w:r>
      </w:hyperlink>
      <w:r>
        <w:t xml:space="preserve">)</w:t>
      </w:r>
      <w:r>
        <w:t xml:space="preserve"> </w:t>
      </w:r>
      <w:r>
        <w:t xml:space="preserve">and 3.1 billion words</w:t>
      </w:r>
      <w:r>
        <w:t xml:space="preserve"> </w:t>
      </w:r>
      <w:r>
        <w:t xml:space="preserve">(</w:t>
      </w:r>
      <w:hyperlink w:anchor="ref-gu_etal22">
        <w:r>
          <w:rPr>
            <w:rStyle w:val="Hyperlink"/>
          </w:rPr>
          <w:t xml:space="preserve">Gu et al., 2022</w:t>
        </w:r>
      </w:hyperlink>
      <w:r>
        <w:t xml:space="preserve">)</w:t>
      </w:r>
      <w:r>
        <w:t xml:space="preserve">, respectively. BERT may therefore have achieved slightly better results simply because its broader and larger training data allowed it to represent sentence structure more effectively. Of course, the difference could also stem from numerous other factors in the models’ training configurations. Future research should examine whether this performance gap persists across related tasks.</w:t>
      </w:r>
    </w:p>
    <w:p>
      <w:pPr>
        <w:pStyle w:val="BodyText"/>
      </w:pPr>
      <w:r>
        <w:t xml:space="preserve">Similarly, with respect to this study’s training data (articles from Psychological Science published between 2013 and 2024), the findings should not be overgeneralized. While the trained BERT classifiers will likely detect misinterpretations in articles from other journals and time periods as well, the training dataset would nonetheless benefit from being expanded and diversified to cover a broader range of psychological research.</w:t>
      </w:r>
    </w:p>
    <w:p>
      <w:pPr>
        <w:pStyle w:val="BodyText"/>
      </w:pPr>
      <w:r>
        <w:t xml:space="preserve">While the standard BERT model performed well overall, it still misclassified edge cases, particularly statements containing both correct and incorrect elements. For example,</w:t>
      </w:r>
      <w:r>
        <w:t xml:space="preserve"> </w:t>
      </w:r>
      <w:r>
        <w:t xml:space="preserve">‘the difference was not significant, suggesting there is no effect’</w:t>
      </w:r>
      <w:r>
        <w:t xml:space="preserve"> </w:t>
      </w:r>
      <w:r>
        <w:t xml:space="preserve">combines a factual result with a problematic inference. As can be seen in</w:t>
      </w:r>
      <w:r>
        <w:t xml:space="preserve"> </w:t>
      </w:r>
      <w:hyperlink w:anchor="tbl-false-classification">
        <w:r>
          <w:rPr>
            <w:rStyle w:val="Hyperlink"/>
          </w:rPr>
          <w:t xml:space="preserve">Table 2</w:t>
        </w:r>
      </w:hyperlink>
      <w:r>
        <w:t xml:space="preserve">, all three models often classified such statements wholly as correct. This might be due to the regularity of word choice across classes: correct statements almost always contained the word</w:t>
      </w:r>
      <w:r>
        <w:t xml:space="preserve"> </w:t>
      </w:r>
      <w:r>
        <w:t xml:space="preserve">‘significant(ly)’</w:t>
      </w:r>
      <w:r>
        <w:t xml:space="preserve">, whereas incorrect statements varied more in their phrasing (e.g.,</w:t>
      </w:r>
      <w:r>
        <w:t xml:space="preserve"> </w:t>
      </w:r>
      <w:r>
        <w:t xml:space="preserve">‘no effect/difference’</w:t>
      </w:r>
      <w:r>
        <w:t xml:space="preserve">,</w:t>
      </w:r>
      <w:r>
        <w:t xml:space="preserve"> </w:t>
      </w:r>
      <w:r>
        <w:t xml:space="preserve">‘groups were the same’</w:t>
      </w:r>
      <w:r>
        <w:t xml:space="preserve">,</w:t>
      </w:r>
      <w:r>
        <w:t xml:space="preserve"> </w:t>
      </w:r>
      <w:r>
        <w:t xml:space="preserve">‘X did not moderate’</w:t>
      </w:r>
      <w:r>
        <w:t xml:space="preserve">). Consequently, once a statement includes</w:t>
      </w:r>
      <w:r>
        <w:t xml:space="preserve"> </w:t>
      </w:r>
      <w:r>
        <w:t xml:space="preserve">‘significant’</w:t>
      </w:r>
      <w:r>
        <w:t xml:space="preserve">, the model is heavily nudged toward predicting it as correct, even if it also contains problematic elements. Similarly, if correct statements did not use the word</w:t>
      </w:r>
      <w:r>
        <w:t xml:space="preserve"> </w:t>
      </w:r>
      <w:r>
        <w:t xml:space="preserve">‘significant’</w:t>
      </w:r>
      <w:r>
        <w:t xml:space="preserve"> </w:t>
      </w:r>
      <w:r>
        <w:t xml:space="preserve">explicitly, models sometimes misclassified these as incorrect. These issues might be mitigated through more advanced control of the weights the models assign to specific characteristics of a statement. Nevertheless, this still illustrates the difficulty of reducing nuanced writing to a binary label. Splitting statements into parts or using non-binary classification approaches might therefore be useful.</w:t>
      </w:r>
    </w:p>
    <w:p>
      <w:pPr>
        <w:pStyle w:val="BodyText"/>
      </w:pPr>
      <w:r>
        <w:t xml:space="preserve">A more practical challenge involves managing models’ tradeoff between false positive and false negative predictions. The current models aim to balance both for optimal macro performance (as seen in the results, this was not perfectly possible). However, in practice, different use cases may prioritize one over the other. For example, an individual researcher using the system to improve their writing may prefer fewer false negatives (i.e., catching as many problematic statements as possible), even at the cost of some false positives. Conversely, a meta-scientist analyzing prevalence trends of this misinterpretation may prioritize precision to avoid overestimating misinterpretations. One way to address this is by allowing users to adjust the model’s decision threshold for predicting one label or the other. A future Papercheck module based on this work could incorporate such functionality to fit users’ specific goals.</w:t>
      </w:r>
    </w:p>
    <w:p>
      <w:pPr>
        <w:pStyle w:val="BodyText"/>
      </w:pPr>
      <w:r>
        <w:t xml:space="preserve">Lastly, the correction stage revealed both opportunities and challenges. LLMs were able to propose helpful revisions, but, as shown in</w:t>
      </w:r>
      <w:r>
        <w:t xml:space="preserve"> </w:t>
      </w:r>
      <w:hyperlink w:anchor="tbl-LLM-corrections-1">
        <w:r>
          <w:rPr>
            <w:rStyle w:val="Hyperlink"/>
          </w:rPr>
          <w:t xml:space="preserve">Table 3</w:t>
        </w:r>
      </w:hyperlink>
      <w:r>
        <w:t xml:space="preserve">, they also turned already-correct statements incorrect or produced overly generic revisions. Providing them with more context (e.g., the preceding and following sentences or the full paragraph), alongside continued prompt engineering, might improve their ability to generate accurate and nuanced corrections.</w:t>
      </w:r>
    </w:p>
    <w:p>
      <w:pPr>
        <w:pStyle w:val="BodyText"/>
      </w:pPr>
      <w:r>
        <w:t xml:space="preserve">However, there is also the flip side to the aforementioned human factors perspective: should authors rely on AI-generated corrections at all? Unlike grammar mistakes that word processors automatically fix for us, misinterpretations of statistical results often stem from deeper conceptual misunderstandings. Automated corrections might inadvertently encourage passivity, shifting responsibility away from researchers’ own critical engagement. In this sense, corrections should, if included at all, be seen as optional guidance, not authoritative replacements for careful reasoning. A promising alternative to LLM-corrections could be to generate context-specific explanations of why a given statement is incorrect instead.</w:t>
      </w:r>
    </w:p>
    <w:bookmarkEnd w:id="62"/>
    <w:bookmarkStart w:id="63" w:name="implications-and-future-directions"/>
    <w:p>
      <w:pPr>
        <w:pStyle w:val="Heading2"/>
      </w:pPr>
      <w:r>
        <w:t xml:space="preserve">4.3 Implications and Future Directions</w:t>
      </w:r>
    </w:p>
    <w:p>
      <w:pPr>
        <w:pStyle w:val="FirstParagraph"/>
      </w:pPr>
      <w:r>
        <w:t xml:space="preserve">The pipeline described in this study will be integrated into a new Papercheck module for identifying potential misinterpretations of nonsignificant results. Some clear aspects to improve have been detected in this study: Firstly, the current RegEx searches of Papercheck’s</w:t>
      </w:r>
      <w:r>
        <w:t xml:space="preserve"> </w:t>
      </w:r>
      <w:r>
        <w:t xml:space="preserve">‘all_p_values’</w:t>
      </w:r>
      <w:r>
        <w:t xml:space="preserve"> </w:t>
      </w:r>
      <w:r>
        <w:t xml:space="preserve">module might not be optimized to detect all different ways in which a</w:t>
      </w:r>
      <w:r>
        <w:t xml:space="preserve"> </w:t>
      </w:r>
      <w:r>
        <w:rPr>
          <w:i/>
          <w:iCs/>
        </w:rPr>
        <w:t xml:space="preserve">p</w:t>
      </w:r>
      <w:r>
        <w:t xml:space="preserve"> </w:t>
      </w:r>
      <w:r>
        <w:t xml:space="preserve">values can be written. For example, the previously mentioned</w:t>
      </w:r>
      <w:r>
        <w:t xml:space="preserve"> </w:t>
      </w:r>
      <m:oMath>
        <m:sSub>
          <m:e>
            <m:r>
              <m:t>p</m:t>
            </m:r>
          </m:e>
          <m:sub>
            <m:r>
              <m:t>s</m:t>
            </m:r>
          </m:sub>
        </m:sSub>
      </m:oMath>
      <w:r>
        <w:t xml:space="preserve"> </w:t>
      </w:r>
      <w:r>
        <w:t xml:space="preserve">is often used to refer to the smallest</w:t>
      </w:r>
      <w:r>
        <w:t xml:space="preserve"> </w:t>
      </w:r>
      <w:r>
        <w:rPr>
          <w:i/>
          <w:iCs/>
        </w:rPr>
        <w:t xml:space="preserve">p</w:t>
      </w:r>
      <w:r>
        <w:t xml:space="preserve"> </w:t>
      </w:r>
      <w:r>
        <w:t xml:space="preserve">value in some collection of tests. This is an example of usually irrelevant RegEx’s that I will add to improve this automatic detection of candidate statements. Additionally, the dataset used to train the BERT models will also be expanded and re-checked by independent coders to ensure that the aspects the models do pick up are generalizable. Lastly, errors from the LLM-revised corrections will be closely analyzed to inform further prompt engineering and ultimately minimize mistakes.</w:t>
      </w:r>
    </w:p>
    <w:p>
      <w:pPr>
        <w:pStyle w:val="BodyText"/>
      </w:pPr>
      <w:r>
        <w:t xml:space="preserve">A broader implication concerns how nonsignificant results should be reported in general. These interpretations are not free-form expressions that authors can adapt to suit their way of writing but rather formalized claims where certain phrasings are demonstrably misleading. Automated systems can support a shift toward clearer and more standardized reporting practices, but ultimately, researchers must recognize their own responsibility in this regard.</w:t>
      </w:r>
    </w:p>
    <w:p>
      <w:pPr>
        <w:pStyle w:val="BodyText"/>
      </w:pPr>
      <w:r>
        <w:t xml:space="preserve">This issue is closely connected to the larger question of why such misinterpretations remain highly prevalent despite decades of critique, a phenomenon likely driven by multiple factors. Educational gaps leave many students and researchers uncertain about how to interpret</w:t>
      </w:r>
      <w:r>
        <w:t xml:space="preserve"> </w:t>
      </w:r>
      <w:r>
        <w:rPr>
          <w:i/>
          <w:iCs/>
        </w:rPr>
        <w:t xml:space="preserve">p</w:t>
      </w:r>
      <w:r>
        <w:t xml:space="preserve"> </w:t>
      </w:r>
      <w:r>
        <w:t xml:space="preserve">values correctly, as instructors may share the same misconceptions</w:t>
      </w:r>
      <w:r>
        <w:t xml:space="preserve"> </w:t>
      </w:r>
      <w:r>
        <w:t xml:space="preserve">(</w:t>
      </w:r>
      <w:hyperlink w:anchor="ref-haller_krauss02">
        <w:r>
          <w:rPr>
            <w:rStyle w:val="Hyperlink"/>
          </w:rPr>
          <w:t xml:space="preserve">Haller &amp; Krauss, 2002</w:t>
        </w:r>
      </w:hyperlink>
      <w:r>
        <w:t xml:space="preserve">)</w:t>
      </w:r>
      <w:r>
        <w:t xml:space="preserve"> </w:t>
      </w:r>
      <w:r>
        <w:t xml:space="preserve">or textbooks may themselves misrepresent key statistical concepts</w:t>
      </w:r>
      <w:r>
        <w:t xml:space="preserve"> </w:t>
      </w:r>
      <w:r>
        <w:t xml:space="preserve">(</w:t>
      </w:r>
      <w:hyperlink w:anchor="ref-cassidy_etal19">
        <w:r>
          <w:rPr>
            <w:rStyle w:val="Hyperlink"/>
          </w:rPr>
          <w:t xml:space="preserve">Cassidy et al., 2019</w:t>
        </w:r>
      </w:hyperlink>
      <w:r>
        <w:t xml:space="preserve">)</w:t>
      </w:r>
      <w:r>
        <w:t xml:space="preserve">. Similarly, researchers might have different philosophies of science and might disagree about how to interpret key statistics like the</w:t>
      </w:r>
      <w:r>
        <w:t xml:space="preserve"> </w:t>
      </w:r>
      <w:r>
        <w:rPr>
          <w:i/>
          <w:iCs/>
        </w:rPr>
        <w:t xml:space="preserve">p</w:t>
      </w:r>
      <w:r>
        <w:t xml:space="preserve"> </w:t>
      </w:r>
      <w:r>
        <w:t xml:space="preserve">value</w:t>
      </w:r>
      <w:r>
        <w:t xml:space="preserve"> </w:t>
      </w:r>
      <w:r>
        <w:t xml:space="preserve">(</w:t>
      </w:r>
      <w:hyperlink w:anchor="ref-lakens21">
        <w:r>
          <w:rPr>
            <w:rStyle w:val="Hyperlink"/>
          </w:rPr>
          <w:t xml:space="preserve">Lakens, 2021</w:t>
        </w:r>
      </w:hyperlink>
      <w:r>
        <w:t xml:space="preserve">)</w:t>
      </w:r>
      <w:r>
        <w:t xml:space="preserve">. Finally, the widespread prevalence of misinterpretations itself might create a self-reinforcing cycle, with researchers adopting the language they encounter in published articles and thereby perpetuating the problem. Automated feedback systems cannot resolve these deeper causes, but they may, for now, assist individual authors by highlighting such mistakes in their own work.</w:t>
      </w:r>
    </w:p>
    <w:p>
      <w:pPr>
        <w:pStyle w:val="BodyText"/>
      </w:pPr>
      <w:r>
        <w:t xml:space="preserve">Additionally, the pipeline’s stepwise structure makes it easy to adapt to other classification or correction tasks than the one presented in this study. For instance, users could train custom classifiers to detect different issues in reporting practices</w:t>
      </w:r>
      <w:r>
        <w:t xml:space="preserve"> </w:t>
      </w:r>
      <w:r>
        <w:t xml:space="preserve">(see</w:t>
      </w:r>
      <w:r>
        <w:t xml:space="preserve"> </w:t>
      </w:r>
      <w:hyperlink w:anchor="ref-vanabkoude25">
        <w:r>
          <w:rPr>
            <w:rStyle w:val="Hyperlink"/>
          </w:rPr>
          <w:t xml:space="preserve">van Abkoude, 2025</w:t>
        </w:r>
      </w:hyperlink>
      <w:r>
        <w:t xml:space="preserve"> </w:t>
      </w:r>
      <w:r>
        <w:t xml:space="preserve">for an application to problematic causal language)</w:t>
      </w:r>
      <w:r>
        <w:t xml:space="preserve">. In practice, this would involve specifying RegEx patterns that capture the target aspects, training classifiers to label them as correct or incorrect, and, if desired, creating a prompt to generate corrections. Depending on the issue at hand, such classifiers could also be trained on existing hand-labeled datasets from meta-scientific studies</w:t>
      </w:r>
      <w:r>
        <w:t xml:space="preserve"> </w:t>
      </w:r>
      <w:r>
        <w:t xml:space="preserve">(e.g.,</w:t>
      </w:r>
      <w:r>
        <w:t xml:space="preserve"> </w:t>
      </w:r>
      <w:hyperlink w:anchor="ref-aczel_etal18">
        <w:r>
          <w:rPr>
            <w:rStyle w:val="Hyperlink"/>
          </w:rPr>
          <w:t xml:space="preserve">Aczel et al., 2018</w:t>
        </w:r>
      </w:hyperlink>
      <w:r>
        <w:t xml:space="preserve">)</w:t>
      </w:r>
      <w:r>
        <w:t xml:space="preserve">.</w:t>
      </w:r>
    </w:p>
    <w:p>
      <w:pPr>
        <w:pStyle w:val="BodyText"/>
      </w:pPr>
      <w:r>
        <w:t xml:space="preserve">At the same time, tools like this pipeline may also be valuable for meta-scientific research itself. Large-scale analyses of published literature could use automated detection and classification to quantify the prevalence of specific misinterpretations across journals, fields, or time periods. This could substantially reduce the workload for meta-scientists, who otherwise manually code such statements, making their work faster and less error-prone. Such applications could also help identify systematic reporting problems, evaluate the impact of educational or policy interventions, and inform evidence-based recommendations for improving statistical reporting practices.</w:t>
      </w:r>
    </w:p>
    <w:p>
      <w:pPr>
        <w:pStyle w:val="BodyText"/>
      </w:pPr>
      <w:r>
        <w:t xml:space="preserve">Finally, the most important next step for this project is to conduct qualitative user studies to explore how authors would prefer a tool like this to be designed and implemented. A central question will again concern the role of the optional correction feature: do authors find value in receiving suggested corrections, or may simple flagging incorrect statements be sufficient? These studies could also reveal where customization is most useful (e.g., varying levels of strictness, setting a personal alpha level instead of the conventional 5%, etc.). In addition, experimental evaluations would help assess whether the tool reduces the prevalence of misinterpretations and increases authors’ awareness of them.</w:t>
      </w:r>
    </w:p>
    <w:bookmarkEnd w:id="63"/>
    <w:bookmarkEnd w:id="64"/>
    <w:bookmarkStart w:id="65" w:name="conclusion"/>
    <w:p>
      <w:pPr>
        <w:pStyle w:val="Heading1"/>
      </w:pPr>
      <w:r>
        <w:t xml:space="preserve">5 Conclusion</w:t>
      </w:r>
    </w:p>
    <w:p>
      <w:pPr>
        <w:pStyle w:val="FirstParagraph"/>
      </w:pPr>
      <w:r>
        <w:t xml:space="preserve">This study demonstrates that a hybrid rule-based and NLP-driven pipeline can effectively detect, classify, and correct the common statistical misinterpretation that nonsignificant results are evidence for the absence of an effect. Each of these steps performed well independently. The next step is to evaluate the pipeline as a fully automated system in real-world use cases and conduct qualitative user studies to inform the tool’s implementation. With further refinement, automated manuscript checks like the one presented in this article could substantially improve the accuracy of statistical reporting, while also providing a valuable resource for large-scale meta-scientific analyses.</w:t>
      </w:r>
    </w:p>
    <w:bookmarkEnd w:id="65"/>
    <w:bookmarkStart w:id="66" w:name="achknowledgement"/>
    <w:p>
      <w:pPr>
        <w:pStyle w:val="Heading1"/>
      </w:pPr>
      <w:r>
        <w:t xml:space="preserve">Achknowledgement</w:t>
      </w:r>
    </w:p>
    <w:p>
      <w:pPr>
        <w:pStyle w:val="FirstParagraph"/>
      </w:pPr>
      <w:r>
        <w:t xml:space="preserve">I want to thank Dr. Daniël Lakens for his constant support throughout this thesis and for a wonderful research stay that allowed me to work on it in person. I thank Solveig Steland for her unwavering support, for encouraging me when I felt discouraged, and for very insightful discussions on whether and how we (should and) should not use AI. I also thank Prof. Dr. Maike Luhmann for allowing me to pursue a meta-scientific project that is so close to my heart, even though it falls somewhat outside her area of expertise. Finally, I thank Christian Sodano for helpful discussions about machine learning and BERT models, which helped to ensure that my model training did not turn into</w:t>
      </w:r>
      <w:r>
        <w:t xml:space="preserve"> </w:t>
      </w:r>
      <w:r>
        <w:t xml:space="preserve">‘algorithmic</w:t>
      </w:r>
      <w:r>
        <w:t xml:space="preserve"> </w:t>
      </w:r>
      <w:r>
        <w:rPr>
          <w:i/>
          <w:iCs/>
        </w:rPr>
        <w:t xml:space="preserve">p</w:t>
      </w:r>
      <w:r>
        <w:t xml:space="preserve">-hacking’</w:t>
      </w:r>
      <w:r>
        <w:t xml:space="preserve">.</w:t>
      </w:r>
    </w:p>
    <w:bookmarkEnd w:id="66"/>
    <w:bookmarkStart w:id="138" w:name="references"/>
    <w:p>
      <w:pPr>
        <w:pStyle w:val="Heading1"/>
      </w:pPr>
      <w:r>
        <w:t xml:space="preserve">References</w:t>
      </w:r>
    </w:p>
    <w:bookmarkStart w:id="137" w:name="refs"/>
    <w:bookmarkStart w:id="68"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7">
        <w:r>
          <w:rPr>
            <w:rStyle w:val="Hyperlink"/>
          </w:rPr>
          <w:t xml:space="preserve">https://doi.org/10.1177/2515245918773742</w:t>
        </w:r>
      </w:hyperlink>
    </w:p>
    <w:bookmarkEnd w:id="68"/>
    <w:bookmarkStart w:id="70" w:name="ref-altman_bland95"/>
    <w:p>
      <w:pPr>
        <w:pStyle w:val="Bibliography"/>
      </w:pPr>
      <w:r>
        <w:t xml:space="preserve">Altman, D. G., &amp; Bland, J. M. (1995). Statistics notes:</w:t>
      </w:r>
      <w:r>
        <w:t xml:space="preserve"> </w:t>
      </w:r>
      <w:r>
        <w:t xml:space="preserve">Absence</w:t>
      </w:r>
      <w:r>
        <w:t xml:space="preserve"> </w:t>
      </w:r>
      <w:r>
        <w:t xml:space="preserve">of evidence is not evidence of absence.</w:t>
      </w:r>
      <w:r>
        <w:t xml:space="preserve"> </w:t>
      </w:r>
      <w:r>
        <w:rPr>
          <w:i/>
          <w:iCs/>
        </w:rPr>
        <w:t xml:space="preserve">BMJ</w:t>
      </w:r>
      <w:r>
        <w:t xml:space="preserve">,</w:t>
      </w:r>
      <w:r>
        <w:t xml:space="preserve"> </w:t>
      </w:r>
      <w:r>
        <w:rPr>
          <w:i/>
          <w:iCs/>
        </w:rPr>
        <w:t xml:space="preserve">311</w:t>
      </w:r>
      <w:r>
        <w:t xml:space="preserve">(7003), 485–485.</w:t>
      </w:r>
      <w:r>
        <w:t xml:space="preserve"> </w:t>
      </w:r>
      <w:hyperlink r:id="rId69">
        <w:r>
          <w:rPr>
            <w:rStyle w:val="Hyperlink"/>
          </w:rPr>
          <w:t xml:space="preserve">https://doi.org/10.1136/bmj.311.7003.485</w:t>
        </w:r>
      </w:hyperlink>
    </w:p>
    <w:bookmarkEnd w:id="70"/>
    <w:bookmarkStart w:id="72"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71">
        <w:r>
          <w:rPr>
            <w:rStyle w:val="Hyperlink"/>
          </w:rPr>
          <w:t xml:space="preserve">https://doi.org/10.1038/d41586-019-00857-9</w:t>
        </w:r>
      </w:hyperlink>
    </w:p>
    <w:bookmarkEnd w:id="72"/>
    <w:bookmarkStart w:id="74"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 </w:t>
      </w:r>
      <w:r>
        <w:t xml:space="preserve">[Manual].</w:t>
      </w:r>
      <w:r>
        <w:t xml:space="preserve"> </w:t>
      </w:r>
      <w:hyperlink r:id="rId73">
        <w:r>
          <w:rPr>
            <w:rStyle w:val="Hyperlink"/>
          </w:rPr>
          <w:t xml:space="preserve">https://doi.org/10.32614/CRAN.package.papaja</w:t>
        </w:r>
      </w:hyperlink>
    </w:p>
    <w:bookmarkEnd w:id="74"/>
    <w:bookmarkStart w:id="76" w:name="ref-badenes-ribera_etal16"/>
    <w:p>
      <w:pPr>
        <w:pStyle w:val="Bibliography"/>
      </w:pPr>
      <w:r>
        <w:t xml:space="preserve">Badenes-Ribera, L., Frias-Navarro, D., Iotti, B., Bonilla-Campos, A., &amp; Longobardi, C. (2016). Misconceptions of the p-value among</w:t>
      </w:r>
      <w:r>
        <w:t xml:space="preserve"> </w:t>
      </w:r>
      <w:r>
        <w:t xml:space="preserve">Chilean</w:t>
      </w:r>
      <w:r>
        <w:t xml:space="preserve"> </w:t>
      </w:r>
      <w:r>
        <w:t xml:space="preserve">and</w:t>
      </w:r>
      <w:r>
        <w:t xml:space="preserve"> </w:t>
      </w:r>
      <w:r>
        <w:t xml:space="preserve">Italian Academic Psychologists</w:t>
      </w:r>
      <w:r>
        <w:t xml:space="preserve">.</w:t>
      </w:r>
      <w:r>
        <w:t xml:space="preserve"> </w:t>
      </w:r>
      <w:r>
        <w:rPr>
          <w:i/>
          <w:iCs/>
        </w:rPr>
        <w:t xml:space="preserve">Frontiers in Psychology</w:t>
      </w:r>
      <w:r>
        <w:t xml:space="preserve">,</w:t>
      </w:r>
      <w:r>
        <w:t xml:space="preserve"> </w:t>
      </w:r>
      <w:r>
        <w:rPr>
          <w:i/>
          <w:iCs/>
        </w:rPr>
        <w:t xml:space="preserve">7</w:t>
      </w:r>
      <w:r>
        <w:t xml:space="preserve">.</w:t>
      </w:r>
      <w:r>
        <w:t xml:space="preserve"> </w:t>
      </w:r>
      <w:hyperlink r:id="rId75">
        <w:r>
          <w:rPr>
            <w:rStyle w:val="Hyperlink"/>
          </w:rPr>
          <w:t xml:space="preserve">https://doi.org/10.3389/fpsyg.2016.01247</w:t>
        </w:r>
      </w:hyperlink>
    </w:p>
    <w:bookmarkEnd w:id="76"/>
    <w:bookmarkStart w:id="78"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77">
        <w:r>
          <w:rPr>
            <w:rStyle w:val="Hyperlink"/>
          </w:rPr>
          <w:t xml:space="preserve">https://doi.org/10.48550/ARXIV.1903.10676</w:t>
        </w:r>
      </w:hyperlink>
    </w:p>
    <w:bookmarkEnd w:id="78"/>
    <w:bookmarkStart w:id="80" w:name="ref-cassidy_etal19"/>
    <w:p>
      <w:pPr>
        <w:pStyle w:val="Bibliography"/>
      </w:pPr>
      <w:r>
        <w:t xml:space="preserve">Cassidy, S. A., Dimova, R., Giguère, B., Spence, J. R., &amp; Stanley, D. J. (2019). Failing</w:t>
      </w:r>
      <w:r>
        <w:t xml:space="preserve"> </w:t>
      </w:r>
      <w:r>
        <w:t xml:space="preserve">Grade</w:t>
      </w:r>
      <w:r>
        <w:t xml:space="preserve">: 89% of</w:t>
      </w:r>
      <w:r>
        <w:t xml:space="preserve"> </w:t>
      </w:r>
      <w:r>
        <w:t xml:space="preserve">Introduction-to-Psychology Textbooks That Define</w:t>
      </w:r>
      <w:r>
        <w:t xml:space="preserve"> </w:t>
      </w:r>
      <w:r>
        <w:t xml:space="preserve">or</w:t>
      </w:r>
      <w:r>
        <w:t xml:space="preserve"> </w:t>
      </w:r>
      <w:r>
        <w:t xml:space="preserve">Explain Statistical Significance Do So Incorrectly</w:t>
      </w:r>
      <w:r>
        <w:t xml:space="preserve">.</w:t>
      </w:r>
      <w:r>
        <w:t xml:space="preserve"> </w:t>
      </w:r>
      <w:r>
        <w:rPr>
          <w:i/>
          <w:iCs/>
        </w:rPr>
        <w:t xml:space="preserve">Advances in Methods and Practices in Psychological Science</w:t>
      </w:r>
      <w:r>
        <w:t xml:space="preserve">,</w:t>
      </w:r>
      <w:r>
        <w:t xml:space="preserve"> </w:t>
      </w:r>
      <w:r>
        <w:rPr>
          <w:i/>
          <w:iCs/>
        </w:rPr>
        <w:t xml:space="preserve">2</w:t>
      </w:r>
      <w:r>
        <w:t xml:space="preserve">(3), 233–239.</w:t>
      </w:r>
      <w:r>
        <w:t xml:space="preserve"> </w:t>
      </w:r>
      <w:hyperlink r:id="rId79">
        <w:r>
          <w:rPr>
            <w:rStyle w:val="Hyperlink"/>
          </w:rPr>
          <w:t xml:space="preserve">https://doi.org/10.1177/2515245919858072</w:t>
        </w:r>
      </w:hyperlink>
    </w:p>
    <w:bookmarkEnd w:id="80"/>
    <w:bookmarkStart w:id="81" w:name="ref-cummin_hussey25"/>
    <w:p>
      <w:pPr>
        <w:pStyle w:val="Bibliography"/>
      </w:pPr>
      <w:r>
        <w:t xml:space="preserve">Cummin, J., &amp; Hussey, I. (2025).</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81"/>
    <w:bookmarkStart w:id="82" w:name="ref-R-papercheck"/>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w:t>
      </w:r>
      <w:r>
        <w:t xml:space="preserve">[Manual].</w:t>
      </w:r>
    </w:p>
    <w:bookmarkEnd w:id="82"/>
    <w:bookmarkStart w:id="84"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83">
        <w:r>
          <w:rPr>
            <w:rStyle w:val="Hyperlink"/>
          </w:rPr>
          <w:t xml:space="preserve">https://doi.org/10.18653/v1/N19-1423</w:t>
        </w:r>
      </w:hyperlink>
    </w:p>
    <w:bookmarkEnd w:id="84"/>
    <w:bookmarkStart w:id="86" w:name="ref-dienes14"/>
    <w:p>
      <w:pPr>
        <w:pStyle w:val="Bibliography"/>
      </w:pPr>
      <w:r>
        <w:t xml:space="preserve">Dienes, Z. (2014). Using</w:t>
      </w:r>
      <w:r>
        <w:t xml:space="preserve"> </w:t>
      </w:r>
      <w:r>
        <w:t xml:space="preserve">Bayes</w:t>
      </w:r>
      <w:r>
        <w:t xml:space="preserve"> </w:t>
      </w:r>
      <w:r>
        <w:t xml:space="preserve">to get the most out of non-significant results.</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85">
        <w:r>
          <w:rPr>
            <w:rStyle w:val="Hyperlink"/>
          </w:rPr>
          <w:t xml:space="preserve">https://doi.org/10.3389/fpsyg.2014.00781</w:t>
        </w:r>
      </w:hyperlink>
    </w:p>
    <w:bookmarkEnd w:id="86"/>
    <w:bookmarkStart w:id="88"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87">
        <w:r>
          <w:rPr>
            <w:rStyle w:val="Hyperlink"/>
          </w:rPr>
          <w:t xml:space="preserve">https://doi.org/10.1037/h0044139</w:t>
        </w:r>
      </w:hyperlink>
    </w:p>
    <w:bookmarkEnd w:id="88"/>
    <w:bookmarkStart w:id="90" w:name="ref-gelman_stern06"/>
    <w:p>
      <w:pPr>
        <w:pStyle w:val="Bibliography"/>
      </w:pPr>
      <w:r>
        <w:t xml:space="preserve">Gelman, A., &amp; Stern, H. (2006). The</w:t>
      </w:r>
      <w:r>
        <w:t xml:space="preserve"> </w:t>
      </w:r>
      <w:r>
        <w:t xml:space="preserve">Difference Between</w:t>
      </w:r>
      <w:r>
        <w:t xml:space="preserve"> </w:t>
      </w:r>
      <w:r>
        <w:t xml:space="preserve">“</w:t>
      </w:r>
      <w:r>
        <w:t xml:space="preserve">Significant</w:t>
      </w:r>
      <w:r>
        <w:t xml:space="preserve">”</w:t>
      </w:r>
      <w:r>
        <w:t xml:space="preserve"> </w:t>
      </w:r>
      <w:r>
        <w:t xml:space="preserve">and</w:t>
      </w:r>
      <w:r>
        <w:t xml:space="preserve"> </w:t>
      </w:r>
      <w:r>
        <w:t xml:space="preserve">“</w:t>
      </w:r>
      <w:r>
        <w:t xml:space="preserve">Not Significant</w:t>
      </w:r>
      <w:r>
        <w:t xml:space="preserve">”</w:t>
      </w:r>
      <w:r>
        <w:t xml:space="preserve"> </w:t>
      </w:r>
      <w:r>
        <w:t xml:space="preserve">is not</w:t>
      </w:r>
      <w:r>
        <w:t xml:space="preserve"> </w:t>
      </w:r>
      <w:r>
        <w:t xml:space="preserve">Itself Statistically Significant</w:t>
      </w:r>
      <w:r>
        <w:t xml:space="preserve">.</w:t>
      </w:r>
      <w:r>
        <w:t xml:space="preserve"> </w:t>
      </w:r>
      <w:r>
        <w:rPr>
          <w:i/>
          <w:iCs/>
        </w:rPr>
        <w:t xml:space="preserve">The American Statistician</w:t>
      </w:r>
      <w:r>
        <w:t xml:space="preserve">,</w:t>
      </w:r>
      <w:r>
        <w:t xml:space="preserve"> </w:t>
      </w:r>
      <w:r>
        <w:rPr>
          <w:i/>
          <w:iCs/>
        </w:rPr>
        <w:t xml:space="preserve">60</w:t>
      </w:r>
      <w:r>
        <w:t xml:space="preserve">(4), 328–331.</w:t>
      </w:r>
      <w:r>
        <w:t xml:space="preserve"> </w:t>
      </w:r>
      <w:hyperlink r:id="rId89">
        <w:r>
          <w:rPr>
            <w:rStyle w:val="Hyperlink"/>
          </w:rPr>
          <w:t xml:space="preserve">https://doi.org/10.1198/000313006X152649</w:t>
        </w:r>
      </w:hyperlink>
    </w:p>
    <w:bookmarkEnd w:id="90"/>
    <w:bookmarkStart w:id="92" w:name="ref-R-flextable"/>
    <w:p>
      <w:pPr>
        <w:pStyle w:val="Bibliography"/>
      </w:pPr>
      <w:r>
        <w:t xml:space="preserve">Gohel, D., &amp; Skintzos, P. (2025).</w:t>
      </w:r>
      <w:r>
        <w:t xml:space="preserve"> </w:t>
      </w:r>
      <w:r>
        <w:rPr>
          <w:i/>
          <w:iCs/>
        </w:rPr>
        <w:t xml:space="preserve">Flextable:</w:t>
      </w:r>
      <w:r>
        <w:rPr>
          <w:i/>
          <w:iCs/>
        </w:rPr>
        <w:t xml:space="preserve"> </w:t>
      </w:r>
      <w:r>
        <w:rPr>
          <w:i/>
          <w:iCs/>
        </w:rPr>
        <w:t xml:space="preserve">Functions</w:t>
      </w:r>
      <w:r>
        <w:rPr>
          <w:i/>
          <w:iCs/>
        </w:rPr>
        <w:t xml:space="preserve"> </w:t>
      </w:r>
      <w:r>
        <w:rPr>
          <w:i/>
          <w:iCs/>
        </w:rPr>
        <w:t xml:space="preserve">for tabular reporting</w:t>
      </w:r>
      <w:r>
        <w:t xml:space="preserve"> </w:t>
      </w:r>
      <w:r>
        <w:t xml:space="preserve">[Manual].</w:t>
      </w:r>
      <w:r>
        <w:t xml:space="preserve"> </w:t>
      </w:r>
      <w:hyperlink r:id="rId91">
        <w:r>
          <w:rPr>
            <w:rStyle w:val="Hyperlink"/>
          </w:rPr>
          <w:t xml:space="preserve">https://doi.org/10.32614/CRAN.package.flextable</w:t>
        </w:r>
      </w:hyperlink>
    </w:p>
    <w:bookmarkEnd w:id="92"/>
    <w:bookmarkStart w:id="94"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93">
        <w:r>
          <w:rPr>
            <w:rStyle w:val="Hyperlink"/>
          </w:rPr>
          <w:t xml:space="preserve">https://doi.org/10.1053/j.seminhematol.2008.04.003</w:t>
        </w:r>
      </w:hyperlink>
    </w:p>
    <w:bookmarkEnd w:id="94"/>
    <w:bookmarkStart w:id="96" w:name="ref-greenland19"/>
    <w:p>
      <w:pPr>
        <w:pStyle w:val="Bibliography"/>
      </w:pPr>
      <w:r>
        <w:t xml:space="preserve">Greenland, S. (2019). Valid</w:t>
      </w:r>
      <w:r>
        <w:t xml:space="preserve"> </w:t>
      </w:r>
      <w:r>
        <w:rPr>
          <w:i/>
          <w:iCs/>
        </w:rPr>
        <w:t xml:space="preserve">P</w:t>
      </w:r>
      <w:r>
        <w:t xml:space="preserve"> </w:t>
      </w:r>
      <w:r>
        <w:t xml:space="preserve">-</w:t>
      </w:r>
      <w:r>
        <w:t xml:space="preserve">Values Behave Exactly</w:t>
      </w:r>
      <w:r>
        <w:t xml:space="preserve"> </w:t>
      </w:r>
      <w:r>
        <w:t xml:space="preserve">as</w:t>
      </w:r>
      <w:r>
        <w:t xml:space="preserve"> </w:t>
      </w:r>
      <w:r>
        <w:t xml:space="preserve">They Should</w:t>
      </w:r>
      <w:r>
        <w:t xml:space="preserve">:</w:t>
      </w:r>
      <w:r>
        <w:t xml:space="preserve"> </w:t>
      </w:r>
      <w:r>
        <w:t xml:space="preserve">Some Misleading Criticisms</w:t>
      </w:r>
      <w:r>
        <w:t xml:space="preserve"> </w:t>
      </w:r>
      <w:r>
        <w:t xml:space="preserve">of</w:t>
      </w:r>
      <w:r>
        <w:t xml:space="preserve"> </w:t>
      </w:r>
      <w:r>
        <w:rPr>
          <w:i/>
          <w:iCs/>
        </w:rPr>
        <w:t xml:space="preserve">P</w:t>
      </w:r>
      <w:r>
        <w:t xml:space="preserve"> </w:t>
      </w:r>
      <w:r>
        <w:t xml:space="preserve">-</w:t>
      </w:r>
      <w:r>
        <w:t xml:space="preserve">Values</w:t>
      </w:r>
      <w:r>
        <w:t xml:space="preserve"> </w:t>
      </w:r>
      <w:r>
        <w:t xml:space="preserve">and</w:t>
      </w:r>
      <w:r>
        <w:t xml:space="preserve"> </w:t>
      </w:r>
      <w:r>
        <w:t xml:space="preserve">Their Resolution With</w:t>
      </w:r>
      <w:r>
        <w:t xml:space="preserve"> </w:t>
      </w:r>
      <w:r>
        <w:rPr>
          <w:i/>
          <w:iCs/>
        </w:rPr>
        <w:t xml:space="preserve">S</w:t>
      </w:r>
      <w:r>
        <w:t xml:space="preserve"> </w:t>
      </w:r>
      <w:r>
        <w:t xml:space="preserve">-</w:t>
      </w:r>
      <w:r>
        <w:t xml:space="preserve">Values</w:t>
      </w:r>
      <w:r>
        <w:t xml:space="preserve">.</w:t>
      </w:r>
      <w:r>
        <w:t xml:space="preserve"> </w:t>
      </w:r>
      <w:r>
        <w:rPr>
          <w:i/>
          <w:iCs/>
        </w:rPr>
        <w:t xml:space="preserve">The American Statistician</w:t>
      </w:r>
      <w:r>
        <w:t xml:space="preserve">,</w:t>
      </w:r>
      <w:r>
        <w:t xml:space="preserve"> </w:t>
      </w:r>
      <w:r>
        <w:rPr>
          <w:i/>
          <w:iCs/>
        </w:rPr>
        <w:t xml:space="preserve">73</w:t>
      </w:r>
      <w:r>
        <w:t xml:space="preserve">(sup1), 106–114.</w:t>
      </w:r>
      <w:r>
        <w:t xml:space="preserve"> </w:t>
      </w:r>
      <w:hyperlink r:id="rId95">
        <w:r>
          <w:rPr>
            <w:rStyle w:val="Hyperlink"/>
          </w:rPr>
          <w:t xml:space="preserve">https://doi.org/10.1080/00031305.2018.1529625</w:t>
        </w:r>
      </w:hyperlink>
    </w:p>
    <w:bookmarkEnd w:id="96"/>
    <w:bookmarkStart w:id="98"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97">
        <w:r>
          <w:rPr>
            <w:rStyle w:val="Hyperlink"/>
          </w:rPr>
          <w:t xml:space="preserve">https://doi.org/10.1007/s10654-016-0149-3</w:t>
        </w:r>
      </w:hyperlink>
    </w:p>
    <w:bookmarkEnd w:id="98"/>
    <w:bookmarkStart w:id="100"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99">
        <w:r>
          <w:rPr>
            <w:rStyle w:val="Hyperlink"/>
          </w:rPr>
          <w:t xml:space="preserve">https://doi.org/10.1145/3458754</w:t>
        </w:r>
      </w:hyperlink>
    </w:p>
    <w:bookmarkEnd w:id="100"/>
    <w:bookmarkStart w:id="102" w:name="ref-haller_krauss02"/>
    <w:p>
      <w:pPr>
        <w:pStyle w:val="Bibliography"/>
      </w:pPr>
      <w:r>
        <w:t xml:space="preserve">Haller, H., &amp; Krauss, S. (2002).</w:t>
      </w:r>
      <w:r>
        <w:t xml:space="preserve"> </w:t>
      </w:r>
      <w:r>
        <w:rPr>
          <w:i/>
          <w:iCs/>
        </w:rPr>
        <w:t xml:space="preserve">Misinterpretations of</w:t>
      </w:r>
      <w:r>
        <w:rPr>
          <w:i/>
          <w:iCs/>
        </w:rPr>
        <w:t xml:space="preserve"> </w:t>
      </w:r>
      <w:r>
        <w:rPr>
          <w:i/>
          <w:iCs/>
        </w:rPr>
        <w:t xml:space="preserve">Significance</w:t>
      </w:r>
      <w:r>
        <w:rPr>
          <w:i/>
          <w:iCs/>
        </w:rPr>
        <w:t xml:space="preserve">:</w:t>
      </w:r>
      <w:r>
        <w:rPr>
          <w:i/>
          <w:iCs/>
        </w:rPr>
        <w:t xml:space="preserve"> </w:t>
      </w:r>
      <w:r>
        <w:rPr>
          <w:i/>
          <w:iCs/>
        </w:rPr>
        <w:t xml:space="preserve">A</w:t>
      </w:r>
      <w:r>
        <w:rPr>
          <w:i/>
          <w:iCs/>
        </w:rPr>
        <w:t xml:space="preserve"> </w:t>
      </w:r>
      <w:r>
        <w:rPr>
          <w:i/>
          <w:iCs/>
        </w:rPr>
        <w:t xml:space="preserve">problem students share with their teachers?</w:t>
      </w:r>
      <w:r>
        <w:t xml:space="preserve"> </w:t>
      </w:r>
      <w:hyperlink r:id="rId101">
        <w:r>
          <w:rPr>
            <w:rStyle w:val="Hyperlink"/>
          </w:rPr>
          <w:t xml:space="preserve">https://doi.org/10.5283/EPUB.34338</w:t>
        </w:r>
      </w:hyperlink>
    </w:p>
    <w:bookmarkEnd w:id="102"/>
    <w:bookmarkStart w:id="104"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103">
        <w:r>
          <w:rPr>
            <w:rStyle w:val="Hyperlink"/>
          </w:rPr>
          <w:t xml:space="preserve">https://doi.org/10.7287/peerj.preprints.26968v1</w:t>
        </w:r>
      </w:hyperlink>
    </w:p>
    <w:bookmarkEnd w:id="104"/>
    <w:bookmarkStart w:id="106"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105">
        <w:r>
          <w:rPr>
            <w:rStyle w:val="Hyperlink"/>
          </w:rPr>
          <w:t xml:space="preserve">https://doi.org/10.3758/BF03213921</w:t>
        </w:r>
      </w:hyperlink>
    </w:p>
    <w:bookmarkEnd w:id="106"/>
    <w:bookmarkStart w:id="108" w:name="ref-isager_fitzgerald25"/>
    <w:p>
      <w:pPr>
        <w:pStyle w:val="Bibliography"/>
      </w:pPr>
      <w:r>
        <w:t xml:space="preserve">Isager, P. M., &amp; Fitzgerald, J. (2025).</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107">
        <w:r>
          <w:rPr>
            <w:rStyle w:val="Hyperlink"/>
          </w:rPr>
          <w:t xml:space="preserve">https://doi.org/10.31234/osf.io/8y925</w:t>
        </w:r>
      </w:hyperlink>
    </w:p>
    <w:bookmarkEnd w:id="108"/>
    <w:bookmarkStart w:id="110" w:name="ref-R-magick"/>
    <w:p>
      <w:pPr>
        <w:pStyle w:val="Bibliography"/>
      </w:pPr>
      <w:r>
        <w:t xml:space="preserve">Jeroen, O. (2025).</w:t>
      </w:r>
      <w:r>
        <w:t xml:space="preserve"> </w:t>
      </w:r>
      <w:r>
        <w:rPr>
          <w:i/>
          <w:iCs/>
        </w:rPr>
        <w:t xml:space="preserve">Magick:</w:t>
      </w:r>
      <w:r>
        <w:rPr>
          <w:i/>
          <w:iCs/>
        </w:rPr>
        <w:t xml:space="preserve"> </w:t>
      </w:r>
      <w:r>
        <w:rPr>
          <w:i/>
          <w:iCs/>
        </w:rPr>
        <w:t xml:space="preserve">Advanced Graphics</w:t>
      </w:r>
      <w:r>
        <w:rPr>
          <w:i/>
          <w:iCs/>
        </w:rPr>
        <w:t xml:space="preserve"> </w:t>
      </w:r>
      <w:r>
        <w:rPr>
          <w:i/>
          <w:iCs/>
        </w:rPr>
        <w:t xml:space="preserve">and</w:t>
      </w:r>
      <w:r>
        <w:rPr>
          <w:i/>
          <w:iCs/>
        </w:rPr>
        <w:t xml:space="preserve"> </w:t>
      </w:r>
      <w:r>
        <w:rPr>
          <w:i/>
          <w:iCs/>
        </w:rPr>
        <w:t xml:space="preserve">Image-Processing</w:t>
      </w:r>
      <w:r>
        <w:rPr>
          <w:i/>
          <w:iCs/>
        </w:rPr>
        <w:t xml:space="preserve"> </w:t>
      </w:r>
      <w:r>
        <w:rPr>
          <w:i/>
          <w:iCs/>
        </w:rPr>
        <w:t xml:space="preserve">in</w:t>
      </w:r>
      <w:r>
        <w:rPr>
          <w:i/>
          <w:iCs/>
        </w:rPr>
        <w:t xml:space="preserve"> </w:t>
      </w:r>
      <w:r>
        <w:rPr>
          <w:i/>
          <w:iCs/>
        </w:rPr>
        <w:t xml:space="preserve">R</w:t>
      </w:r>
      <w:r>
        <w:t xml:space="preserve"> </w:t>
      </w:r>
      <w:r>
        <w:t xml:space="preserve">[Manual].</w:t>
      </w:r>
      <w:r>
        <w:t xml:space="preserve"> </w:t>
      </w:r>
      <w:hyperlink r:id="rId109">
        <w:r>
          <w:rPr>
            <w:rStyle w:val="Hyperlink"/>
          </w:rPr>
          <w:t xml:space="preserve">https://doi.org/10.32614/CRAN.package.magick</w:t>
        </w:r>
      </w:hyperlink>
    </w:p>
    <w:bookmarkEnd w:id="110"/>
    <w:bookmarkStart w:id="112"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111">
        <w:r>
          <w:rPr>
            <w:rStyle w:val="Hyperlink"/>
          </w:rPr>
          <w:t xml:space="preserve">https://doi.org/10.1177/1745691620958012</w:t>
        </w:r>
      </w:hyperlink>
    </w:p>
    <w:bookmarkEnd w:id="112"/>
    <w:bookmarkStart w:id="114"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13">
        <w:r>
          <w:rPr>
            <w:rStyle w:val="Hyperlink"/>
          </w:rPr>
          <w:t xml:space="preserve">https://doi.org/10.1038/s41562-018-0311-x</w:t>
        </w:r>
      </w:hyperlink>
    </w:p>
    <w:bookmarkEnd w:id="114"/>
    <w:bookmarkStart w:id="116"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115">
        <w:r>
          <w:rPr>
            <w:rStyle w:val="Hyperlink"/>
          </w:rPr>
          <w:t xml:space="preserve">https://doi.org/10.1080/00031305.2018.1527253</w:t>
        </w:r>
      </w:hyperlink>
    </w:p>
    <w:bookmarkEnd w:id="116"/>
    <w:bookmarkStart w:id="117" w:name="ref-more25"/>
    <w:p>
      <w:pPr>
        <w:pStyle w:val="Bibliography"/>
      </w:pPr>
      <w:r>
        <w:t xml:space="preserve">More, R. (2025).</w:t>
      </w:r>
      <w:r>
        <w:t xml:space="preserve"> </w:t>
      </w:r>
      <w:r>
        <w:rPr>
          <w:i/>
          <w:iCs/>
        </w:rPr>
        <w:t xml:space="preserve">Fine-</w:t>
      </w:r>
      <w:r>
        <w:rPr>
          <w:i/>
          <w:iCs/>
        </w:rPr>
        <w:t xml:space="preserve">Tuning BERT</w:t>
      </w:r>
      <w:r>
        <w:rPr>
          <w:i/>
          <w:iCs/>
        </w:rPr>
        <w:t xml:space="preserve"> </w:t>
      </w:r>
      <w:r>
        <w:rPr>
          <w:i/>
          <w:iCs/>
        </w:rPr>
        <w:t xml:space="preserve">for</w:t>
      </w:r>
      <w:r>
        <w:rPr>
          <w:i/>
          <w:iCs/>
        </w:rPr>
        <w:t xml:space="preserve"> </w:t>
      </w:r>
      <w:r>
        <w:rPr>
          <w:i/>
          <w:iCs/>
        </w:rPr>
        <w:t xml:space="preserve">Text Classification Using Hugging Face Transformers</w:t>
      </w:r>
      <w:r>
        <w:t xml:space="preserve">.</w:t>
      </w:r>
    </w:p>
    <w:bookmarkEnd w:id="117"/>
    <w:bookmarkStart w:id="119" w:name="ref-murphy_etal25"/>
    <w:p>
      <w:pPr>
        <w:pStyle w:val="Bibliography"/>
      </w:pPr>
      <w:r>
        <w:t xml:space="preserve">Murphy, S. L., Merz, R., Reimann, L.-E., &amp; Fernández, A. (2025). Nonsignificance misinterpreted as an effect’s absence in psychology:</w:t>
      </w:r>
      <w:r>
        <w:t xml:space="preserve"> </w:t>
      </w:r>
      <w:r>
        <w:t xml:space="preserve">Prevalence</w:t>
      </w:r>
      <w:r>
        <w:t xml:space="preserve"> </w:t>
      </w:r>
      <w:r>
        <w:t xml:space="preserve">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118">
        <w:r>
          <w:rPr>
            <w:rStyle w:val="Hyperlink"/>
          </w:rPr>
          <w:t xml:space="preserve">https://doi.org/10.1098/rsos.242167</w:t>
        </w:r>
      </w:hyperlink>
    </w:p>
    <w:bookmarkEnd w:id="119"/>
    <w:bookmarkStart w:id="120"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w:t>
      </w:r>
      <w:r>
        <w:rPr>
          <w:i/>
          <w:iCs/>
        </w:rPr>
        <w:t xml:space="preserve">Values</w:t>
      </w:r>
      <w:r>
        <w:rPr>
          <w:i/>
          <w:iCs/>
        </w:rPr>
        <w:t xml:space="preserve">.</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120"/>
    <w:bookmarkStart w:id="121" w:name="ref-python"/>
    <w:p>
      <w:pPr>
        <w:pStyle w:val="Bibliography"/>
      </w:pPr>
      <w:r>
        <w:t xml:space="preserve">Python Software Foundation. (2025).</w:t>
      </w:r>
      <w:r>
        <w:t xml:space="preserve"> </w:t>
      </w:r>
      <w:r>
        <w:rPr>
          <w:i/>
          <w:iCs/>
        </w:rPr>
        <w:t xml:space="preserve">Python: A dynamic, open source programming language</w:t>
      </w:r>
      <w:r>
        <w:t xml:space="preserve"> </w:t>
      </w:r>
      <w:r>
        <w:t xml:space="preserve">[Manual]. Python Software Foundation.</w:t>
      </w:r>
    </w:p>
    <w:bookmarkEnd w:id="121"/>
    <w:bookmarkStart w:id="123" w:name="ref-R-showtext"/>
    <w:p>
      <w:pPr>
        <w:pStyle w:val="Bibliography"/>
      </w:pPr>
      <w:r>
        <w:t xml:space="preserve">Qiu, Y., &amp; for details., authors/contributors. of the included software. S. file A. (2024).</w:t>
      </w:r>
      <w:r>
        <w:t xml:space="preserve"> </w:t>
      </w:r>
      <w:r>
        <w:rPr>
          <w:i/>
          <w:iCs/>
        </w:rPr>
        <w:t xml:space="preserve">Showtext:</w:t>
      </w:r>
      <w:r>
        <w:rPr>
          <w:i/>
          <w:iCs/>
        </w:rPr>
        <w:t xml:space="preserve"> </w:t>
      </w:r>
      <w:r>
        <w:rPr>
          <w:i/>
          <w:iCs/>
        </w:rPr>
        <w:t xml:space="preserve">Using</w:t>
      </w:r>
      <w:r>
        <w:rPr>
          <w:i/>
          <w:iCs/>
        </w:rPr>
        <w:t xml:space="preserve"> </w:t>
      </w:r>
      <w:r>
        <w:rPr>
          <w:i/>
          <w:iCs/>
        </w:rPr>
        <w:t xml:space="preserve">fonts more easily in</w:t>
      </w:r>
      <w:r>
        <w:rPr>
          <w:i/>
          <w:iCs/>
        </w:rPr>
        <w:t xml:space="preserve"> </w:t>
      </w:r>
      <w:r>
        <w:rPr>
          <w:i/>
          <w:iCs/>
        </w:rPr>
        <w:t xml:space="preserve">R</w:t>
      </w:r>
      <w:r>
        <w:rPr>
          <w:i/>
          <w:iCs/>
        </w:rPr>
        <w:t xml:space="preserve"> </w:t>
      </w:r>
      <w:r>
        <w:rPr>
          <w:i/>
          <w:iCs/>
        </w:rPr>
        <w:t xml:space="preserve">graphs</w:t>
      </w:r>
      <w:r>
        <w:t xml:space="preserve"> </w:t>
      </w:r>
      <w:r>
        <w:t xml:space="preserve">[Manual].</w:t>
      </w:r>
      <w:r>
        <w:t xml:space="preserve"> </w:t>
      </w:r>
      <w:hyperlink r:id="rId122">
        <w:r>
          <w:rPr>
            <w:rStyle w:val="Hyperlink"/>
          </w:rPr>
          <w:t xml:space="preserve">https://doi.org/10.32614/CRAN.package.showtext</w:t>
        </w:r>
      </w:hyperlink>
    </w:p>
    <w:bookmarkEnd w:id="123"/>
    <w:bookmarkStart w:id="125"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124">
        <w:r>
          <w:rPr>
            <w:rStyle w:val="Hyperlink"/>
          </w:rPr>
          <w:t xml:space="preserve">https://doi.org/10.1080/00031305.1996.10474380</w:t>
        </w:r>
      </w:hyperlink>
    </w:p>
    <w:bookmarkEnd w:id="125"/>
    <w:bookmarkStart w:id="126"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w:t>
      </w:r>
    </w:p>
    <w:bookmarkEnd w:id="126"/>
    <w:bookmarkStart w:id="127" w:name="ref-talebi24"/>
    <w:p>
      <w:pPr>
        <w:pStyle w:val="Bibliography"/>
      </w:pPr>
      <w:r>
        <w:t xml:space="preserve">Talebi, S. (2024).</w:t>
      </w:r>
      <w:r>
        <w:t xml:space="preserve"> </w:t>
      </w:r>
      <w:r>
        <w:rPr>
          <w:i/>
          <w:iCs/>
        </w:rPr>
        <w:t xml:space="preserve">Fine-</w:t>
      </w:r>
      <w:r>
        <w:rPr>
          <w:i/>
          <w:iCs/>
        </w:rPr>
        <w:t xml:space="preserve">Tuning BERT</w:t>
      </w:r>
      <w:r>
        <w:rPr>
          <w:i/>
          <w:iCs/>
        </w:rPr>
        <w:t xml:space="preserve"> </w:t>
      </w:r>
      <w:r>
        <w:rPr>
          <w:i/>
          <w:iCs/>
        </w:rPr>
        <w:t xml:space="preserve">for</w:t>
      </w:r>
      <w:r>
        <w:rPr>
          <w:i/>
          <w:iCs/>
        </w:rPr>
        <w:t xml:space="preserve"> </w:t>
      </w:r>
      <w:r>
        <w:rPr>
          <w:i/>
          <w:iCs/>
        </w:rPr>
        <w:t xml:space="preserve">Text Classification</w:t>
      </w:r>
      <w:r>
        <w:t xml:space="preserve">.</w:t>
      </w:r>
    </w:p>
    <w:bookmarkEnd w:id="127"/>
    <w:bookmarkStart w:id="128" w:name="ref-rcoreteam25"/>
    <w:p>
      <w:pPr>
        <w:pStyle w:val="Bibliography"/>
      </w:pPr>
      <w:r>
        <w:t xml:space="preserve">Team, R. C. (2025).</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[Manual]. R Foundation for Statistical Computing.</w:t>
      </w:r>
    </w:p>
    <w:bookmarkEnd w:id="128"/>
    <w:bookmarkStart w:id="129" w:name="ref-vanabkoude25"/>
    <w:p>
      <w:pPr>
        <w:pStyle w:val="Bibliography"/>
      </w:pPr>
      <w:r>
        <w:t xml:space="preserve">van Abkoude, T. (2025).</w:t>
      </w:r>
      <w:r>
        <w:t xml:space="preserve"> </w:t>
      </w:r>
      <w:r>
        <w:rPr>
          <w:i/>
          <w:iCs/>
        </w:rPr>
        <w:t xml:space="preserve">Causal</w:t>
      </w:r>
      <w:r>
        <w:rPr>
          <w:i/>
          <w:iCs/>
        </w:rPr>
        <w:t xml:space="preserve"> </w:t>
      </w:r>
      <w:r>
        <w:rPr>
          <w:i/>
          <w:iCs/>
        </w:rPr>
        <w:t xml:space="preserve">Confusion</w:t>
      </w:r>
      <w:r>
        <w:rPr>
          <w:i/>
          <w:iCs/>
        </w:rPr>
        <w:t xml:space="preserve">:</w:t>
      </w:r>
      <w:r>
        <w:rPr>
          <w:i/>
          <w:iCs/>
        </w:rPr>
        <w:t xml:space="preserve"> </w:t>
      </w:r>
      <w:r>
        <w:rPr>
          <w:i/>
          <w:iCs/>
        </w:rPr>
        <w:t xml:space="preserve">How LLMs Can Improve Causal Language</w:t>
      </w:r>
      <w:r>
        <w:rPr>
          <w:i/>
          <w:iCs/>
        </w:rPr>
        <w:t xml:space="preserve"> </w:t>
      </w:r>
      <w:r>
        <w:rPr>
          <w:i/>
          <w:iCs/>
        </w:rPr>
        <w:t xml:space="preserve">in</w:t>
      </w:r>
      <w:r>
        <w:rPr>
          <w:i/>
          <w:iCs/>
        </w:rPr>
        <w:t xml:space="preserve"> </w:t>
      </w:r>
      <w:r>
        <w:rPr>
          <w:i/>
          <w:iCs/>
        </w:rPr>
        <w:t xml:space="preserve">Research Communication</w:t>
      </w:r>
      <w:r>
        <w:t xml:space="preserve"> </w:t>
      </w:r>
      <w:r>
        <w:t xml:space="preserve">[Master's {{Thesis}}].</w:t>
      </w:r>
    </w:p>
    <w:bookmarkEnd w:id="129"/>
    <w:bookmarkStart w:id="131"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30">
        <w:r>
          <w:rPr>
            <w:rStyle w:val="Hyperlink"/>
          </w:rPr>
          <w:t xml:space="preserve">https://doi.org/10.3758/BF03194105</w:t>
        </w:r>
      </w:hyperlink>
    </w:p>
    <w:bookmarkEnd w:id="131"/>
    <w:bookmarkStart w:id="133"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32">
        <w:r>
          <w:rPr>
            <w:rStyle w:val="Hyperlink"/>
          </w:rPr>
          <w:t xml:space="preserve">https://doi.org/10.21105/joss.01686</w:t>
        </w:r>
      </w:hyperlink>
    </w:p>
    <w:bookmarkEnd w:id="133"/>
    <w:bookmarkStart w:id="135" w:name="ref-R-readxl"/>
    <w:p>
      <w:pPr>
        <w:pStyle w:val="Bibliography"/>
      </w:pPr>
      <w:r>
        <w:t xml:space="preserve">Wickham, H., &amp; Bryan, J. (2025).</w:t>
      </w:r>
      <w:r>
        <w:t xml:space="preserve"> </w:t>
      </w:r>
      <w:r>
        <w:rPr>
          <w:i/>
          <w:iCs/>
        </w:rPr>
        <w:t xml:space="preserve">Readxl:</w:t>
      </w:r>
      <w:r>
        <w:rPr>
          <w:i/>
          <w:iCs/>
        </w:rPr>
        <w:t xml:space="preserve"> </w:t>
      </w:r>
      <w:r>
        <w:rPr>
          <w:i/>
          <w:iCs/>
        </w:rPr>
        <w:t xml:space="preserve">Read</w:t>
      </w:r>
      <w:r>
        <w:rPr>
          <w:i/>
          <w:iCs/>
        </w:rPr>
        <w:t xml:space="preserve"> </w:t>
      </w:r>
      <w:r>
        <w:rPr>
          <w:i/>
          <w:iCs/>
        </w:rPr>
        <w:t xml:space="preserve">excel files</w:t>
      </w:r>
      <w:r>
        <w:t xml:space="preserve"> </w:t>
      </w:r>
      <w:r>
        <w:t xml:space="preserve">[Manual].</w:t>
      </w:r>
      <w:r>
        <w:t xml:space="preserve"> </w:t>
      </w:r>
      <w:hyperlink r:id="rId134">
        <w:r>
          <w:rPr>
            <w:rStyle w:val="Hyperlink"/>
          </w:rPr>
          <w:t xml:space="preserve">https://doi.org/10.32614/CRAN.package.readxl</w:t>
        </w:r>
      </w:hyperlink>
    </w:p>
    <w:bookmarkEnd w:id="135"/>
    <w:bookmarkStart w:id="136" w:name="ref-R-psych"/>
    <w:p>
      <w:pPr>
        <w:pStyle w:val="Bibliography"/>
      </w:pPr>
      <w:r>
        <w:t xml:space="preserve">William Revelle. (2025).</w:t>
      </w:r>
      <w:r>
        <w:t xml:space="preserve"> </w:t>
      </w:r>
      <w:r>
        <w:rPr>
          <w:i/>
          <w:iCs/>
        </w:rPr>
        <w:t xml:space="preserve">Psych:</w:t>
      </w:r>
      <w:r>
        <w:rPr>
          <w:i/>
          <w:iCs/>
        </w:rPr>
        <w:t xml:space="preserve"> </w:t>
      </w:r>
      <w:r>
        <w:rPr>
          <w:i/>
          <w:iCs/>
        </w:rPr>
        <w:t xml:space="preserve">Procedures</w:t>
      </w:r>
      <w:r>
        <w:rPr>
          <w:i/>
          <w:iCs/>
        </w:rPr>
        <w:t xml:space="preserve"> </w:t>
      </w:r>
      <w:r>
        <w:rPr>
          <w:i/>
          <w:iCs/>
        </w:rPr>
        <w:t xml:space="preserve">for psychological, psychometric, and personality research</w:t>
      </w:r>
      <w:r>
        <w:t xml:space="preserve"> </w:t>
      </w:r>
      <w:r>
        <w:t xml:space="preserve">[Manual]. Northwestern University.</w:t>
      </w:r>
    </w:p>
    <w:bookmarkEnd w:id="136"/>
    <w:bookmarkEnd w:id="137"/>
    <w:bookmarkEnd w:id="13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In the final Papercheck module, users will be able to set the alpha level they used themselves, thus allowing other levels than the conventional 5%.</w:t>
      </w:r>
    </w:p>
  </w:footnote>
  <w:footnote w:id="44">
    <w:p>
      <w:pPr>
        <w:pStyle w:val="FootnoteText"/>
      </w:pPr>
      <w:r>
        <w:rPr>
          <w:rStyle w:val="FootnoteReference"/>
        </w:rPr>
        <w:footnoteRef/>
      </w:r>
      <w:r>
        <w:t xml:space="preserve"> </w:t>
      </w:r>
      <w:r>
        <w:t xml:space="preserve">I could not find one statement that was detected automatically in the article’s PDF. My current theory is that this was an artifact from when the PDF was compiled and might be from a different article even,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21" Target="media/rId21.svg" /><Relationship Type="http://schemas.openxmlformats.org/officeDocument/2006/relationships/hyperlink" Id="rId97" Target="https://doi.org/10.1007/s10654-016-0149-3" TargetMode="External" /><Relationship Type="http://schemas.openxmlformats.org/officeDocument/2006/relationships/hyperlink" Id="rId87" Target="https://doi.org/10.1037/h0044139" TargetMode="External" /><Relationship Type="http://schemas.openxmlformats.org/officeDocument/2006/relationships/hyperlink" Id="rId71" Target="https://doi.org/10.1038/d41586-019-00857-9" TargetMode="External" /><Relationship Type="http://schemas.openxmlformats.org/officeDocument/2006/relationships/hyperlink" Id="rId113" Target="https://doi.org/10.1038/s41562-018-0311-x" TargetMode="External" /><Relationship Type="http://schemas.openxmlformats.org/officeDocument/2006/relationships/hyperlink" Id="rId93" Target="https://doi.org/10.1053/j.seminhematol.2008.04.003" TargetMode="External" /><Relationship Type="http://schemas.openxmlformats.org/officeDocument/2006/relationships/hyperlink" Id="rId124" Target="https://doi.org/10.1080/00031305.1996.10474380" TargetMode="External" /><Relationship Type="http://schemas.openxmlformats.org/officeDocument/2006/relationships/hyperlink" Id="rId115" Target="https://doi.org/10.1080/00031305.2018.1527253" TargetMode="External" /><Relationship Type="http://schemas.openxmlformats.org/officeDocument/2006/relationships/hyperlink" Id="rId95" Target="https://doi.org/10.1080/00031305.2018.1529625" TargetMode="External" /><Relationship Type="http://schemas.openxmlformats.org/officeDocument/2006/relationships/hyperlink" Id="rId118" Target="https://doi.org/10.1098/rsos.242167" TargetMode="External" /><Relationship Type="http://schemas.openxmlformats.org/officeDocument/2006/relationships/hyperlink" Id="rId69" Target="https://doi.org/10.1136/bmj.311.7003.485" TargetMode="External" /><Relationship Type="http://schemas.openxmlformats.org/officeDocument/2006/relationships/hyperlink" Id="rId99" Target="https://doi.org/10.1145/3458754" TargetMode="External" /><Relationship Type="http://schemas.openxmlformats.org/officeDocument/2006/relationships/hyperlink" Id="rId111" Target="https://doi.org/10.1177/1745691620958012" TargetMode="External" /><Relationship Type="http://schemas.openxmlformats.org/officeDocument/2006/relationships/hyperlink" Id="rId67" Target="https://doi.org/10.1177/2515245918773742" TargetMode="External" /><Relationship Type="http://schemas.openxmlformats.org/officeDocument/2006/relationships/hyperlink" Id="rId79" Target="https://doi.org/10.1177/2515245919858072" TargetMode="External" /><Relationship Type="http://schemas.openxmlformats.org/officeDocument/2006/relationships/hyperlink" Id="rId89" Target="https://doi.org/10.1198/000313006X152649" TargetMode="External" /><Relationship Type="http://schemas.openxmlformats.org/officeDocument/2006/relationships/hyperlink" Id="rId83" Target="https://doi.org/10.18653/v1/N19-1423" TargetMode="External" /><Relationship Type="http://schemas.openxmlformats.org/officeDocument/2006/relationships/hyperlink" Id="rId132" Target="https://doi.org/10.21105/joss.01686" TargetMode="External" /><Relationship Type="http://schemas.openxmlformats.org/officeDocument/2006/relationships/hyperlink" Id="rId107" Target="https://doi.org/10.31234/osf.io/8y925" TargetMode="External" /><Relationship Type="http://schemas.openxmlformats.org/officeDocument/2006/relationships/hyperlink" Id="rId91" Target="https://doi.org/10.32614/CRAN.package.flextable" TargetMode="External" /><Relationship Type="http://schemas.openxmlformats.org/officeDocument/2006/relationships/hyperlink" Id="rId109" Target="https://doi.org/10.32614/CRAN.package.magick" TargetMode="External" /><Relationship Type="http://schemas.openxmlformats.org/officeDocument/2006/relationships/hyperlink" Id="rId73" Target="https://doi.org/10.32614/CRAN.package.papaja" TargetMode="External" /><Relationship Type="http://schemas.openxmlformats.org/officeDocument/2006/relationships/hyperlink" Id="rId134" Target="https://doi.org/10.32614/CRAN.package.readxl" TargetMode="External" /><Relationship Type="http://schemas.openxmlformats.org/officeDocument/2006/relationships/hyperlink" Id="rId122" Target="https://doi.org/10.32614/CRAN.package.showtext" TargetMode="External" /><Relationship Type="http://schemas.openxmlformats.org/officeDocument/2006/relationships/hyperlink" Id="rId85" Target="https://doi.org/10.3389/fpsyg.2014.00781" TargetMode="External" /><Relationship Type="http://schemas.openxmlformats.org/officeDocument/2006/relationships/hyperlink" Id="rId75" Target="https://doi.org/10.3389/fpsyg.2016.01247" TargetMode="External" /><Relationship Type="http://schemas.openxmlformats.org/officeDocument/2006/relationships/hyperlink" Id="rId130" Target="https://doi.org/10.3758/BF03194105" TargetMode="External" /><Relationship Type="http://schemas.openxmlformats.org/officeDocument/2006/relationships/hyperlink" Id="rId105" Target="https://doi.org/10.3758/BF03213921" TargetMode="External" /><Relationship Type="http://schemas.openxmlformats.org/officeDocument/2006/relationships/hyperlink" Id="rId77" Target="https://doi.org/10.48550/ARXIV.1903.10676" TargetMode="External" /><Relationship Type="http://schemas.openxmlformats.org/officeDocument/2006/relationships/hyperlink" Id="rId101" Target="https://doi.org/10.5283/EPUB.34338" TargetMode="External" /><Relationship Type="http://schemas.openxmlformats.org/officeDocument/2006/relationships/hyperlink" Id="rId103" Target="https://doi.org/10.7287/peerj.preprints.26968v1" TargetMode="External" /><Relationship Type="http://schemas.openxmlformats.org/officeDocument/2006/relationships/hyperlink" Id="rId41" Target="https://github.com/Raphael-Merz/nonsig-master-thesis" TargetMode="External" /><Relationship Type="http://schemas.openxmlformats.org/officeDocument/2006/relationships/hyperlink" Id="rId37" Target="https://groq.com/" TargetMode="External" /><Relationship Type="http://schemas.openxmlformats.org/officeDocument/2006/relationships/hyperlink" Id="rId33" Target="https://huggingface.co/docs/transformers/en/main_classes/trainer" TargetMode="External" /><Relationship Type="http://schemas.openxmlformats.org/officeDocument/2006/relationships/hyperlink" Id="rId25" Target="https://orcid.org/0000-0002-9474-3379" TargetMode="External" /><Relationship Type="http://schemas.openxmlformats.org/officeDocument/2006/relationships/hyperlink" Id="rId40" Target="https://wjschne.github.io/apaquarto/" TargetMode="External" /></Relationships>
</file>

<file path=word/_rels/footnotes.xml.rels><?xml version="1.0" encoding="UTF-8"?><Relationships xmlns="http://schemas.openxmlformats.org/package/2006/relationships"><Relationship Type="http://schemas.openxmlformats.org/officeDocument/2006/relationships/hyperlink" Id="rId97" Target="https://doi.org/10.1007/s10654-016-0149-3" TargetMode="External" /><Relationship Type="http://schemas.openxmlformats.org/officeDocument/2006/relationships/hyperlink" Id="rId87" Target="https://doi.org/10.1037/h0044139" TargetMode="External" /><Relationship Type="http://schemas.openxmlformats.org/officeDocument/2006/relationships/hyperlink" Id="rId71" Target="https://doi.org/10.1038/d41586-019-00857-9" TargetMode="External" /><Relationship Type="http://schemas.openxmlformats.org/officeDocument/2006/relationships/hyperlink" Id="rId113" Target="https://doi.org/10.1038/s41562-018-0311-x" TargetMode="External" /><Relationship Type="http://schemas.openxmlformats.org/officeDocument/2006/relationships/hyperlink" Id="rId93" Target="https://doi.org/10.1053/j.seminhematol.2008.04.003" TargetMode="External" /><Relationship Type="http://schemas.openxmlformats.org/officeDocument/2006/relationships/hyperlink" Id="rId124" Target="https://doi.org/10.1080/00031305.1996.10474380" TargetMode="External" /><Relationship Type="http://schemas.openxmlformats.org/officeDocument/2006/relationships/hyperlink" Id="rId115" Target="https://doi.org/10.1080/00031305.2018.1527253" TargetMode="External" /><Relationship Type="http://schemas.openxmlformats.org/officeDocument/2006/relationships/hyperlink" Id="rId95" Target="https://doi.org/10.1080/00031305.2018.1529625" TargetMode="External" /><Relationship Type="http://schemas.openxmlformats.org/officeDocument/2006/relationships/hyperlink" Id="rId118" Target="https://doi.org/10.1098/rsos.242167" TargetMode="External" /><Relationship Type="http://schemas.openxmlformats.org/officeDocument/2006/relationships/hyperlink" Id="rId69" Target="https://doi.org/10.1136/bmj.311.7003.485" TargetMode="External" /><Relationship Type="http://schemas.openxmlformats.org/officeDocument/2006/relationships/hyperlink" Id="rId99" Target="https://doi.org/10.1145/3458754" TargetMode="External" /><Relationship Type="http://schemas.openxmlformats.org/officeDocument/2006/relationships/hyperlink" Id="rId111" Target="https://doi.org/10.1177/1745691620958012" TargetMode="External" /><Relationship Type="http://schemas.openxmlformats.org/officeDocument/2006/relationships/hyperlink" Id="rId67" Target="https://doi.org/10.1177/2515245918773742" TargetMode="External" /><Relationship Type="http://schemas.openxmlformats.org/officeDocument/2006/relationships/hyperlink" Id="rId79" Target="https://doi.org/10.1177/2515245919858072" TargetMode="External" /><Relationship Type="http://schemas.openxmlformats.org/officeDocument/2006/relationships/hyperlink" Id="rId89" Target="https://doi.org/10.1198/000313006X152649" TargetMode="External" /><Relationship Type="http://schemas.openxmlformats.org/officeDocument/2006/relationships/hyperlink" Id="rId83" Target="https://doi.org/10.18653/v1/N19-1423" TargetMode="External" /><Relationship Type="http://schemas.openxmlformats.org/officeDocument/2006/relationships/hyperlink" Id="rId132" Target="https://doi.org/10.21105/joss.01686" TargetMode="External" /><Relationship Type="http://schemas.openxmlformats.org/officeDocument/2006/relationships/hyperlink" Id="rId107" Target="https://doi.org/10.31234/osf.io/8y925" TargetMode="External" /><Relationship Type="http://schemas.openxmlformats.org/officeDocument/2006/relationships/hyperlink" Id="rId91" Target="https://doi.org/10.32614/CRAN.package.flextable" TargetMode="External" /><Relationship Type="http://schemas.openxmlformats.org/officeDocument/2006/relationships/hyperlink" Id="rId109" Target="https://doi.org/10.32614/CRAN.package.magick" TargetMode="External" /><Relationship Type="http://schemas.openxmlformats.org/officeDocument/2006/relationships/hyperlink" Id="rId73" Target="https://doi.org/10.32614/CRAN.package.papaja" TargetMode="External" /><Relationship Type="http://schemas.openxmlformats.org/officeDocument/2006/relationships/hyperlink" Id="rId134" Target="https://doi.org/10.32614/CRAN.package.readxl" TargetMode="External" /><Relationship Type="http://schemas.openxmlformats.org/officeDocument/2006/relationships/hyperlink" Id="rId122" Target="https://doi.org/10.32614/CRAN.package.showtext" TargetMode="External" /><Relationship Type="http://schemas.openxmlformats.org/officeDocument/2006/relationships/hyperlink" Id="rId85" Target="https://doi.org/10.3389/fpsyg.2014.00781" TargetMode="External" /><Relationship Type="http://schemas.openxmlformats.org/officeDocument/2006/relationships/hyperlink" Id="rId75" Target="https://doi.org/10.3389/fpsyg.2016.01247" TargetMode="External" /><Relationship Type="http://schemas.openxmlformats.org/officeDocument/2006/relationships/hyperlink" Id="rId130" Target="https://doi.org/10.3758/BF03194105" TargetMode="External" /><Relationship Type="http://schemas.openxmlformats.org/officeDocument/2006/relationships/hyperlink" Id="rId105" Target="https://doi.org/10.3758/BF03213921" TargetMode="External" /><Relationship Type="http://schemas.openxmlformats.org/officeDocument/2006/relationships/hyperlink" Id="rId77" Target="https://doi.org/10.48550/ARXIV.1903.10676" TargetMode="External" /><Relationship Type="http://schemas.openxmlformats.org/officeDocument/2006/relationships/hyperlink" Id="rId101" Target="https://doi.org/10.5283/EPUB.34338" TargetMode="External" /><Relationship Type="http://schemas.openxmlformats.org/officeDocument/2006/relationships/hyperlink" Id="rId103" Target="https://doi.org/10.7287/peerj.preprints.26968v1" TargetMode="External" /><Relationship Type="http://schemas.openxmlformats.org/officeDocument/2006/relationships/hyperlink" Id="rId41" Target="https://github.com/Raphael-Merz/nonsig-master-thesis" TargetMode="External" /><Relationship Type="http://schemas.openxmlformats.org/officeDocument/2006/relationships/hyperlink" Id="rId37" Target="https://groq.com/" TargetMode="External" /><Relationship Type="http://schemas.openxmlformats.org/officeDocument/2006/relationships/hyperlink" Id="rId33" Target="https://huggingface.co/docs/transformers/en/main_classes/trainer" TargetMode="External" /><Relationship Type="http://schemas.openxmlformats.org/officeDocument/2006/relationships/hyperlink" Id="rId25" Target="https://orcid.org/0000-0002-9474-3379" TargetMode="External" /><Relationship Type="http://schemas.openxmlformats.org/officeDocument/2006/relationships/hyperlink" Id="rId40" Target="https://wjschne.github.io/apaquar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RULES AND NLP FOR CORRECTING P VALUE MISINTERPRETATIONS</dc:description>
  <cp:keywords>p value, misinterpretation, automation, automated checks, RegEx, LLMs, BERT</cp:keywords>
  <dcterms:created xsi:type="dcterms:W3CDTF">2025-08-31T09:54:10Z</dcterms:created>
  <dcterms:modified xsi:type="dcterms:W3CDTF">2025-08-31T09:54:10Z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widespread in scientific reporting, despite decades of educational efforts and reform initiatives. A common and consequential errors is interpreting a statistically nonsignificant result (e.g., p &gt; .05) as evidence for the absence of an effect — a conclusion not supported by null hypothesis significance testing (NHST). This article adopts a human factors perspective, suggesting that automation can help mitigate such persistent errors, much like word processors assist with grammar and spelling. I propose an automated, three-step pipeline that detects, classifies, and optionally corrects misinterpretations of nonsignificant results. The evaluation of each of these steps highlights the promise of such an automated approach: In a validation set of 25 articles, the automatic detection identified 73% of manually extracted statements. Two easily resolvable issues in the search pattern were found which, once addressed, would increase reliability to 93%. For the classification, three BERT-based models were trained on 930 hand-labeled statements, with the standard BERT model achieving the highest macro-F1 score of .92. Finally, the optional correction step proved effective, with 93 of 100 statements from a validation set being correctly phrased after LLM-revision. While improvements remain possible at each step, results suggest that such a system could substantially reduce the prevalence of this misinterpretation. However, risks remain, particularly regarding the automated correction step, which could inadvertently encourage overreliance on AI suggestions. Qualitative user studies will be critical for determining how authors engage with the tool and how it should be implemented. In the long run, this approach has the potential to help authors improve their statistical reporting and to inform large-scale meta-scientific analyses.</vt:lpwstr>
  </property>
  <property fmtid="{D5CDD505-2E9C-101B-9397-08002B2CF9AE}" pid="6" name="apaauthor">
    <vt:lpwstr/>
  </property>
  <property fmtid="{D5CDD505-2E9C-101B-9397-08002B2CF9AE}" pid="7" name="apatitle">
    <vt:lpwstr>From Detection to Correction: A Hybrid Rule–NLP Approach to Misinterpretations of Nonsignificant p Values</vt:lpwstr>
  </property>
  <property fmtid="{D5CDD505-2E9C-101B-9397-08002B2CF9AE}" pid="8" name="apatitledisplay">
    <vt:lpwstr>From Detection to Correction: A Hybrid Rule–NLP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RULES AND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