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52514E"/>
          <w:sz w:val="24"/>
          <w:szCs w:val="24"/>
        </w:rPr>
        <w:t xml:space="preserve">LLM’s — Engenharias Avançadas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2514E"/>
          <w:sz w:val="22"/>
          <w:szCs w:val="22"/>
        </w:rPr>
        <w:t xml:space="preserve">Módulo 7 — Projeto Prático com Agentic Workflows com LLM</w:t>
      </w:r>
    </w:p>
    <w:p>
      <w:pPr>
        <w:pBdr>
          <w:top w:val="single" w:color="1F3864" w:sz="12"/>
        </w:pBdr>
        <w:spacing w:after="120" w:before="420"/>
        <w:jc w:val="center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Agentic Data Quality Workflow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2514E"/>
          <w:sz w:val="22"/>
          <w:szCs w:val="22"/>
        </w:rPr>
        <w:t xml:space="preserve">Um time multiagente como SRE de dados: distinguindo sazonalidade de negócio de bug de dados com LangChain, CrewAI e DuckDB</w:t>
      </w:r>
    </w:p>
    <w:p>
      <w:pPr>
        <w:pBdr>
          <w:bottom w:val="single" w:color="1F3864" w:sz="12"/>
        </w:pBdr>
        <w:spacing w:after="900" w:before="40"/>
        <w:jc w:val="center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B0B0B"/>
          <w:sz w:val="24"/>
          <w:szCs w:val="24"/>
        </w:rPr>
        <w:t xml:space="preserve">Raphael Costa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Engenharia de Dados &amp; Machine Learning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Setembro de 2026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1. Introdução e objetivo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Este relatório documenta a implementação do projeto prático proposto no Módulo 7 da disciplina LLM’s — Engenharias Avançadas: um agentic workflow multiagente que atua como Site Reliability Engineer de dados. O sistema observa uma tabela de vendas diárias, detecta problemas reais de qualidade, distingue variação legítima de negócio de defeito de dados, propõe SQL de remediação, valida o impacto em dry-run e emite um relatório de causa raiz rastreável.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tese central do projeto é que autonomia sem contenção não é utilizável em ambientes de dados. Um LLM capaz de escrever SQL é também capaz de escrever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DROP TABLE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. Por isso o valor de engenharia aqui não está na capacidade de gerar SQL — está nas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cercas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que tornam essa geração segura: sandbox, guardrails estáticos, dry-run reversível, gates de aceite quantitativos e aprovação humana antes da materialização.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Uma segunda contribuição, não prevista no enunciado original, emergiu da auditoria da execução inicial do projeto: os agentes produziram artefatos sintaticamente inválidos e um relatório final que afirmava uma correção jamais aplicada. A Seção 9 documenta essas falhas e as correções de engenharia que as eliminaram — material que, na prática, é a parte mais instrutiva do trabalho.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2. Cenário e dataset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Uma empresa de varejo mantém uma tabela de vendas diária com 5.117 registros referentes a maio–julho de 2025, distribuídos entre três lojas e três canais de venda. Em julho de 2025 dois eventos chamaram atenção do time de dados: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queda acentuada em 09/07/2025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— coincidente com o feriado estadual de São Paulo (Revolução Constitucionalista);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pico atípico em 15/07/2025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— sem campanha de marketing ou evento comercial correspondente.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Somam-se a isso problemas crônicos de qualidade injetados deliberadamente no dataset didático:</w:t>
      </w:r>
    </w:p>
    <w:p>
      <w:pPr>
        <w:spacing w:after="60"/>
      </w:pP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456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Manifestação</w:t>
            </w:r>
          </w:p>
        </w:tc>
        <w:tc>
          <w:tcPr>
            <w:tcW w:type="dxa" w:w="24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Double ingestion</w:t>
            </w:r>
          </w:p>
        </w:tc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Pedidos repetidos na mesma chave (order_id, date)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26 pares / 52 linhas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Preço inválido</w:t>
            </w:r>
          </w:p>
        </w:tc>
        <w:tc>
          <w:tcPr>
            <w:tcW w:type="dxa" w:w="45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unit_price igual a zero ou nulo</w:t>
            </w:r>
          </w:p>
        </w:tc>
        <w:tc>
          <w:tcPr>
            <w:tcW w:type="dxa" w:w="24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51 linhas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Outliers de preço</w:t>
            </w:r>
          </w:p>
        </w:tc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valores acima de 10× a mediana da categoria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cauda além do P99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Cliente ausente</w:t>
            </w:r>
          </w:p>
        </w:tc>
        <w:tc>
          <w:tcPr>
            <w:tcW w:type="dxa" w:w="45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customer_id vazio</w:t>
            </w:r>
          </w:p>
        </w:tc>
        <w:tc>
          <w:tcPr>
            <w:tcW w:type="dxa" w:w="24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88 linhas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Label drift</w:t>
            </w:r>
          </w:p>
        </w:tc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channel com 11 grafias para 3 canais reais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1.442 linhas fora do domínio</w:t>
            </w:r>
          </w:p>
        </w:tc>
      </w:tr>
      <w:tr>
        <w:tc>
          <w:tcPr>
            <w:tcW w:type="dxa" w:w="24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Datas mistas</w:t>
            </w:r>
          </w:p>
        </w:tc>
        <w:tc>
          <w:tcPr>
            <w:tcW w:type="dxa" w:w="45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%Y-%m-%d, %d/%m/%Y e %Y/%m/%d no mesmo campo</w:t>
            </w:r>
          </w:p>
        </w:tc>
        <w:tc>
          <w:tcPr>
            <w:tcW w:type="dxa" w:w="24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tratado na staging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armadilha didática é precisamente a assimetria entre os dois eventos de julho: um agente afobado “corrige” ambos e, ao fazê-lo, apaga um fato real do negócio. Distinguir os dois casos exige evidência quantitativa, não intuição do modelo.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3. Arquitetura da solução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pipeline segue a arquitetura medalhão em três camadas dentro de um único arquivo DuckDB, escolhido como </w:t>
      </w:r>
      <w:r>
        <w:rPr>
          <w:rFonts w:ascii="Calibri" w:cs="Calibri" w:eastAsia="Calibri" w:hAnsi="Calibri"/>
          <w:i/>
          <w:iCs/>
          <w:color w:val="0B0B0B"/>
          <w:sz w:val="21"/>
          <w:szCs w:val="21"/>
        </w:rPr>
        <w:t xml:space="preserve">data lakehouse de sala de aula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: execução local, sem dependência de infraestrutura externa, com dialeto SQL analítico completo (funções de janela,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quantile_cont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CTEs).</w:t>
      </w:r>
    </w:p>
    <w:p>
      <w:pPr>
        <w:spacing w:after="60"/>
      </w:pP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500"/>
        <w:gridCol w:w="2760"/>
        <w:gridCol w:w="51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76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Objeto</w:t>
            </w:r>
          </w:p>
        </w:tc>
        <w:tc>
          <w:tcPr>
            <w:tcW w:type="dxa" w:w="51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raw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raw.sales (tabela)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cópia fiel do CSV, sem transformação — preserva a evidência original</w:t>
            </w:r>
          </w:p>
        </w:tc>
      </w:tr>
      <w:tr>
        <w:tc>
          <w:tcPr>
            <w:tcW w:type="dxa" w:w="15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staging</w:t>
            </w:r>
          </w:p>
        </w:tc>
        <w:tc>
          <w:tcPr>
            <w:tcW w:type="dxa" w:w="27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stg.sales (view)</w:t>
            </w:r>
          </w:p>
        </w:tc>
        <w:tc>
          <w:tcPr>
            <w:tcW w:type="dxa" w:w="51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parse multiformato de datas, cast de tipos, normalização inicial de canal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gold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gold.sales_clean (tabela)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dados corrigidos e auditáveis, materializados só após aprovação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camada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stg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é deliberadamente uma </w:t>
      </w:r>
      <w:r>
        <w:rPr>
          <w:rFonts w:ascii="Calibri" w:cs="Calibri" w:eastAsia="Calibri" w:hAnsi="Calibri"/>
          <w:i/>
          <w:iCs/>
          <w:color w:val="0B0B0B"/>
          <w:sz w:val="21"/>
          <w:szCs w:val="21"/>
        </w:rPr>
        <w:t xml:space="preserve">view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não uma tabela: garante que qualquer reexecução parta sempre do dado bruto e torna impossível que uma correção parcial se acumule silenciosamente entre rodadas.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Sobre essa base,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LangChain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fornece as ferramentas SQL controladas,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CrewAI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orquestra cinco agentes em processo sequencial, e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OpenAI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provê os modelos de raciocínio (gpt-4o para decisões de coordenação e revisão; gpt-4o-mini para as tarefas analíticas e de geração de SQL, onde o custo por token importa mais que a profundidade).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4. Papéis dos agentes e entregáveis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separação de responsabilidades é o que evita o antipadrão “um LLM faz tudo”. Cada agente tem missão, ferramentas e critério de aceite próprios, e cada handoff produz um artefato inspecionável em disco:</w:t>
      </w:r>
    </w:p>
    <w:p>
      <w:pPr>
        <w:spacing w:after="60"/>
      </w:pP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560"/>
        <w:gridCol w:w="1800"/>
        <w:gridCol w:w="3900"/>
        <w:gridCol w:w="3100"/>
      </w:tblGrid>
      <w:tr>
        <w:trPr>
          <w:tblHeader/>
        </w:trPr>
        <w:tc>
          <w:tcPr>
            <w:tcW w:type="dxa" w:w="56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39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Missão</w:t>
            </w:r>
          </w:p>
        </w:tc>
        <w:tc>
          <w:tcPr>
            <w:tcW w:type="dxa" w:w="31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Entregável</w:t>
            </w:r>
          </w:p>
        </w:tc>
      </w:tr>
      <w:tr>
        <w:tc>
          <w:tcPr>
            <w:tcW w:type="dxa" w:w="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T0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Consolidar sintomas, priorizar e delegar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reports/plan.json</w:t>
            </w:r>
          </w:p>
        </w:tc>
      </w:tr>
      <w:tr>
        <w:tc>
          <w:tcPr>
            <w:tcW w:type="dxa" w:w="5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T1</w:t>
            </w:r>
          </w:p>
        </w:tc>
        <w:tc>
          <w:tcPr>
            <w:tcW w:type="dxa" w:w="18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Analyst</w:t>
            </w:r>
          </w:p>
        </w:tc>
        <w:tc>
          <w:tcPr>
            <w:tcW w:type="dxa" w:w="3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Responder “é sazonalidade ou bug?” com evidência</w:t>
            </w:r>
          </w:p>
        </w:tc>
        <w:tc>
          <w:tcPr>
            <w:tcW w:type="dxa" w:w="31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reports/analysis_findings.json</w:t>
            </w:r>
          </w:p>
        </w:tc>
      </w:tr>
      <w:tr>
        <w:tc>
          <w:tcPr>
            <w:tcW w:type="dxa" w:w="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T2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DataEngineer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Gerar SQL de correção seguro e idempotente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reports/patch.sql</w:t>
            </w:r>
          </w:p>
        </w:tc>
      </w:tr>
      <w:tr>
        <w:tc>
          <w:tcPr>
            <w:tcW w:type="dxa" w:w="5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T3</w:t>
            </w:r>
          </w:p>
        </w:tc>
        <w:tc>
          <w:tcPr>
            <w:tcW w:type="dxa" w:w="18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Validator</w:t>
            </w:r>
          </w:p>
        </w:tc>
        <w:tc>
          <w:tcPr>
            <w:tcW w:type="dxa" w:w="3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Executar dry-run e medir impacto real</w:t>
            </w:r>
          </w:p>
        </w:tc>
        <w:tc>
          <w:tcPr>
            <w:tcW w:type="dxa" w:w="31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reports/validation_report.json</w:t>
            </w:r>
          </w:p>
        </w:tc>
      </w:tr>
      <w:tr>
        <w:tc>
          <w:tcPr>
            <w:tcW w:type="dxa" w:w="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T4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Reviewer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Emitir parecer de causa raiz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reports/RCA_report.md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rastreabilidade decorre dessa granularidade: o raciocínio não fica preso num único bloco de texto do modelo, mas dividido em cinco entregáveis versionáveis que podem ser auditados, comparados entre execuções e discutidos individualmente.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5. Diagnóstico: sazonalidade de negócio × bug de dados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agente Analyst recebe a ferramenta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seasonality_evidence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que devolve a série diária com média móvel de 7 dias, comparação </w:t>
      </w:r>
      <w:r>
        <w:rPr>
          <w:rFonts w:ascii="Calibri" w:cs="Calibri" w:eastAsia="Calibri" w:hAnsi="Calibri"/>
          <w:i/>
          <w:iCs/>
          <w:color w:val="0B0B0B"/>
          <w:sz w:val="21"/>
          <w:szCs w:val="21"/>
        </w:rPr>
        <w:t xml:space="preserve">week-over-week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e — o discriminante decisivo — a contagem de linhas excedentes por dia (diferença entre linhas e pedidos distintos). O modelo não estima esses números: ele os consulta.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Figura 1 — Série diária de julho/2025. Os dois eventos têm assinaturas opostas.</w:t>
      </w:r>
    </w:p>
    <w:p>
      <w:pPr>
        <w:spacing w:after="60"/>
      </w:pP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900"/>
        <w:gridCol w:w="1000"/>
        <w:gridCol w:w="1900"/>
        <w:gridCol w:w="1900"/>
        <w:gridCol w:w="1660"/>
        <w:gridCol w:w="20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type="dxa" w:w="10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Linhas</w:t>
            </w:r>
          </w:p>
        </w:tc>
        <w:tc>
          <w:tcPr>
            <w:tcW w:type="dxa" w:w="19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Pedidos distintos</w:t>
            </w:r>
          </w:p>
        </w:tc>
        <w:tc>
          <w:tcPr>
            <w:tcW w:type="dxa" w:w="19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Linhas excedentes</w:t>
            </w:r>
          </w:p>
        </w:tc>
        <w:tc>
          <w:tcPr>
            <w:tcW w:type="dxa" w:w="166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Desvio vs. MM7</w:t>
            </w:r>
          </w:p>
        </w:tc>
        <w:tc>
          <w:tcPr>
            <w:tcW w:type="dxa" w:w="20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Veredito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09/07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39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39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  <w:tc>
          <w:tcPr>
            <w:tcW w:type="dxa" w:w="1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−30,7%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Negócio (feriado)</w:t>
            </w:r>
          </w:p>
        </w:tc>
      </w:tr>
      <w:tr>
        <w:tc>
          <w:tcPr>
            <w:tcW w:type="dxa" w:w="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15/07</w:t>
            </w:r>
          </w:p>
        </w:tc>
        <w:tc>
          <w:tcPr>
            <w:tcW w:type="dxa" w:w="10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83</w:t>
            </w:r>
          </w:p>
        </w:tc>
        <w:tc>
          <w:tcPr>
            <w:tcW w:type="dxa" w:w="1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57</w:t>
            </w:r>
          </w:p>
        </w:tc>
        <w:tc>
          <w:tcPr>
            <w:tcW w:type="dxa" w:w="1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26</w:t>
            </w:r>
          </w:p>
        </w:tc>
        <w:tc>
          <w:tcPr>
            <w:tcW w:type="dxa" w:w="16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+59,6%</w:t>
            </w:r>
          </w:p>
        </w:tc>
        <w:tc>
          <w:tcPr>
            <w:tcW w:type="dxa" w:w="20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Bug (double ingestion)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leitura é inequívoca. Em 09/07 o volume cai 30,7% abaixo da média móvel, mas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cada pedido aparece exatamente uma vez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— não há duplicidade. Menos vendas, dados íntegros: é o negócio. Em 15/07 o volume sobe 59,6%, e das 83 linhas apenas 57 correspondem a pedidos distintos; as 26 excedentes são reingestões do mesmo pedido no mesmo dia. Mais linhas, mesmos pedidos: é defeito de pipeline.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consequência operacional é assimétrica e merece destaque: 15/07 deve ser deduplicado; 09/07 não deve ser tocado. Aplicar “correção” a uma queda legítima destruiria a evidência de um efeito real de calendário e comprometeria qualquer previsão de demanda construída sobre esses dados.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6. Label drift no campo de canal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campo channel chega da origem com 11 grafias distintas para três canais reais. A normalização feita na staging (minúsculas, hífen e espaço convertidos em underscore) resolve a maior parte, mas deixa três variantes fora do domínio válido, somando 1.442 linhas — 28% da base.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Figura 2 — Distribuição dos rótulos brutos de canal. Em laranja, os que a normalização inicial não resolve.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As variantes remanescentes —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market_place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store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on_line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— exigem mapeamento explícito por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CASE WHEN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no patch. Sem isso, qualquer agregação por canal reporta seis segmentos onde existem três, e a participação de mercado de cada canal fica sistematicamente subestimada.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7. Patch de remediação e decisões de design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patch materializa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gold.sales_clean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a partir de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stg.sales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com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CREATE OR REPLACE TABLE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— idempotente por construção. Cinco decisões de design merecem justificativa: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Deduplicação com ORDER BY determinístico.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A remoção usa ROW_NUMBER() particionado por (order_id, date_parsed), mantendo rn = 1. O ponto sutil: sem uma cláusula ORDER BY determinística, qual das duplicatas sobrevive varia entre execuções, e o patch deixa de ser reprodutível. Ordena-se por todas as colunas de negócio, garantindo o mesmo resultado em qualquer rodada.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Winsorização em vez de remoção de outliers.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Valores de unit_price são limitados ao intervalo [P01, P99] = [33,87; 229,28] com clamp explícito, e preços ≤ 0 recebem P01. Remover os extremos reduziria a massa de dados e distorceria o volume de vendas; limitar preserva a linha e contém o efeito do outlier sobre médias e somas.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customer_id ausente permanece NULL.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Imputar um identificador de cliente criaria dado falso com aparência de dado verdadeiro — o pior resultado possível para uma análise de recorrência ou LTV. Um nulo explícito é informação; um identificador inventado é contaminação silenciosa.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Canal desconhecido vira NULL, não um bucket-padrão.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Forçar rótulo não reconhecido para “online” — como fazia uma implementação anterior — mascara o surgimento de um canal novo. O nulo obriga a investigação; o bucket-padrão a esconde.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Flags de auditoria na própria tabela.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As colunas booleanas was_winsorized e was_relabeled registram quais linhas o patch alterou, permitindo medir o efeito da correção sem reprocessar o pipeline. Na execução documentada: 149 linhas winsorizadas e 1.434 rerrotuladas.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8. Governança: guardrails e human-in-the-loop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segurança do workflow é organizada em quatro camadas independentes, de modo que a falha de uma não compromete o conjunto.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8.1 Guardrails estáticos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Antes de qualquer execução, o SQL gerado passa por análise de padrões que bloqueia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DROP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ALTER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UPDATE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DELETE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sobre raw e stg, além de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ATTACH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DETACH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PRAGMA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VACUUM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. Exige-se também a presença dos elementos obrigatórios (CREATE OR REPLACE e ROW_NUMBER) e detectam-se colunas inexistentes — um erro recorrente do modelo, discutido na Seção 9.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8.2 Dry-run em sandbox reversível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patch é reescrito para apontar a uma tabela temporária e executado dentro de uma transação encerrada com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ROLLBACK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. O banco real nunca é tocado durante a validação, mas as métricas resultantes são medidas sobre a execução verdadeira do SQL — não estimadas por um modelo. Se o SQL não compila, o erro do DuckDB retorna ao agente para correção.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8.3 Gates de aceite quantitativos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resultado do dry-run é confrontado com cinco critérios objetivos; qualquer reprovação impede a aplicação:</w:t>
      </w:r>
    </w:p>
    <w:p>
      <w:pPr>
        <w:spacing w:after="60"/>
      </w:pP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900"/>
        <w:gridCol w:w="4560"/>
        <w:gridCol w:w="190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456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19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dedupe_zerou_duplicatas</w:t>
            </w:r>
          </w:p>
        </w:tc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dup_est = 0 na gold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passou</w:t>
            </w:r>
          </w:p>
        </w:tc>
      </w:tr>
      <w:tr>
        <w:tc>
          <w:tcPr>
            <w:tcW w:type="dxa" w:w="2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p99_nao_aumentou</w:t>
            </w:r>
          </w:p>
        </w:tc>
        <w:tc>
          <w:tcPr>
            <w:tcW w:type="dxa" w:w="45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P99 da gold ≤ P99 da staging</w:t>
            </w:r>
          </w:p>
        </w:tc>
        <w:tc>
          <w:tcPr>
            <w:tcW w:type="dxa" w:w="1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passou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canal_dentro_do_dominio</w:t>
            </w:r>
          </w:p>
        </w:tc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nenhum rótulo fora de {online, in_store, marketplace}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passou</w:t>
            </w:r>
          </w:p>
        </w:tc>
      </w:tr>
      <w:tr>
        <w:tc>
          <w:tcPr>
            <w:tcW w:type="dxa" w:w="2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customer_id_nao_inventado</w:t>
            </w:r>
          </w:p>
        </w:tc>
        <w:tc>
          <w:tcPr>
            <w:tcW w:type="dxa" w:w="45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nulos preservados, não imputados</w:t>
            </w:r>
          </w:p>
        </w:tc>
        <w:tc>
          <w:tcPr>
            <w:tcW w:type="dxa" w:w="1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passou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perda_de_linhas_aceitavel</w:t>
            </w:r>
          </w:p>
        </w:tc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redução de linhas ≤ 20%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passou (0,51%)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8.4 Aprovação humana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Com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REQUIRE_HUMAN_APPROVAL = True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, o SQL é salvo em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reports/patch.sql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e o fluxo para. A materialização em gold exige comando explícito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python -m src.apply_patch --approve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), o que preserva o ponto de controle humano exatamente onde a ação se torna irreversível.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9. Auditoria da execução original: falhas e correções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primeira execução do projeto concluiu sem erro aparente e produziu todos os cinco artefatos. Uma inspeção detalhada, porém, revelou que nenhum deles era utilizável. Essa seção documenta as falhas e as correções aplicadas, por serem o aprendizado mais transferível do trabalho.</w:t>
      </w:r>
    </w:p>
    <w:p>
      <w:pPr>
        <w:spacing w:after="60"/>
      </w:pP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900"/>
        <w:gridCol w:w="3100"/>
        <w:gridCol w:w="336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Falha observada</w:t>
            </w:r>
          </w:p>
        </w:tc>
        <w:tc>
          <w:tcPr>
            <w:tcW w:type="dxa" w:w="31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raiz</w:t>
            </w:r>
          </w:p>
        </w:tc>
        <w:tc>
          <w:tcPr>
            <w:tcW w:type="dxa" w:w="336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Correção implementada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Todos os JSON e o SQL gravados dentro de cercas markdown (```json), tornando-os inválidos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Nenhum pós-processamento entre a saída do modelo e o arquivo em disco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Módulo postprocess.py registrado como callback de cada Task: remove cercas, extrai o JSON balanceado e valida o schema</w:t>
            </w:r>
          </w:p>
        </w:tc>
      </w:tr>
      <w:tr>
        <w:tc>
          <w:tcPr>
            <w:tcW w:type="dxa" w:w="2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patch.sql referenciando as colunas created_at e channel, inexistentes na staging</w:t>
            </w:r>
          </w:p>
        </w:tc>
        <w:tc>
          <w:tcPr>
            <w:tcW w:type="dxa" w:w="31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Prompt não informava o esquema real; o modelo preencheu com convenções plausíveis</w:t>
            </w:r>
          </w:p>
        </w:tc>
        <w:tc>
          <w:tcPr>
            <w:tcW w:type="dxa" w:w="33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Contrato de dados explícito nas descrições das Tasks + detector de colunas inexistentes nos guardrails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Percentis inventados (P01 = 10, P99 = 1000) contra os reais (33,87 e 229,28)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 baseline existia em disco mas não chegava ao agente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Valores medidos injetados no prompt e disponibilizados como ferramenta consultável</w:t>
            </w:r>
          </w:p>
        </w:tc>
      </w:tr>
      <w:tr>
        <w:tc>
          <w:tcPr>
            <w:tcW w:type="dxa" w:w="2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INSERT INTO em tabela inexistente, violando o requisito de idempotência</w:t>
            </w:r>
          </w:p>
        </w:tc>
        <w:tc>
          <w:tcPr>
            <w:tcW w:type="dxa" w:w="31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Requisito declarado no prompt mas nunca verificado</w:t>
            </w:r>
          </w:p>
        </w:tc>
        <w:tc>
          <w:tcPr>
            <w:tcW w:type="dxa" w:w="33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Guardrail de requisitos obrigatórios exige CREATE OR REPLACE e ROW_NUMBER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validation_report.json com impacto descrito em prosa, sem número algum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 Validator não tinha ferramenta de execução — só podia descrever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Ferramenta de dry-run entregue ao agente e obrigatória na descrição da Task</w:t>
            </w:r>
          </w:p>
        </w:tc>
      </w:tr>
      <w:tr>
        <w:tc>
          <w:tcPr>
            <w:tcW w:type="dxa" w:w="2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RCA declarando “APROVADO: correções implementadas com sucesso” sem nada ter sido aplicado</w:t>
            </w:r>
          </w:p>
        </w:tc>
        <w:tc>
          <w:tcPr>
            <w:tcW w:type="dxa" w:w="31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O Reviewer não tinha acesso ao estado real de aplicação</w:t>
            </w:r>
          </w:p>
        </w:tc>
        <w:tc>
          <w:tcPr>
            <w:tcW w:type="dxa" w:w="33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Regra de honestidade no prompt + gerador determinístico de RCA a partir das métricas medidas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tools.py inteiro sem uso: nenhum agente recebia ferramentas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Módulo escrito mas nunca conectado ao crew</w:t>
            </w:r>
          </w:p>
        </w:tc>
        <w:tc>
          <w:tcPr>
            <w:tcW w:type="dxa" w:w="3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Ferramentas atribuídas por papel: Analyst, DataEngineer e Validator</w:t>
            </w:r>
          </w:p>
        </w:tc>
      </w:tr>
      <w:tr>
        <w:tc>
          <w:tcPr>
            <w:tcW w:type="dxa" w:w="29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gold.sales_clean construída por um script que contornava os agentes</w:t>
            </w:r>
          </w:p>
        </w:tc>
        <w:tc>
          <w:tcPr>
            <w:tcW w:type="dxa" w:w="31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Contorno adotado para destravar a entrega quando o patch do agente falhava</w:t>
            </w:r>
          </w:p>
        </w:tc>
        <w:tc>
          <w:tcPr>
            <w:tcW w:type="dxa" w:w="33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Patch de referência determinístico como fallback auditado, com o patch rejeitado preservado em disco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Há um padrão comum a essas oito falhas: em todos os casos </w:t>
      </w: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o modelo produziu texto plausível na ausência de verificação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. Nenhuma delas se resolve com um prompt melhor — todas se resolvem com um verificador determinístico entre a saída do modelo e o efeito no mundo. É o mesmo princípio de engenharia que separa um schema validado de um contrato apenas documentado.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Vale registrar também a decisão de projeto sobre o fallback. Quando o patch do agente não executa em dry-run, o pipeline não falha nem finge sucesso: adota o patch de referência determinístico, preserva o SQL rejeitado em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reports/patch_agent_rejected.sql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e registra o acionamento em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reports/fallback_notice.json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. Degradação graciosa com trilha de auditoria, em vez de silêncio.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10. Resultados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Métricas medidas no DuckDB antes e depois da aplicação do patch, com aprovação humana concedida:</w:t>
      </w:r>
    </w:p>
    <w:p>
      <w:pPr>
        <w:spacing w:after="60"/>
      </w:pP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3200"/>
        <w:gridCol w:w="2100"/>
        <w:gridCol w:w="2500"/>
        <w:gridCol w:w="15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1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BEFORE (stg.sales)</w:t>
            </w:r>
          </w:p>
        </w:tc>
        <w:tc>
          <w:tcPr>
            <w:tcW w:type="dxa" w:w="250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AFTER (gold.sales_clean)</w:t>
            </w:r>
          </w:p>
        </w:tc>
        <w:tc>
          <w:tcPr>
            <w:tcW w:type="dxa" w:w="1560"/>
            <w:shd w:fill="1F386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Δ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Linhas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5.117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5.091</w:t>
            </w:r>
          </w:p>
        </w:tc>
        <w:tc>
          <w:tcPr>
            <w:tcW w:type="dxa" w:w="1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−26</w:t>
            </w:r>
          </w:p>
        </w:tc>
      </w:tr>
      <w:tr>
        <w:tc>
          <w:tcPr>
            <w:tcW w:type="dxa" w:w="32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Duplicatas por (order_id, data)</w:t>
            </w:r>
          </w:p>
        </w:tc>
        <w:tc>
          <w:tcPr>
            <w:tcW w:type="dxa" w:w="21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26</w:t>
            </w:r>
          </w:p>
        </w:tc>
        <w:tc>
          <w:tcPr>
            <w:tcW w:type="dxa" w:w="25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−26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unit_price ≤ 0 ou nulo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51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−51</w:t>
            </w:r>
          </w:p>
        </w:tc>
      </w:tr>
      <w:tr>
        <w:tc>
          <w:tcPr>
            <w:tcW w:type="dxa" w:w="32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Linhas com canal fora do domínio</w:t>
            </w:r>
          </w:p>
        </w:tc>
        <w:tc>
          <w:tcPr>
            <w:tcW w:type="dxa" w:w="21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1.442</w:t>
            </w:r>
          </w:p>
        </w:tc>
        <w:tc>
          <w:tcPr>
            <w:tcW w:type="dxa" w:w="25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−1.442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Rótulos distintos de canal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−3</w:t>
            </w:r>
          </w:p>
        </w:tc>
      </w:tr>
      <w:tr>
        <w:tc>
          <w:tcPr>
            <w:tcW w:type="dxa" w:w="32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customer_id ausente</w:t>
            </w:r>
          </w:p>
        </w:tc>
        <w:tc>
          <w:tcPr>
            <w:tcW w:type="dxa" w:w="21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88</w:t>
            </w:r>
          </w:p>
        </w:tc>
        <w:tc>
          <w:tcPr>
            <w:tcW w:type="dxa" w:w="25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88</w:t>
            </w:r>
          </w:p>
        </w:tc>
        <w:tc>
          <w:tcPr>
            <w:tcW w:type="dxa" w:w="15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0 (preservado)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P01 de unit_price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33,87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36,92</w:t>
            </w:r>
          </w:p>
        </w:tc>
        <w:tc>
          <w:tcPr>
            <w:tcW w:type="dxa" w:w="1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+3,05</w:t>
            </w:r>
          </w:p>
        </w:tc>
      </w:tr>
      <w:tr>
        <w:tc>
          <w:tcPr>
            <w:tcW w:type="dxa" w:w="32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P99 de unit_price</w:t>
            </w:r>
          </w:p>
        </w:tc>
        <w:tc>
          <w:tcPr>
            <w:tcW w:type="dxa" w:w="21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229,28</w:t>
            </w:r>
          </w:p>
        </w:tc>
        <w:tc>
          <w:tcPr>
            <w:tcW w:type="dxa" w:w="250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226,82</w:t>
            </w:r>
          </w:p>
        </w:tc>
        <w:tc>
          <w:tcPr>
            <w:tcW w:type="dxa" w:w="1560"/>
            <w:shd w:fill="F2F4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  <w:jc w:val="right"/>
            </w:pPr>
            <w:r>
              <w:rPr>
                <w:rFonts w:ascii="Calibri" w:cs="Calibri" w:eastAsia="Calibri" w:hAnsi="Calibri"/>
                <w:color w:val="0B0B0B"/>
                <w:sz w:val="19"/>
                <w:szCs w:val="19"/>
              </w:rPr>
              <w:t xml:space="preserve">−2,46</w:t>
            </w:r>
          </w:p>
        </w:tc>
      </w:tr>
    </w:tbl>
    <w:p>
      <w:pPr>
        <w:spacing w:after="16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perda total de linhas é de 0,51% — exatamente as 26 duplicatas, nada além disso. O deslocamento dos percentis é o efeito esperado da winsorização e da eliminação dos preços zerados: o P01 sobe porque os zeros deixam de puxar a cauda inferior; o P99 desce porque os extremos superiores foram limitados.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ponto de maior valor analítico, porém, é o que </w:t>
      </w:r>
      <w:r>
        <w:rPr>
          <w:rFonts w:ascii="Calibri" w:cs="Calibri" w:eastAsia="Calibri" w:hAnsi="Calibri"/>
          <w:b/>
          <w:bCs/>
          <w:i/>
          <w:iCs/>
          <w:color w:val="0B0B0B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 mudou. As vendas de 09/07 permanecem intactas na camada gold, e os 88 registros sem cliente continuam nulos. O workflow corrigiu defeito sem apagar fato — que era, desde o início, o critério real de sucesso.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11. Limitações e próximos passos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 correção trata o sintoma, não a causa.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A deduplicação limpa a camada gold, mas a duplicidade continuará chegando enquanto a ingestão não tiver chave idempotente — uma constraint única em (order_id, date_parsed) ou uma operação MERGE no lugar do append.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As checagens deveriam ser contratos, não relatórios.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Hoje o baseline informa; deveria bloquear. Promover as verificações a testes de contrato executados a cada carga, com falha do pipeline quando duplicatas ou rótulos fora do domínio aparecem, transforma diagnóstico em prevenção.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Feriados deveriam ser dimensão, não conhecimento tácito.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O sistema depende de um agente inferir que 09/07 é feriado em SP. Uma tabela de calendário tornaria a explicação automática e auditável, além de eliminar uma classe inteira de falso positivo.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Winsorizar com limites móveis pode mascarar mudança real.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Se os percentis são recalculados a cada carga, uma elevação legítima de patamar de preço será absorvida como se fosse ruído. Monitorar a série de P01 e P99 ao longo do tempo é condição para usar a técnica com segurança.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Custo e determinismo do componente LLM.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Cada execução completa consome tokens e não é reprodutível bit a bit. Para uso recorrente, o caminho é fixar as partes determinísticas em código e reservar o LLM para a interpretação e a narrativa — que é exatamente onde ele agrega valor sobre uma regra.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12. Conclusão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O projeto demonstra que a viabilidade de agentes autônomos em engenharia de dados depende menos da capacidade do modelo e mais da qualidade das cercas construídas ao redor dele. O mesmo LLM que, sem verificação, inventou percentis, referenciou colunas inexistentes e declarou concluída uma correção jamais aplicada, produz resultado confiável quando cada saída passa por um verificador determinístico e cada ação irreversível exige aprovação humana.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A distinção entre sazonalidade e bug — o núcleo conceitual do exercício — só se tornou confiável quando deixou de ser uma inferência do modelo e passou a ser uma consulta a evidência quantitativa. Essa é a lição transferível para ambientes regulados como saúde, farmacêutico e financeiro: o agente decide o que fazer, mas a verificação de que o que ele fez está correto não pode ser delegada ao próprio agente.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Referências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CHASE, H. LangChain Documentation. 2025. Disponível em: https://python.langchain.com/. Acesso em: 10 set. 2026.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CREWAI. CrewAI Documentation. 2025. Disponível em: https://docs.crewai.com/. Acesso em: 10 set. 2026.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DUCKDB FOUNDATION. DuckDB Documentation. 2025. Disponível em: https://duckdb.org/docs/. Acesso em: 10 set. 2026.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RODRIGUES, T. A. LLM’s — Engenharias Avançadas. Material didático da disciplina, 2025.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VASWANI, A. et al. Attention is All You Need. Advances in Neural Information Processing Systems, v. 30, p. 5998–6008, 2017.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ZHOU, J. et al. LLMOps: Operationalizing Large Language Models. arXiv preprint, 2023. Disponível em: https://arxiv.org/abs/2309.09560. Acesso em: 10 set.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18" w:hanging="345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18" w:hanging="34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816b4097ec1022abf130ed9f6e3090b4b201f9.png"/><Relationship Id="rId9" Type="http://schemas.openxmlformats.org/officeDocument/2006/relationships/image" Target="media/056105f5a6a9860efc1a8d9e52a25a1c74f038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Data Quality Workflow — Módulo 7</dc:title>
  <dc:creator>Raphael Costa</dc:creator>
  <cp:lastModifiedBy>Un-named</cp:lastModifiedBy>
  <cp:revision>1</cp:revision>
  <dcterms:created xsi:type="dcterms:W3CDTF">2026-09-10T19:46:08.887Z</dcterms:created>
  <dcterms:modified xsi:type="dcterms:W3CDTF">2026-09-10T19:46:08.888Z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