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rtl w:val="off"/>
          <w:lang w:val="en-US"/>
        </w:rPr>
      </w:pPr>
      <w:r>
        <w:rPr/>
        <w:drawing xmlns:mc="http://schemas.openxmlformats.org/markup-compatibility/2006">
          <wp:inline>
            <wp:extent cx="5731510" cy="2423160"/>
            <wp:effectExtent l="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5731510" cy="5566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5731510" cy="5409565"/>
            <wp:effectExtent l="0" t="0" r="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36"/>
          <w:szCs w:val="36"/>
          <w:lang w:val="en-US"/>
        </w:rPr>
      </w:pPr>
      <w:r>
        <w:rPr>
          <w:rFonts w:ascii="Segoe UI"/>
          <w:color w:val="000000"/>
          <w:sz w:val="36"/>
          <w:szCs w:val="36"/>
          <w:rtl w:val="off"/>
          <w:lang w:val="en-US"/>
        </w:rPr>
        <w:t xml:space="preserve">I dati vengono incapsulati in pacchetti IP (livello 3) e frame (livello 2) con indirizzi IP e MAC. </w:t>
      </w:r>
      <w:r>
        <w:rPr>
          <w:rFonts w:ascii="Segoe UI"/>
          <w:color w:val="000000"/>
          <w:sz w:val="36"/>
          <w:szCs w:val="36"/>
          <w:rtl w:val="off"/>
          <w:lang w:val="en-US"/>
        </w:rPr>
        <w:t>I pacchetti vengono inoltrati tramite router che determinano il percorso migliore.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36"/>
          <w:szCs w:val="36"/>
          <w:rtl w:val="off"/>
          <w:lang w:val="en-US"/>
        </w:rPr>
      </w:pPr>
      <w:r>
        <w:rPr>
          <w:rFonts w:ascii="Segoe UI"/>
          <w:color w:val="000000"/>
          <w:sz w:val="36"/>
          <w:szCs w:val="36"/>
          <w:rtl w:val="off"/>
          <w:lang w:val="en-US"/>
        </w:rPr>
        <w:t>Alla destinazione, il pacchetto viene decapsulato e consegnato all'applicazione finale</w:t>
      </w:r>
    </w:p>
    <w:p w14:paraId="0000000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/>
      </w:pPr>
      <w:r>
        <w:rPr/>
        <w:drawing xmlns:mc="http://schemas.openxmlformats.org/markup-compatibility/2006">
          <wp:inline>
            <wp:extent cx="5731510" cy="2965450"/>
            <wp:effectExtent l="0" t="0" r="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5731510" cy="569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5731510" cy="4957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5731510" cy="5151755"/>
            <wp:effectExtent l="0" t="0" r="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footnotePr/>
  <w:endnotePr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