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Override PartName="/word/theme/theme1.xml" ContentType="application/vnd.openxmlformats-officedocument.theme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app.xml" ContentType="application/vnd.openxmlformats-officedocument.extended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a="http://schemas.openxmlformats.org/drawingml/2006/main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pi="http://schemas.microsoft.com/office/word/2010/wordprocessingInk" xmlns:aink="http://schemas.microsoft.com/office/drawing/2016/ink" xmlns:dgm="http://schemas.openxmlformats.org/drawingml/2006/diagram" mc:Ignorable="w14 wp14 ">
  <w:body>
    <w:p w14:paraId="00000001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  <w:lang w:val="it-IT"/>
        </w:rPr>
        <w:t>Per creare una regola Firewall</w:t>
      </w:r>
    </w:p>
    <w:p w14:paraId="00000002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  <w:lang w:val="it-IT"/>
        </w:rPr>
        <w:t>1 ho cercare l'indirizzo IP di metasploitable</w:t>
      </w:r>
    </w:p>
    <w:p w14:paraId="00000003">
      <w:pPr>
        <w:rPr>
          <w:b/>
          <w:bCs/>
          <w:sz w:val="40"/>
          <w:szCs w:val="40"/>
          <w:lang w:val="it-IT"/>
        </w:rPr>
      </w:pPr>
      <w:r>
        <w:rPr>
          <w:b/>
          <w:bCs/>
          <w:sz w:val="40"/>
          <w:szCs w:val="40"/>
        </w:rPr>
        <w:drawing xmlns:mc="http://schemas.openxmlformats.org/markup-compatibility/2006">
          <wp:inline distT="0" distB="0" distL="0" distR="0">
            <wp:extent cx="5731510" cy="3111500"/>
            <wp:effectExtent l="0" t="0" r="0" b="0"/>
            <wp:docPr id="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Grp="0" noSelect="0" noChangeAspect="1" noMove="0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4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  <w:lang w:val="it-IT"/>
        </w:rPr>
        <w:t>2 aprire Pfsenses</w:t>
      </w:r>
    </w:p>
    <w:p w14:paraId="00000005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drawing xmlns:mc="http://schemas.openxmlformats.org/markup-compatibility/2006">
          <wp:inline distT="0" distB="0" distL="0" distR="0">
            <wp:extent cx="4389120" cy="1818640"/>
            <wp:effectExtent l="0" t="0" r="0" b="0"/>
            <wp:docPr id="1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Grp="0" noSelect="0" noChangeAspect="1" noMove="0"/>
                    </pic:cNvPicPr>
                  </pic:nvPicPr>
                  <pic:blipFill>
                    <a:blip r:embed="rId16"/>
                    <a:srcRect b="49209"/>
                    <a:stretch/>
                  </pic:blipFill>
                  <pic:spPr>
                    <a:xfrm>
                      <a:off x="0" y="0"/>
                      <a:ext cx="4389120" cy="181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6">
      <w:pPr>
        <w:rPr>
          <w:b/>
          <w:bCs/>
          <w:sz w:val="40"/>
          <w:szCs w:val="40"/>
          <w:lang w:val="it-IT"/>
        </w:rPr>
      </w:pPr>
      <w:r>
        <w:rPr>
          <w:b/>
          <w:bCs/>
          <w:sz w:val="40"/>
          <w:szCs w:val="40"/>
        </w:rPr>
        <w:drawing xmlns:mc="http://schemas.openxmlformats.org/markup-compatibility/2006">
          <wp:inline distT="0" distB="0" distL="0" distR="0">
            <wp:extent cx="2399030" cy="1167130"/>
            <wp:effectExtent l="0" t="0" r="0" b="0"/>
            <wp:docPr id="1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Grp="0" noSelect="0" noChangeAspect="1" noMove="0"/>
                    </pic:cNvPicPr>
                  </pic:nvPicPr>
                  <pic:blipFill>
                    <a:blip r:embed="rId17"/>
                    <a:srcRect l="16452" r="41707" b="50251"/>
                    <a:stretch/>
                  </pic:blipFill>
                  <pic:spPr>
                    <a:xfrm>
                      <a:off x="0" y="0"/>
                      <a:ext cx="2399030" cy="116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40"/>
          <w:szCs w:val="40"/>
          <w:lang w:val="it-IT"/>
        </w:rPr>
        <w:drawing xmlns:mc="http://schemas.openxmlformats.org/markup-compatibility/2006">
          <wp:inline>
            <wp:extent cx="4389120" cy="139001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"/>
                    <pic:cNvPicPr>
                      <a:picLocks noGrp="0" noSelect="0" noChangeAspect="1" noMove="0"/>
                    </pic:cNvPicPr>
                  </pic:nvPicPr>
                  <pic:blipFill>
                    <a:blip r:embed="rId18"/>
                    <a:srcRect l="-217" t="52082" r="217" b="-897"/>
                    <a:stretch/>
                  </pic:blipFill>
                  <pic:spPr>
                    <a:xfrm>
                      <a:off x="0" y="0"/>
                      <a:ext cx="4389120" cy="139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7">
      <w:pPr>
        <w:rPr>
          <w:b/>
          <w:bCs/>
          <w:sz w:val="40"/>
          <w:szCs w:val="40"/>
          <w:lang w:val="it-IT"/>
        </w:rPr>
      </w:pPr>
    </w:p>
    <w:p w14:paraId="00000008">
      <w:pPr>
        <w:rPr>
          <w:b/>
          <w:bCs/>
          <w:sz w:val="40"/>
          <w:szCs w:val="40"/>
          <w:lang w:val="it-IT"/>
        </w:rPr>
      </w:pPr>
      <w:r>
        <w:rPr>
          <w:b/>
          <w:bCs/>
          <w:sz w:val="40"/>
          <w:szCs w:val="40"/>
          <w:lang w:val="it-IT"/>
        </w:rPr>
        <w:t>3 .</w:t>
      </w:r>
      <w:r>
        <w:rPr>
          <w:b/>
          <w:bCs/>
          <w:sz w:val="40"/>
          <w:szCs w:val="40"/>
          <w:lang w:val="it-IT"/>
        </w:rPr>
        <w:drawing xmlns:mc="http://schemas.openxmlformats.org/markup-compatibility/2006">
          <wp:inline distT="0" distB="0" distL="0" distR="0">
            <wp:extent cx="5731510" cy="1840865"/>
            <wp:effectExtent l="0" t="0" r="0" b="0"/>
            <wp:docPr id="1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Grp="0" noSelect="0" noChangeAspect="1" noMove="0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9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drawing xmlns:mc="http://schemas.openxmlformats.org/markup-compatibility/2006">
          <wp:inline distT="0" distB="0" distL="0" distR="0">
            <wp:extent cx="5731510" cy="1007745"/>
            <wp:effectExtent l="0" t="0" r="0" b="0"/>
            <wp:docPr id="1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Grp="0" noSelect="0" noChangeAspect="1" noMove="0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A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  <w:lang w:val="it-IT"/>
        </w:rPr>
        <w:drawing xmlns:mc="http://schemas.openxmlformats.org/markup-compatibility/2006">
          <wp:inline distT="0" distB="0" distL="0" distR="0">
            <wp:extent cx="5731510" cy="2165350"/>
            <wp:effectExtent l="0" t="0" r="0" b="0"/>
            <wp:docPr id="1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Grp="0" noSelect="0" noChangeAspect="1" noMove="0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B">
      <w:pPr>
        <w:rPr>
          <w:b/>
          <w:bCs/>
          <w:sz w:val="40"/>
          <w:szCs w:val="40"/>
        </w:rPr>
      </w:pPr>
    </w:p>
    <w:p w14:paraId="0000000C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  <w:lang w:val="it-IT"/>
        </w:rPr>
        <w:t>4 .</w:t>
      </w:r>
    </w:p>
    <w:p w14:paraId="0000000D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drawing xmlns:mc="http://schemas.openxmlformats.org/markup-compatibility/2006">
          <wp:inline distT="0" distB="0" distL="0" distR="0">
            <wp:extent cx="2386965" cy="1145540"/>
            <wp:effectExtent l="0" t="0" r="0" b="0"/>
            <wp:docPr id="1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Grp="0" noSelect="0" noChangeAspect="1" noMove="0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86965" cy="114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E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drawing xmlns:mc="http://schemas.openxmlformats.org/markup-compatibility/2006">
          <wp:inline distT="0" distB="0" distL="0" distR="0">
            <wp:extent cx="5731510" cy="2401570"/>
            <wp:effectExtent l="0" t="0" r="0" b="0"/>
            <wp:docPr id="1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Grp="0" noSelect="0" noChangeAspect="1" noMove="0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F">
      <w:pPr>
        <w:rPr>
          <w:b/>
          <w:bCs/>
          <w:sz w:val="40"/>
          <w:szCs w:val="40"/>
        </w:rPr>
      </w:pPr>
    </w:p>
    <w:p w14:paraId="00000010">
      <w:pPr>
        <w:rPr>
          <w:b/>
          <w:bCs/>
          <w:sz w:val="40"/>
          <w:szCs w:val="40"/>
        </w:rPr>
      </w:pPr>
    </w:p>
    <w:p w14:paraId="00000011">
      <w:pPr>
        <w:rPr>
          <w:b/>
          <w:bCs/>
          <w:sz w:val="40"/>
          <w:szCs w:val="40"/>
        </w:rPr>
      </w:pPr>
    </w:p>
    <w:p w14:paraId="00000012">
      <w:pPr>
        <w:rPr>
          <w:b/>
          <w:bCs/>
          <w:sz w:val="40"/>
          <w:szCs w:val="40"/>
        </w:rPr>
      </w:pPr>
    </w:p>
    <w:p w14:paraId="00000013">
      <w:pPr>
        <w:rPr>
          <w:b/>
          <w:bCs/>
          <w:sz w:val="40"/>
          <w:szCs w:val="40"/>
        </w:rPr>
      </w:pPr>
    </w:p>
    <w:p w14:paraId="00000014">
      <w:pPr>
        <w:rPr>
          <w:b/>
          <w:bCs/>
          <w:sz w:val="40"/>
          <w:szCs w:val="40"/>
        </w:rPr>
      </w:pPr>
    </w:p>
    <w:p w14:paraId="00000015">
      <w:pPr>
        <w:rPr>
          <w:b/>
          <w:bCs/>
          <w:sz w:val="40"/>
          <w:szCs w:val="40"/>
        </w:rPr>
      </w:pPr>
    </w:p>
    <w:p w14:paraId="00000016">
      <w:pPr>
        <w:rPr>
          <w:b/>
          <w:bCs/>
          <w:sz w:val="40"/>
          <w:szCs w:val="40"/>
        </w:rPr>
      </w:pPr>
    </w:p>
    <w:p w14:paraId="00000017">
      <w:pPr>
        <w:rPr>
          <w:b/>
          <w:bCs/>
          <w:sz w:val="40"/>
          <w:szCs w:val="40"/>
        </w:rPr>
      </w:pPr>
    </w:p>
    <w:p w14:paraId="00000018">
      <w:pPr>
        <w:rPr>
          <w:b/>
          <w:bCs/>
          <w:sz w:val="38"/>
          <w:szCs w:val="38"/>
        </w:rPr>
      </w:pPr>
      <w:r>
        <w:rPr>
          <w:b/>
          <w:bCs/>
          <w:sz w:val="38"/>
          <w:szCs w:val="38"/>
          <w:lang w:val="it-IT"/>
        </w:rPr>
        <w:t>BONUS: impostare una regola su pfsense per bloccare da kali il telnet verso metasploitable. Facile facile</w:t>
      </w:r>
    </w:p>
    <w:p w14:paraId="00000019">
      <w:pPr>
        <w:rPr>
          <w:b/>
          <w:bCs/>
          <w:sz w:val="38"/>
          <w:szCs w:val="38"/>
        </w:rPr>
      </w:pPr>
    </w:p>
    <w:p w14:paraId="0000001A">
      <w:pPr>
        <w:rPr>
          <w:b/>
          <w:bCs/>
          <w:sz w:val="38"/>
          <w:szCs w:val="38"/>
        </w:rPr>
      </w:pPr>
      <w:r>
        <w:rPr>
          <w:b/>
          <w:bCs/>
          <w:sz w:val="38"/>
          <w:szCs w:val="38"/>
          <w:lang w:val="it-IT"/>
        </w:rPr>
        <w:t xml:space="preserve">Per bloccare il telnet verso metaspoitable facciamo gli stessi passaggi poi salviamo </w:t>
      </w:r>
    </w:p>
    <w:p w14:paraId="0000001B">
      <w:pPr>
        <w:rPr>
          <w:b/>
          <w:bCs/>
          <w:sz w:val="38"/>
          <w:szCs w:val="38"/>
        </w:rPr>
      </w:pPr>
    </w:p>
    <w:p w14:paraId="0000001C">
      <w:pPr>
        <w:rPr>
          <w:b/>
          <w:bCs/>
          <w:sz w:val="38"/>
          <w:szCs w:val="38"/>
        </w:rPr>
      </w:pPr>
      <w:r>
        <w:rPr>
          <w:b/>
          <w:bCs/>
          <w:sz w:val="38"/>
          <w:szCs w:val="38"/>
          <w:lang w:val="it-IT"/>
        </w:rPr>
        <w:t xml:space="preserve">IP Kali telnet </w:t>
      </w:r>
    </w:p>
    <w:p w14:paraId="0000001D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drawing xmlns:mc="http://schemas.openxmlformats.org/markup-compatibility/2006">
          <wp:inline distT="0" distB="0" distL="0" distR="0">
            <wp:extent cx="5731510" cy="1819275"/>
            <wp:effectExtent l="0" t="0" r="0" b="0"/>
            <wp:docPr id="2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Grp="0" noSelect="0" noChangeAspect="1" noMove="0"/>
                    </pic:cNvPicPr>
                  </pic:nvPicPr>
                  <pic:blipFill>
                    <a:blip r:embed="rId24"/>
                    <a:srcRect b="44965"/>
                    <a:stretch/>
                  </pic:blipFill>
                  <pic:spPr>
                    <a:xfrm>
                      <a:off x="0" y="0"/>
                      <a:ext cx="573151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E">
      <w:pPr>
        <w:rPr>
          <w:b/>
          <w:bCs/>
          <w:sz w:val="40"/>
          <w:szCs w:val="40"/>
        </w:rPr>
      </w:pPr>
    </w:p>
    <w:p w14:paraId="0000001F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drawing xmlns:mc="http://schemas.openxmlformats.org/markup-compatibility/2006">
          <wp:inline distT="0" distB="0" distL="0" distR="0">
            <wp:extent cx="5024120" cy="953135"/>
            <wp:effectExtent l="0" t="0" r="0" b="0"/>
            <wp:docPr id="2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Grp="0" noSelect="0" noChangeAspect="1" noMove="0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24120" cy="95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headerReference w:type="default" r:id="rId26"/>
      <w:footerReference w:type="default" r:id="rId27"/>
      <w:footnotePr/>
      <w:endnotePr/>
      <w:type w:val="nextPage"/>
      <w:pgSz w:w="11906" w:h="16838" w:orient="portrait"/>
      <w:pgMar w:top="1440" w:right="1440" w:bottom="1440" w:left="1440" w:header="708" w:footer="708" w:gutter="0"/>
      <w:paperSrc w:first="1" w:other="1"/>
      <w:cols w:equalWidth="1" w:space="720" w:num="1" w:sep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00000000" w:usb2="00000008" w:usb3="00000000" w:csb0="000001ff" w:csb1="00000000"/>
  </w:font>
  <w:font w:name="Calibri">
    <w:panose1 w:val="020f0502020204030204"/>
    <w:charset w:val="00"/>
    <w:family w:val="swiss"/>
    <w:pitch w:val="variable"/>
    <w:sig w:usb0="00000000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00000000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00000000" w:usb1="00000000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00000000" w:usb2="00000008" w:usb3="00000000" w:csb0="000001ff" w:csb1="00000000"/>
  </w:font>
  <w:font w:name="Tahoma">
    <w:panose1 w:val="020b0604030504040204"/>
    <w:charset w:val="00"/>
    <w:family w:val="roman"/>
    <w:pitch w:val="variable"/>
    <w:sig w:usb0="61002a87" w:usb1="00000000" w:usb2="00000008" w:usb3="00000000" w:csb0="000001ff" w:csb1="00000000"/>
  </w:font>
  <w:font w:name="Verdana">
    <w:panose1 w:val="020b0604030504040204"/>
    <w:charset w:val="00"/>
    <w:family w:val="roman"/>
    <w:pitch w:val="variable"/>
    <w:sig w:usb0="00000000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</w:fonts>
</file>

<file path=word/footer1.xml><?xml version="1.0" encoding="utf-8"?>
<w:ftr xmlns:w="http://schemas.openxmlformats.org/wordprocessingml/2006/main" xmlns:a="http://schemas.openxmlformats.org/drawingml/2006/main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pi="http://schemas.microsoft.com/office/word/2010/wordprocessingInk" xmlns:aink="http://schemas.microsoft.com/office/drawing/2016/ink" xmlns:dgm="http://schemas.openxmlformats.org/drawingml/2006/diagram" mc:Ignorable="w14 wp14 ">
  <w:p w14:paraId="00000021">
    <w:pPr>
      <w:spacing w:after="0" w:line="240" w:lineRule="auto"/>
      <w:rPr/>
    </w:pPr>
  </w:p>
</w:ftr>
</file>

<file path=word/header1.xml><?xml version="1.0" encoding="utf-8"?>
<w:hdr xmlns:w="http://schemas.openxmlformats.org/wordprocessingml/2006/main" xmlns:a="http://schemas.openxmlformats.org/drawingml/2006/main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pi="http://schemas.microsoft.com/office/word/2010/wordprocessingInk" xmlns:aink="http://schemas.microsoft.com/office/drawing/2016/ink" xmlns:dgm="http://schemas.openxmlformats.org/drawingml/2006/diagram" mc:Ignorable="w14 wp14 ">
  <w:p w14:paraId="00000020">
    <w:pPr>
      <w:spacing w:after="0" w:line="240" w:lineRule="auto"/>
      <w:rPr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ompat>
    <w:compatSetting w:name="compatibilityMode" w:uri="http://schemas.microsoft.com/office/word" w:val="14"/>
  </w:compat>
  <w:themeFontLang w:val="it-IT" w:eastAsia="zh-CN" w:bidi="ar-SA"/>
  <w:clrSchemeMapping w:accent1="accent1" w:accent2="accent2" w:accent3="accent3" w:accent4="accent4" w:accent5="accent5" w:accent6="accent6" w:bg1="light1" w:bg2="light2" w:followedHyperlink="followedHyperlink" w:hyperlink="hyperlink" w:t1="dark1" w:t2="dark2"/>
  <w:footnotePr/>
  <w:endnotePr/>
  <w:trackRevisions w:val="off"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EastAsia" w:hAnsiTheme="minorHAnsi"/>
        <w:sz w:val="22"/>
        <w:szCs w:val="22"/>
      </w:rPr>
    </w:rPrDefault>
    <w:pPrDefault>
      <w:pPr>
        <w:spacing w:after="200" w:line="276" w:lineRule="auto"/>
      </w:pPr>
    </w:pPrDefault>
  </w:docDefaults>
  <w:style w:type="paragraph" w:default="1" w:styleId="Normal">
    <w:name w:val="Normal"/>
    <w:uiPriority w:val="0"/>
    <w:qFormat w:val="on"/>
  </w:style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qFormat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472c4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 w:val="on"/>
    <w:unhideWhenUsed w:val="on"/>
    <w:rPr>
      <w:color w:val="954f72" w:themeColor="followed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on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unhideWhenUsed w:val="on"/>
    <w:qFormat w:val="on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theme" Target="theme/theme1.xml"/><Relationship Id="rId14" Type="http://schemas.openxmlformats.org/officeDocument/2006/relationships/settings" Target="settings.xml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2" Type="http://schemas.openxmlformats.org/officeDocument/2006/relationships/fontTable" Target="fontTable.xml"/><Relationship Id="rId20" Type="http://schemas.openxmlformats.org/officeDocument/2006/relationships/image" Target="media/image16.png"/><Relationship Id="rId21" Type="http://schemas.openxmlformats.org/officeDocument/2006/relationships/image" Target="media/image17.png"/><Relationship Id="rId22" Type="http://schemas.openxmlformats.org/officeDocument/2006/relationships/image" Target="media/image18.png"/><Relationship Id="rId23" Type="http://schemas.openxmlformats.org/officeDocument/2006/relationships/image" Target="media/image19.png"/><Relationship Id="rId24" Type="http://schemas.openxmlformats.org/officeDocument/2006/relationships/image" Target="media/image20.png"/><Relationship Id="rId25" Type="http://schemas.openxmlformats.org/officeDocument/2006/relationships/image" Target="media/image21.png"/><Relationship Id="rId26" Type="http://schemas.openxmlformats.org/officeDocument/2006/relationships/header" Target="header1.xml"/><Relationship Id="rId27" Type="http://schemas.openxmlformats.org/officeDocument/2006/relationships/footer" Target="footer1.xm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Predefinito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Microsoft Office Word</Application>
  <AppVersion>14.000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tik tok top</dc:creator>
  <cp:lastModifiedBy>tik tok top</cp:lastModifiedBy>
</cp:coreProperties>
</file>