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VolleyReach Product Concept</w:t>
      </w:r>
    </w:p>
    <w:p>
      <w:pPr>
        <w:spacing w:after="70"/>
      </w:pPr>
      <w:r>
        <w:rPr>
          <w:rFonts w:ascii="Arial" w:hAnsi="Arial"/>
          <w:b/>
          <w:color w:val="68736E"/>
          <w:sz w:val="16"/>
        </w:rPr>
        <w:t>Software and Technology Capstone</w:t>
      </w:r>
    </w:p>
    <w:p>
      <w:pPr>
        <w:pStyle w:val="Heading2"/>
        <w:keepNext/>
        <w:spacing w:before="90" w:after="30"/>
      </w:pPr>
      <w:r>
        <w:rPr>
          <w:rFonts w:ascii="Arial" w:hAnsi="Arial"/>
          <w:b/>
          <w:color w:val="17201D"/>
          <w:sz w:val="21"/>
        </w:rPr>
        <w:t>Product Vision</w:t>
      </w:r>
    </w:p>
    <w:p>
      <w:pPr>
        <w:pStyle w:val="BodyText"/>
        <w:spacing w:after="50" w:line="245" w:lineRule="auto"/>
      </w:pPr>
      <w:r>
        <w:rPr>
          <w:rFonts w:ascii="Arial" w:hAnsi="Arial"/>
          <w:color w:val="17201D"/>
          <w:sz w:val="17"/>
        </w:rPr>
        <w:t>VolleyReach is a free web based recruiting workspace for boys volleyball athletes. It helps a player build a complete profile, find real college programs, create researched coach emails, and organize follow up in one place.</w:t>
      </w:r>
    </w:p>
    <w:p>
      <w:pPr>
        <w:pStyle w:val="Heading2"/>
        <w:keepNext/>
        <w:spacing w:before="90" w:after="30"/>
      </w:pPr>
      <w:r>
        <w:rPr>
          <w:rFonts w:ascii="Arial" w:hAnsi="Arial"/>
          <w:b/>
          <w:color w:val="17201D"/>
          <w:sz w:val="21"/>
        </w:rPr>
        <w:t>Problem Statement</w:t>
      </w:r>
    </w:p>
    <w:p>
      <w:pPr>
        <w:pStyle w:val="BodyText"/>
        <w:spacing w:after="50" w:line="245" w:lineRule="auto"/>
      </w:pPr>
      <w:r>
        <w:rPr>
          <w:rFonts w:ascii="Arial" w:hAnsi="Arial"/>
          <w:color w:val="17201D"/>
          <w:sz w:val="17"/>
        </w:rPr>
        <w:t>Boys volleyball recruiting information is scattered across team sites, spreadsheets, social media, and paid services. Athletes at schools or clubs with fewer resources may not know which programs fit them, what information coaches expect, or how to manage outreach over time. That access gap can cause qualified players to begin late or send generic, incomplete messages.</w:t>
      </w:r>
    </w:p>
    <w:p>
      <w:pPr>
        <w:pStyle w:val="Heading2"/>
        <w:keepNext/>
        <w:spacing w:before="90" w:after="30"/>
      </w:pPr>
      <w:r>
        <w:rPr>
          <w:rFonts w:ascii="Arial" w:hAnsi="Arial"/>
          <w:b/>
          <w:color w:val="17201D"/>
          <w:sz w:val="21"/>
        </w:rPr>
        <w:t>Target Users and User Needs</w:t>
      </w:r>
    </w:p>
    <w:p>
      <w:pPr>
        <w:pStyle w:val="BodyText"/>
        <w:spacing w:after="24" w:line="240" w:lineRule="auto"/>
        <w:ind w:left="230" w:hanging="187"/>
      </w:pPr>
      <w:r>
        <w:rPr>
          <w:rFonts w:ascii="Arial" w:hAnsi="Arial"/>
          <w:color w:val="E66449"/>
          <w:sz w:val="17"/>
        </w:rPr>
        <w:t xml:space="preserve">• </w:t>
      </w:r>
      <w:r>
        <w:rPr>
          <w:rFonts w:ascii="Arial" w:hAnsi="Arial"/>
          <w:b/>
          <w:color w:val="17201D"/>
          <w:sz w:val="17"/>
        </w:rPr>
        <w:t xml:space="preserve">Primary users. </w:t>
      </w:r>
      <w:r>
        <w:rPr>
          <w:rFonts w:ascii="Arial" w:hAnsi="Arial"/>
          <w:color w:val="17201D"/>
          <w:sz w:val="17"/>
        </w:rPr>
        <w:t>High school boys volleyball players who need clear recruiting guidance without paying for a private service.</w:t>
      </w:r>
    </w:p>
    <w:p>
      <w:pPr>
        <w:pStyle w:val="BodyText"/>
        <w:spacing w:after="24" w:line="240" w:lineRule="auto"/>
        <w:ind w:left="230" w:hanging="187"/>
      </w:pPr>
      <w:r>
        <w:rPr>
          <w:rFonts w:ascii="Arial" w:hAnsi="Arial"/>
          <w:color w:val="E66449"/>
          <w:sz w:val="17"/>
        </w:rPr>
        <w:t xml:space="preserve">• </w:t>
      </w:r>
      <w:r>
        <w:rPr>
          <w:rFonts w:ascii="Arial" w:hAnsi="Arial"/>
          <w:b/>
          <w:color w:val="17201D"/>
          <w:sz w:val="17"/>
        </w:rPr>
        <w:t xml:space="preserve">Secondary users. </w:t>
      </w:r>
      <w:r>
        <w:rPr>
          <w:rFonts w:ascii="Arial" w:hAnsi="Arial"/>
          <w:color w:val="17201D"/>
          <w:sz w:val="17"/>
        </w:rPr>
        <w:t>School and club coaches who want a repeatable way to help athletes prepare profiles and outreach.</w:t>
      </w:r>
    </w:p>
    <w:p>
      <w:pPr>
        <w:pStyle w:val="BodyText"/>
        <w:spacing w:after="24" w:line="240" w:lineRule="auto"/>
        <w:ind w:left="230" w:hanging="187"/>
      </w:pPr>
      <w:r>
        <w:rPr>
          <w:rFonts w:ascii="Arial" w:hAnsi="Arial"/>
          <w:color w:val="E66449"/>
          <w:sz w:val="17"/>
        </w:rPr>
        <w:t xml:space="preserve">• </w:t>
      </w:r>
      <w:r>
        <w:rPr>
          <w:rFonts w:ascii="Arial" w:hAnsi="Arial"/>
          <w:b/>
          <w:color w:val="17201D"/>
          <w:sz w:val="17"/>
        </w:rPr>
        <w:t xml:space="preserve">Player need. </w:t>
      </w:r>
      <w:r>
        <w:rPr>
          <w:rFonts w:ascii="Arial" w:hAnsi="Arial"/>
          <w:color w:val="17201D"/>
          <w:sz w:val="17"/>
        </w:rPr>
        <w:t>I want to understand what coaches need, identify realistic programs, and send a personal email without missing important information.</w:t>
      </w:r>
    </w:p>
    <w:p>
      <w:pPr>
        <w:pStyle w:val="BodyText"/>
        <w:spacing w:after="24" w:line="240" w:lineRule="auto"/>
        <w:ind w:left="230" w:hanging="187"/>
      </w:pPr>
      <w:r>
        <w:rPr>
          <w:rFonts w:ascii="Arial" w:hAnsi="Arial"/>
          <w:color w:val="E66449"/>
          <w:sz w:val="17"/>
        </w:rPr>
        <w:t xml:space="preserve">• </w:t>
      </w:r>
      <w:r>
        <w:rPr>
          <w:rFonts w:ascii="Arial" w:hAnsi="Arial"/>
          <w:b/>
          <w:color w:val="17201D"/>
          <w:sz w:val="17"/>
        </w:rPr>
        <w:t xml:space="preserve">Coach need. </w:t>
      </w:r>
      <w:r>
        <w:rPr>
          <w:rFonts w:ascii="Arial" w:hAnsi="Arial"/>
          <w:color w:val="17201D"/>
          <w:sz w:val="17"/>
        </w:rPr>
        <w:t>I want to see an athlete's recruiting materials in one organized workflow so I can give useful feedback quickly.</w:t>
      </w:r>
    </w:p>
    <w:p>
      <w:pPr>
        <w:pStyle w:val="Heading2"/>
        <w:keepNext/>
        <w:spacing w:before="90" w:after="30"/>
      </w:pPr>
      <w:r>
        <w:rPr>
          <w:rFonts w:ascii="Arial" w:hAnsi="Arial"/>
          <w:b/>
          <w:color w:val="17201D"/>
          <w:sz w:val="21"/>
        </w:rPr>
        <w:t>Solution Overview</w:t>
      </w:r>
    </w:p>
    <w:p>
      <w:pPr>
        <w:pStyle w:val="BodyText"/>
        <w:spacing w:after="50" w:line="245" w:lineRule="auto"/>
      </w:pPr>
      <w:r>
        <w:rPr>
          <w:rFonts w:ascii="Arial" w:hAnsi="Arial"/>
          <w:color w:val="17201D"/>
          <w:sz w:val="17"/>
        </w:rPr>
        <w:t>The app guides athletes through a required academic, athletic, contact, film, and coach information profile. It then filters a real men's college directory, inserts verified profile facts into an email template, requires genuine school specific research, and records outreach status and follow up dates. An optional jump tool estimates standing reach, approach touch, and vertical from manual markers calibrated to the men's net height. The estimate remains clearly labeled as validation pending.</w:t>
      </w:r>
    </w:p>
    <w:p>
      <w:pPr>
        <w:pStyle w:val="Heading2"/>
        <w:keepNext/>
        <w:spacing w:before="90" w:after="30"/>
      </w:pPr>
      <w:r>
        <w:rPr>
          <w:rFonts w:ascii="Arial" w:hAnsi="Arial"/>
          <w:b/>
          <w:color w:val="17201D"/>
          <w:sz w:val="21"/>
        </w:rPr>
        <w:t>Key Features for the Minimum Viable Product</w:t>
      </w:r>
    </w:p>
    <w:tbl>
      <w:tblPr>
        <w:tblW w:type="auto" w:w="0"/>
        <w:jc w:val="center"/>
        <w:tblLayout w:type="fixed"/>
        <w:tblLook w:firstColumn="1" w:firstRow="1" w:lastColumn="0" w:lastRow="0" w:noHBand="0" w:noVBand="1" w:val="04A0"/>
      </w:tblPr>
      <w:tblGrid>
        <w:gridCol w:w="5429"/>
        <w:gridCol w:w="5429"/>
      </w:tblGrid>
      <w:tr>
        <w:trPr>
          <w:tblHeader w:val="true"/>
        </w:trPr>
        <w:tc>
          <w:tcPr>
            <w:tcW w:type="dxa" w:w="2131"/>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12372E"/>
          </w:tcPr>
          <w:p>
            <w:pPr>
              <w:spacing w:before="0" w:after="0" w:line="240" w:lineRule="auto"/>
            </w:pPr>
            <w:r>
              <w:rPr>
                <w:rFonts w:ascii="Arial" w:hAnsi="Arial"/>
                <w:b/>
                <w:color w:val="FFFFFF"/>
                <w:sz w:val="15"/>
              </w:rPr>
              <w:t>Feature</w:t>
            </w:r>
          </w:p>
        </w:tc>
        <w:tc>
          <w:tcPr>
            <w:tcW w:type="dxa" w:w="8525"/>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12372E"/>
          </w:tcPr>
          <w:p>
            <w:pPr>
              <w:spacing w:before="0" w:after="0" w:line="240" w:lineRule="auto"/>
            </w:pPr>
            <w:r>
              <w:rPr>
                <w:rFonts w:ascii="Arial" w:hAnsi="Arial"/>
                <w:b/>
                <w:color w:val="FFFFFF"/>
                <w:sz w:val="15"/>
              </w:rPr>
              <w:t>MVP scope</w:t>
            </w:r>
          </w:p>
        </w:tc>
      </w:tr>
      <w:tr>
        <w:tc>
          <w:tcPr>
            <w:tcW w:type="dxa" w:w="2131"/>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FFFFFF"/>
          </w:tcPr>
          <w:p>
            <w:pPr>
              <w:spacing w:before="0" w:after="0" w:line="240" w:lineRule="auto"/>
            </w:pPr>
            <w:r>
              <w:rPr>
                <w:rFonts w:ascii="Arial" w:hAnsi="Arial"/>
                <w:color w:val="17201D"/>
                <w:sz w:val="15"/>
              </w:rPr>
              <w:t>Profile readiness</w:t>
            </w:r>
          </w:p>
        </w:tc>
        <w:tc>
          <w:tcPr>
            <w:tcW w:type="dxa" w:w="8525"/>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FFFFFF"/>
          </w:tcPr>
          <w:p>
            <w:pPr>
              <w:spacing w:before="0" w:after="0" w:line="240" w:lineRule="auto"/>
            </w:pPr>
            <w:r>
              <w:rPr>
                <w:rFonts w:ascii="Arial" w:hAnsi="Arial"/>
                <w:color w:val="17201D"/>
                <w:sz w:val="15"/>
              </w:rPr>
              <w:t>Required fields and completion status before email creation</w:t>
            </w:r>
          </w:p>
        </w:tc>
      </w:tr>
      <w:tr>
        <w:tc>
          <w:tcPr>
            <w:tcW w:type="dxa" w:w="2131"/>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F7F9F7"/>
          </w:tcPr>
          <w:p>
            <w:pPr>
              <w:spacing w:before="0" w:after="0" w:line="240" w:lineRule="auto"/>
            </w:pPr>
            <w:r>
              <w:rPr>
                <w:rFonts w:ascii="Arial" w:hAnsi="Arial"/>
                <w:color w:val="17201D"/>
                <w:sz w:val="15"/>
              </w:rPr>
              <w:t>Program discovery</w:t>
            </w:r>
          </w:p>
        </w:tc>
        <w:tc>
          <w:tcPr>
            <w:tcW w:type="dxa" w:w="8525"/>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F7F9F7"/>
          </w:tcPr>
          <w:p>
            <w:pPr>
              <w:spacing w:before="0" w:after="0" w:line="240" w:lineRule="auto"/>
            </w:pPr>
            <w:r>
              <w:rPr>
                <w:rFonts w:ascii="Arial" w:hAnsi="Arial"/>
                <w:color w:val="17201D"/>
                <w:sz w:val="15"/>
              </w:rPr>
              <w:t>293 men's programs with 722 grouped coach and contact entries</w:t>
            </w:r>
          </w:p>
        </w:tc>
      </w:tr>
      <w:tr>
        <w:tc>
          <w:tcPr>
            <w:tcW w:type="dxa" w:w="2131"/>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FFFFFF"/>
          </w:tcPr>
          <w:p>
            <w:pPr>
              <w:spacing w:before="0" w:after="0" w:line="240" w:lineRule="auto"/>
            </w:pPr>
            <w:r>
              <w:rPr>
                <w:rFonts w:ascii="Arial" w:hAnsi="Arial"/>
                <w:color w:val="17201D"/>
                <w:sz w:val="15"/>
              </w:rPr>
              <w:t>Email and outreach</w:t>
            </w:r>
          </w:p>
        </w:tc>
        <w:tc>
          <w:tcPr>
            <w:tcW w:type="dxa" w:w="8525"/>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FFFFFF"/>
          </w:tcPr>
          <w:p>
            <w:pPr>
              <w:spacing w:before="0" w:after="0" w:line="240" w:lineRule="auto"/>
            </w:pPr>
            <w:r>
              <w:rPr>
                <w:rFonts w:ascii="Arial" w:hAnsi="Arial"/>
                <w:color w:val="17201D"/>
                <w:sz w:val="15"/>
              </w:rPr>
              <w:t>School specific draft, copy workflow, status, reply, and follow up tracking</w:t>
            </w:r>
          </w:p>
        </w:tc>
      </w:tr>
      <w:tr>
        <w:tc>
          <w:tcPr>
            <w:tcW w:type="dxa" w:w="2131"/>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F7F9F7"/>
          </w:tcPr>
          <w:p>
            <w:pPr>
              <w:spacing w:before="0" w:after="0" w:line="240" w:lineRule="auto"/>
            </w:pPr>
            <w:r>
              <w:rPr>
                <w:rFonts w:ascii="Arial" w:hAnsi="Arial"/>
                <w:color w:val="17201D"/>
                <w:sz w:val="15"/>
              </w:rPr>
              <w:t>Planning and measurement</w:t>
            </w:r>
          </w:p>
        </w:tc>
        <w:tc>
          <w:tcPr>
            <w:tcW w:type="dxa" w:w="8525"/>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F7F9F7"/>
          </w:tcPr>
          <w:p>
            <w:pPr>
              <w:spacing w:before="0" w:after="0" w:line="240" w:lineRule="auto"/>
            </w:pPr>
            <w:r>
              <w:rPr>
                <w:rFonts w:ascii="Arial" w:hAnsi="Arial"/>
                <w:color w:val="17201D"/>
                <w:sz w:val="15"/>
              </w:rPr>
              <w:t>Junior year recruiting plan plus an optional net calibrated jump estimate</w:t>
            </w:r>
          </w:p>
        </w:tc>
      </w:tr>
    </w:tbl>
    <w:p>
      <w:pPr>
        <w:pStyle w:val="Heading2"/>
        <w:keepNext/>
        <w:spacing w:before="90" w:after="30"/>
      </w:pPr>
      <w:r>
        <w:rPr>
          <w:rFonts w:ascii="Arial" w:hAnsi="Arial"/>
          <w:b/>
          <w:color w:val="17201D"/>
          <w:sz w:val="21"/>
        </w:rPr>
        <w:t>Technology Stack</w:t>
      </w:r>
    </w:p>
    <w:tbl>
      <w:tblPr>
        <w:tblW w:type="auto" w:w="0"/>
        <w:jc w:val="center"/>
        <w:tblLayout w:type="fixed"/>
        <w:tblLook w:firstColumn="1" w:firstRow="1" w:lastColumn="0" w:lastRow="0" w:noHBand="0" w:noVBand="1" w:val="04A0"/>
      </w:tblPr>
      <w:tblGrid>
        <w:gridCol w:w="5429"/>
        <w:gridCol w:w="5429"/>
      </w:tblGrid>
      <w:tr>
        <w:trPr>
          <w:tblHeader w:val="true"/>
        </w:trPr>
        <w:tc>
          <w:tcPr>
            <w:tcW w:type="dxa" w:w="2131"/>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12372E"/>
          </w:tcPr>
          <w:p>
            <w:pPr>
              <w:spacing w:before="0" w:after="0" w:line="240" w:lineRule="auto"/>
            </w:pPr>
            <w:r>
              <w:rPr>
                <w:rFonts w:ascii="Arial" w:hAnsi="Arial"/>
                <w:b/>
                <w:color w:val="FFFFFF"/>
                <w:sz w:val="14"/>
              </w:rPr>
              <w:t>Layer</w:t>
            </w:r>
          </w:p>
        </w:tc>
        <w:tc>
          <w:tcPr>
            <w:tcW w:type="dxa" w:w="8525"/>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12372E"/>
          </w:tcPr>
          <w:p>
            <w:pPr>
              <w:spacing w:before="0" w:after="0" w:line="240" w:lineRule="auto"/>
            </w:pPr>
            <w:r>
              <w:rPr>
                <w:rFonts w:ascii="Arial" w:hAnsi="Arial"/>
                <w:b/>
                <w:color w:val="FFFFFF"/>
                <w:sz w:val="14"/>
              </w:rPr>
              <w:t>Current choice</w:t>
            </w:r>
          </w:p>
        </w:tc>
      </w:tr>
      <w:tr>
        <w:tc>
          <w:tcPr>
            <w:tcW w:type="dxa" w:w="2131"/>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FFFFFF"/>
          </w:tcPr>
          <w:p>
            <w:pPr>
              <w:spacing w:before="0" w:after="0" w:line="240" w:lineRule="auto"/>
            </w:pPr>
            <w:r>
              <w:rPr>
                <w:rFonts w:ascii="Arial" w:hAnsi="Arial"/>
                <w:color w:val="17201D"/>
                <w:sz w:val="14"/>
              </w:rPr>
              <w:t>Frontend</w:t>
            </w:r>
          </w:p>
        </w:tc>
        <w:tc>
          <w:tcPr>
            <w:tcW w:type="dxa" w:w="8525"/>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FFFFFF"/>
          </w:tcPr>
          <w:p>
            <w:pPr>
              <w:spacing w:before="0" w:after="0" w:line="240" w:lineRule="auto"/>
            </w:pPr>
            <w:r>
              <w:rPr>
                <w:rFonts w:ascii="Arial" w:hAnsi="Arial"/>
                <w:color w:val="17201D"/>
                <w:sz w:val="14"/>
              </w:rPr>
              <w:t>React, Vite, HTML, CSS, JavaScript, Framer Motion, and Lucide icons</w:t>
            </w:r>
          </w:p>
        </w:tc>
      </w:tr>
      <w:tr>
        <w:tc>
          <w:tcPr>
            <w:tcW w:type="dxa" w:w="2131"/>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F7F9F7"/>
          </w:tcPr>
          <w:p>
            <w:pPr>
              <w:spacing w:before="0" w:after="0" w:line="240" w:lineRule="auto"/>
            </w:pPr>
            <w:r>
              <w:rPr>
                <w:rFonts w:ascii="Arial" w:hAnsi="Arial"/>
                <w:color w:val="17201D"/>
                <w:sz w:val="14"/>
              </w:rPr>
              <w:t>Data and storage</w:t>
            </w:r>
          </w:p>
        </w:tc>
        <w:tc>
          <w:tcPr>
            <w:tcW w:type="dxa" w:w="8525"/>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F7F9F7"/>
          </w:tcPr>
          <w:p>
            <w:pPr>
              <w:spacing w:before="0" w:after="0" w:line="240" w:lineRule="auto"/>
            </w:pPr>
            <w:r>
              <w:rPr>
                <w:rFonts w:ascii="Arial" w:hAnsi="Arial"/>
                <w:color w:val="17201D"/>
                <w:sz w:val="14"/>
              </w:rPr>
              <w:t>Static JSON directory and local browser storage for the prototype</w:t>
            </w:r>
          </w:p>
        </w:tc>
      </w:tr>
      <w:tr>
        <w:tc>
          <w:tcPr>
            <w:tcW w:type="dxa" w:w="2131"/>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FFFFFF"/>
          </w:tcPr>
          <w:p>
            <w:pPr>
              <w:spacing w:before="0" w:after="0" w:line="240" w:lineRule="auto"/>
            </w:pPr>
            <w:r>
              <w:rPr>
                <w:rFonts w:ascii="Arial" w:hAnsi="Arial"/>
                <w:color w:val="17201D"/>
                <w:sz w:val="14"/>
              </w:rPr>
              <w:t>Future backend</w:t>
            </w:r>
          </w:p>
        </w:tc>
        <w:tc>
          <w:tcPr>
            <w:tcW w:type="dxa" w:w="8525"/>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FFFFFF"/>
          </w:tcPr>
          <w:p>
            <w:pPr>
              <w:spacing w:before="0" w:after="0" w:line="240" w:lineRule="auto"/>
            </w:pPr>
            <w:r>
              <w:rPr>
                <w:rFonts w:ascii="Arial" w:hAnsi="Arial"/>
                <w:color w:val="17201D"/>
                <w:sz w:val="14"/>
              </w:rPr>
              <w:t>Firebase or Supabase for accounts, shared data, and secure cloud storage</w:t>
            </w:r>
          </w:p>
        </w:tc>
      </w:tr>
      <w:tr>
        <w:tc>
          <w:tcPr>
            <w:tcW w:type="dxa" w:w="2131"/>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F7F9F7"/>
          </w:tcPr>
          <w:p>
            <w:pPr>
              <w:spacing w:before="0" w:after="0" w:line="240" w:lineRule="auto"/>
            </w:pPr>
            <w:r>
              <w:rPr>
                <w:rFonts w:ascii="Arial" w:hAnsi="Arial"/>
                <w:color w:val="17201D"/>
                <w:sz w:val="14"/>
              </w:rPr>
              <w:t>Deployment</w:t>
            </w:r>
          </w:p>
        </w:tc>
        <w:tc>
          <w:tcPr>
            <w:tcW w:type="dxa" w:w="8525"/>
            <w:vAlign w:val="center"/>
            <w:tcMar>
              <w:top w:w="55" w:type="dxa"/>
              <w:start w:w="80" w:type="dxa"/>
              <w:bottom w:w="55" w:type="dxa"/>
              <w:end w:w="80" w:type="dxa"/>
            </w:tcMar>
            <w:tcBorders>
              <w:top w:val="single" w:sz="4" w:space="0" w:color="D9DFDB"/>
              <w:left w:val="single" w:sz="4" w:space="0" w:color="D9DFDB"/>
              <w:bottom w:val="single" w:sz="4" w:space="0" w:color="D9DFDB"/>
              <w:right w:val="single" w:sz="4" w:space="0" w:color="D9DFDB"/>
              <w:insideH w:val="single" w:sz="4" w:space="0" w:color="D9DFDB"/>
              <w:insideV w:val="single" w:sz="4" w:space="0" w:color="D9DFDB"/>
            </w:tcBorders>
            <w:shd w:fill="F7F9F7"/>
          </w:tcPr>
          <w:p>
            <w:pPr>
              <w:spacing w:before="0" w:after="0" w:line="240" w:lineRule="auto"/>
            </w:pPr>
            <w:r>
              <w:rPr>
                <w:rFonts w:ascii="Arial" w:hAnsi="Arial"/>
                <w:color w:val="17201D"/>
                <w:sz w:val="14"/>
              </w:rPr>
              <w:t>Vercel or Netlify after privacy, contact verification, and pilot testing</w:t>
            </w:r>
          </w:p>
        </w:tc>
      </w:tr>
    </w:tbl>
    <w:p>
      <w:pPr>
        <w:pStyle w:val="Heading2"/>
        <w:keepNext/>
        <w:spacing w:before="90" w:after="30"/>
      </w:pPr>
      <w:r>
        <w:rPr>
          <w:rFonts w:ascii="Arial" w:hAnsi="Arial"/>
          <w:b/>
          <w:color w:val="17201D"/>
          <w:sz w:val="21"/>
        </w:rPr>
        <w:t>Technical Feasibility</w:t>
      </w:r>
    </w:p>
    <w:p>
      <w:pPr>
        <w:pStyle w:val="BodyText"/>
        <w:spacing w:after="30" w:line="245" w:lineRule="auto"/>
      </w:pPr>
      <w:r>
        <w:rPr>
          <w:rFonts w:ascii="Arial" w:hAnsi="Arial"/>
          <w:color w:val="17201D"/>
          <w:sz w:val="17"/>
        </w:rPr>
        <w:t>Required skills include React development, data cleaning, responsive design, usability testing, and basic geometry for the optional jump estimate. My experience in robotics and AP Computer Science A supports the logic and testing work. I still need to learn deployment, authentication, privacy practices, and structured user research. The main risks are outdated coach contacts, protecting athlete information, preventing unsupported recruiting claims, and measuring jump accuracy across camera setups.</w:t>
      </w:r>
    </w:p>
    <w:p>
      <w:pPr>
        <w:pStyle w:val="Heading2"/>
        <w:keepNext/>
        <w:spacing w:before="90" w:after="30"/>
      </w:pPr>
      <w:r>
        <w:rPr>
          <w:rFonts w:ascii="Arial" w:hAnsi="Arial"/>
          <w:b/>
          <w:color w:val="17201D"/>
          <w:sz w:val="21"/>
        </w:rPr>
        <w:t>Community Service and Quantitative Evaluation</w:t>
      </w:r>
    </w:p>
    <w:p>
      <w:pPr>
        <w:pStyle w:val="BodyText"/>
        <w:spacing w:after="0" w:line="245" w:lineRule="auto"/>
      </w:pPr>
      <w:r>
        <w:rPr>
          <w:rFonts w:ascii="Arial" w:hAnsi="Arial"/>
          <w:color w:val="17201D"/>
          <w:sz w:val="17"/>
        </w:rPr>
        <w:t>I will offer the tool free to athletes and pilot it with schools or teams that have limited recruiting support. I will report outcomes rather than promise them: athletes onboarded, profiles completed, schools researched, personalized emails drafted or sent, follow ups logged, contact corrections found, and before and after confidence survey results. Jump accuracy will require at least 10 same day comparisons with a Vertec before I publish an error range.</w:t>
      </w:r>
    </w:p>
    <w:sectPr w:rsidR="00FC693F" w:rsidRPr="0006063C" w:rsidSect="00034616">
      <w:headerReference w:type="default" r:id="rId9"/>
      <w:footerReference w:type="default" r:id="rId10"/>
      <w:pgSz w:w="12240" w:h="15840"/>
      <w:pgMar w:top="504" w:right="691" w:bottom="490" w:left="691" w:header="216" w:footer="23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68736E"/>
        <w:sz w:val="14"/>
      </w:rPr>
      <w:t>VolleyReach  |  Working prototype  |  Directory data imported August 29,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444752" cy="515085"/>
          <wp:docPr id="1" name="Picture 1"/>
          <wp:cNvGraphicFramePr>
            <a:graphicFrameLocks noChangeAspect="1"/>
          </wp:cNvGraphicFramePr>
          <a:graphic>
            <a:graphicData uri="http://schemas.openxmlformats.org/drawingml/2006/picture">
              <pic:pic>
                <pic:nvPicPr>
                  <pic:cNvPr id="0" name="volleyreach-logo.jpg"/>
                  <pic:cNvPicPr/>
                </pic:nvPicPr>
                <pic:blipFill>
                  <a:blip r:embed="rId1"/>
                  <a:stretch>
                    <a:fillRect/>
                  </a:stretch>
                </pic:blipFill>
                <pic:spPr>
                  <a:xfrm>
                    <a:off x="0" y="0"/>
                    <a:ext cx="1444752" cy="51508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Arial" w:hAnsi="Arial"/>
      <w:color w:val="17201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17201D"/>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VolleyReach Product Concept</dc:title>
  <dc:subject>Software and Technology Capstone one pager</dc:subject>
  <dc:creator>Raphael Ferrand</dc:creator>
  <cp:keywords>VolleyReach, volleyball recruiting, capstone, community service</cp:keywords>
  <dc:description>generated by python-docx</dc:description>
  <cp:lastModifiedBy/>
  <cp:revision>1</cp:revision>
  <dcterms:created xsi:type="dcterms:W3CDTF">2013-12-23T23:15:00Z</dcterms:created>
  <dcterms:modified xsi:type="dcterms:W3CDTF">2013-12-23T23:15:00Z</dcterms:modified>
  <cp:category/>
</cp:coreProperties>
</file>