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Light" w:hAnsi="Calibri Light"/>
          <w:b/>
          <w:color w:val="1D2126"/>
          <w:sz w:val="42"/>
        </w:rPr>
        <w:t>Comportement thermodynamique — trois réfrigérants</w:t>
      </w:r>
    </w:p>
    <w:p>
      <w:pPr>
        <w:spacing w:after="200"/>
      </w:pPr>
      <w:r>
        <w:rPr>
          <w:rFonts w:ascii="Calibri Light" w:hAnsi="Calibri Light"/>
          <w:color w:val="5C6672"/>
          <w:sz w:val="25"/>
        </w:rPr>
        <w:t>Échangeur calandre et tubes droits, Inconel 718 — régime stationnaire</w:t>
      </w:r>
    </w:p>
    <w:p>
      <w:pPr>
        <w:spacing w:after="240"/>
      </w:pPr>
      <w:r>
        <w:rPr>
          <w:i/>
          <w:color w:val="146C7E"/>
          <w:sz w:val="22"/>
        </w:rPr>
        <w:t>Hélium · LN₂/N₂ supercritique · Eau avec changement de phase</w:t>
      </w:r>
    </w:p>
    <w:p>
      <w:pPr>
        <w:pStyle w:val="Heading1"/>
      </w:pPr>
      <w:r>
        <w:t>1.  Cas étudiés</w:t>
      </w:r>
    </w:p>
    <w:p>
      <w:r>
        <w:rPr>
          <w:i w:val="0"/>
        </w:rPr>
        <w:t xml:space="preserve">Trois réfrigérants sont comparés sur la </w:t>
      </w:r>
      <w:r>
        <w:rPr>
          <w:b/>
          <w:i w:val="0"/>
        </w:rPr>
        <w:t>même géométrie</w:t>
      </w:r>
      <w:r>
        <w:rPr>
          <w:i w:val="0"/>
        </w:rPr>
        <w:t xml:space="preserve"> (235 tubes droits Inconel 718, </w:t>
      </w:r>
      <w:r>
        <w:rPr>
          <w:rFonts w:ascii="Consolas" w:hAnsi="Consolas"/>
          <w:i w:val="0"/>
          <w:sz w:val="19"/>
        </w:rPr>
        <w:t>shellTubeProp()</w:t>
      </w:r>
      <w:r>
        <w:rPr>
          <w:i w:val="0"/>
        </w:rPr>
        <w:t xml:space="preserve"> par défaut), en co-courant, chimie à vitesse finie (FPV), rapport de mélange OF = 2. Le débit de gaz chaud est imposé pour l'Hélium et ajusté pour les deux autres cas de façon à respecter la limite de validité Mach &lt; 0,3 côté tubes.</w:t>
      </w:r>
    </w:p>
    <w:tbl>
      <w:tblPr>
        <w:tblStyle w:val="TableGrid"/>
        <w:tblW w:type="auto" w:w="0"/>
        <w:jc w:val="center"/>
        <w:tblLook w:firstColumn="1" w:firstRow="1" w:lastColumn="0" w:lastRow="0" w:noHBand="0" w:noVBand="1" w:val="04A0"/>
      </w:tblPr>
      <w:tblGrid>
        <w:gridCol w:w="1550"/>
        <w:gridCol w:w="1550"/>
        <w:gridCol w:w="1550"/>
        <w:gridCol w:w="1550"/>
        <w:gridCol w:w="1550"/>
        <w:gridCol w:w="1550"/>
      </w:tblGrid>
      <w:tr>
        <w:tc>
          <w:tcPr>
            <w:tcW w:type="dxa" w:w="567"/>
            <w:shd w:val="clear" w:color="auto" w:fill="EDEFF2"/>
          </w:tcPr>
          <w:p>
            <w:pPr>
              <w:spacing w:after="40"/>
            </w:pPr>
            <w:r/>
            <w:r>
              <w:rPr>
                <w:rFonts w:ascii="Calibri Light" w:hAnsi="Calibri Light"/>
                <w:b/>
                <w:sz w:val="17"/>
              </w:rPr>
              <w:t>Cas</w:t>
            </w:r>
          </w:p>
        </w:tc>
        <w:tc>
          <w:tcPr>
            <w:tcW w:type="dxa" w:w="2268"/>
            <w:shd w:val="clear" w:color="auto" w:fill="EDEFF2"/>
          </w:tcPr>
          <w:p>
            <w:pPr>
              <w:spacing w:after="40"/>
            </w:pPr>
            <w:r/>
            <w:r>
              <w:rPr>
                <w:rFonts w:ascii="Calibri Light" w:hAnsi="Calibri Light"/>
                <w:b/>
                <w:sz w:val="17"/>
              </w:rPr>
              <w:t>Réfrigérant</w:t>
            </w:r>
          </w:p>
        </w:tc>
        <w:tc>
          <w:tcPr>
            <w:tcW w:type="dxa" w:w="1077"/>
            <w:shd w:val="clear" w:color="auto" w:fill="EDEFF2"/>
          </w:tcPr>
          <w:p>
            <w:pPr>
              <w:spacing w:after="40"/>
            </w:pPr>
            <w:r/>
            <w:r>
              <w:rPr>
                <w:rFonts w:ascii="Calibri Light" w:hAnsi="Calibri Light"/>
                <w:b/>
                <w:sz w:val="17"/>
              </w:rPr>
              <w:t>T entrée</w:t>
            </w:r>
          </w:p>
        </w:tc>
        <w:tc>
          <w:tcPr>
            <w:tcW w:type="dxa" w:w="1077"/>
            <w:shd w:val="clear" w:color="auto" w:fill="EDEFF2"/>
          </w:tcPr>
          <w:p>
            <w:pPr>
              <w:spacing w:after="40"/>
            </w:pPr>
            <w:r/>
            <w:r>
              <w:rPr>
                <w:rFonts w:ascii="Calibri Light" w:hAnsi="Calibri Light"/>
                <w:b/>
                <w:sz w:val="17"/>
              </w:rPr>
              <w:t>p entrée</w:t>
            </w:r>
          </w:p>
        </w:tc>
        <w:tc>
          <w:tcPr>
            <w:tcW w:type="dxa" w:w="1814"/>
            <w:shd w:val="clear" w:color="auto" w:fill="EDEFF2"/>
          </w:tcPr>
          <w:p>
            <w:pPr>
              <w:spacing w:after="40"/>
            </w:pPr>
            <w:r/>
            <w:r>
              <w:rPr>
                <w:rFonts w:ascii="Calibri Light" w:hAnsi="Calibri Light"/>
                <w:b/>
                <w:sz w:val="17"/>
              </w:rPr>
              <w:t>Débit réfrigérant</w:t>
            </w:r>
          </w:p>
        </w:tc>
        <w:tc>
          <w:tcPr>
            <w:tcW w:type="dxa" w:w="2381"/>
            <w:shd w:val="clear" w:color="auto" w:fill="EDEFF2"/>
          </w:tcPr>
          <w:p>
            <w:pPr>
              <w:spacing w:after="40"/>
            </w:pPr>
            <w:r/>
            <w:r>
              <w:rPr>
                <w:rFonts w:ascii="Calibri Light" w:hAnsi="Calibri Light"/>
                <w:b/>
                <w:sz w:val="17"/>
              </w:rPr>
              <w:t>Débit gaz chaud</w:t>
            </w:r>
          </w:p>
        </w:tc>
      </w:tr>
      <w:tr>
        <w:tc>
          <w:tcPr>
            <w:tcW w:type="dxa" w:w="567"/>
          </w:tcPr>
          <w:p>
            <w:pPr>
              <w:spacing w:after="40"/>
            </w:pPr>
            <w:r/>
            <w:r>
              <w:rPr>
                <w:i w:val="0"/>
                <w:sz w:val="18"/>
              </w:rPr>
              <w:t>1</w:t>
            </w:r>
          </w:p>
        </w:tc>
        <w:tc>
          <w:tcPr>
            <w:tcW w:type="dxa" w:w="2268"/>
          </w:tcPr>
          <w:p>
            <w:pPr>
              <w:spacing w:after="40"/>
            </w:pPr>
            <w:r/>
            <w:r>
              <w:rPr>
                <w:i w:val="0"/>
                <w:sz w:val="18"/>
              </w:rPr>
              <w:t>Hélium</w:t>
            </w:r>
          </w:p>
        </w:tc>
        <w:tc>
          <w:tcPr>
            <w:tcW w:type="dxa" w:w="1077"/>
          </w:tcPr>
          <w:p>
            <w:pPr>
              <w:spacing w:after="40"/>
            </w:pPr>
            <w:r/>
            <w:r>
              <w:rPr>
                <w:i w:val="0"/>
                <w:sz w:val="18"/>
              </w:rPr>
              <w:t>90 K</w:t>
            </w:r>
          </w:p>
        </w:tc>
        <w:tc>
          <w:tcPr>
            <w:tcW w:type="dxa" w:w="1077"/>
          </w:tcPr>
          <w:p>
            <w:pPr>
              <w:spacing w:after="40"/>
            </w:pPr>
            <w:r/>
            <w:r>
              <w:rPr>
                <w:i w:val="0"/>
                <w:sz w:val="18"/>
              </w:rPr>
              <w:t>85 bar</w:t>
            </w:r>
          </w:p>
        </w:tc>
        <w:tc>
          <w:tcPr>
            <w:tcW w:type="dxa" w:w="1814"/>
          </w:tcPr>
          <w:p>
            <w:pPr>
              <w:spacing w:after="40"/>
            </w:pPr>
            <w:r/>
            <w:r>
              <w:rPr>
                <w:i w:val="0"/>
                <w:sz w:val="18"/>
              </w:rPr>
              <w:t>150 g/s</w:t>
            </w:r>
          </w:p>
        </w:tc>
        <w:tc>
          <w:tcPr>
            <w:tcW w:type="dxa" w:w="2381"/>
          </w:tcPr>
          <w:p>
            <w:pPr>
              <w:spacing w:after="40"/>
            </w:pPr>
            <w:r/>
            <w:r>
              <w:rPr>
                <w:i w:val="0"/>
                <w:sz w:val="18"/>
              </w:rPr>
              <w:t>75 g/s (imposé)</w:t>
            </w:r>
          </w:p>
        </w:tc>
      </w:tr>
      <w:tr>
        <w:tc>
          <w:tcPr>
            <w:tcW w:type="dxa" w:w="567"/>
          </w:tcPr>
          <w:p>
            <w:pPr>
              <w:spacing w:after="40"/>
            </w:pPr>
            <w:r/>
            <w:r>
              <w:rPr>
                <w:i w:val="0"/>
                <w:sz w:val="18"/>
              </w:rPr>
              <w:t>2</w:t>
            </w:r>
          </w:p>
        </w:tc>
        <w:tc>
          <w:tcPr>
            <w:tcW w:type="dxa" w:w="2268"/>
          </w:tcPr>
          <w:p>
            <w:pPr>
              <w:spacing w:after="40"/>
            </w:pPr>
            <w:r/>
            <w:r>
              <w:rPr>
                <w:i w:val="0"/>
                <w:sz w:val="18"/>
              </w:rPr>
              <w:t>LN₂ / N₂ supercritique</w:t>
            </w:r>
          </w:p>
        </w:tc>
        <w:tc>
          <w:tcPr>
            <w:tcW w:type="dxa" w:w="1077"/>
          </w:tcPr>
          <w:p>
            <w:pPr>
              <w:spacing w:after="40"/>
            </w:pPr>
            <w:r/>
            <w:r>
              <w:rPr>
                <w:i w:val="0"/>
                <w:sz w:val="18"/>
              </w:rPr>
              <w:t>90 K</w:t>
            </w:r>
          </w:p>
        </w:tc>
        <w:tc>
          <w:tcPr>
            <w:tcW w:type="dxa" w:w="1077"/>
          </w:tcPr>
          <w:p>
            <w:pPr>
              <w:spacing w:after="40"/>
            </w:pPr>
            <w:r/>
            <w:r>
              <w:rPr>
                <w:i w:val="0"/>
                <w:sz w:val="18"/>
              </w:rPr>
              <w:t>85 bar</w:t>
            </w:r>
          </w:p>
        </w:tc>
        <w:tc>
          <w:tcPr>
            <w:tcW w:type="dxa" w:w="1814"/>
          </w:tcPr>
          <w:p>
            <w:pPr>
              <w:spacing w:after="40"/>
            </w:pPr>
            <w:r/>
            <w:r>
              <w:rPr>
                <w:i w:val="0"/>
                <w:sz w:val="18"/>
              </w:rPr>
              <w:t>1 916 g/s</w:t>
            </w:r>
          </w:p>
        </w:tc>
        <w:tc>
          <w:tcPr>
            <w:tcW w:type="dxa" w:w="2381"/>
          </w:tcPr>
          <w:p>
            <w:pPr>
              <w:spacing w:after="40"/>
            </w:pPr>
            <w:r/>
            <w:r>
              <w:rPr>
                <w:i w:val="0"/>
                <w:sz w:val="18"/>
              </w:rPr>
              <w:t>65 g/s (ajusté Mach)</w:t>
            </w:r>
          </w:p>
        </w:tc>
      </w:tr>
      <w:tr>
        <w:tc>
          <w:tcPr>
            <w:tcW w:type="dxa" w:w="567"/>
          </w:tcPr>
          <w:p>
            <w:pPr>
              <w:spacing w:after="40"/>
            </w:pPr>
            <w:r/>
            <w:r>
              <w:rPr>
                <w:i w:val="0"/>
                <w:sz w:val="18"/>
              </w:rPr>
              <w:t>3</w:t>
            </w:r>
          </w:p>
        </w:tc>
        <w:tc>
          <w:tcPr>
            <w:tcW w:type="dxa" w:w="2268"/>
          </w:tcPr>
          <w:p>
            <w:pPr>
              <w:spacing w:after="40"/>
            </w:pPr>
            <w:r/>
            <w:r>
              <w:rPr>
                <w:i w:val="0"/>
                <w:sz w:val="18"/>
              </w:rPr>
              <w:t>Eau</w:t>
            </w:r>
          </w:p>
        </w:tc>
        <w:tc>
          <w:tcPr>
            <w:tcW w:type="dxa" w:w="1077"/>
          </w:tcPr>
          <w:p>
            <w:pPr>
              <w:spacing w:after="40"/>
            </w:pPr>
            <w:r/>
            <w:r>
              <w:rPr>
                <w:i w:val="0"/>
                <w:sz w:val="18"/>
              </w:rPr>
              <w:t>300 K</w:t>
            </w:r>
          </w:p>
        </w:tc>
        <w:tc>
          <w:tcPr>
            <w:tcW w:type="dxa" w:w="1077"/>
          </w:tcPr>
          <w:p>
            <w:pPr>
              <w:spacing w:after="40"/>
            </w:pPr>
            <w:r/>
            <w:r>
              <w:rPr>
                <w:i w:val="0"/>
                <w:sz w:val="18"/>
              </w:rPr>
              <w:t>85 bar</w:t>
            </w:r>
          </w:p>
        </w:tc>
        <w:tc>
          <w:tcPr>
            <w:tcW w:type="dxa" w:w="1814"/>
          </w:tcPr>
          <w:p>
            <w:pPr>
              <w:spacing w:after="40"/>
            </w:pPr>
            <w:r/>
            <w:r>
              <w:rPr>
                <w:i w:val="0"/>
                <w:sz w:val="18"/>
              </w:rPr>
              <w:t>86 g/s</w:t>
            </w:r>
          </w:p>
        </w:tc>
        <w:tc>
          <w:tcPr>
            <w:tcW w:type="dxa" w:w="2381"/>
          </w:tcPr>
          <w:p>
            <w:pPr>
              <w:spacing w:after="40"/>
            </w:pPr>
            <w:r/>
            <w:r>
              <w:rPr>
                <w:i w:val="0"/>
                <w:sz w:val="18"/>
              </w:rPr>
              <w:t>65 g/s (ajusté Mach)</w:t>
            </w:r>
          </w:p>
        </w:tc>
      </w:tr>
    </w:tbl>
    <w:p>
      <w:pPr>
        <w:spacing w:after="220"/>
        <w:jc w:val="left"/>
      </w:pPr>
      <w:r>
        <w:rPr>
          <w:b/>
          <w:sz w:val="18"/>
        </w:rPr>
        <w:t xml:space="preserve">Table 1.  </w:t>
      </w:r>
      <w:r>
        <w:rPr>
          <w:i w:val="0"/>
          <w:color w:val="5C6672"/>
          <w:sz w:val="18"/>
        </w:rPr>
        <w:t>Conditions d'entrée. Les trois cas emploient la fermeture fluide réel (</w:t>
      </w:r>
      <w:r>
        <w:rPr>
          <w:rFonts w:ascii="Consolas" w:hAnsi="Consolas"/>
          <w:i w:val="0"/>
          <w:color w:val="5C6672"/>
          <w:sz w:val="18"/>
        </w:rPr>
        <w:t>equilibrium_liquid</w:t>
      </w:r>
      <w:r>
        <w:rPr>
          <w:i w:val="0"/>
          <w:color w:val="5C6672"/>
          <w:sz w:val="18"/>
        </w:rPr>
        <w:t>) : la sélection de corrélation côté calandre se fait ensuite sur l'état thermodynamique local, et non sur le fluide déclaré.</w:t>
      </w:r>
    </w:p>
    <w:p>
      <w:pPr>
        <w:spacing w:before="160" w:after="160"/>
        <w:ind w:left="283"/>
        <w:pBdr>
          <w:left w:val="single" w:sz="18" w:space="10" w:color="146C7E"/>
        </w:pBdr>
      </w:pPr>
      <w:r>
        <w:rPr>
          <w:rFonts w:ascii="Calibri Light" w:hAnsi="Calibri Light"/>
          <w:b/>
          <w:color w:val="146C7E"/>
          <w:sz w:val="17"/>
        </w:rPr>
        <w:t xml:space="preserve">AJUSTEMENT DU DÉBIT DE GAZ CHAUD  </w:t>
      </w:r>
      <w:r>
        <w:rPr>
          <w:i w:val="0"/>
          <w:sz w:val="19"/>
        </w:rPr>
        <w:t>Le Mach côté tubes est maximal à l'entrée gaz (3020 K, gaz le moins dense) et décroît ensuite. À 65 g/s le maximum vaut 0,290 ; à 75 g/s il atteint 0,335, soit légèrement au-delà de la limite. Le cas Hélium, dont le débit est imposé à 75 g/s, dépasse donc marginalement le domaine de validité — voir §5.</w:t>
      </w:r>
    </w:p>
    <w:p>
      <w:pPr>
        <w:pStyle w:val="Heading1"/>
      </w:pPr>
      <w:r>
        <w:t>2.  Synthèse des performances</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3402"/>
            <w:shd w:val="clear" w:color="auto" w:fill="EDEFF2"/>
          </w:tcPr>
          <w:p>
            <w:pPr>
              <w:spacing w:after="40"/>
            </w:pPr>
            <w:r/>
            <w:r>
              <w:rPr>
                <w:rFonts w:ascii="Calibri Light" w:hAnsi="Calibri Light"/>
                <w:b/>
                <w:sz w:val="17"/>
              </w:rPr>
              <w:t>Grandeur</w:t>
            </w:r>
          </w:p>
        </w:tc>
        <w:tc>
          <w:tcPr>
            <w:tcW w:type="dxa" w:w="1928"/>
            <w:shd w:val="clear" w:color="auto" w:fill="EDEFF2"/>
          </w:tcPr>
          <w:p>
            <w:pPr>
              <w:spacing w:after="40"/>
            </w:pPr>
            <w:r/>
            <w:r>
              <w:rPr>
                <w:rFonts w:ascii="Calibri Light" w:hAnsi="Calibri Light"/>
                <w:b/>
                <w:sz w:val="17"/>
              </w:rPr>
              <w:t>Hélium</w:t>
            </w:r>
          </w:p>
        </w:tc>
        <w:tc>
          <w:tcPr>
            <w:tcW w:type="dxa" w:w="1928"/>
            <w:shd w:val="clear" w:color="auto" w:fill="EDEFF2"/>
          </w:tcPr>
          <w:p>
            <w:pPr>
              <w:spacing w:after="40"/>
            </w:pPr>
            <w:r/>
            <w:r>
              <w:rPr>
                <w:rFonts w:ascii="Calibri Light" w:hAnsi="Calibri Light"/>
                <w:b/>
                <w:sz w:val="17"/>
              </w:rPr>
              <w:t>LN₂ / N₂</w:t>
            </w:r>
          </w:p>
        </w:tc>
        <w:tc>
          <w:tcPr>
            <w:tcW w:type="dxa" w:w="2041"/>
            <w:shd w:val="clear" w:color="auto" w:fill="EDEFF2"/>
          </w:tcPr>
          <w:p>
            <w:pPr>
              <w:spacing w:after="40"/>
            </w:pPr>
            <w:r/>
            <w:r>
              <w:rPr>
                <w:rFonts w:ascii="Calibri Light" w:hAnsi="Calibri Light"/>
                <w:b/>
                <w:sz w:val="17"/>
              </w:rPr>
              <w:t>Eau</w:t>
            </w:r>
          </w:p>
        </w:tc>
      </w:tr>
      <w:tr>
        <w:tc>
          <w:tcPr>
            <w:tcW w:type="dxa" w:w="3402"/>
          </w:tcPr>
          <w:p>
            <w:pPr>
              <w:spacing w:after="40"/>
            </w:pPr>
            <w:r/>
            <w:r>
              <w:rPr>
                <w:i w:val="0"/>
                <w:sz w:val="18"/>
              </w:rPr>
              <w:t>Puissance thermique Q</w:t>
            </w:r>
          </w:p>
        </w:tc>
        <w:tc>
          <w:tcPr>
            <w:tcW w:type="dxa" w:w="1928"/>
          </w:tcPr>
          <w:p>
            <w:pPr>
              <w:spacing w:after="40"/>
            </w:pPr>
            <w:r/>
            <w:r>
              <w:rPr>
                <w:i w:val="0"/>
                <w:sz w:val="18"/>
              </w:rPr>
              <w:t>403,0 kW</w:t>
            </w:r>
          </w:p>
        </w:tc>
        <w:tc>
          <w:tcPr>
            <w:tcW w:type="dxa" w:w="1928"/>
          </w:tcPr>
          <w:p>
            <w:pPr>
              <w:spacing w:after="40"/>
            </w:pPr>
            <w:r/>
            <w:r>
              <w:rPr>
                <w:i w:val="0"/>
                <w:sz w:val="18"/>
              </w:rPr>
              <w:t>411,3 kW</w:t>
            </w:r>
          </w:p>
        </w:tc>
        <w:tc>
          <w:tcPr>
            <w:tcW w:type="dxa" w:w="2041"/>
          </w:tcPr>
          <w:p>
            <w:pPr>
              <w:spacing w:after="40"/>
            </w:pPr>
            <w:r/>
            <w:r>
              <w:rPr>
                <w:i w:val="0"/>
                <w:sz w:val="18"/>
              </w:rPr>
              <w:t>329,3 kW</w:t>
            </w:r>
          </w:p>
        </w:tc>
      </w:tr>
      <w:tr>
        <w:tc>
          <w:tcPr>
            <w:tcW w:type="dxa" w:w="3402"/>
          </w:tcPr>
          <w:p>
            <w:pPr>
              <w:spacing w:after="40"/>
            </w:pPr>
            <w:r/>
            <w:r>
              <w:rPr>
                <w:i w:val="0"/>
                <w:sz w:val="18"/>
              </w:rPr>
              <w:t>Température sortie réfrigérant</w:t>
            </w:r>
          </w:p>
        </w:tc>
        <w:tc>
          <w:tcPr>
            <w:tcW w:type="dxa" w:w="1928"/>
          </w:tcPr>
          <w:p>
            <w:pPr>
              <w:spacing w:after="40"/>
            </w:pPr>
            <w:r/>
            <w:r>
              <w:rPr>
                <w:i w:val="0"/>
                <w:sz w:val="18"/>
              </w:rPr>
              <w:t>606,3 K</w:t>
            </w:r>
          </w:p>
        </w:tc>
        <w:tc>
          <w:tcPr>
            <w:tcW w:type="dxa" w:w="1928"/>
          </w:tcPr>
          <w:p>
            <w:pPr>
              <w:spacing w:after="40"/>
            </w:pPr>
            <w:r/>
            <w:r>
              <w:rPr>
                <w:i w:val="0"/>
                <w:sz w:val="18"/>
              </w:rPr>
              <w:t>172,4 K</w:t>
            </w:r>
          </w:p>
        </w:tc>
        <w:tc>
          <w:tcPr>
            <w:tcW w:type="dxa" w:w="2041"/>
          </w:tcPr>
          <w:p>
            <w:pPr>
              <w:spacing w:after="40"/>
            </w:pPr>
            <w:r/>
            <w:r>
              <w:rPr>
                <w:i w:val="0"/>
                <w:sz w:val="18"/>
              </w:rPr>
              <w:t>1002,3 K</w:t>
            </w:r>
          </w:p>
        </w:tc>
      </w:tr>
      <w:tr>
        <w:tc>
          <w:tcPr>
            <w:tcW w:type="dxa" w:w="3402"/>
          </w:tcPr>
          <w:p>
            <w:pPr>
              <w:spacing w:after="40"/>
            </w:pPr>
            <w:r/>
            <w:r>
              <w:rPr>
                <w:i w:val="0"/>
                <w:sz w:val="18"/>
              </w:rPr>
              <w:t>Élévation ΔT réfrigérant</w:t>
            </w:r>
          </w:p>
        </w:tc>
        <w:tc>
          <w:tcPr>
            <w:tcW w:type="dxa" w:w="1928"/>
          </w:tcPr>
          <w:p>
            <w:pPr>
              <w:spacing w:after="40"/>
            </w:pPr>
            <w:r/>
            <w:r>
              <w:rPr>
                <w:i w:val="0"/>
                <w:sz w:val="18"/>
              </w:rPr>
              <w:t>516,3 K</w:t>
            </w:r>
          </w:p>
        </w:tc>
        <w:tc>
          <w:tcPr>
            <w:tcW w:type="dxa" w:w="1928"/>
          </w:tcPr>
          <w:p>
            <w:pPr>
              <w:spacing w:after="40"/>
            </w:pPr>
            <w:r/>
            <w:r>
              <w:rPr>
                <w:i w:val="0"/>
                <w:sz w:val="18"/>
              </w:rPr>
              <w:t>82,4 K</w:t>
            </w:r>
          </w:p>
        </w:tc>
        <w:tc>
          <w:tcPr>
            <w:tcW w:type="dxa" w:w="2041"/>
          </w:tcPr>
          <w:p>
            <w:pPr>
              <w:spacing w:after="40"/>
            </w:pPr>
            <w:r/>
            <w:r>
              <w:rPr>
                <w:i w:val="0"/>
                <w:sz w:val="18"/>
              </w:rPr>
              <w:t>702,3 K</w:t>
            </w:r>
          </w:p>
        </w:tc>
      </w:tr>
      <w:tr>
        <w:tc>
          <w:tcPr>
            <w:tcW w:type="dxa" w:w="3402"/>
          </w:tcPr>
          <w:p>
            <w:pPr>
              <w:spacing w:after="40"/>
            </w:pPr>
            <w:r/>
            <w:r>
              <w:rPr>
                <w:i w:val="0"/>
                <w:sz w:val="18"/>
              </w:rPr>
              <w:t>Pression sortie</w:t>
            </w:r>
          </w:p>
        </w:tc>
        <w:tc>
          <w:tcPr>
            <w:tcW w:type="dxa" w:w="1928"/>
          </w:tcPr>
          <w:p>
            <w:pPr>
              <w:spacing w:after="40"/>
            </w:pPr>
            <w:r/>
            <w:r>
              <w:rPr>
                <w:i w:val="0"/>
                <w:sz w:val="18"/>
              </w:rPr>
              <w:t>81,93 bar</w:t>
            </w:r>
          </w:p>
        </w:tc>
        <w:tc>
          <w:tcPr>
            <w:tcW w:type="dxa" w:w="1928"/>
          </w:tcPr>
          <w:p>
            <w:pPr>
              <w:spacing w:after="40"/>
            </w:pPr>
            <w:r/>
            <w:r>
              <w:rPr>
                <w:i w:val="0"/>
                <w:sz w:val="18"/>
              </w:rPr>
              <w:t>75,21 bar</w:t>
            </w:r>
          </w:p>
        </w:tc>
        <w:tc>
          <w:tcPr>
            <w:tcW w:type="dxa" w:w="2041"/>
          </w:tcPr>
          <w:p>
            <w:pPr>
              <w:spacing w:after="40"/>
            </w:pPr>
            <w:r/>
            <w:r>
              <w:rPr>
                <w:i w:val="0"/>
                <w:sz w:val="18"/>
              </w:rPr>
              <w:t>84,68 bar</w:t>
            </w:r>
          </w:p>
        </w:tc>
      </w:tr>
      <w:tr>
        <w:tc>
          <w:tcPr>
            <w:tcW w:type="dxa" w:w="3402"/>
          </w:tcPr>
          <w:p>
            <w:pPr>
              <w:spacing w:after="40"/>
            </w:pPr>
            <w:r/>
            <w:r>
              <w:rPr>
                <w:i w:val="0"/>
                <w:sz w:val="18"/>
              </w:rPr>
              <w:t>Perte de charge côté calandre</w:t>
            </w:r>
          </w:p>
        </w:tc>
        <w:tc>
          <w:tcPr>
            <w:tcW w:type="dxa" w:w="1928"/>
          </w:tcPr>
          <w:p>
            <w:pPr>
              <w:spacing w:after="40"/>
            </w:pPr>
            <w:r/>
            <w:r>
              <w:rPr>
                <w:i w:val="0"/>
                <w:sz w:val="18"/>
              </w:rPr>
              <w:t>3,07 bar</w:t>
            </w:r>
          </w:p>
        </w:tc>
        <w:tc>
          <w:tcPr>
            <w:tcW w:type="dxa" w:w="1928"/>
          </w:tcPr>
          <w:p>
            <w:pPr>
              <w:spacing w:after="40"/>
            </w:pPr>
            <w:r/>
            <w:r>
              <w:rPr>
                <w:i w:val="0"/>
                <w:sz w:val="18"/>
              </w:rPr>
              <w:t>9,79 bar</w:t>
            </w:r>
          </w:p>
        </w:tc>
        <w:tc>
          <w:tcPr>
            <w:tcW w:type="dxa" w:w="2041"/>
          </w:tcPr>
          <w:p>
            <w:pPr>
              <w:spacing w:after="40"/>
            </w:pPr>
            <w:r/>
            <w:r>
              <w:rPr>
                <w:i w:val="0"/>
                <w:sz w:val="18"/>
              </w:rPr>
              <w:t>0,32 bar</w:t>
            </w:r>
          </w:p>
        </w:tc>
      </w:tr>
      <w:tr>
        <w:tc>
          <w:tcPr>
            <w:tcW w:type="dxa" w:w="3402"/>
          </w:tcPr>
          <w:p>
            <w:pPr>
              <w:spacing w:after="40"/>
            </w:pPr>
            <w:r/>
            <w:r>
              <w:rPr>
                <w:i w:val="0"/>
                <w:sz w:val="18"/>
              </w:rPr>
              <w:t>dont terme d'accélération</w:t>
            </w:r>
          </w:p>
        </w:tc>
        <w:tc>
          <w:tcPr>
            <w:tcW w:type="dxa" w:w="1928"/>
          </w:tcPr>
          <w:p>
            <w:pPr>
              <w:spacing w:after="40"/>
            </w:pPr>
            <w:r/>
            <w:r>
              <w:rPr>
                <w:i w:val="0"/>
                <w:sz w:val="18"/>
              </w:rPr>
              <w:t>0,35 bar</w:t>
            </w:r>
          </w:p>
        </w:tc>
        <w:tc>
          <w:tcPr>
            <w:tcW w:type="dxa" w:w="1928"/>
          </w:tcPr>
          <w:p>
            <w:pPr>
              <w:spacing w:after="40"/>
            </w:pPr>
            <w:r/>
            <w:r>
              <w:rPr>
                <w:i w:val="0"/>
                <w:sz w:val="18"/>
              </w:rPr>
              <w:t>1,62 bar</w:t>
            </w:r>
          </w:p>
        </w:tc>
        <w:tc>
          <w:tcPr>
            <w:tcW w:type="dxa" w:w="2041"/>
          </w:tcPr>
          <w:p>
            <w:pPr>
              <w:spacing w:after="40"/>
            </w:pPr>
            <w:r/>
            <w:r>
              <w:rPr>
                <w:i w:val="0"/>
                <w:sz w:val="18"/>
              </w:rPr>
              <w:t>0,05 bar</w:t>
            </w:r>
          </w:p>
        </w:tc>
      </w:tr>
      <w:tr>
        <w:tc>
          <w:tcPr>
            <w:tcW w:type="dxa" w:w="3402"/>
          </w:tcPr>
          <w:p>
            <w:pPr>
              <w:spacing w:after="40"/>
            </w:pPr>
            <w:r/>
            <w:r>
              <w:rPr>
                <w:b/>
                <w:i w:val="0"/>
                <w:sz w:val="18"/>
              </w:rPr>
              <w:t>Débit volumique en sortie</w:t>
            </w:r>
          </w:p>
        </w:tc>
        <w:tc>
          <w:tcPr>
            <w:tcW w:type="dxa" w:w="1928"/>
          </w:tcPr>
          <w:p>
            <w:pPr>
              <w:spacing w:after="40"/>
            </w:pPr>
            <w:r/>
            <w:r>
              <w:rPr>
                <w:b/>
                <w:i w:val="0"/>
                <w:sz w:val="18"/>
              </w:rPr>
              <w:t>23,45 L/s</w:t>
            </w:r>
          </w:p>
        </w:tc>
        <w:tc>
          <w:tcPr>
            <w:tcW w:type="dxa" w:w="1928"/>
          </w:tcPr>
          <w:p>
            <w:pPr>
              <w:spacing w:after="40"/>
            </w:pPr>
            <w:r/>
            <w:r>
              <w:rPr>
                <w:b/>
                <w:i w:val="0"/>
                <w:sz w:val="18"/>
              </w:rPr>
              <w:t>9,68 L/s</w:t>
            </w:r>
          </w:p>
        </w:tc>
        <w:tc>
          <w:tcPr>
            <w:tcW w:type="dxa" w:w="2041"/>
          </w:tcPr>
          <w:p>
            <w:pPr>
              <w:spacing w:after="40"/>
            </w:pPr>
            <w:r/>
            <w:r>
              <w:rPr>
                <w:b/>
                <w:i w:val="0"/>
                <w:sz w:val="18"/>
              </w:rPr>
              <w:t>4,60 L/s</w:t>
            </w:r>
          </w:p>
        </w:tc>
      </w:tr>
      <w:tr>
        <w:tc>
          <w:tcPr>
            <w:tcW w:type="dxa" w:w="3402"/>
          </w:tcPr>
          <w:p>
            <w:pPr>
              <w:spacing w:after="40"/>
            </w:pPr>
            <w:r/>
            <w:r>
              <w:rPr>
                <w:i w:val="0"/>
                <w:sz w:val="18"/>
              </w:rPr>
              <w:t>Masse volumique en sortie</w:t>
            </w:r>
          </w:p>
        </w:tc>
        <w:tc>
          <w:tcPr>
            <w:tcW w:type="dxa" w:w="1928"/>
          </w:tcPr>
          <w:p>
            <w:pPr>
              <w:spacing w:after="40"/>
            </w:pPr>
            <w:r/>
            <w:r>
              <w:rPr>
                <w:i w:val="0"/>
                <w:sz w:val="18"/>
              </w:rPr>
              <w:t>6,4 kg/m³</w:t>
            </w:r>
          </w:p>
        </w:tc>
        <w:tc>
          <w:tcPr>
            <w:tcW w:type="dxa" w:w="1928"/>
          </w:tcPr>
          <w:p>
            <w:pPr>
              <w:spacing w:after="40"/>
            </w:pPr>
            <w:r/>
            <w:r>
              <w:rPr>
                <w:i w:val="0"/>
                <w:sz w:val="18"/>
              </w:rPr>
              <w:t>197,9 kg/m³</w:t>
            </w:r>
          </w:p>
        </w:tc>
        <w:tc>
          <w:tcPr>
            <w:tcW w:type="dxa" w:w="2041"/>
          </w:tcPr>
          <w:p>
            <w:pPr>
              <w:spacing w:after="40"/>
            </w:pPr>
            <w:r/>
            <w:r>
              <w:rPr>
                <w:i w:val="0"/>
                <w:sz w:val="18"/>
              </w:rPr>
              <w:t>18,7 kg/m³</w:t>
            </w:r>
          </w:p>
        </w:tc>
      </w:tr>
      <w:tr>
        <w:tc>
          <w:tcPr>
            <w:tcW w:type="dxa" w:w="3402"/>
          </w:tcPr>
          <w:p>
            <w:pPr>
              <w:spacing w:after="40"/>
            </w:pPr>
            <w:r/>
            <w:r>
              <w:rPr>
                <w:b/>
                <w:i w:val="0"/>
                <w:sz w:val="18"/>
              </w:rPr>
              <w:t>T paroi max (côté gaz)</w:t>
            </w:r>
          </w:p>
        </w:tc>
        <w:tc>
          <w:tcPr>
            <w:tcW w:type="dxa" w:w="1928"/>
          </w:tcPr>
          <w:p>
            <w:pPr>
              <w:spacing w:after="40"/>
            </w:pPr>
            <w:r/>
            <w:r>
              <w:rPr>
                <w:b/>
                <w:i w:val="0"/>
                <w:sz w:val="18"/>
              </w:rPr>
              <w:t>1256,6 K</w:t>
            </w:r>
          </w:p>
        </w:tc>
        <w:tc>
          <w:tcPr>
            <w:tcW w:type="dxa" w:w="1928"/>
          </w:tcPr>
          <w:p>
            <w:pPr>
              <w:spacing w:after="40"/>
            </w:pPr>
            <w:r/>
            <w:r>
              <w:rPr>
                <w:b/>
                <w:i w:val="0"/>
                <w:sz w:val="18"/>
              </w:rPr>
              <w:t>893,7 K</w:t>
            </w:r>
          </w:p>
        </w:tc>
        <w:tc>
          <w:tcPr>
            <w:tcW w:type="dxa" w:w="2041"/>
          </w:tcPr>
          <w:p>
            <w:pPr>
              <w:spacing w:after="40"/>
            </w:pPr>
            <w:r/>
            <w:r>
              <w:rPr>
                <w:b/>
                <w:i w:val="0"/>
                <w:sz w:val="18"/>
              </w:rPr>
              <w:t>1295,2 K</w:t>
            </w:r>
          </w:p>
        </w:tc>
      </w:tr>
      <w:tr>
        <w:tc>
          <w:tcPr>
            <w:tcW w:type="dxa" w:w="3402"/>
          </w:tcPr>
          <w:p>
            <w:pPr>
              <w:spacing w:after="40"/>
            </w:pPr>
            <w:r/>
            <w:r>
              <w:rPr>
                <w:i w:val="0"/>
                <w:sz w:val="18"/>
              </w:rPr>
              <w:t>T paroi max (côté réfrigérant)</w:t>
            </w:r>
          </w:p>
        </w:tc>
        <w:tc>
          <w:tcPr>
            <w:tcW w:type="dxa" w:w="1928"/>
          </w:tcPr>
          <w:p>
            <w:pPr>
              <w:spacing w:after="40"/>
            </w:pPr>
            <w:r/>
            <w:r>
              <w:rPr>
                <w:i w:val="0"/>
                <w:sz w:val="18"/>
              </w:rPr>
              <w:t>1123,4 K</w:t>
            </w:r>
          </w:p>
        </w:tc>
        <w:tc>
          <w:tcPr>
            <w:tcW w:type="dxa" w:w="1928"/>
          </w:tcPr>
          <w:p>
            <w:pPr>
              <w:spacing w:after="40"/>
            </w:pPr>
            <w:r/>
            <w:r>
              <w:rPr>
                <w:i w:val="0"/>
                <w:sz w:val="18"/>
              </w:rPr>
              <w:t>740,8 K</w:t>
            </w:r>
          </w:p>
        </w:tc>
        <w:tc>
          <w:tcPr>
            <w:tcW w:type="dxa" w:w="2041"/>
          </w:tcPr>
          <w:p>
            <w:pPr>
              <w:spacing w:after="40"/>
            </w:pPr>
            <w:r/>
            <w:r>
              <w:rPr>
                <w:i w:val="0"/>
                <w:sz w:val="18"/>
              </w:rPr>
              <w:t>1171,2 K</w:t>
            </w:r>
          </w:p>
        </w:tc>
      </w:tr>
      <w:tr>
        <w:tc>
          <w:tcPr>
            <w:tcW w:type="dxa" w:w="3402"/>
          </w:tcPr>
          <w:p>
            <w:pPr>
              <w:spacing w:after="40"/>
            </w:pPr>
            <w:r/>
            <w:r>
              <w:rPr>
                <w:i w:val="0"/>
                <w:sz w:val="18"/>
              </w:rPr>
              <w:t>État en sortie</w:t>
            </w:r>
          </w:p>
        </w:tc>
        <w:tc>
          <w:tcPr>
            <w:tcW w:type="dxa" w:w="1928"/>
          </w:tcPr>
          <w:p>
            <w:pPr>
              <w:spacing w:after="40"/>
            </w:pPr>
            <w:r/>
            <w:r>
              <w:rPr>
                <w:i w:val="0"/>
                <w:sz w:val="18"/>
              </w:rPr>
              <w:t>supercritique</w:t>
            </w:r>
          </w:p>
        </w:tc>
        <w:tc>
          <w:tcPr>
            <w:tcW w:type="dxa" w:w="1928"/>
          </w:tcPr>
          <w:p>
            <w:pPr>
              <w:spacing w:after="40"/>
            </w:pPr>
            <w:r/>
            <w:r>
              <w:rPr>
                <w:i w:val="0"/>
                <w:sz w:val="18"/>
              </w:rPr>
              <w:t>supercritique</w:t>
            </w:r>
          </w:p>
        </w:tc>
        <w:tc>
          <w:tcPr>
            <w:tcW w:type="dxa" w:w="2041"/>
          </w:tcPr>
          <w:p>
            <w:pPr>
              <w:spacing w:after="40"/>
            </w:pPr>
            <w:r/>
            <w:r>
              <w:rPr>
                <w:i w:val="0"/>
                <w:sz w:val="18"/>
              </w:rPr>
              <w:t>vapeur surchauffée, x = 1,85</w:t>
            </w:r>
          </w:p>
        </w:tc>
      </w:tr>
      <w:tr>
        <w:tc>
          <w:tcPr>
            <w:tcW w:type="dxa" w:w="3402"/>
          </w:tcPr>
          <w:p>
            <w:pPr>
              <w:spacing w:after="40"/>
            </w:pPr>
            <w:r/>
            <w:r>
              <w:rPr>
                <w:i w:val="0"/>
                <w:sz w:val="18"/>
              </w:rPr>
              <w:t>Mach max côté gaz</w:t>
            </w:r>
          </w:p>
        </w:tc>
        <w:tc>
          <w:tcPr>
            <w:tcW w:type="dxa" w:w="1928"/>
          </w:tcPr>
          <w:p>
            <w:pPr>
              <w:spacing w:after="40"/>
            </w:pPr>
            <w:r/>
            <w:r>
              <w:rPr>
                <w:i w:val="0"/>
                <w:sz w:val="18"/>
              </w:rPr>
              <w:t>0,335</w:t>
            </w:r>
          </w:p>
        </w:tc>
        <w:tc>
          <w:tcPr>
            <w:tcW w:type="dxa" w:w="1928"/>
          </w:tcPr>
          <w:p>
            <w:pPr>
              <w:spacing w:after="40"/>
            </w:pPr>
            <w:r/>
            <w:r>
              <w:rPr>
                <w:i w:val="0"/>
                <w:sz w:val="18"/>
              </w:rPr>
              <w:t>0,290</w:t>
            </w:r>
          </w:p>
        </w:tc>
        <w:tc>
          <w:tcPr>
            <w:tcW w:type="dxa" w:w="2041"/>
          </w:tcPr>
          <w:p>
            <w:pPr>
              <w:spacing w:after="40"/>
            </w:pPr>
            <w:r/>
            <w:r>
              <w:rPr>
                <w:i w:val="0"/>
                <w:sz w:val="18"/>
              </w:rPr>
              <w:t>0,290</w:t>
            </w:r>
          </w:p>
        </w:tc>
      </w:tr>
      <w:tr>
        <w:tc>
          <w:tcPr>
            <w:tcW w:type="dxa" w:w="3402"/>
          </w:tcPr>
          <w:p>
            <w:pPr>
              <w:spacing w:after="40"/>
            </w:pPr>
            <w:r/>
            <w:r>
              <w:rPr>
                <w:i w:val="0"/>
                <w:sz w:val="18"/>
              </w:rPr>
              <w:t>Marge flambage (ΔP/P_cr)</w:t>
            </w:r>
          </w:p>
        </w:tc>
        <w:tc>
          <w:tcPr>
            <w:tcW w:type="dxa" w:w="1928"/>
          </w:tcPr>
          <w:p>
            <w:pPr>
              <w:spacing w:after="40"/>
            </w:pPr>
            <w:r/>
            <w:r>
              <w:rPr>
                <w:i w:val="0"/>
                <w:sz w:val="18"/>
              </w:rPr>
              <w:t>0,0023</w:t>
            </w:r>
          </w:p>
        </w:tc>
        <w:tc>
          <w:tcPr>
            <w:tcW w:type="dxa" w:w="1928"/>
          </w:tcPr>
          <w:p>
            <w:pPr>
              <w:spacing w:after="40"/>
            </w:pPr>
            <w:r/>
            <w:r>
              <w:rPr>
                <w:i w:val="0"/>
                <w:sz w:val="18"/>
              </w:rPr>
              <w:t>0,0020</w:t>
            </w:r>
          </w:p>
        </w:tc>
        <w:tc>
          <w:tcPr>
            <w:tcW w:type="dxa" w:w="2041"/>
          </w:tcPr>
          <w:p>
            <w:pPr>
              <w:spacing w:after="40"/>
            </w:pPr>
            <w:r/>
            <w:r>
              <w:rPr>
                <w:i w:val="0"/>
                <w:sz w:val="18"/>
              </w:rPr>
              <w:t>0,0024</w:t>
            </w:r>
          </w:p>
        </w:tc>
      </w:tr>
      <w:tr>
        <w:tc>
          <w:tcPr>
            <w:tcW w:type="dxa" w:w="3402"/>
          </w:tcPr>
          <w:p>
            <w:pPr>
              <w:spacing w:after="40"/>
            </w:pPr>
            <w:r/>
            <w:r>
              <w:rPr>
                <w:i w:val="0"/>
                <w:sz w:val="18"/>
              </w:rPr>
              <w:t>Balayages jusqu'à convergence</w:t>
            </w:r>
          </w:p>
        </w:tc>
        <w:tc>
          <w:tcPr>
            <w:tcW w:type="dxa" w:w="1928"/>
          </w:tcPr>
          <w:p>
            <w:pPr>
              <w:spacing w:after="40"/>
            </w:pPr>
            <w:r/>
            <w:r>
              <w:rPr>
                <w:i w:val="0"/>
                <w:sz w:val="18"/>
              </w:rPr>
              <w:t>13</w:t>
            </w:r>
          </w:p>
        </w:tc>
        <w:tc>
          <w:tcPr>
            <w:tcW w:type="dxa" w:w="1928"/>
          </w:tcPr>
          <w:p>
            <w:pPr>
              <w:spacing w:after="40"/>
            </w:pPr>
            <w:r/>
            <w:r>
              <w:rPr>
                <w:i w:val="0"/>
                <w:sz w:val="18"/>
              </w:rPr>
              <w:t>12</w:t>
            </w:r>
          </w:p>
        </w:tc>
        <w:tc>
          <w:tcPr>
            <w:tcW w:type="dxa" w:w="2041"/>
          </w:tcPr>
          <w:p>
            <w:pPr>
              <w:spacing w:after="40"/>
            </w:pPr>
            <w:r/>
            <w:r>
              <w:rPr>
                <w:i w:val="0"/>
                <w:sz w:val="18"/>
              </w:rPr>
              <w:t>14</w:t>
            </w:r>
          </w:p>
        </w:tc>
      </w:tr>
    </w:tbl>
    <w:p>
      <w:pPr>
        <w:spacing w:after="220"/>
        <w:jc w:val="left"/>
      </w:pPr>
      <w:r>
        <w:rPr>
          <w:b/>
          <w:sz w:val="18"/>
        </w:rPr>
        <w:t xml:space="preserve">Table 2.  </w:t>
      </w:r>
      <w:r>
        <w:rPr>
          <w:i w:val="0"/>
          <w:color w:val="5C6672"/>
          <w:sz w:val="18"/>
        </w:rPr>
        <w:t>Synthèse. Rappel : la limite du domaine de données caractérisées de l'Inconel 718 est 1033 K, la tolérance admise pour cette étude 1500 K.</w:t>
      </w:r>
    </w:p>
    <w:p>
      <w:pPr>
        <w:spacing w:before="160" w:after="80"/>
        <w:jc w:val="center"/>
      </w:pPr>
      <w:r>
        <w:drawing>
          <wp:inline xmlns:a="http://schemas.openxmlformats.org/drawingml/2006/main" xmlns:pic="http://schemas.openxmlformats.org/drawingml/2006/picture">
            <wp:extent cx="5903999" cy="4272343"/>
            <wp:docPr id="1" name="Picture 1"/>
            <wp:cNvGraphicFramePr>
              <a:graphicFrameLocks noChangeAspect="1"/>
            </wp:cNvGraphicFramePr>
            <a:graphic>
              <a:graphicData uri="http://schemas.openxmlformats.org/drawingml/2006/picture">
                <pic:pic>
                  <pic:nvPicPr>
                    <pic:cNvPr id="0" name="fig1_comparaison.png"/>
                    <pic:cNvPicPr/>
                  </pic:nvPicPr>
                  <pic:blipFill>
                    <a:blip r:embed="rId9"/>
                    <a:stretch>
                      <a:fillRect/>
                    </a:stretch>
                  </pic:blipFill>
                  <pic:spPr>
                    <a:xfrm>
                      <a:off x="0" y="0"/>
                      <a:ext cx="5903999" cy="4272343"/>
                    </a:xfrm>
                    <a:prstGeom prst="rect"/>
                  </pic:spPr>
                </pic:pic>
              </a:graphicData>
            </a:graphic>
          </wp:inline>
        </w:drawing>
      </w:r>
    </w:p>
    <w:p>
      <w:pPr>
        <w:spacing w:after="220"/>
        <w:jc w:val="left"/>
      </w:pPr>
      <w:r>
        <w:rPr>
          <w:b/>
          <w:sz w:val="18"/>
        </w:rPr>
        <w:t xml:space="preserve">Figure 1.  </w:t>
      </w:r>
      <w:r>
        <w:rPr>
          <w:i w:val="0"/>
          <w:color w:val="5C6672"/>
          <w:sz w:val="18"/>
        </w:rPr>
        <w:t>Comparaison des trois cas. (a) températures de paroi, avec les maxima repérés — tous se situent au premier nœud, à l'entrée gaz. (b) échauffement du réfrigérant. (c) coefficients d'échange, en échelle logarithmique. (d) puissance et débit volumique délivré.</w:t>
      </w:r>
    </w:p>
    <w:p>
      <w:pPr>
        <w:pStyle w:val="Heading1"/>
      </w:pPr>
      <w:r>
        <w:t>3.  Lecture physique</w:t>
      </w:r>
    </w:p>
    <w:p>
      <w:pPr>
        <w:pStyle w:val="Heading2"/>
      </w:pPr>
      <w:r>
        <w:t>3.1  Le film gaz contrôle l'échange</w:t>
      </w:r>
    </w:p>
    <w:p>
      <w:r>
        <w:rPr>
          <w:i w:val="0"/>
        </w:rPr>
        <w:t>La figure 1(c) est la clé de lecture de toute l'étude : le coefficient d'échange côté réfrigérant dépasse celui du côté gaz d'un à deux ordres de grandeur, quel que soit le fluide. La résistance thermique est donc dominée par le film gaz (environ 77 à 95 % du total selon le cas), ce qui a deux conséquences directes :</w:t>
      </w:r>
    </w:p>
    <w:p>
      <w:pPr>
        <w:pStyle w:val="ListBullet"/>
        <w:spacing w:after="60"/>
        <w:ind w:left="397"/>
      </w:pPr>
      <w:r>
        <w:rPr>
          <w:i w:val="0"/>
        </w:rPr>
        <w:t xml:space="preserve">Les trois fluides délivrent des puissances </w:t>
      </w:r>
      <w:r>
        <w:rPr>
          <w:b/>
          <w:i w:val="0"/>
        </w:rPr>
        <w:t>voisines</w:t>
      </w:r>
      <w:r>
        <w:rPr>
          <w:i w:val="0"/>
        </w:rPr>
        <w:t xml:space="preserve"> — 403,0, 411,3 et 329,3 kW — malgré des débits massiques dans un rapport de 1 à 22. La puissance est fixée par ce que le gaz peut céder, pas par la capacité du réfrigérant à absorber.</w:t>
      </w:r>
    </w:p>
    <w:p>
      <w:pPr>
        <w:pStyle w:val="ListBullet"/>
        <w:spacing w:after="60"/>
        <w:ind w:left="397"/>
      </w:pPr>
      <w:r>
        <w:rPr>
          <w:i w:val="0"/>
        </w:rPr>
        <w:t>Le choix de la corrélation d'ébullition ou supercritique influe peu sur la puissance : un écart de ±30 % sur le coefficient côté réfrigérant ne déplace le produit UA que de quelques pour cent.</w:t>
      </w:r>
    </w:p>
    <w:p>
      <w:pPr>
        <w:pStyle w:val="Heading2"/>
      </w:pPr>
      <w:r>
        <w:t>3.2  Ce qui distingue réellement les trois fluides</w:t>
      </w:r>
    </w:p>
    <w:p>
      <w:r>
        <w:rPr>
          <w:i w:val="0"/>
        </w:rPr>
        <w:t xml:space="preserve">Ce n'est donc pas la puissance qui sépare les cas, mais </w:t>
      </w:r>
      <w:r>
        <w:rPr>
          <w:b/>
          <w:i w:val="0"/>
        </w:rPr>
        <w:t>l'état de sortie</w:t>
      </w:r>
      <w:r>
        <w:rPr>
          <w:i w:val="0"/>
        </w:rPr>
        <w:t xml:space="preserve"> et la </w:t>
      </w:r>
      <w:r>
        <w:rPr>
          <w:b/>
          <w:i w:val="0"/>
        </w:rPr>
        <w:t>température de paroi</w:t>
      </w:r>
      <w:r>
        <w:rPr>
          <w:i w:val="0"/>
        </w:rPr>
        <w:t xml:space="preserve"> :</w:t>
      </w:r>
    </w:p>
    <w:tbl>
      <w:tblPr>
        <w:tblStyle w:val="TableGrid"/>
        <w:tblW w:type="auto" w:w="0"/>
        <w:jc w:val="center"/>
        <w:tblLook w:firstColumn="1" w:firstRow="1" w:lastColumn="0" w:lastRow="0" w:noHBand="0" w:noVBand="1" w:val="04A0"/>
      </w:tblPr>
      <w:tblGrid>
        <w:gridCol w:w="3099"/>
        <w:gridCol w:w="3099"/>
        <w:gridCol w:w="3099"/>
      </w:tblGrid>
      <w:tr>
        <w:tc>
          <w:tcPr>
            <w:tcW w:type="dxa" w:w="1134"/>
            <w:shd w:val="clear" w:color="auto" w:fill="EDEFF2"/>
          </w:tcPr>
          <w:p>
            <w:pPr>
              <w:spacing w:after="40"/>
            </w:pPr>
            <w:r/>
            <w:r>
              <w:rPr>
                <w:rFonts w:ascii="Calibri Light" w:hAnsi="Calibri Light"/>
                <w:b/>
                <w:sz w:val="17"/>
              </w:rPr>
              <w:t>Fluide</w:t>
            </w:r>
          </w:p>
        </w:tc>
        <w:tc>
          <w:tcPr>
            <w:tcW w:type="dxa" w:w="3742"/>
            <w:shd w:val="clear" w:color="auto" w:fill="EDEFF2"/>
          </w:tcPr>
          <w:p>
            <w:pPr>
              <w:spacing w:after="40"/>
            </w:pPr>
            <w:r/>
            <w:r>
              <w:rPr>
                <w:rFonts w:ascii="Calibri Light" w:hAnsi="Calibri Light"/>
                <w:b/>
                <w:sz w:val="17"/>
              </w:rPr>
              <w:t>Comportement</w:t>
            </w:r>
          </w:p>
        </w:tc>
        <w:tc>
          <w:tcPr>
            <w:tcW w:type="dxa" w:w="4422"/>
            <w:shd w:val="clear" w:color="auto" w:fill="EDEFF2"/>
          </w:tcPr>
          <w:p>
            <w:pPr>
              <w:spacing w:after="40"/>
            </w:pPr>
            <w:r/>
            <w:r>
              <w:rPr>
                <w:rFonts w:ascii="Calibri Light" w:hAnsi="Calibri Light"/>
                <w:b/>
                <w:sz w:val="17"/>
              </w:rPr>
              <w:t>Conséquence dimensionnante</w:t>
            </w:r>
          </w:p>
        </w:tc>
      </w:tr>
      <w:tr>
        <w:tc>
          <w:tcPr>
            <w:tcW w:type="dxa" w:w="1134"/>
          </w:tcPr>
          <w:p>
            <w:pPr>
              <w:spacing w:after="40"/>
            </w:pPr>
            <w:r/>
            <w:r>
              <w:rPr>
                <w:i w:val="0"/>
                <w:sz w:val="18"/>
              </w:rPr>
              <w:t>Hélium</w:t>
            </w:r>
          </w:p>
        </w:tc>
        <w:tc>
          <w:tcPr>
            <w:tcW w:type="dxa" w:w="3742"/>
          </w:tcPr>
          <w:p>
            <w:pPr>
              <w:spacing w:after="40"/>
            </w:pPr>
            <w:r/>
            <w:r>
              <w:rPr>
                <w:i w:val="0"/>
                <w:sz w:val="18"/>
              </w:rPr>
              <w:t>Monophasique supercritique sur toute la longueur. T_pc ≈ 11 K, très loin du domaine parcouru : le fluide se comporte comme un gaz parfait, c_p quasi constant.</w:t>
            </w:r>
          </w:p>
        </w:tc>
        <w:tc>
          <w:tcPr>
            <w:tcW w:type="dxa" w:w="4422"/>
          </w:tcPr>
          <w:p>
            <w:pPr>
              <w:spacing w:after="40"/>
            </w:pPr>
            <w:r/>
            <w:r>
              <w:rPr>
                <w:i w:val="0"/>
                <w:sz w:val="18"/>
              </w:rPr>
              <w:t>Débit volumique le plus élevé (23,5 L/s) grâce à sa très faible masse volumique. Mais T paroi = 1256,6 K, au-delà du domaine caractérisé, à cause d'un débit gaz plus élevé (75 g/s).</w:t>
            </w:r>
          </w:p>
        </w:tc>
      </w:tr>
      <w:tr>
        <w:tc>
          <w:tcPr>
            <w:tcW w:type="dxa" w:w="1134"/>
          </w:tcPr>
          <w:p>
            <w:pPr>
              <w:spacing w:after="40"/>
            </w:pPr>
            <w:r/>
            <w:r>
              <w:rPr>
                <w:i w:val="0"/>
                <w:sz w:val="18"/>
              </w:rPr>
              <w:t>LN₂ / N₂</w:t>
            </w:r>
          </w:p>
        </w:tc>
        <w:tc>
          <w:tcPr>
            <w:tcW w:type="dxa" w:w="3742"/>
          </w:tcPr>
          <w:p>
            <w:pPr>
              <w:spacing w:after="40"/>
            </w:pPr>
            <w:r/>
            <w:r>
              <w:rPr>
                <w:i w:val="0"/>
                <w:sz w:val="18"/>
              </w:rPr>
              <w:t>Supercritique de bout en bout (p_crit ≈ 34 bar). Traverse la région pseudo-critique : T_pc ≈ 148 K, la paroi la dépasse alors que le fluide de mélange reste en dessous.</w:t>
            </w:r>
          </w:p>
        </w:tc>
        <w:tc>
          <w:tcPr>
            <w:tcW w:type="dxa" w:w="4422"/>
          </w:tcPr>
          <w:p>
            <w:pPr>
              <w:spacing w:after="40"/>
            </w:pPr>
            <w:r/>
            <w:r>
              <w:rPr>
                <w:b/>
                <w:i w:val="0"/>
                <w:sz w:val="18"/>
              </w:rPr>
              <w:t>Le plus favorable thermiquement</w:t>
            </w:r>
            <w:r>
              <w:rPr>
                <w:i w:val="0"/>
                <w:sz w:val="18"/>
              </w:rPr>
              <w:t xml:space="preserve"> : T paroi = 893,7 K, très en deçà de la limite matériau. Le fort débit (1 916 g/s) maintient la paroi froide. En contrepartie, la perte de charge est la plus élevée (9,8 bar).</w:t>
            </w:r>
          </w:p>
        </w:tc>
      </w:tr>
      <w:tr>
        <w:tc>
          <w:tcPr>
            <w:tcW w:type="dxa" w:w="1134"/>
          </w:tcPr>
          <w:p>
            <w:pPr>
              <w:spacing w:after="40"/>
            </w:pPr>
            <w:r/>
            <w:r>
              <w:rPr>
                <w:i w:val="0"/>
                <w:sz w:val="18"/>
              </w:rPr>
              <w:t>Eau</w:t>
            </w:r>
          </w:p>
        </w:tc>
        <w:tc>
          <w:tcPr>
            <w:tcW w:type="dxa" w:w="3742"/>
          </w:tcPr>
          <w:p>
            <w:pPr>
              <w:spacing w:after="40"/>
            </w:pPr>
            <w:r/>
            <w:r>
              <w:rPr>
                <w:i w:val="0"/>
                <w:sz w:val="18"/>
              </w:rPr>
              <w:t>Traverse les trois régimes : liquide sous-refroidi, ébullition complète, puis surchauffe jusqu'à x = 1,85.</w:t>
            </w:r>
          </w:p>
        </w:tc>
        <w:tc>
          <w:tcPr>
            <w:tcW w:type="dxa" w:w="4422"/>
          </w:tcPr>
          <w:p>
            <w:pPr>
              <w:spacing w:after="40"/>
            </w:pPr>
            <w:r/>
            <w:r>
              <w:rPr>
                <w:i w:val="0"/>
                <w:sz w:val="18"/>
              </w:rPr>
              <w:t xml:space="preserve">Sortie vapeur surchauffée à 1002,3 K, exploitable comme pressurant. Mais T paroi = 1295,2 K et </w:t>
            </w:r>
            <w:r>
              <w:rPr>
                <w:b/>
                <w:i w:val="0"/>
                <w:sz w:val="18"/>
              </w:rPr>
              <w:t>dépassement du flux critique</w:t>
            </w:r>
            <w:r>
              <w:rPr>
                <w:i w:val="0"/>
                <w:sz w:val="18"/>
              </w:rPr>
              <w:t xml:space="preserve"> — voir §4.</w:t>
            </w:r>
          </w:p>
        </w:tc>
      </w:tr>
    </w:tbl>
    <w:p>
      <w:pPr>
        <w:spacing w:after="220"/>
        <w:jc w:val="left"/>
      </w:pPr>
      <w:r>
        <w:rPr>
          <w:b/>
          <w:sz w:val="18"/>
        </w:rPr>
        <w:t xml:space="preserve">Table 3.  </w:t>
      </w:r>
      <w:r>
        <w:rPr>
          <w:i w:val="0"/>
          <w:color w:val="5C6672"/>
          <w:sz w:val="18"/>
        </w:rPr>
        <w:t>Comportement et facteur dimensionnant par fluide.</w:t>
      </w:r>
    </w:p>
    <w:p>
      <w:pPr>
        <w:pStyle w:val="Heading1"/>
      </w:pPr>
      <w:r>
        <w:t>4.  Cas Eau — changement de phase et flux critique</w:t>
      </w:r>
    </w:p>
    <w:p>
      <w:pPr>
        <w:spacing w:before="160" w:after="80"/>
        <w:jc w:val="center"/>
      </w:pPr>
      <w:r>
        <w:drawing>
          <wp:inline xmlns:a="http://schemas.openxmlformats.org/drawingml/2006/main" xmlns:pic="http://schemas.openxmlformats.org/drawingml/2006/picture">
            <wp:extent cx="5040000" cy="5307611"/>
            <wp:docPr id="2" name="Picture 2"/>
            <wp:cNvGraphicFramePr>
              <a:graphicFrameLocks noChangeAspect="1"/>
            </wp:cNvGraphicFramePr>
            <a:graphic>
              <a:graphicData uri="http://schemas.openxmlformats.org/drawingml/2006/picture">
                <pic:pic>
                  <pic:nvPicPr>
                    <pic:cNvPr id="0" name="fig2_eau_changement_phase.png"/>
                    <pic:cNvPicPr/>
                  </pic:nvPicPr>
                  <pic:blipFill>
                    <a:blip r:embed="rId10"/>
                    <a:stretch>
                      <a:fillRect/>
                    </a:stretch>
                  </pic:blipFill>
                  <pic:spPr>
                    <a:xfrm>
                      <a:off x="0" y="0"/>
                      <a:ext cx="5040000" cy="5307611"/>
                    </a:xfrm>
                    <a:prstGeom prst="rect"/>
                  </pic:spPr>
                </pic:pic>
              </a:graphicData>
            </a:graphic>
          </wp:inline>
        </w:drawing>
      </w:r>
    </w:p>
    <w:p>
      <w:pPr>
        <w:spacing w:after="220"/>
        <w:jc w:val="left"/>
      </w:pPr>
      <w:r>
        <w:rPr>
          <w:b/>
          <w:sz w:val="18"/>
        </w:rPr>
        <w:t xml:space="preserve">Figure 2.  </w:t>
      </w:r>
      <w:r>
        <w:rPr>
          <w:i w:val="0"/>
          <w:color w:val="5C6672"/>
          <w:sz w:val="18"/>
        </w:rPr>
        <w:t>Cas Eau. (a) titre vapeur et découpage des régimes. (b) marge au flux critique, en échelle logarithmique. (c) température et effondrement de la masse volumique.</w:t>
      </w:r>
    </w:p>
    <w:p>
      <w:r>
        <w:rPr>
          <w:i w:val="0"/>
        </w:rPr>
        <w:t>La colonne d'eau traverse intégralement le dôme diphasique :</w:t>
      </w:r>
    </w:p>
    <w:p>
      <w:pPr>
        <w:pStyle w:val="ListBullet"/>
        <w:spacing w:after="60"/>
        <w:ind w:left="397"/>
      </w:pPr>
      <w:r>
        <w:rPr>
          <w:b/>
          <w:i w:val="0"/>
        </w:rPr>
        <w:t>Liquide sous-refroidi</w:t>
      </w:r>
      <w:r>
        <w:rPr>
          <w:i w:val="0"/>
        </w:rPr>
        <w:t xml:space="preserve"> de 0 à ≈ 17 mm, le titre partant de x = −0,87.</w:t>
      </w:r>
    </w:p>
    <w:p>
      <w:pPr>
        <w:pStyle w:val="ListBullet"/>
        <w:spacing w:after="60"/>
        <w:ind w:left="397"/>
      </w:pPr>
      <w:r>
        <w:rPr>
          <w:b/>
          <w:i w:val="0"/>
        </w:rPr>
        <w:t>Ébullition</w:t>
      </w:r>
      <w:r>
        <w:rPr>
          <w:i w:val="0"/>
        </w:rPr>
        <w:t xml:space="preserve"> de ≈ 17 à 64,6 mm, où x atteint 1 (vaporisation complète).</w:t>
      </w:r>
    </w:p>
    <w:p>
      <w:pPr>
        <w:pStyle w:val="ListBullet"/>
        <w:spacing w:after="60"/>
        <w:ind w:left="397"/>
      </w:pPr>
      <w:r>
        <w:rPr>
          <w:b/>
          <w:i w:val="0"/>
        </w:rPr>
        <w:t>Vapeur surchauffée</w:t>
      </w:r>
      <w:r>
        <w:rPr>
          <w:i w:val="0"/>
        </w:rPr>
        <w:t xml:space="preserve"> de 64,6 mm à la sortie, x atteignant 1,85 — la convention du code prolonge x au-delà de 1 pour quantifier la surchauffe, sans écrêtage à [0, 1].</w:t>
      </w:r>
    </w:p>
    <w:p>
      <w:r>
        <w:rPr>
          <w:i w:val="0"/>
        </w:rPr>
        <w:t>Le palier de température visible en figure 2(c) entre 17 et 64 mm est la signature de l'ébullition : la température reste bloquée à T_sat(p) ≈ 573 K pendant que la chaleur latente est absorbée. C'est précisément ce que la marche en enthalpie permet de représenter et qu'une marche en température ne saurait restituer.</w:t>
      </w:r>
    </w:p>
    <w:p>
      <w:pPr>
        <w:spacing w:before="160" w:after="160"/>
        <w:ind w:left="283"/>
        <w:pBdr>
          <w:left w:val="single" w:sz="18" w:space="10" w:color="9A5B12"/>
        </w:pBdr>
      </w:pPr>
      <w:r>
        <w:rPr>
          <w:rFonts w:ascii="Calibri Light" w:hAnsi="Calibri Light"/>
          <w:b/>
          <w:color w:val="9A5B12"/>
          <w:sz w:val="17"/>
        </w:rPr>
        <w:t xml:space="preserve">DÉPASSEMENT DU FLUX CRITIQUE (CHF)  </w:t>
      </w:r>
      <w:r>
        <w:rPr>
          <w:i w:val="0"/>
          <w:sz w:val="19"/>
        </w:rPr>
        <w:t xml:space="preserve">La marge q″_CHF / q″_w passe </w:t>
      </w:r>
      <w:r>
        <w:rPr>
          <w:b/>
          <w:i w:val="0"/>
          <w:sz w:val="19"/>
        </w:rPr>
        <w:t>sous 1 entre 61,1 et 64,6 mm</w:t>
      </w:r>
      <w:r>
        <w:rPr>
          <w:i w:val="0"/>
          <w:sz w:val="19"/>
        </w:rPr>
        <w:t xml:space="preserve">, avec un minimum de 0,013. Le titre y vaut déjà 0,953 : il s'agit donc de la transition d'assèchement (dryout) juste avant vaporisation complète, et non d'une crise d'ébullition prématurée en plein régime nucléé. Le flux massique côté calandre n'est que de 296 kg/m²·s, ce qui abaisse mécaniquement le flux critique admissible. </w:t>
      </w:r>
      <w:r>
        <w:rPr>
          <w:b/>
          <w:i w:val="0"/>
          <w:sz w:val="19"/>
        </w:rPr>
        <w:t>Conséquence pratique</w:t>
      </w:r>
      <w:r>
        <w:rPr>
          <w:i w:val="0"/>
          <w:sz w:val="19"/>
        </w:rPr>
        <w:t xml:space="preserve"> : sur ces quelques millimètres la paroi passe en régime post-CHF, où le modèle d'échange employé est une simplification conservative (vapeur saturée portant tout le débit, sans gouttelettes entraînées). La montée de température de paroi observée au-delà de 65 mm en est la traduction directe.</w:t>
      </w:r>
    </w:p>
    <w:p>
      <w:r>
        <w:rPr>
          <w:i w:val="0"/>
        </w:rPr>
        <w:t>À noter : la perte de charge du cas Eau est la plus faible des trois (0,32 bar) malgré la vaporisation, simplement parce que le débit massique est vingt fois inférieur à celui du cas N₂.</w:t>
      </w:r>
    </w:p>
    <w:p>
      <w:pPr>
        <w:pStyle w:val="Heading1"/>
      </w:pPr>
      <w:r>
        <w:t>5.  Répartition de puissance et validité aérodynamique</w:t>
      </w:r>
    </w:p>
    <w:p>
      <w:pPr>
        <w:spacing w:before="160" w:after="80"/>
        <w:jc w:val="center"/>
      </w:pPr>
      <w:r>
        <w:drawing>
          <wp:inline xmlns:a="http://schemas.openxmlformats.org/drawingml/2006/main" xmlns:pic="http://schemas.openxmlformats.org/drawingml/2006/picture">
            <wp:extent cx="5903999" cy="2225668"/>
            <wp:docPr id="3" name="Picture 3"/>
            <wp:cNvGraphicFramePr>
              <a:graphicFrameLocks noChangeAspect="1"/>
            </wp:cNvGraphicFramePr>
            <a:graphic>
              <a:graphicData uri="http://schemas.openxmlformats.org/drawingml/2006/picture">
                <pic:pic>
                  <pic:nvPicPr>
                    <pic:cNvPr id="0" name="fig3_flux_mach.png"/>
                    <pic:cNvPicPr/>
                  </pic:nvPicPr>
                  <pic:blipFill>
                    <a:blip r:embed="rId11"/>
                    <a:stretch>
                      <a:fillRect/>
                    </a:stretch>
                  </pic:blipFill>
                  <pic:spPr>
                    <a:xfrm>
                      <a:off x="0" y="0"/>
                      <a:ext cx="5903999" cy="2225668"/>
                    </a:xfrm>
                    <a:prstGeom prst="rect"/>
                  </pic:spPr>
                </pic:pic>
              </a:graphicData>
            </a:graphic>
          </wp:inline>
        </w:drawing>
      </w:r>
    </w:p>
    <w:p>
      <w:pPr>
        <w:spacing w:after="220"/>
        <w:jc w:val="left"/>
      </w:pPr>
      <w:r>
        <w:rPr>
          <w:b/>
          <w:sz w:val="18"/>
        </w:rPr>
        <w:t xml:space="preserve">Figure 3.  </w:t>
      </w:r>
      <w:r>
        <w:rPr>
          <w:i w:val="0"/>
          <w:color w:val="5C6672"/>
          <w:sz w:val="18"/>
        </w:rPr>
        <w:t>(a) répartition axiale de la puissance échangée. (b) nombre de Mach côté tubes, avec la limite de validité à 0,3.</w:t>
      </w:r>
    </w:p>
    <w:p>
      <w:r>
        <w:rPr>
          <w:i w:val="0"/>
        </w:rPr>
        <w:t>La puissance est fortement concentrée à l'entrée gaz, où l'écart de température est maximal (3020 K contre un réfrigérant encore froid). C'est aussi là que se situe le maximum de température de paroi pour les trois cas.</w:t>
      </w:r>
    </w:p>
    <w:p>
      <w:pPr>
        <w:spacing w:before="160" w:after="160"/>
        <w:ind w:left="283"/>
        <w:pBdr>
          <w:left w:val="single" w:sz="18" w:space="10" w:color="9A5B12"/>
        </w:pBdr>
      </w:pPr>
      <w:r>
        <w:rPr>
          <w:rFonts w:ascii="Calibri Light" w:hAnsi="Calibri Light"/>
          <w:b/>
          <w:color w:val="9A5B12"/>
          <w:sz w:val="17"/>
        </w:rPr>
        <w:t xml:space="preserve">LE CAS HÉLIUM SORT DU DOMAINE DE VALIDITÉ AÉRODYNAMIQUE  </w:t>
      </w:r>
      <w:r>
        <w:rPr>
          <w:i w:val="0"/>
          <w:sz w:val="19"/>
        </w:rPr>
        <w:t>Le Mach côté tubes atteint 0,335 pour l'Hélium, contre 0,290 pour les deux autres cas. Au-delà de 0,3 la marche de pression explicite du gaz (dp/dx = −f·ρ·U²/2D) fait chuter p_g rapidement, la masse volumique s'effondre et le calcul perd son sens ; c'est la raison d'être de cette limite. À 0,335 le dépassement reste marginal et le calcul demeure exploitable, mais un abaissement du débit gaz à 65 g/s le ramènerait dans le domaine, au prix d'environ 12 % de puissance.</w:t>
      </w:r>
    </w:p>
    <w:p>
      <w:pPr>
        <w:pStyle w:val="Heading1"/>
      </w:pPr>
      <w:r>
        <w:t>6.  Réserves de modélisation</w:t>
      </w:r>
    </w:p>
    <w:tbl>
      <w:tblPr>
        <w:tblStyle w:val="TableGrid"/>
        <w:tblW w:type="auto" w:w="0"/>
        <w:jc w:val="center"/>
        <w:tblLook w:firstColumn="1" w:firstRow="1" w:lastColumn="0" w:lastRow="0" w:noHBand="0" w:noVBand="1" w:val="04A0"/>
      </w:tblPr>
      <w:tblGrid>
        <w:gridCol w:w="4649"/>
        <w:gridCol w:w="4649"/>
      </w:tblGrid>
      <w:tr>
        <w:tc>
          <w:tcPr>
            <w:tcW w:type="dxa" w:w="2948"/>
            <w:shd w:val="clear" w:color="auto" w:fill="EDEFF2"/>
          </w:tcPr>
          <w:p>
            <w:pPr>
              <w:spacing w:after="40"/>
            </w:pPr>
            <w:r/>
            <w:r>
              <w:rPr>
                <w:rFonts w:ascii="Calibri Light" w:hAnsi="Calibri Light"/>
                <w:b/>
                <w:sz w:val="17"/>
              </w:rPr>
              <w:t>Réserve</w:t>
            </w:r>
          </w:p>
        </w:tc>
        <w:tc>
          <w:tcPr>
            <w:tcW w:type="dxa" w:w="6350"/>
            <w:shd w:val="clear" w:color="auto" w:fill="EDEFF2"/>
          </w:tcPr>
          <w:p>
            <w:pPr>
              <w:spacing w:after="40"/>
            </w:pPr>
            <w:r/>
            <w:r>
              <w:rPr>
                <w:rFonts w:ascii="Calibri Light" w:hAnsi="Calibri Light"/>
                <w:b/>
                <w:sz w:val="17"/>
              </w:rPr>
              <w:t>Portée</w:t>
            </w:r>
          </w:p>
        </w:tc>
      </w:tr>
      <w:tr>
        <w:tc>
          <w:tcPr>
            <w:tcW w:type="dxa" w:w="2948"/>
          </w:tcPr>
          <w:p>
            <w:pPr>
              <w:spacing w:after="40"/>
            </w:pPr>
            <w:r/>
            <w:r>
              <w:rPr>
                <w:i w:val="0"/>
                <w:sz w:val="18"/>
              </w:rPr>
              <w:t>Rapport de fuite aux chicanes r_lm = 6,93</w:t>
            </w:r>
          </w:p>
        </w:tc>
        <w:tc>
          <w:tcPr>
            <w:tcW w:type="dxa" w:w="6350"/>
          </w:tcPr>
          <w:p>
            <w:pPr>
              <w:spacing w:after="40"/>
            </w:pPr>
            <w:r/>
            <w:r>
              <w:rPr>
                <w:i w:val="0"/>
                <w:sz w:val="18"/>
              </w:rPr>
              <w:t xml:space="preserve">Le domaine de calage de Bell-Delaware est r_lm ≲ 1. L'aire de jeu tube-chicane vaut ici ≈ 6,5 fois l'aire de passage transversale (jeu de 1 mm sur un tube de 5 mm, chicanes espacées de 12 mm). Les deux corrections de fuite sont donc extrapolées. </w:t>
            </w:r>
            <w:r>
              <w:rPr>
                <w:b/>
                <w:i w:val="0"/>
                <w:sz w:val="18"/>
              </w:rPr>
              <w:t>C'est la première source d'incertitude sur la perte de charge</w:t>
            </w:r>
            <w:r>
              <w:rPr>
                <w:i w:val="0"/>
                <w:sz w:val="18"/>
              </w:rPr>
              <w:t>, devant tout choix de corrélation d'ébullition.</w:t>
            </w:r>
          </w:p>
        </w:tc>
      </w:tr>
      <w:tr>
        <w:tc>
          <w:tcPr>
            <w:tcW w:type="dxa" w:w="2948"/>
          </w:tcPr>
          <w:p>
            <w:pPr>
              <w:spacing w:after="40"/>
            </w:pPr>
            <w:r/>
            <w:r>
              <w:rPr>
                <w:i w:val="0"/>
                <w:sz w:val="18"/>
              </w:rPr>
              <w:t>Corrélations d'ébullition en tube appliquées en écoulement transversal</w:t>
            </w:r>
          </w:p>
        </w:tc>
        <w:tc>
          <w:tcPr>
            <w:tcW w:type="dxa" w:w="6350"/>
          </w:tcPr>
          <w:p>
            <w:pPr>
              <w:spacing w:after="40"/>
            </w:pPr>
            <w:r/>
            <w:r>
              <w:rPr>
                <w:i w:val="0"/>
                <w:sz w:val="18"/>
              </w:rPr>
              <w:t>Gungor-Winterton est une corrélation d'écoulement interne. Une corrélation de faisceau serait plus défendable, mais l'effet est faible ici puisque le film réfrigérant ne porte qu'une fraction de la résistance totale (§3.1).</w:t>
            </w:r>
          </w:p>
        </w:tc>
      </w:tr>
      <w:tr>
        <w:tc>
          <w:tcPr>
            <w:tcW w:type="dxa" w:w="2948"/>
          </w:tcPr>
          <w:p>
            <w:pPr>
              <w:spacing w:after="40"/>
            </w:pPr>
            <w:r/>
            <w:r>
              <w:rPr>
                <w:i w:val="0"/>
                <w:sz w:val="18"/>
              </w:rPr>
              <w:t>Coefficient B de Chisholm reconstitué</w:t>
            </w:r>
          </w:p>
        </w:tc>
        <w:tc>
          <w:tcPr>
            <w:tcW w:type="dxa" w:w="6350"/>
          </w:tcPr>
          <w:p>
            <w:pPr>
              <w:spacing w:after="40"/>
            </w:pPr>
            <w:r/>
            <w:r>
              <w:rPr>
                <w:i w:val="0"/>
                <w:sz w:val="18"/>
              </w:rPr>
              <w:t>La table de B n'a pas pu être transcrite d'une source primaire. À vérifier avant de s'appuyer sur une perte de charge diphasique fine.</w:t>
            </w:r>
          </w:p>
        </w:tc>
      </w:tr>
      <w:tr>
        <w:tc>
          <w:tcPr>
            <w:tcW w:type="dxa" w:w="2948"/>
          </w:tcPr>
          <w:p>
            <w:pPr>
              <w:spacing w:after="40"/>
            </w:pPr>
            <w:r/>
            <w:r>
              <w:rPr>
                <w:i w:val="0"/>
                <w:sz w:val="18"/>
              </w:rPr>
              <w:t>Températures de paroi au-delà de 1033 K</w:t>
            </w:r>
          </w:p>
        </w:tc>
        <w:tc>
          <w:tcPr>
            <w:tcW w:type="dxa" w:w="6350"/>
          </w:tcPr>
          <w:p>
            <w:pPr>
              <w:spacing w:after="40"/>
            </w:pPr>
            <w:r/>
            <w:r>
              <w:rPr>
                <w:i w:val="0"/>
                <w:sz w:val="18"/>
              </w:rPr>
              <w:t>Les cas Hélium (1256,6 K) et Eau (1295,2 K) sortent du domaine de données caractérisées de l'Inconel 718. La courbe de limite d'élasticité y est écrêtée à plat : les marges mécaniques calculées au-delà ne sont pas étayées, même si elles restent sous la tolérance de 1500 K.</w:t>
            </w:r>
          </w:p>
        </w:tc>
      </w:tr>
    </w:tbl>
    <w:p>
      <w:pPr>
        <w:spacing w:after="220"/>
        <w:jc w:val="left"/>
      </w:pPr>
      <w:r>
        <w:rPr>
          <w:b/>
          <w:sz w:val="18"/>
        </w:rPr>
        <w:t xml:space="preserve">Table 4.  </w:t>
      </w:r>
      <w:r>
        <w:rPr>
          <w:i w:val="0"/>
          <w:color w:val="5C6672"/>
          <w:sz w:val="18"/>
        </w:rPr>
        <w:t>Réserves connues, par ordre d'importance pratique sur ces résultats.</w:t>
      </w:r>
    </w:p>
    <w:p>
      <w:r>
        <w:rPr>
          <w:i w:val="0"/>
        </w:rPr>
        <w:t>Les marges au flambage sous pression externe restent très confortables dans les trois cas (ΔP/P_cr de l'ordre de 0,002, pour un critère de sécurité à 1).</w:t>
      </w:r>
    </w:p>
    <w:sectPr w:rsidR="00FC693F" w:rsidRPr="0006063C" w:rsidSect="00034616">
      <w:pgSz w:w="11906" w:h="16838"/>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mbria" w:hAnsi="Cambria"/>
      <w:color w:val="1D21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Light" w:hAnsi="Calibri Light"/>
      <w:b/>
      <w:bCs/>
      <w:color w:val="1D2126"/>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Light" w:hAnsi="Calibri Light"/>
      <w:b/>
      <w:bCs/>
      <w:color w:val="1D2126"/>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Light" w:hAnsi="Calibri Light"/>
      <w:b/>
      <w:bCs/>
      <w:color w:val="5C667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